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675F2" w14:textId="77777777" w:rsidR="00D76EBD" w:rsidRPr="00F32F4C" w:rsidRDefault="00D76EBD" w:rsidP="00D76EBD">
      <w:pPr>
        <w:pStyle w:val="BasicParagraph"/>
        <w:suppressAutoHyphens/>
        <w:jc w:val="center"/>
        <w:rPr>
          <w:rFonts w:ascii="Verdana" w:hAnsi="Verdana" w:cs="Arial"/>
          <w:b/>
          <w:bCs/>
          <w:color w:val="734791"/>
          <w:sz w:val="36"/>
          <w:szCs w:val="36"/>
        </w:rPr>
      </w:pPr>
      <w:r w:rsidRPr="00F32F4C">
        <w:rPr>
          <w:rFonts w:ascii="Verdana" w:hAnsi="Verdana" w:cs="Arial"/>
          <w:b/>
          <w:bCs/>
          <w:noProof/>
          <w:color w:val="734791"/>
          <w:sz w:val="36"/>
          <w:szCs w:val="36"/>
          <w:lang w:eastAsia="en-GB"/>
        </w:rPr>
        <w:drawing>
          <wp:inline distT="0" distB="0" distL="0" distR="0" wp14:anchorId="656802CB" wp14:editId="62400D5F">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12D77DCA" w14:textId="59CAC601" w:rsidR="00D76EBD" w:rsidRPr="00F32F4C" w:rsidRDefault="00D76EBD" w:rsidP="00D76EBD">
      <w:pPr>
        <w:pStyle w:val="Title"/>
      </w:pPr>
      <w:r w:rsidRPr="00F32F4C">
        <w:t xml:space="preserve">Call for Expression of Interest on Remedies and Windsor Framework Article 2 </w:t>
      </w:r>
    </w:p>
    <w:p w14:paraId="70015CB0" w14:textId="77777777" w:rsidR="00D76EBD" w:rsidRPr="00F32F4C" w:rsidRDefault="00D76EBD" w:rsidP="00D76EBD">
      <w:pPr>
        <w:pStyle w:val="Default"/>
        <w:spacing w:line="288" w:lineRule="auto"/>
        <w:jc w:val="center"/>
        <w:rPr>
          <w:rFonts w:cs="Arial"/>
          <w:color w:val="232120"/>
          <w:sz w:val="36"/>
          <w:szCs w:val="36"/>
          <w:lang w:val="en-GB"/>
        </w:rPr>
      </w:pPr>
    </w:p>
    <w:p w14:paraId="7F4DAF83" w14:textId="44914234" w:rsidR="00D76EBD" w:rsidRPr="00F32F4C" w:rsidRDefault="00A97FA1" w:rsidP="00D76EBD">
      <w:pPr>
        <w:jc w:val="center"/>
        <w:rPr>
          <w:rFonts w:cs="Arial"/>
          <w:b/>
          <w:color w:val="232120"/>
          <w:sz w:val="30"/>
          <w:szCs w:val="30"/>
        </w:rPr>
      </w:pPr>
      <w:r>
        <w:rPr>
          <w:rFonts w:cs="Arial"/>
          <w:b/>
          <w:color w:val="232120"/>
          <w:sz w:val="30"/>
          <w:szCs w:val="30"/>
        </w:rPr>
        <w:t xml:space="preserve">July </w:t>
      </w:r>
      <w:r w:rsidR="00D76EBD" w:rsidRPr="00F32F4C">
        <w:rPr>
          <w:rFonts w:cs="Arial"/>
          <w:b/>
          <w:color w:val="232120"/>
          <w:sz w:val="30"/>
          <w:szCs w:val="30"/>
        </w:rPr>
        <w:t>202</w:t>
      </w:r>
      <w:r w:rsidR="00C8333C" w:rsidRPr="00F32F4C">
        <w:rPr>
          <w:rFonts w:cs="Arial"/>
          <w:b/>
          <w:color w:val="232120"/>
          <w:sz w:val="30"/>
          <w:szCs w:val="30"/>
        </w:rPr>
        <w:t>4</w:t>
      </w:r>
    </w:p>
    <w:p w14:paraId="6253443A" w14:textId="77777777" w:rsidR="00D76EBD" w:rsidRPr="00F32F4C" w:rsidRDefault="00D76EBD" w:rsidP="00D76EBD">
      <w:pPr>
        <w:jc w:val="center"/>
        <w:rPr>
          <w:rFonts w:cs="Arial"/>
          <w:b/>
          <w:color w:val="232120"/>
          <w:sz w:val="28"/>
          <w:szCs w:val="28"/>
        </w:rPr>
      </w:pPr>
    </w:p>
    <w:p w14:paraId="2F6D46DA" w14:textId="77777777" w:rsidR="00D76EBD" w:rsidRPr="00F32F4C" w:rsidRDefault="00D76EBD" w:rsidP="00D76EBD">
      <w:pPr>
        <w:jc w:val="center"/>
        <w:rPr>
          <w:rFonts w:cs="Arial"/>
          <w:b/>
          <w:color w:val="232120"/>
          <w:sz w:val="28"/>
          <w:szCs w:val="28"/>
        </w:rPr>
      </w:pPr>
    </w:p>
    <w:p w14:paraId="0E43F49C" w14:textId="77777777" w:rsidR="00D76EBD" w:rsidRPr="00F32F4C" w:rsidRDefault="00D76EBD" w:rsidP="00D76EBD">
      <w:pPr>
        <w:jc w:val="center"/>
        <w:rPr>
          <w:rFonts w:cs="Arial"/>
          <w:b/>
          <w:color w:val="232120"/>
          <w:sz w:val="28"/>
          <w:szCs w:val="28"/>
        </w:rPr>
      </w:pPr>
    </w:p>
    <w:p w14:paraId="600BCF39" w14:textId="7897D28B" w:rsidR="00D76EBD" w:rsidRPr="00F32F4C" w:rsidRDefault="00D76EBD" w:rsidP="00D76EBD">
      <w:pPr>
        <w:pStyle w:val="Default"/>
        <w:rPr>
          <w:rStyle w:val="xxnormaltextrun"/>
          <w:b/>
          <w:bCs/>
          <w:lang w:val="en-GB"/>
        </w:rPr>
      </w:pPr>
      <w:r w:rsidRPr="00F32F4C">
        <w:rPr>
          <w:rFonts w:cs="Arial"/>
          <w:b/>
          <w:color w:val="232120"/>
          <w:lang w:val="en-GB"/>
        </w:rPr>
        <w:t xml:space="preserve">The Northern Ireland Human Rights Commission is seeking to contract research on the interaction between </w:t>
      </w:r>
      <w:r w:rsidRPr="00F32F4C">
        <w:rPr>
          <w:rStyle w:val="xxnormaltextrun"/>
          <w:b/>
          <w:bCs/>
          <w:lang w:val="en-GB"/>
        </w:rPr>
        <w:t>Article 2 of the Windsor Framework and</w:t>
      </w:r>
      <w:r w:rsidR="00D91870">
        <w:rPr>
          <w:rStyle w:val="xxnormaltextrun"/>
          <w:b/>
          <w:bCs/>
          <w:lang w:val="en-GB"/>
        </w:rPr>
        <w:t xml:space="preserve"> EU law</w:t>
      </w:r>
      <w:r w:rsidRPr="00F32F4C">
        <w:rPr>
          <w:rStyle w:val="xxnormaltextrun"/>
          <w:b/>
          <w:bCs/>
          <w:lang w:val="en-GB"/>
        </w:rPr>
        <w:t xml:space="preserve"> remedies.</w:t>
      </w:r>
    </w:p>
    <w:p w14:paraId="4019B3A5" w14:textId="77777777" w:rsidR="00D76EBD" w:rsidRPr="00F32F4C" w:rsidRDefault="00D76EBD" w:rsidP="00D76EBD">
      <w:pPr>
        <w:pStyle w:val="Default"/>
        <w:rPr>
          <w:rFonts w:cs="Arial"/>
          <w:b/>
          <w:color w:val="232120"/>
          <w:lang w:val="en-GB"/>
        </w:rPr>
      </w:pPr>
    </w:p>
    <w:p w14:paraId="350D9709" w14:textId="6435F4D0" w:rsidR="00D76EBD" w:rsidRPr="00F32F4C" w:rsidRDefault="00D76EBD" w:rsidP="00D76EBD">
      <w:pPr>
        <w:pStyle w:val="Default"/>
        <w:rPr>
          <w:rFonts w:cs="Arial"/>
          <w:b/>
          <w:color w:val="232120"/>
          <w:lang w:val="en-GB"/>
        </w:rPr>
      </w:pPr>
      <w:r w:rsidRPr="00F32F4C">
        <w:rPr>
          <w:rFonts w:cs="Arial"/>
          <w:b/>
          <w:color w:val="232120"/>
          <w:lang w:val="en-GB"/>
        </w:rPr>
        <w:t xml:space="preserve">The deadline for submitting a quotation is 12 noon on </w:t>
      </w:r>
      <w:r w:rsidR="00860965">
        <w:rPr>
          <w:rFonts w:cs="Arial"/>
          <w:b/>
          <w:color w:val="232120"/>
          <w:lang w:val="en-GB"/>
        </w:rPr>
        <w:t xml:space="preserve">Wednesday, </w:t>
      </w:r>
      <w:r w:rsidR="00A97FA1">
        <w:rPr>
          <w:rFonts w:cs="Arial"/>
          <w:b/>
          <w:color w:val="232120"/>
          <w:lang w:val="en-GB"/>
        </w:rPr>
        <w:t xml:space="preserve">4 September </w:t>
      </w:r>
      <w:r w:rsidRPr="00F32F4C">
        <w:rPr>
          <w:rFonts w:cs="Arial"/>
          <w:b/>
          <w:color w:val="232120"/>
          <w:lang w:val="en-GB"/>
        </w:rPr>
        <w:t>2024.</w:t>
      </w:r>
    </w:p>
    <w:p w14:paraId="5B9962B3" w14:textId="77777777" w:rsidR="00D76EBD" w:rsidRPr="00F32F4C" w:rsidRDefault="00D76EBD">
      <w:pPr>
        <w:rPr>
          <w:b/>
          <w:bCs/>
        </w:rPr>
      </w:pPr>
      <w:r w:rsidRPr="00F32F4C">
        <w:rPr>
          <w:b/>
          <w:bCs/>
        </w:rPr>
        <w:br w:type="page"/>
      </w:r>
    </w:p>
    <w:p w14:paraId="5E5ABAB1" w14:textId="68A7C327" w:rsidR="00D76B67" w:rsidRDefault="00D76B67" w:rsidP="00977817">
      <w:pPr>
        <w:pStyle w:val="Heading1"/>
      </w:pPr>
      <w:r>
        <w:lastRenderedPageBreak/>
        <w:t xml:space="preserve">Summary </w:t>
      </w:r>
    </w:p>
    <w:p w14:paraId="3FCDF950" w14:textId="42C7FB5F" w:rsidR="00D76B67" w:rsidRPr="00F32F4C" w:rsidRDefault="00D76B67" w:rsidP="00D76B67">
      <w:r w:rsidRPr="00F32F4C">
        <w:t>The Commission is interested in exploring</w:t>
      </w:r>
      <w:r>
        <w:t xml:space="preserve"> the remedies available </w:t>
      </w:r>
      <w:r w:rsidR="00F91D52">
        <w:t xml:space="preserve">in accordance with the </w:t>
      </w:r>
      <w:r w:rsidRPr="00F32F4C">
        <w:t xml:space="preserve">non-diminution and keep pace commitment in Windsor Framework Article 2.  </w:t>
      </w:r>
      <w:r w:rsidR="00FF4B3F">
        <w:t xml:space="preserve">This </w:t>
      </w:r>
      <w:r w:rsidRPr="00F32F4C">
        <w:t xml:space="preserve">research </w:t>
      </w:r>
      <w:r w:rsidR="00FF4B3F">
        <w:t xml:space="preserve">should aim to </w:t>
      </w:r>
      <w:r>
        <w:t>explore</w:t>
      </w:r>
      <w:r w:rsidRPr="00F32F4C">
        <w:t xml:space="preserve"> how</w:t>
      </w:r>
      <w:r>
        <w:t xml:space="preserve"> and to what extent</w:t>
      </w:r>
      <w:r w:rsidRPr="00F32F4C">
        <w:t xml:space="preserve"> the obligation to ensure the full effectiveness of EU law </w:t>
      </w:r>
      <w:r>
        <w:t xml:space="preserve">informs the interpretation of </w:t>
      </w:r>
      <w:r w:rsidR="005F1671">
        <w:t xml:space="preserve">available domestic and </w:t>
      </w:r>
      <w:r>
        <w:t>EU law remedies</w:t>
      </w:r>
      <w:r w:rsidR="005F1671">
        <w:t xml:space="preserve"> pursuant to Windsor Framework Article 2.  This research should also explore </w:t>
      </w:r>
      <w:r w:rsidR="00084A9C">
        <w:t>the role of the Commissions</w:t>
      </w:r>
      <w:r w:rsidR="00084A9C" w:rsidRPr="00D76B67">
        <w:t xml:space="preserve"> </w:t>
      </w:r>
      <w:r w:rsidR="00084A9C">
        <w:t xml:space="preserve">in overseeing the implementation of Article 2 and </w:t>
      </w:r>
      <w:r w:rsidRPr="00D76B67">
        <w:t>the interaction of the oversight mechanisms of the Withdrawal Agreement</w:t>
      </w:r>
      <w:r w:rsidR="00084A9C">
        <w:t>,</w:t>
      </w:r>
      <w:r w:rsidRPr="00D76B67">
        <w:t xml:space="preserve"> and associated dispute resolution procedures</w:t>
      </w:r>
      <w:r w:rsidR="00084A9C">
        <w:t>,</w:t>
      </w:r>
      <w:r w:rsidRPr="00D76B67">
        <w:t xml:space="preserve"> with</w:t>
      </w:r>
      <w:r>
        <w:t xml:space="preserve"> Windsor Framework Article 2.</w:t>
      </w:r>
    </w:p>
    <w:p w14:paraId="4C5C1681" w14:textId="25DB04FA" w:rsidR="00D76EBD" w:rsidRPr="00F32F4C" w:rsidRDefault="00017FF1" w:rsidP="00977817">
      <w:pPr>
        <w:pStyle w:val="Heading1"/>
      </w:pPr>
      <w:r w:rsidRPr="00F32F4C">
        <w:t xml:space="preserve">Introduction </w:t>
      </w:r>
    </w:p>
    <w:p w14:paraId="224A7170" w14:textId="77777777" w:rsidR="009C29D6" w:rsidRPr="00F32F4C" w:rsidRDefault="009C29D6" w:rsidP="000A0BBB"/>
    <w:p w14:paraId="4446D36F" w14:textId="13CD2C22" w:rsidR="00D76EBD" w:rsidRPr="00F32F4C" w:rsidRDefault="009C29D6" w:rsidP="00AA377F">
      <w:pPr>
        <w:pStyle w:val="ListParagraph"/>
        <w:rPr>
          <w:lang w:val="en-GB"/>
        </w:rPr>
      </w:pPr>
      <w:r w:rsidRPr="00F32F4C">
        <w:rPr>
          <w:lang w:val="en-GB"/>
        </w:rPr>
        <w:t>The Northern Ireland Human Rights Commission (the Commission), pursuant to section 69(1) of the Northern Ireland Act 1998, reviews the adequacy and effectiveness of law and practice relating to the protection of human rights in Northern Ireland (NI). In accordance with section 78</w:t>
      </w:r>
      <w:proofErr w:type="gramStart"/>
      <w:r w:rsidRPr="00F32F4C">
        <w:rPr>
          <w:lang w:val="en-GB"/>
        </w:rPr>
        <w:t>A(</w:t>
      </w:r>
      <w:proofErr w:type="gramEnd"/>
      <w:r w:rsidRPr="00F32F4C">
        <w:rPr>
          <w:lang w:val="en-GB"/>
        </w:rPr>
        <w:t xml:space="preserve">1) of the Northern Ireland Act the Commission monitors the implementation of </w:t>
      </w:r>
      <w:r w:rsidR="00E01411" w:rsidRPr="00F32F4C">
        <w:rPr>
          <w:lang w:val="en-GB"/>
        </w:rPr>
        <w:t>Article 2(1) of the Windsor Framework,</w:t>
      </w:r>
      <w:r w:rsidR="00E01411" w:rsidRPr="00F32F4C">
        <w:rPr>
          <w:rStyle w:val="FootnoteReference"/>
          <w:lang w:val="en-GB"/>
        </w:rPr>
        <w:footnoteReference w:id="2"/>
      </w:r>
      <w:r w:rsidR="00E01411" w:rsidRPr="00F32F4C">
        <w:rPr>
          <w:vertAlign w:val="superscript"/>
          <w:lang w:val="en-GB"/>
        </w:rPr>
        <w:t xml:space="preserve"> </w:t>
      </w:r>
      <w:r w:rsidRPr="00F32F4C">
        <w:rPr>
          <w:lang w:val="en-GB"/>
        </w:rPr>
        <w:t xml:space="preserve">to ensure there is no diminution of rights protected in the ‘Rights, Safeguards and Equality of Opportunity’ chapter of the Belfast (Good Friday) Agreement 1998 as a result of the United Kingdom (UK)’s withdrawal from the EU. The Commission exercises this mandate alongside the Equality Commission </w:t>
      </w:r>
      <w:r w:rsidR="008E18D5">
        <w:rPr>
          <w:lang w:val="en-GB"/>
        </w:rPr>
        <w:t>for</w:t>
      </w:r>
      <w:r w:rsidRPr="00F32F4C">
        <w:rPr>
          <w:lang w:val="en-GB"/>
        </w:rPr>
        <w:t xml:space="preserve"> Northern Ireland (ECNI), as part of the ‘dedicated mechanism’ framework.</w:t>
      </w:r>
    </w:p>
    <w:p w14:paraId="0E9742E1" w14:textId="77777777" w:rsidR="00D76EBD" w:rsidRPr="00F32F4C" w:rsidRDefault="00D76EBD" w:rsidP="00D76EBD">
      <w:pPr>
        <w:ind w:left="720"/>
      </w:pPr>
    </w:p>
    <w:p w14:paraId="59D37A4F" w14:textId="4522BD78" w:rsidR="009C29D6" w:rsidRPr="00F32F4C" w:rsidRDefault="009C29D6" w:rsidP="00AA377F">
      <w:pPr>
        <w:pStyle w:val="ListParagraph"/>
        <w:rPr>
          <w:lang w:val="en-GB"/>
        </w:rPr>
      </w:pPr>
      <w:r w:rsidRPr="00F32F4C">
        <w:rPr>
          <w:lang w:val="en-GB"/>
        </w:rPr>
        <w:t>Pursuant to Section 78</w:t>
      </w:r>
      <w:proofErr w:type="gramStart"/>
      <w:r w:rsidRPr="00F32F4C">
        <w:rPr>
          <w:lang w:val="en-GB"/>
        </w:rPr>
        <w:t>A(</w:t>
      </w:r>
      <w:proofErr w:type="gramEnd"/>
      <w:r w:rsidRPr="00F32F4C">
        <w:rPr>
          <w:lang w:val="en-GB"/>
        </w:rPr>
        <w:t xml:space="preserve">7), the Commission is seeking to conduct research </w:t>
      </w:r>
      <w:r w:rsidR="006F02BE" w:rsidRPr="00F32F4C">
        <w:rPr>
          <w:lang w:val="en-GB"/>
        </w:rPr>
        <w:t xml:space="preserve">to </w:t>
      </w:r>
      <w:r w:rsidRPr="00F32F4C">
        <w:rPr>
          <w:lang w:val="en-GB"/>
        </w:rPr>
        <w:t>examine</w:t>
      </w:r>
      <w:r w:rsidR="006F02BE" w:rsidRPr="00F32F4C">
        <w:rPr>
          <w:lang w:val="en-GB"/>
        </w:rPr>
        <w:t xml:space="preserve"> </w:t>
      </w:r>
      <w:r w:rsidR="00B90616">
        <w:rPr>
          <w:lang w:val="en-GB"/>
        </w:rPr>
        <w:t xml:space="preserve">the availability of </w:t>
      </w:r>
      <w:r w:rsidR="006F02BE" w:rsidRPr="00F32F4C">
        <w:rPr>
          <w:lang w:val="en-GB"/>
        </w:rPr>
        <w:t xml:space="preserve">remedies </w:t>
      </w:r>
      <w:r w:rsidR="00B90616">
        <w:rPr>
          <w:lang w:val="en-GB"/>
        </w:rPr>
        <w:t xml:space="preserve">in respect of </w:t>
      </w:r>
      <w:r w:rsidR="006F02BE" w:rsidRPr="00F32F4C">
        <w:rPr>
          <w:lang w:val="en-GB"/>
        </w:rPr>
        <w:t>Windsor Framework Article 2</w:t>
      </w:r>
      <w:r w:rsidR="00572D7D" w:rsidRPr="00F32F4C">
        <w:rPr>
          <w:lang w:val="en-GB"/>
        </w:rPr>
        <w:t>.</w:t>
      </w:r>
      <w:r w:rsidR="006F02BE" w:rsidRPr="00F32F4C">
        <w:rPr>
          <w:lang w:val="en-GB"/>
        </w:rPr>
        <w:t xml:space="preserve"> </w:t>
      </w:r>
    </w:p>
    <w:p w14:paraId="7A67C318" w14:textId="77777777" w:rsidR="00572D7D" w:rsidRPr="00F32F4C" w:rsidRDefault="00572D7D" w:rsidP="000A0BBB"/>
    <w:p w14:paraId="38EDE9BC" w14:textId="23017E2F" w:rsidR="00017FF1" w:rsidRPr="00F32F4C" w:rsidRDefault="00017FF1" w:rsidP="00977817">
      <w:pPr>
        <w:pStyle w:val="Heading1"/>
      </w:pPr>
      <w:r w:rsidRPr="00F32F4C">
        <w:t xml:space="preserve">Background </w:t>
      </w:r>
    </w:p>
    <w:p w14:paraId="5F8B7FB8" w14:textId="381FD9A9" w:rsidR="00D76EBD" w:rsidRPr="00F32F4C" w:rsidRDefault="00E01411" w:rsidP="00017FF1">
      <w:pPr>
        <w:pStyle w:val="Heading2"/>
      </w:pPr>
      <w:r w:rsidRPr="00F32F4C">
        <w:t xml:space="preserve">Article 2 of the Windsor Framework </w:t>
      </w:r>
    </w:p>
    <w:p w14:paraId="34555B46" w14:textId="4ED8B321" w:rsidR="00D76EBD" w:rsidRPr="00F32F4C" w:rsidRDefault="00E01411" w:rsidP="00AA377F">
      <w:pPr>
        <w:pStyle w:val="ListParagraph"/>
        <w:rPr>
          <w:rStyle w:val="normaltextrun"/>
          <w:rFonts w:eastAsia="Verdana" w:cs="Verdana"/>
          <w:color w:val="auto"/>
          <w:lang w:val="en-GB"/>
        </w:rPr>
      </w:pPr>
      <w:r w:rsidRPr="00F32F4C">
        <w:rPr>
          <w:lang w:val="en-GB"/>
        </w:rPr>
        <w:t xml:space="preserve">During the negotiations </w:t>
      </w:r>
      <w:r w:rsidRPr="00F32F4C">
        <w:rPr>
          <w:rStyle w:val="normaltextrun"/>
          <w:lang w:val="en-GB"/>
        </w:rPr>
        <w:t xml:space="preserve">leading to the UK’s withdrawal from the EU, both the UK and EU recognised that human rights and the </w:t>
      </w:r>
      <w:r w:rsidRPr="00F32F4C">
        <w:rPr>
          <w:rStyle w:val="normaltextrun"/>
          <w:lang w:val="en-GB"/>
        </w:rPr>
        <w:lastRenderedPageBreak/>
        <w:t>Belfast (Good Friday) Agreement required consideration and protection. Both parties affirmed that the 1998 Agreement must be protected in all its parts, including in its practical application and the totality of relationships set out in the agreement.</w:t>
      </w:r>
      <w:r w:rsidRPr="00F32F4C">
        <w:rPr>
          <w:rStyle w:val="FootnoteReference"/>
          <w:lang w:val="en-GB"/>
        </w:rPr>
        <w:footnoteReference w:id="3"/>
      </w:r>
    </w:p>
    <w:p w14:paraId="7AB64420" w14:textId="77777777" w:rsidR="00AA377F" w:rsidRPr="00F32F4C" w:rsidRDefault="00AA377F" w:rsidP="00AA377F">
      <w:pPr>
        <w:ind w:left="720"/>
        <w:rPr>
          <w:rStyle w:val="normaltextrun"/>
          <w:rFonts w:eastAsia="Verdana" w:cs="Verdana"/>
        </w:rPr>
      </w:pPr>
    </w:p>
    <w:p w14:paraId="31744706" w14:textId="3AC215FD" w:rsidR="00E01411" w:rsidRPr="00F32F4C" w:rsidRDefault="00E01411" w:rsidP="00AA377F">
      <w:pPr>
        <w:pStyle w:val="ListParagraph"/>
        <w:rPr>
          <w:rFonts w:eastAsia="Verdana" w:cs="Verdana"/>
          <w:lang w:val="en-GB"/>
        </w:rPr>
      </w:pPr>
      <w:r w:rsidRPr="00F32F4C">
        <w:rPr>
          <w:lang w:val="en-GB"/>
        </w:rPr>
        <w:t xml:space="preserve">Windsor Framework Article 2 requires the UK Government to ensure that </w:t>
      </w:r>
      <w:r w:rsidRPr="00F32F4C">
        <w:rPr>
          <w:rStyle w:val="normaltextrun"/>
          <w:shd w:val="clear" w:color="auto" w:fill="FFFFFF"/>
          <w:lang w:val="en-GB"/>
        </w:rPr>
        <w:t xml:space="preserve">there is no diminution of the rights, safeguards and equality of opportunity protections contained in that chapter of the Belfast (Good Friday) Agreement, </w:t>
      </w:r>
      <w:proofErr w:type="gramStart"/>
      <w:r w:rsidRPr="00F32F4C">
        <w:rPr>
          <w:rStyle w:val="normaltextrun"/>
          <w:shd w:val="clear" w:color="auto" w:fill="FFFFFF"/>
          <w:lang w:val="en-GB"/>
        </w:rPr>
        <w:t>as a result of</w:t>
      </w:r>
      <w:proofErr w:type="gramEnd"/>
      <w:r w:rsidRPr="00F32F4C">
        <w:rPr>
          <w:rStyle w:val="normaltextrun"/>
          <w:shd w:val="clear" w:color="auto" w:fill="FFFFFF"/>
          <w:lang w:val="en-GB"/>
        </w:rPr>
        <w:t xml:space="preserve"> the UK leaving the EU. </w:t>
      </w:r>
      <w:r w:rsidRPr="00F32F4C">
        <w:rPr>
          <w:lang w:val="en-GB"/>
        </w:rPr>
        <w:t>To fall within scope of Article 2, the human right or equality protection being relied on must therefore be covered by the relevant chapter of the Agreement and have been underpinned by EU law on 31 December 2020.</w:t>
      </w:r>
    </w:p>
    <w:p w14:paraId="25A0F931" w14:textId="77777777" w:rsidR="00AA377F" w:rsidRPr="00F32F4C" w:rsidRDefault="00AA377F" w:rsidP="00AA377F">
      <w:pPr>
        <w:ind w:left="720"/>
      </w:pPr>
    </w:p>
    <w:p w14:paraId="77784978" w14:textId="77777777" w:rsidR="00D76EBD" w:rsidRPr="00F32F4C" w:rsidRDefault="00D76EBD" w:rsidP="00AA377F">
      <w:pPr>
        <w:pStyle w:val="ListParagraph"/>
        <w:rPr>
          <w:rFonts w:eastAsia="Verdana" w:cs="Verdana"/>
          <w:lang w:val="en-GB"/>
        </w:rPr>
      </w:pPr>
      <w:r w:rsidRPr="00F32F4C">
        <w:rPr>
          <w:lang w:val="en-GB"/>
        </w:rPr>
        <w:t xml:space="preserve">In the rights, </w:t>
      </w:r>
      <w:proofErr w:type="gramStart"/>
      <w:r w:rsidRPr="00F32F4C">
        <w:rPr>
          <w:lang w:val="en-GB"/>
        </w:rPr>
        <w:t>safeguards</w:t>
      </w:r>
      <w:proofErr w:type="gramEnd"/>
      <w:r w:rsidRPr="00F32F4C">
        <w:rPr>
          <w:lang w:val="en-GB"/>
        </w:rPr>
        <w:t xml:space="preserve"> and equality of opportunity chapter of the Belfast (Good Friday) Agreement, the parties affirmed their commitment to “the mutual respect, the civil rights and religious liberties of everyone in the community”. The UK Government also committed to incorporation of the ECHR into NI law and the Agreement envisaged a Bill of Rights for NI drawing on international instruments and experience. </w:t>
      </w:r>
    </w:p>
    <w:p w14:paraId="60B62046" w14:textId="77777777" w:rsidR="00AA377F" w:rsidRPr="00F32F4C" w:rsidRDefault="00AA377F" w:rsidP="00AA377F">
      <w:pPr>
        <w:ind w:left="720"/>
      </w:pPr>
    </w:p>
    <w:p w14:paraId="780320EE" w14:textId="1492C136" w:rsidR="001E0999" w:rsidRPr="00F32F4C" w:rsidRDefault="00D76EBD" w:rsidP="00AA377F">
      <w:pPr>
        <w:pStyle w:val="ListParagraph"/>
        <w:rPr>
          <w:rFonts w:eastAsia="Verdana" w:cs="Verdana"/>
          <w:lang w:val="en-GB"/>
        </w:rPr>
      </w:pPr>
      <w:r w:rsidRPr="00F32F4C">
        <w:rPr>
          <w:lang w:val="en-GB"/>
        </w:rPr>
        <w:t>In 2022</w:t>
      </w:r>
      <w:r w:rsidR="001E0999" w:rsidRPr="00F32F4C">
        <w:rPr>
          <w:lang w:val="en-GB"/>
        </w:rPr>
        <w:t xml:space="preserve">, following extensive engagement and internal and external research and legal advice, </w:t>
      </w:r>
      <w:r w:rsidRPr="00F32F4C">
        <w:rPr>
          <w:lang w:val="en-GB"/>
        </w:rPr>
        <w:t>the Commission, along with ECNI</w:t>
      </w:r>
      <w:r w:rsidR="001E0999" w:rsidRPr="00F32F4C">
        <w:rPr>
          <w:lang w:val="en-GB"/>
        </w:rPr>
        <w:t xml:space="preserve"> set out its initial assessment </w:t>
      </w:r>
      <w:r w:rsidRPr="00F32F4C">
        <w:rPr>
          <w:lang w:val="en-GB"/>
        </w:rPr>
        <w:t>o</w:t>
      </w:r>
      <w:r w:rsidR="001E0999" w:rsidRPr="00F32F4C">
        <w:rPr>
          <w:lang w:val="en-GB"/>
        </w:rPr>
        <w:t>f Windsor Framework Article 2.</w:t>
      </w:r>
      <w:r w:rsidR="001E0999" w:rsidRPr="00F32F4C">
        <w:rPr>
          <w:rStyle w:val="FootnoteReference"/>
          <w:rFonts w:cstheme="minorHAnsi"/>
          <w:lang w:val="en-GB"/>
        </w:rPr>
        <w:footnoteReference w:id="4"/>
      </w:r>
      <w:r w:rsidRPr="00F32F4C">
        <w:rPr>
          <w:lang w:val="en-GB"/>
        </w:rPr>
        <w:t xml:space="preserve"> </w:t>
      </w:r>
    </w:p>
    <w:p w14:paraId="65013A4C" w14:textId="77777777" w:rsidR="00AA377F" w:rsidRPr="00F32F4C" w:rsidRDefault="00AA377F" w:rsidP="00AA377F">
      <w:pPr>
        <w:pStyle w:val="ListParagraph"/>
        <w:numPr>
          <w:ilvl w:val="0"/>
          <w:numId w:val="0"/>
        </w:numPr>
        <w:ind w:left="720"/>
        <w:rPr>
          <w:rFonts w:eastAsia="Verdana" w:cs="Verdana"/>
          <w:lang w:val="en-GB"/>
        </w:rPr>
      </w:pPr>
    </w:p>
    <w:p w14:paraId="21852236" w14:textId="2E38E8F5" w:rsidR="001E0999" w:rsidRPr="00F32F4C" w:rsidRDefault="002575FB" w:rsidP="00AA377F">
      <w:pPr>
        <w:pStyle w:val="ListParagraph"/>
        <w:rPr>
          <w:rFonts w:eastAsia="Verdana" w:cs="Verdana"/>
          <w:lang w:val="en-GB"/>
        </w:rPr>
      </w:pPr>
      <w:r w:rsidRPr="00F32F4C">
        <w:rPr>
          <w:lang w:val="en-GB"/>
        </w:rPr>
        <w:t>The UK Government has committed to ensuring that there will be no diminution of protections as were contained in relevant EU law on 31 December 2020.</w:t>
      </w:r>
      <w:r w:rsidRPr="00F32F4C">
        <w:rPr>
          <w:rStyle w:val="FootnoteReference"/>
          <w:rFonts w:cstheme="minorHAnsi"/>
          <w:lang w:val="en-GB"/>
        </w:rPr>
        <w:footnoteReference w:id="5"/>
      </w:r>
      <w:r w:rsidRPr="00F32F4C">
        <w:rPr>
          <w:lang w:val="en-GB"/>
        </w:rPr>
        <w:t xml:space="preserve">  In addition to the non-exhaustive list of EU measures identified </w:t>
      </w:r>
      <w:r w:rsidR="008E18D5">
        <w:rPr>
          <w:lang w:val="en-GB"/>
        </w:rPr>
        <w:t xml:space="preserve">by the </w:t>
      </w:r>
      <w:r w:rsidRPr="00F32F4C">
        <w:rPr>
          <w:lang w:val="en-GB"/>
        </w:rPr>
        <w:t>UK Government,</w:t>
      </w:r>
      <w:r w:rsidRPr="00F32F4C">
        <w:rPr>
          <w:rStyle w:val="FootnoteReference"/>
          <w:rFonts w:cstheme="minorHAnsi"/>
          <w:lang w:val="en-GB"/>
        </w:rPr>
        <w:footnoteReference w:id="6"/>
      </w:r>
      <w:r w:rsidRPr="00F32F4C">
        <w:rPr>
          <w:lang w:val="en-GB"/>
        </w:rPr>
        <w:t xml:space="preserve"> the Commissions have identified a range of EU measures which fall within the non-</w:t>
      </w:r>
      <w:r w:rsidRPr="00F32F4C">
        <w:rPr>
          <w:lang w:val="en-GB"/>
        </w:rPr>
        <w:lastRenderedPageBreak/>
        <w:t>diminution commitment.</w:t>
      </w:r>
      <w:r w:rsidRPr="00F32F4C">
        <w:rPr>
          <w:rStyle w:val="FootnoteReference"/>
          <w:lang w:val="en-GB"/>
        </w:rPr>
        <w:footnoteReference w:id="7"/>
      </w:r>
      <w:r w:rsidRPr="00F32F4C">
        <w:rPr>
          <w:lang w:val="en-GB"/>
        </w:rPr>
        <w:t xml:space="preserve"> </w:t>
      </w:r>
    </w:p>
    <w:p w14:paraId="035A7979" w14:textId="77777777" w:rsidR="00AA377F" w:rsidRPr="00F32F4C" w:rsidRDefault="00AA377F" w:rsidP="00AA377F">
      <w:pPr>
        <w:pStyle w:val="ListParagraph"/>
        <w:numPr>
          <w:ilvl w:val="0"/>
          <w:numId w:val="0"/>
        </w:numPr>
        <w:ind w:left="720"/>
        <w:rPr>
          <w:rFonts w:eastAsia="Verdana" w:cs="Verdana"/>
          <w:lang w:val="en-GB"/>
        </w:rPr>
      </w:pPr>
    </w:p>
    <w:p w14:paraId="51C13473" w14:textId="3E2071C5" w:rsidR="001E0999" w:rsidRPr="00F32F4C" w:rsidRDefault="00E01411" w:rsidP="00AA377F">
      <w:pPr>
        <w:pStyle w:val="ListParagraph"/>
        <w:rPr>
          <w:rFonts w:eastAsia="Verdana" w:cs="Verdana"/>
          <w:lang w:val="en-GB"/>
        </w:rPr>
      </w:pPr>
      <w:r w:rsidRPr="00F32F4C">
        <w:rPr>
          <w:lang w:val="en-GB"/>
        </w:rPr>
        <w:t>Article 13(3) of the Windsor Framework provides that “where this Protocol makes reference to a Union act, that reference shall be read as referring to that Union act as amended or replaced”.</w:t>
      </w:r>
      <w:r w:rsidR="009C2F7E" w:rsidRPr="00F32F4C">
        <w:rPr>
          <w:rStyle w:val="FootnoteReference"/>
          <w:lang w:val="en-GB"/>
        </w:rPr>
        <w:footnoteReference w:id="8"/>
      </w:r>
      <w:r w:rsidRPr="00F32F4C">
        <w:rPr>
          <w:lang w:val="en-GB"/>
        </w:rPr>
        <w:t xml:space="preserve"> Windsor Framework Article 2 therefore entails a commitment by the UK Government that NI equality law will dynamically align or “keep pace” with any EU law developments falling within the six EU Equality Directives listed in Annex 1 to the Windsor Framework</w:t>
      </w:r>
      <w:r w:rsidR="001E0999" w:rsidRPr="00F32F4C">
        <w:rPr>
          <w:rStyle w:val="FootnoteReference"/>
          <w:rFonts w:cstheme="minorHAnsi"/>
          <w:lang w:val="en-GB"/>
        </w:rPr>
        <w:footnoteReference w:id="9"/>
      </w:r>
      <w:r w:rsidRPr="00F32F4C">
        <w:rPr>
          <w:lang w:val="en-GB"/>
        </w:rPr>
        <w:t xml:space="preserve"> after 1 January 2021.  </w:t>
      </w:r>
      <w:r w:rsidR="00F951B6">
        <w:rPr>
          <w:lang w:val="en-GB"/>
        </w:rPr>
        <w:t>Therefore</w:t>
      </w:r>
      <w:r w:rsidR="00AB12AB">
        <w:rPr>
          <w:lang w:val="en-GB"/>
        </w:rPr>
        <w:t>,</w:t>
      </w:r>
      <w:r w:rsidRPr="00F32F4C">
        <w:rPr>
          <w:lang w:val="en-GB"/>
        </w:rPr>
        <w:t xml:space="preserve"> if the minimum standards in the Annex 1 Directives are updated or replaced, the UK Government must ensure that domestic legislation in </w:t>
      </w:r>
      <w:r w:rsidR="00AA782B" w:rsidRPr="00F32F4C">
        <w:rPr>
          <w:lang w:val="en-GB"/>
        </w:rPr>
        <w:t>NI</w:t>
      </w:r>
      <w:r w:rsidRPr="00F32F4C">
        <w:rPr>
          <w:lang w:val="en-GB"/>
        </w:rPr>
        <w:t xml:space="preserve"> reflects any enhancements in relevant protections.</w:t>
      </w:r>
      <w:r w:rsidRPr="00F32F4C">
        <w:rPr>
          <w:rStyle w:val="FootnoteReference"/>
          <w:rFonts w:cstheme="minorHAnsi"/>
          <w:lang w:val="en-GB"/>
        </w:rPr>
        <w:footnoteReference w:id="10"/>
      </w:r>
      <w:r w:rsidR="00707D9B" w:rsidRPr="00F32F4C">
        <w:rPr>
          <w:lang w:val="en-GB"/>
        </w:rPr>
        <w:t xml:space="preserve"> </w:t>
      </w:r>
    </w:p>
    <w:p w14:paraId="237D9613" w14:textId="77777777" w:rsidR="00AA377F" w:rsidRPr="00F32F4C" w:rsidRDefault="00AA377F" w:rsidP="00AA377F">
      <w:pPr>
        <w:pStyle w:val="ListParagraph"/>
        <w:numPr>
          <w:ilvl w:val="0"/>
          <w:numId w:val="0"/>
        </w:numPr>
        <w:ind w:left="720"/>
        <w:rPr>
          <w:rFonts w:eastAsia="Verdana" w:cs="Verdana"/>
          <w:lang w:val="en-GB"/>
        </w:rPr>
      </w:pPr>
    </w:p>
    <w:p w14:paraId="5042E5BC" w14:textId="15C704E8" w:rsidR="00E01411" w:rsidRPr="00F32F4C" w:rsidRDefault="00E01411" w:rsidP="00AA377F">
      <w:pPr>
        <w:pStyle w:val="ListParagraph"/>
        <w:rPr>
          <w:rFonts w:eastAsia="Verdana" w:cs="Verdana"/>
          <w:lang w:val="en-GB"/>
        </w:rPr>
      </w:pPr>
      <w:r w:rsidRPr="00F32F4C">
        <w:rPr>
          <w:lang w:val="en-GB"/>
        </w:rPr>
        <w:t xml:space="preserve">In line with Article 13(2) of the Windsor Framework, “the provisions of this Protocol referring to Union law or to concepts or provisions thereof shall in their implementation and application be interpreted in conformity with the relevant case law of the Court of Justice of the European Union (CJEU)”. Therefore, the Annex 1 Equality Directives will continue to be informed by future CJEU rulings and, to the extent that such rulings evolve general principles of EU law, the EU Charter of Fundamental </w:t>
      </w:r>
      <w:proofErr w:type="gramStart"/>
      <w:r w:rsidRPr="00F32F4C">
        <w:rPr>
          <w:lang w:val="en-GB"/>
        </w:rPr>
        <w:t>Rights</w:t>
      </w:r>
      <w:proofErr w:type="gramEnd"/>
      <w:r w:rsidRPr="00F32F4C">
        <w:rPr>
          <w:lang w:val="en-GB"/>
        </w:rPr>
        <w:t xml:space="preserve"> and relevant EU Treaty provisions, these will continue to have relevance in NI.</w:t>
      </w:r>
      <w:r w:rsidRPr="00F32F4C">
        <w:rPr>
          <w:rStyle w:val="FootnoteReference"/>
          <w:lang w:val="en-GB"/>
        </w:rPr>
        <w:footnoteReference w:id="11"/>
      </w:r>
    </w:p>
    <w:p w14:paraId="0867CADC" w14:textId="77777777" w:rsidR="00AA377F" w:rsidRPr="00F32F4C" w:rsidRDefault="00AA377F" w:rsidP="00AA377F">
      <w:pPr>
        <w:pStyle w:val="ListParagraph"/>
        <w:numPr>
          <w:ilvl w:val="0"/>
          <w:numId w:val="0"/>
        </w:numPr>
        <w:ind w:left="720"/>
        <w:rPr>
          <w:rFonts w:eastAsia="Verdana" w:cs="Verdana"/>
          <w:lang w:val="en-GB"/>
        </w:rPr>
      </w:pPr>
    </w:p>
    <w:p w14:paraId="19229C7D" w14:textId="6225DB1C" w:rsidR="00E01411" w:rsidRPr="00F32F4C" w:rsidRDefault="001E0999" w:rsidP="00AA377F">
      <w:pPr>
        <w:pStyle w:val="ListParagraph"/>
        <w:rPr>
          <w:b/>
          <w:bCs/>
          <w:lang w:val="en-GB"/>
        </w:rPr>
      </w:pPr>
      <w:r w:rsidRPr="00F32F4C">
        <w:rPr>
          <w:lang w:val="en-GB"/>
        </w:rPr>
        <w:t xml:space="preserve">The UK has incorporated the Withdrawal Agreement, including the </w:t>
      </w:r>
      <w:r w:rsidRPr="00F32F4C">
        <w:rPr>
          <w:lang w:val="en-GB"/>
        </w:rPr>
        <w:lastRenderedPageBreak/>
        <w:t xml:space="preserve">Windsor Framework, into domestic law through the EU (Withdrawal Agreement) Act 2020. Section 7A of the EU </w:t>
      </w:r>
      <w:r w:rsidR="00B90616">
        <w:rPr>
          <w:lang w:val="en-GB"/>
        </w:rPr>
        <w:t>(</w:t>
      </w:r>
      <w:r w:rsidRPr="00F32F4C">
        <w:rPr>
          <w:lang w:val="en-GB"/>
        </w:rPr>
        <w:t>Withdrawal</w:t>
      </w:r>
      <w:r w:rsidR="00B90616">
        <w:rPr>
          <w:lang w:val="en-GB"/>
        </w:rPr>
        <w:t>)</w:t>
      </w:r>
      <w:r w:rsidRPr="00F32F4C">
        <w:rPr>
          <w:lang w:val="en-GB"/>
        </w:rPr>
        <w:t xml:space="preserve"> Act 2018 gives effect to all the rights</w:t>
      </w:r>
      <w:r w:rsidR="00263964">
        <w:rPr>
          <w:lang w:val="en-GB"/>
        </w:rPr>
        <w:t>,</w:t>
      </w:r>
      <w:r w:rsidRPr="00F32F4C">
        <w:rPr>
          <w:lang w:val="en-GB"/>
        </w:rPr>
        <w:t xml:space="preserve"> obligations and remedies arising under the UK-EU Withdrawal Agreement</w:t>
      </w:r>
      <w:r w:rsidR="00B4185E" w:rsidRPr="00F32F4C">
        <w:rPr>
          <w:lang w:val="en-GB"/>
        </w:rPr>
        <w:t>, including Article 2,</w:t>
      </w:r>
      <w:r w:rsidR="008E18D5">
        <w:rPr>
          <w:lang w:val="en-GB"/>
        </w:rPr>
        <w:t xml:space="preserve"> and ensures that </w:t>
      </w:r>
      <w:r w:rsidR="00263964">
        <w:rPr>
          <w:lang w:val="en-GB"/>
        </w:rPr>
        <w:t xml:space="preserve">they </w:t>
      </w:r>
      <w:r w:rsidR="008E18D5">
        <w:rPr>
          <w:lang w:val="en-GB"/>
        </w:rPr>
        <w:t>are</w:t>
      </w:r>
      <w:r w:rsidR="00B4185E" w:rsidRPr="00F32F4C">
        <w:rPr>
          <w:lang w:val="en-GB"/>
        </w:rPr>
        <w:t xml:space="preserve"> recognised and available in domestic law. The Commission, alongside the Equality Commission for NI, has been given additional powers to oversee the UK Government’s commitment under Article 2.</w:t>
      </w:r>
      <w:r w:rsidR="00B4185E" w:rsidRPr="00F32F4C">
        <w:rPr>
          <w:rStyle w:val="FootnoteReference"/>
          <w:rFonts w:cstheme="minorHAnsi"/>
          <w:lang w:val="en-GB"/>
        </w:rPr>
        <w:footnoteReference w:id="12"/>
      </w:r>
      <w:r w:rsidR="00B4185E" w:rsidRPr="00F32F4C">
        <w:rPr>
          <w:rStyle w:val="FootnoteReference"/>
          <w:rFonts w:cstheme="minorHAnsi"/>
          <w:lang w:val="en-GB"/>
        </w:rPr>
        <w:t xml:space="preserve"> </w:t>
      </w:r>
      <w:r w:rsidR="00B4185E" w:rsidRPr="00F32F4C">
        <w:rPr>
          <w:lang w:val="en-GB"/>
        </w:rPr>
        <w:t xml:space="preserve">The Commission is responsible for providing advice to government and monitoring, supervising, </w:t>
      </w:r>
      <w:proofErr w:type="gramStart"/>
      <w:r w:rsidR="00B4185E" w:rsidRPr="00F32F4C">
        <w:rPr>
          <w:lang w:val="en-GB"/>
        </w:rPr>
        <w:t>enforcing</w:t>
      </w:r>
      <w:proofErr w:type="gramEnd"/>
      <w:r w:rsidR="00B4185E" w:rsidRPr="00F32F4C">
        <w:rPr>
          <w:lang w:val="en-GB"/>
        </w:rPr>
        <w:t xml:space="preserve"> and reporting on the ongoing implementation of this commitment.</w:t>
      </w:r>
    </w:p>
    <w:p w14:paraId="0AF06456" w14:textId="77777777" w:rsidR="00AA377F" w:rsidRPr="00F32F4C" w:rsidRDefault="00AA377F" w:rsidP="00AA377F">
      <w:pPr>
        <w:pStyle w:val="ListParagraph"/>
        <w:numPr>
          <w:ilvl w:val="0"/>
          <w:numId w:val="0"/>
        </w:numPr>
        <w:ind w:left="720"/>
        <w:rPr>
          <w:b/>
          <w:bCs/>
          <w:lang w:val="en-GB"/>
        </w:rPr>
      </w:pPr>
    </w:p>
    <w:p w14:paraId="0DEE909D" w14:textId="3130C987" w:rsidR="00B4185E" w:rsidRPr="00F32F4C" w:rsidRDefault="009C2F7E" w:rsidP="00AA377F">
      <w:pPr>
        <w:pStyle w:val="ListParagraph"/>
        <w:rPr>
          <w:lang w:val="en-GB"/>
        </w:rPr>
      </w:pPr>
      <w:r w:rsidRPr="00F32F4C">
        <w:rPr>
          <w:lang w:val="en-GB"/>
        </w:rPr>
        <w:t xml:space="preserve">In 2023, the </w:t>
      </w:r>
      <w:r w:rsidR="00B4185E" w:rsidRPr="00F32F4C">
        <w:rPr>
          <w:lang w:val="en-GB"/>
        </w:rPr>
        <w:t>Court of Appeal set out a six-part test for establishing a breach.</w:t>
      </w:r>
      <w:r w:rsidR="00B4185E" w:rsidRPr="00F32F4C">
        <w:rPr>
          <w:rStyle w:val="FootnoteReference"/>
          <w:lang w:val="en-GB"/>
        </w:rPr>
        <w:footnoteReference w:id="13"/>
      </w:r>
      <w:r w:rsidR="00B4185E" w:rsidRPr="00F32F4C">
        <w:rPr>
          <w:lang w:val="en-GB"/>
        </w:rPr>
        <w:t xml:space="preserve"> The Commission takes the following approach when assessing whether Article 2 is engaged, and establishing a potential breach, which is broadly aligned to that of the Court: </w:t>
      </w:r>
    </w:p>
    <w:p w14:paraId="142E9FB8" w14:textId="77777777" w:rsidR="00B4185E" w:rsidRPr="00F32F4C" w:rsidRDefault="00B4185E" w:rsidP="00B4185E">
      <w:pPr>
        <w:numPr>
          <w:ilvl w:val="0"/>
          <w:numId w:val="7"/>
        </w:numPr>
        <w:spacing w:after="160" w:line="259" w:lineRule="auto"/>
        <w:ind w:left="1560" w:hanging="644"/>
        <w:rPr>
          <w:rFonts w:eastAsia="Calibri" w:cs="Times New Roman"/>
        </w:rPr>
      </w:pPr>
      <w:r w:rsidRPr="00F32F4C">
        <w:rPr>
          <w:rFonts w:eastAsia="Calibri" w:cs="Times New Roman"/>
        </w:rPr>
        <w:t>Does the right, safeguard or equality of opportunity protection fall within the relevant part of the Belfast (Good Friday) Agreement?</w:t>
      </w:r>
    </w:p>
    <w:p w14:paraId="5BB210A9" w14:textId="77777777" w:rsidR="00B4185E" w:rsidRPr="00F32F4C" w:rsidRDefault="00B4185E" w:rsidP="00B4185E">
      <w:pPr>
        <w:numPr>
          <w:ilvl w:val="0"/>
          <w:numId w:val="7"/>
        </w:numPr>
        <w:spacing w:after="160" w:line="259" w:lineRule="auto"/>
        <w:ind w:left="1560" w:hanging="644"/>
        <w:rPr>
          <w:rFonts w:eastAsia="Calibri" w:cs="Times New Roman"/>
        </w:rPr>
      </w:pPr>
      <w:r w:rsidRPr="00F32F4C">
        <w:rPr>
          <w:rFonts w:eastAsia="Calibri" w:cs="Times New Roman"/>
        </w:rPr>
        <w:t xml:space="preserve">Was the right, </w:t>
      </w:r>
      <w:proofErr w:type="gramStart"/>
      <w:r w:rsidRPr="00F32F4C">
        <w:rPr>
          <w:rFonts w:eastAsia="Calibri" w:cs="Times New Roman"/>
        </w:rPr>
        <w:t>safeguard</w:t>
      </w:r>
      <w:proofErr w:type="gramEnd"/>
      <w:r w:rsidRPr="00F32F4C">
        <w:rPr>
          <w:rFonts w:eastAsia="Calibri" w:cs="Times New Roman"/>
        </w:rPr>
        <w:t xml:space="preserve"> or equality of opportunity protection:</w:t>
      </w:r>
    </w:p>
    <w:p w14:paraId="593613C9" w14:textId="77777777" w:rsidR="00B4185E" w:rsidRPr="00F32F4C" w:rsidRDefault="00B4185E" w:rsidP="00AA377F">
      <w:pPr>
        <w:pStyle w:val="ListParagraph"/>
        <w:numPr>
          <w:ilvl w:val="0"/>
          <w:numId w:val="8"/>
        </w:numPr>
        <w:rPr>
          <w:lang w:val="en-GB"/>
        </w:rPr>
      </w:pPr>
      <w:r w:rsidRPr="00F32F4C">
        <w:rPr>
          <w:lang w:val="en-GB"/>
        </w:rPr>
        <w:t>underpinned by EU law binding on the UK on 31 December 2020?</w:t>
      </w:r>
    </w:p>
    <w:p w14:paraId="0AA1F18C" w14:textId="77234432" w:rsidR="00B4185E" w:rsidRPr="00F32F4C" w:rsidRDefault="009C2F7E" w:rsidP="00AA377F">
      <w:pPr>
        <w:pStyle w:val="ListParagraph"/>
        <w:numPr>
          <w:ilvl w:val="0"/>
          <w:numId w:val="8"/>
        </w:numPr>
        <w:rPr>
          <w:lang w:val="en-GB"/>
        </w:rPr>
      </w:pPr>
      <w:r w:rsidRPr="00F32F4C">
        <w:rPr>
          <w:lang w:val="en-GB"/>
        </w:rPr>
        <w:t>g</w:t>
      </w:r>
      <w:r w:rsidR="00B4185E" w:rsidRPr="00F32F4C">
        <w:rPr>
          <w:lang w:val="en-GB"/>
        </w:rPr>
        <w:t>iven effect in NI law, in whole or in part, on or before 31 December 2020?</w:t>
      </w:r>
      <w:r w:rsidR="00B4185E" w:rsidRPr="00F32F4C">
        <w:rPr>
          <w:vertAlign w:val="superscript"/>
          <w:lang w:val="en-GB"/>
        </w:rPr>
        <w:footnoteReference w:id="14"/>
      </w:r>
      <w:r w:rsidR="00B4185E" w:rsidRPr="00F32F4C">
        <w:rPr>
          <w:lang w:val="en-GB"/>
        </w:rPr>
        <w:t xml:space="preserve"> </w:t>
      </w:r>
    </w:p>
    <w:p w14:paraId="01BC2E14" w14:textId="77777777" w:rsidR="00B4185E" w:rsidRPr="00F32F4C" w:rsidRDefault="00B4185E" w:rsidP="00B4185E">
      <w:pPr>
        <w:numPr>
          <w:ilvl w:val="0"/>
          <w:numId w:val="7"/>
        </w:numPr>
        <w:spacing w:after="160" w:line="259" w:lineRule="auto"/>
        <w:ind w:left="1560" w:hanging="644"/>
        <w:rPr>
          <w:rFonts w:eastAsia="Calibri" w:cs="Times New Roman"/>
        </w:rPr>
      </w:pPr>
      <w:r w:rsidRPr="00F32F4C">
        <w:rPr>
          <w:rFonts w:eastAsia="Calibri" w:cs="Times New Roman"/>
        </w:rPr>
        <w:t xml:space="preserve">Has there been a diminution in the right, </w:t>
      </w:r>
      <w:proofErr w:type="gramStart"/>
      <w:r w:rsidRPr="00F32F4C">
        <w:rPr>
          <w:rFonts w:eastAsia="Calibri" w:cs="Times New Roman"/>
        </w:rPr>
        <w:t>safeguard</w:t>
      </w:r>
      <w:proofErr w:type="gramEnd"/>
      <w:r w:rsidRPr="00F32F4C">
        <w:rPr>
          <w:rFonts w:eastAsia="Calibri" w:cs="Times New Roman"/>
        </w:rPr>
        <w:t xml:space="preserve"> or equality of opportunity protection on or after 1 January 2021?</w:t>
      </w:r>
    </w:p>
    <w:p w14:paraId="2B405ACE" w14:textId="77777777" w:rsidR="00B4185E" w:rsidRPr="00F32F4C" w:rsidRDefault="00B4185E" w:rsidP="00B4185E">
      <w:pPr>
        <w:numPr>
          <w:ilvl w:val="0"/>
          <w:numId w:val="7"/>
        </w:numPr>
        <w:spacing w:line="240" w:lineRule="auto"/>
        <w:ind w:left="1560" w:hanging="644"/>
      </w:pPr>
      <w:r w:rsidRPr="00F32F4C">
        <w:rPr>
          <w:rStyle w:val="normaltextrun"/>
          <w:rFonts w:cs="Calibri"/>
          <w:color w:val="000000"/>
          <w:shd w:val="clear" w:color="auto" w:fill="FFFFFF"/>
        </w:rPr>
        <w:t>Would this diminution have been unlawful if the UK had remained in the EU</w:t>
      </w:r>
      <w:r w:rsidRPr="00F32F4C">
        <w:t>?</w:t>
      </w:r>
    </w:p>
    <w:p w14:paraId="378AE636" w14:textId="77777777" w:rsidR="00D11AFA" w:rsidRPr="00F32F4C" w:rsidRDefault="00D11AFA" w:rsidP="00D11AFA"/>
    <w:p w14:paraId="66AE89CB" w14:textId="72A35A53" w:rsidR="00D11AFA" w:rsidRPr="00F32F4C" w:rsidRDefault="001D78F9" w:rsidP="000054DC">
      <w:pPr>
        <w:pStyle w:val="Heading2"/>
      </w:pPr>
      <w:r w:rsidRPr="00F32F4C">
        <w:t xml:space="preserve">Applicability of Annex 1 Measures </w:t>
      </w:r>
    </w:p>
    <w:p w14:paraId="50E92B54" w14:textId="33607074" w:rsidR="00D11AFA" w:rsidRPr="00F32F4C" w:rsidRDefault="00D11AFA" w:rsidP="00D11AFA">
      <w:pPr>
        <w:pStyle w:val="ListParagraph"/>
        <w:rPr>
          <w:lang w:val="en-GB"/>
        </w:rPr>
      </w:pPr>
      <w:r w:rsidRPr="00F32F4C">
        <w:rPr>
          <w:lang w:val="en-GB"/>
        </w:rPr>
        <w:t xml:space="preserve">As noted above, Windsor Framework Article 2 provides that the UK Government should ensure that there is no diminution of certain </w:t>
      </w:r>
      <w:r w:rsidRPr="00F32F4C">
        <w:rPr>
          <w:lang w:val="en-GB"/>
        </w:rPr>
        <w:lastRenderedPageBreak/>
        <w:t xml:space="preserve">rights and safeguards, including </w:t>
      </w:r>
      <w:proofErr w:type="gramStart"/>
      <w:r w:rsidRPr="00F32F4C">
        <w:rPr>
          <w:lang w:val="en-GB"/>
        </w:rPr>
        <w:t>in the area of</w:t>
      </w:r>
      <w:proofErr w:type="gramEnd"/>
      <w:r w:rsidRPr="00F32F4C">
        <w:rPr>
          <w:lang w:val="en-GB"/>
        </w:rPr>
        <w:t xml:space="preserve"> protection against discrimination and lists six EU Equality Directives in Annex 1. In accordance with Article 13(3) of the Windsor Framework this list automatically includes any amendment or replacement to those measures. </w:t>
      </w:r>
    </w:p>
    <w:p w14:paraId="1C3015A7" w14:textId="77777777" w:rsidR="00D11AFA" w:rsidRPr="00F32F4C" w:rsidRDefault="00D11AFA" w:rsidP="00D11AFA">
      <w:pPr>
        <w:pStyle w:val="ListParagraph"/>
        <w:numPr>
          <w:ilvl w:val="0"/>
          <w:numId w:val="0"/>
        </w:numPr>
        <w:ind w:left="720"/>
        <w:rPr>
          <w:lang w:val="en-GB"/>
        </w:rPr>
      </w:pPr>
    </w:p>
    <w:p w14:paraId="7BBB5CDD" w14:textId="65567DFD" w:rsidR="00D11AFA" w:rsidRPr="00F32F4C" w:rsidRDefault="00D11AFA" w:rsidP="00D11AFA">
      <w:pPr>
        <w:pStyle w:val="ListParagraph"/>
        <w:rPr>
          <w:lang w:val="en-GB"/>
        </w:rPr>
      </w:pPr>
      <w:r w:rsidRPr="00F32F4C">
        <w:rPr>
          <w:lang w:val="en-GB"/>
        </w:rPr>
        <w:t xml:space="preserve">In accordance with Articles 5(4) and 8-10, the provisions of EU law in Annexes 2-5 to the Windsor Framework continue to apply in the UK in respect of NI. </w:t>
      </w:r>
      <w:proofErr w:type="gramStart"/>
      <w:r w:rsidR="00EF3DCB">
        <w:rPr>
          <w:lang w:val="en-GB"/>
        </w:rPr>
        <w:t>Similar to</w:t>
      </w:r>
      <w:proofErr w:type="gramEnd"/>
      <w:r w:rsidR="00EF3DCB">
        <w:rPr>
          <w:lang w:val="en-GB"/>
        </w:rPr>
        <w:t xml:space="preserve"> Article </w:t>
      </w:r>
      <w:r w:rsidR="00122E60">
        <w:rPr>
          <w:lang w:val="en-GB"/>
        </w:rPr>
        <w:t xml:space="preserve">2, </w:t>
      </w:r>
      <w:r w:rsidR="00EF3DCB" w:rsidRPr="00F32F4C">
        <w:rPr>
          <w:lang w:val="en-GB"/>
        </w:rPr>
        <w:t xml:space="preserve">these </w:t>
      </w:r>
      <w:r w:rsidRPr="00F32F4C">
        <w:rPr>
          <w:lang w:val="en-GB"/>
        </w:rPr>
        <w:t xml:space="preserve">provisions are subject to Article 13(3) which provides that EU measures in the Windsor Framework should be read as referring to that EU act “as amended or replaced”. </w:t>
      </w:r>
      <w:r w:rsidR="00EF3DCB">
        <w:rPr>
          <w:lang w:val="en-GB"/>
        </w:rPr>
        <w:t>T</w:t>
      </w:r>
      <w:r w:rsidRPr="00F32F4C">
        <w:rPr>
          <w:lang w:val="en-GB"/>
        </w:rPr>
        <w:t>he provisions of EU law in Annex 2 have the same effect in NI as they do in the EU and EU institutions retain their powers in the UK in respect of NI to the extent required by the measures listed in Annex 2.</w:t>
      </w:r>
      <w:r w:rsidRPr="00F32F4C">
        <w:rPr>
          <w:rStyle w:val="FootnoteReference"/>
          <w:lang w:val="en-GB"/>
        </w:rPr>
        <w:footnoteReference w:id="15"/>
      </w:r>
      <w:r w:rsidRPr="00F32F4C">
        <w:rPr>
          <w:lang w:val="en-GB"/>
        </w:rPr>
        <w:t xml:space="preserve">  Following the political agreement between the UK and EU on a new way forward on the original Protocol in February 2023,</w:t>
      </w:r>
      <w:r w:rsidRPr="00F32F4C">
        <w:rPr>
          <w:vertAlign w:val="superscript"/>
          <w:lang w:val="en-GB"/>
        </w:rPr>
        <w:footnoteReference w:id="16"/>
      </w:r>
      <w:r w:rsidRPr="00F32F4C">
        <w:rPr>
          <w:lang w:val="en-GB"/>
        </w:rPr>
        <w:t xml:space="preserve"> Article 13(3) has been amended as it relates to Annex 2.</w:t>
      </w:r>
      <w:r w:rsidRPr="00F32F4C">
        <w:rPr>
          <w:vertAlign w:val="superscript"/>
          <w:lang w:val="en-GB"/>
        </w:rPr>
        <w:footnoteReference w:id="17"/>
      </w:r>
      <w:r w:rsidRPr="00F32F4C">
        <w:rPr>
          <w:vertAlign w:val="superscript"/>
          <w:lang w:val="en-GB"/>
        </w:rPr>
        <w:t xml:space="preserve"> </w:t>
      </w:r>
      <w:r w:rsidRPr="00F32F4C">
        <w:rPr>
          <w:lang w:val="en-GB"/>
        </w:rPr>
        <w:t xml:space="preserve"> </w:t>
      </w:r>
    </w:p>
    <w:p w14:paraId="5DE68923" w14:textId="77777777" w:rsidR="00D11AFA" w:rsidRPr="00F32F4C" w:rsidRDefault="00D11AFA" w:rsidP="00D11AFA">
      <w:pPr>
        <w:pStyle w:val="ListParagraph"/>
        <w:numPr>
          <w:ilvl w:val="0"/>
          <w:numId w:val="0"/>
        </w:numPr>
        <w:ind w:left="720"/>
        <w:rPr>
          <w:lang w:val="en-GB"/>
        </w:rPr>
      </w:pPr>
    </w:p>
    <w:p w14:paraId="0F7E2ADA" w14:textId="02374860" w:rsidR="00966FAC" w:rsidRPr="00F32F4C" w:rsidRDefault="00D11AFA" w:rsidP="00D11AFA">
      <w:pPr>
        <w:pStyle w:val="ListParagraph"/>
        <w:rPr>
          <w:lang w:val="en-GB"/>
        </w:rPr>
      </w:pPr>
      <w:r w:rsidRPr="00F32F4C">
        <w:rPr>
          <w:lang w:val="en-GB"/>
        </w:rPr>
        <w:t>Article 12(4) provides for the continued role of the EU institutions in respect of Article 5 and Articles 7 to 10,</w:t>
      </w:r>
      <w:r w:rsidR="00966FAC" w:rsidRPr="00F32F4C">
        <w:rPr>
          <w:rStyle w:val="FootnoteReference"/>
          <w:lang w:val="en-GB"/>
        </w:rPr>
        <w:footnoteReference w:id="18"/>
      </w:r>
      <w:r w:rsidRPr="00F32F4C">
        <w:rPr>
          <w:lang w:val="en-GB"/>
        </w:rPr>
        <w:t xml:space="preserve"> this does not extend to Windsor Framework Article 2.  Therefore, the continued jurisdiction of the CJEU, including the possibility of a preliminary references to the CJEU and for infringement proceedings to be taken against the UK by the EU Commission for violation of their obligations is limited to Articles 12(2), 5 and 7-10.</w:t>
      </w:r>
      <w:r w:rsidRPr="00F32F4C">
        <w:rPr>
          <w:rStyle w:val="FootnoteReference"/>
          <w:lang w:val="en-GB"/>
        </w:rPr>
        <w:footnoteReference w:id="19"/>
      </w:r>
      <w:r w:rsidRPr="00F32F4C">
        <w:rPr>
          <w:lang w:val="en-GB"/>
        </w:rPr>
        <w:t xml:space="preserve"> </w:t>
      </w:r>
      <w:r w:rsidR="00EF3DCB" w:rsidRPr="00F32F4C">
        <w:rPr>
          <w:lang w:val="en-GB"/>
        </w:rPr>
        <w:t>The obligation in accordance with Windsor Framework Article 2 and Article 13(3) in respect of the six EU Equality Directives in Annex 1 is on the UK Government to ensure NI law is updated to reflect these improved protections.</w:t>
      </w:r>
    </w:p>
    <w:p w14:paraId="763EAA2F" w14:textId="77777777" w:rsidR="00966FAC" w:rsidRPr="00F32F4C" w:rsidRDefault="00966FAC" w:rsidP="00966FAC">
      <w:pPr>
        <w:pStyle w:val="ListParagraph"/>
        <w:numPr>
          <w:ilvl w:val="0"/>
          <w:numId w:val="0"/>
        </w:numPr>
        <w:ind w:left="720"/>
        <w:rPr>
          <w:lang w:val="en-GB"/>
        </w:rPr>
      </w:pPr>
    </w:p>
    <w:p w14:paraId="737C8921" w14:textId="5826C23A" w:rsidR="00F55075" w:rsidRPr="00F32F4C" w:rsidRDefault="00EF3DCB" w:rsidP="00D11AFA">
      <w:pPr>
        <w:pStyle w:val="ListParagraph"/>
        <w:rPr>
          <w:lang w:val="en-GB"/>
        </w:rPr>
      </w:pPr>
      <w:r w:rsidRPr="00F32F4C">
        <w:rPr>
          <w:lang w:val="en-GB"/>
        </w:rPr>
        <w:t xml:space="preserve">The </w:t>
      </w:r>
      <w:r w:rsidR="001D78F9" w:rsidRPr="00F32F4C">
        <w:rPr>
          <w:lang w:val="en-GB"/>
        </w:rPr>
        <w:t xml:space="preserve">UK Government has committed to ensuring NI law dynamically align with any </w:t>
      </w:r>
      <w:r w:rsidR="00F55075" w:rsidRPr="00F32F4C">
        <w:rPr>
          <w:lang w:val="en-GB"/>
        </w:rPr>
        <w:t>enhancements made by EU law on or after 1 January 2021</w:t>
      </w:r>
      <w:r>
        <w:rPr>
          <w:lang w:val="en-GB"/>
        </w:rPr>
        <w:t xml:space="preserve"> in respect of the </w:t>
      </w:r>
      <w:r w:rsidRPr="00F32F4C">
        <w:rPr>
          <w:lang w:val="en-GB"/>
        </w:rPr>
        <w:t>Annex 1 equality directives</w:t>
      </w:r>
      <w:r w:rsidR="00F55075" w:rsidRPr="00F32F4C">
        <w:rPr>
          <w:lang w:val="en-GB"/>
        </w:rPr>
        <w:t>.</w:t>
      </w:r>
      <w:r w:rsidR="00F55075" w:rsidRPr="00F32F4C">
        <w:rPr>
          <w:rStyle w:val="FootnoteReference"/>
          <w:lang w:val="en-GB"/>
        </w:rPr>
        <w:footnoteReference w:id="20"/>
      </w:r>
      <w:r w:rsidR="00F55075" w:rsidRPr="00F32F4C">
        <w:rPr>
          <w:lang w:val="en-GB"/>
        </w:rPr>
        <w:t xml:space="preserve"> </w:t>
      </w:r>
      <w:r w:rsidR="005863D2" w:rsidRPr="00F32F4C">
        <w:rPr>
          <w:lang w:val="en-GB"/>
        </w:rPr>
        <w:t>As noted by Denman</w:t>
      </w:r>
      <w:r w:rsidR="00F55075" w:rsidRPr="00F32F4C">
        <w:rPr>
          <w:lang w:val="en-GB"/>
        </w:rPr>
        <w:t xml:space="preserve">: </w:t>
      </w:r>
    </w:p>
    <w:p w14:paraId="7027F17B" w14:textId="24954B1F" w:rsidR="00D11AFA" w:rsidRDefault="00F55075" w:rsidP="000054DC">
      <w:pPr>
        <w:pStyle w:val="Quote"/>
      </w:pPr>
      <w:r w:rsidRPr="00F32F4C">
        <w:t xml:space="preserve">if </w:t>
      </w:r>
      <w:r w:rsidR="00D11AFA" w:rsidRPr="00F32F4C">
        <w:t>the rights protected by the directives</w:t>
      </w:r>
      <w:r w:rsidRPr="00F32F4C">
        <w:t xml:space="preserve"> listed </w:t>
      </w:r>
      <w:r w:rsidR="00D11AFA" w:rsidRPr="00F32F4C">
        <w:t xml:space="preserve">in Annex 1 were no longer </w:t>
      </w:r>
      <w:r w:rsidRPr="00F32F4C">
        <w:t xml:space="preserve">given effect in the law of Northern Ireland in a way that individuals could enforce, </w:t>
      </w:r>
      <w:r w:rsidR="00D11AFA" w:rsidRPr="00F32F4C">
        <w:t xml:space="preserve">that would </w:t>
      </w:r>
      <w:r w:rsidRPr="00F32F4C">
        <w:t xml:space="preserve">appear to be a </w:t>
      </w:r>
      <w:r w:rsidR="00D11AFA" w:rsidRPr="00F32F4C">
        <w:t>diminution in the protection of the rights.</w:t>
      </w:r>
      <w:r w:rsidR="00D11AFA" w:rsidRPr="00F32F4C">
        <w:rPr>
          <w:rStyle w:val="FootnoteReference"/>
        </w:rPr>
        <w:footnoteReference w:id="21"/>
      </w:r>
    </w:p>
    <w:p w14:paraId="2641BCAA" w14:textId="77777777" w:rsidR="00B90616" w:rsidRPr="00B90616" w:rsidRDefault="00B90616" w:rsidP="00B90616"/>
    <w:p w14:paraId="6F6F276D" w14:textId="0EA43A7A" w:rsidR="00B90616" w:rsidRPr="00F32F4C" w:rsidRDefault="00B90616" w:rsidP="00E54B5E">
      <w:pPr>
        <w:pStyle w:val="ListParagraph"/>
      </w:pPr>
      <w:r w:rsidRPr="00F32F4C">
        <w:t xml:space="preserve">Oversight of issues arising relating to other provisions of the Windsor Framework, including Article 2, are addressed through the bodies established under the UK-EU Withdrawal Agreement and through the UK courts. </w:t>
      </w:r>
      <w:r>
        <w:t xml:space="preserve">The UK Government has </w:t>
      </w:r>
      <w:proofErr w:type="spellStart"/>
      <w:r>
        <w:t>recognised</w:t>
      </w:r>
      <w:proofErr w:type="spellEnd"/>
      <w:r>
        <w:t xml:space="preserve"> that</w:t>
      </w:r>
      <w:r w:rsidR="00E54B5E">
        <w:t xml:space="preserve"> “</w:t>
      </w:r>
      <w:r w:rsidR="00E54B5E" w:rsidRPr="00E54B5E">
        <w:rPr>
          <w:lang w:val="en-GB"/>
        </w:rPr>
        <w:t>individuals will also be able to bring challenges to the Article 2(1) commitment directly before the domestic courts”.</w:t>
      </w:r>
      <w:r w:rsidR="00E54B5E" w:rsidRPr="00F32F4C">
        <w:rPr>
          <w:rStyle w:val="FootnoteReference"/>
        </w:rPr>
        <w:footnoteReference w:id="22"/>
      </w:r>
      <w:r w:rsidR="00E54B5E">
        <w:t xml:space="preserve"> The UK further </w:t>
      </w:r>
      <w:proofErr w:type="spellStart"/>
      <w:r w:rsidR="00E54B5E">
        <w:t>recognised</w:t>
      </w:r>
      <w:proofErr w:type="spellEnd"/>
      <w:r w:rsidR="00E54B5E">
        <w:t xml:space="preserve"> that </w:t>
      </w:r>
      <w:r w:rsidR="00C0186B">
        <w:t>judicial protection</w:t>
      </w:r>
      <w:r w:rsidR="005863D2">
        <w:t xml:space="preserve"> and</w:t>
      </w:r>
      <w:r w:rsidR="00E54B5E">
        <w:t xml:space="preserve"> remedies for individuals in respect of Windsor Framework Article 2 will be through the UK domestic courts rather than the CJEU.</w:t>
      </w:r>
      <w:r w:rsidR="00E54B5E" w:rsidRPr="00F32F4C">
        <w:rPr>
          <w:rStyle w:val="FootnoteReference"/>
        </w:rPr>
        <w:footnoteReference w:id="23"/>
      </w:r>
      <w:r w:rsidR="00E54B5E">
        <w:t xml:space="preserve"> </w:t>
      </w:r>
    </w:p>
    <w:p w14:paraId="2457922F" w14:textId="77777777" w:rsidR="00B90616" w:rsidRPr="00F32F4C" w:rsidRDefault="00B90616" w:rsidP="000054DC">
      <w:pPr>
        <w:ind w:left="720" w:hanging="720"/>
      </w:pPr>
    </w:p>
    <w:p w14:paraId="62B9AC08" w14:textId="470C7DA9" w:rsidR="001E0999" w:rsidRPr="00F32F4C" w:rsidRDefault="00382C54" w:rsidP="000054DC">
      <w:pPr>
        <w:pStyle w:val="Heading2"/>
      </w:pPr>
      <w:r w:rsidRPr="00F32F4C">
        <w:t xml:space="preserve">Withdrawal Agreement and Effectiveness of EU law </w:t>
      </w:r>
    </w:p>
    <w:p w14:paraId="14FB4DCB" w14:textId="29B63D4C" w:rsidR="00B4185E" w:rsidRPr="00F32F4C" w:rsidRDefault="007976AF" w:rsidP="00AA377F">
      <w:pPr>
        <w:pStyle w:val="ListParagraph"/>
        <w:rPr>
          <w:lang w:val="en-GB"/>
        </w:rPr>
      </w:pPr>
      <w:r w:rsidRPr="00F32F4C">
        <w:rPr>
          <w:lang w:val="en-GB"/>
        </w:rPr>
        <w:t xml:space="preserve">Windsor Framework </w:t>
      </w:r>
      <w:r w:rsidR="0042555F" w:rsidRPr="00F32F4C">
        <w:rPr>
          <w:lang w:val="en-GB"/>
        </w:rPr>
        <w:t xml:space="preserve">Article 2 </w:t>
      </w:r>
      <w:r w:rsidRPr="00F32F4C">
        <w:rPr>
          <w:lang w:val="en-GB"/>
        </w:rPr>
        <w:t xml:space="preserve">must be interpreted </w:t>
      </w:r>
      <w:proofErr w:type="gramStart"/>
      <w:r w:rsidRPr="00F32F4C">
        <w:rPr>
          <w:lang w:val="en-GB"/>
        </w:rPr>
        <w:t>in light of</w:t>
      </w:r>
      <w:proofErr w:type="gramEnd"/>
      <w:r w:rsidRPr="00F32F4C">
        <w:rPr>
          <w:lang w:val="en-GB"/>
        </w:rPr>
        <w:t xml:space="preserve"> the UK-EU Withdrawal Agreement. Article 4(1) of the Withdrawal Agreement states that provisions of the Withdrawal Agreement and EU law made applicable by it “</w:t>
      </w:r>
      <w:bookmarkStart w:id="0" w:name="_Hlk166842276"/>
      <w:r w:rsidRPr="00F32F4C">
        <w:rPr>
          <w:lang w:val="en-GB"/>
        </w:rPr>
        <w:t>shall produce in respect of and in the UK the same legal effect as those which they produce within the Union and its Member States”.</w:t>
      </w:r>
      <w:r w:rsidRPr="00F32F4C">
        <w:rPr>
          <w:rStyle w:val="FootnoteReference"/>
          <w:lang w:val="en-GB"/>
        </w:rPr>
        <w:footnoteReference w:id="24"/>
      </w:r>
      <w:r w:rsidRPr="00F32F4C">
        <w:rPr>
          <w:lang w:val="en-GB"/>
        </w:rPr>
        <w:t xml:space="preserve"> It further provides that </w:t>
      </w:r>
      <w:r w:rsidR="002575FB" w:rsidRPr="00F32F4C">
        <w:rPr>
          <w:lang w:val="en-GB"/>
        </w:rPr>
        <w:t xml:space="preserve">natural and legal </w:t>
      </w:r>
      <w:r w:rsidRPr="00F32F4C">
        <w:rPr>
          <w:lang w:val="en-GB"/>
        </w:rPr>
        <w:t xml:space="preserve">persons shall be </w:t>
      </w:r>
      <w:r w:rsidR="002575FB" w:rsidRPr="00F32F4C">
        <w:rPr>
          <w:lang w:val="en-GB"/>
        </w:rPr>
        <w:t>“</w:t>
      </w:r>
      <w:r w:rsidRPr="00F32F4C">
        <w:rPr>
          <w:lang w:val="en-GB"/>
        </w:rPr>
        <w:t xml:space="preserve">able to rely directly on the provisions contained or referred to in this Agreement which meet the condition for direct effect under Union law”. </w:t>
      </w:r>
      <w:bookmarkEnd w:id="0"/>
    </w:p>
    <w:p w14:paraId="729E3335" w14:textId="77777777" w:rsidR="00AA377F" w:rsidRPr="00F32F4C" w:rsidRDefault="00AA377F" w:rsidP="00AA377F">
      <w:pPr>
        <w:pStyle w:val="ListParagraph"/>
        <w:numPr>
          <w:ilvl w:val="0"/>
          <w:numId w:val="0"/>
        </w:numPr>
        <w:ind w:left="720"/>
        <w:rPr>
          <w:lang w:val="en-GB"/>
        </w:rPr>
      </w:pPr>
    </w:p>
    <w:p w14:paraId="4EC2BAC4" w14:textId="00837B8A" w:rsidR="00F951B6" w:rsidRDefault="00B4185E" w:rsidP="00AA377F">
      <w:pPr>
        <w:pStyle w:val="ListParagraph"/>
        <w:rPr>
          <w:lang w:val="en-GB"/>
        </w:rPr>
      </w:pPr>
      <w:r w:rsidRPr="00F32F4C">
        <w:rPr>
          <w:lang w:val="en-GB"/>
        </w:rPr>
        <w:lastRenderedPageBreak/>
        <w:t>The UK Government has acknowledged that</w:t>
      </w:r>
      <w:r w:rsidR="00F951B6">
        <w:rPr>
          <w:lang w:val="en-GB"/>
        </w:rPr>
        <w:t>:</w:t>
      </w:r>
    </w:p>
    <w:p w14:paraId="78F6DA9A" w14:textId="41FD96F1" w:rsidR="00B05407" w:rsidRPr="00F32F4C" w:rsidRDefault="00B4185E" w:rsidP="00F951B6">
      <w:pPr>
        <w:pStyle w:val="Quote"/>
      </w:pPr>
      <w:r w:rsidRPr="00F32F4C">
        <w:t>under Article 4 of the Withdrawal Agreement, incorporated into domestic law through the EU (Withdrawal Agreement) Act 2020, all provisions in the Withdrawal Agreement and the provisions of Union law that it makes applicable in the UK have the same legal effect in the UK as in the EU and its Member States.</w:t>
      </w:r>
      <w:r w:rsidRPr="00F32F4C">
        <w:rPr>
          <w:rStyle w:val="FootnoteReference"/>
        </w:rPr>
        <w:footnoteReference w:id="25"/>
      </w:r>
      <w:r w:rsidRPr="00F32F4C">
        <w:t xml:space="preserve">  </w:t>
      </w:r>
    </w:p>
    <w:p w14:paraId="312D4600" w14:textId="77777777" w:rsidR="00B05407" w:rsidRPr="00F32F4C" w:rsidRDefault="00B05407" w:rsidP="00B05407"/>
    <w:p w14:paraId="12400344" w14:textId="54156AC3" w:rsidR="00151B96" w:rsidRPr="00151B96" w:rsidRDefault="00151B96" w:rsidP="00AA377F">
      <w:pPr>
        <w:pStyle w:val="ListParagraph"/>
        <w:rPr>
          <w:lang w:val="en-GB"/>
        </w:rPr>
      </w:pPr>
      <w:r>
        <w:rPr>
          <w:lang w:val="en-GB"/>
        </w:rPr>
        <w:t xml:space="preserve">As confirmed by </w:t>
      </w:r>
      <w:r w:rsidR="0077213A">
        <w:rPr>
          <w:lang w:val="en-GB"/>
        </w:rPr>
        <w:t>Humphreys</w:t>
      </w:r>
      <w:r>
        <w:rPr>
          <w:lang w:val="en-GB"/>
        </w:rPr>
        <w:t xml:space="preserve"> J, in </w:t>
      </w:r>
      <w:r w:rsidRPr="00151B96">
        <w:rPr>
          <w:i/>
          <w:iCs/>
          <w:lang w:val="en-GB"/>
        </w:rPr>
        <w:t>Re NIHRC</w:t>
      </w:r>
      <w:r>
        <w:t xml:space="preserve">, Article 4(1) differentiates between two types of measure: </w:t>
      </w:r>
      <w:bookmarkStart w:id="2" w:name="_Hlk166842207"/>
      <w:r>
        <w:t>the provisions of the Withdrawal Agreement; and provision of EU Law made applicable by the Withdrawal Agreement</w:t>
      </w:r>
      <w:bookmarkEnd w:id="2"/>
      <w:r>
        <w:t>. Windsor Framework Article 2 falls within the first category.</w:t>
      </w:r>
      <w:r>
        <w:rPr>
          <w:rStyle w:val="FootnoteReference"/>
        </w:rPr>
        <w:footnoteReference w:id="26"/>
      </w:r>
    </w:p>
    <w:p w14:paraId="6CD6BBCB" w14:textId="6E140CE8" w:rsidR="00151B96" w:rsidRDefault="00151B96" w:rsidP="00151B96">
      <w:pPr>
        <w:pStyle w:val="ListParagraph"/>
        <w:numPr>
          <w:ilvl w:val="0"/>
          <w:numId w:val="0"/>
        </w:numPr>
        <w:ind w:left="720"/>
        <w:rPr>
          <w:lang w:val="en-GB"/>
        </w:rPr>
      </w:pPr>
      <w:r>
        <w:t xml:space="preserve">  </w:t>
      </w:r>
    </w:p>
    <w:p w14:paraId="0DA170C3" w14:textId="30170038" w:rsidR="00B4185E" w:rsidRPr="00F32F4C" w:rsidRDefault="00815CAA" w:rsidP="00AA377F">
      <w:pPr>
        <w:pStyle w:val="ListParagraph"/>
        <w:rPr>
          <w:lang w:val="en-GB"/>
        </w:rPr>
      </w:pPr>
      <w:r w:rsidRPr="00C93E20">
        <w:rPr>
          <w:lang w:val="en-GB"/>
        </w:rPr>
        <w:t xml:space="preserve">In its explainer on the implementation of Windsor Framework Article 2, the </w:t>
      </w:r>
      <w:r w:rsidR="00B4185E" w:rsidRPr="00C93E20">
        <w:rPr>
          <w:lang w:val="en-GB"/>
        </w:rPr>
        <w:t>UK Government recognise</w:t>
      </w:r>
      <w:r w:rsidRPr="00C93E20">
        <w:rPr>
          <w:lang w:val="en-GB"/>
        </w:rPr>
        <w:t>d</w:t>
      </w:r>
      <w:r w:rsidR="00B4185E" w:rsidRPr="00C93E20">
        <w:rPr>
          <w:lang w:val="en-GB"/>
        </w:rPr>
        <w:t xml:space="preserve"> that Article 2 has direct effect and that individuals can invoke their rights in UK courts.</w:t>
      </w:r>
      <w:r w:rsidR="00B4185E" w:rsidRPr="00C93E20">
        <w:rPr>
          <w:rStyle w:val="FootnoteReference"/>
          <w:lang w:val="en-GB"/>
        </w:rPr>
        <w:footnoteReference w:id="27"/>
      </w:r>
      <w:r w:rsidR="00B4185E" w:rsidRPr="00F32F4C">
        <w:rPr>
          <w:lang w:val="en-GB"/>
        </w:rPr>
        <w:t xml:space="preserve"> </w:t>
      </w:r>
      <w:r>
        <w:rPr>
          <w:lang w:val="en-GB"/>
        </w:rPr>
        <w:t xml:space="preserve">This was confirmed by </w:t>
      </w:r>
      <w:r w:rsidR="000C7960">
        <w:rPr>
          <w:lang w:val="en-GB"/>
        </w:rPr>
        <w:t>the NI Minister, Lord Duncan, in response to a parliamentary question, “T</w:t>
      </w:r>
      <w:r w:rsidR="000C7960" w:rsidRPr="000C7960">
        <w:rPr>
          <w:lang w:val="en-GB"/>
        </w:rPr>
        <w:t xml:space="preserve">he Government also considers that Article 2(1) of the </w:t>
      </w:r>
      <w:r w:rsidR="000C7960">
        <w:rPr>
          <w:lang w:val="en-GB"/>
        </w:rPr>
        <w:t>[Windsor Framework]</w:t>
      </w:r>
      <w:r w:rsidR="000C7960" w:rsidRPr="000C7960">
        <w:rPr>
          <w:lang w:val="en-GB"/>
        </w:rPr>
        <w:t xml:space="preserve"> is capable of direct effect and that individuals will therefore be able to rely directly on this article before the domestic courts</w:t>
      </w:r>
      <w:r w:rsidR="000C7960">
        <w:rPr>
          <w:lang w:val="en-GB"/>
        </w:rPr>
        <w:t>”</w:t>
      </w:r>
      <w:r w:rsidR="000C7960" w:rsidRPr="000C7960">
        <w:rPr>
          <w:lang w:val="en-GB"/>
        </w:rPr>
        <w:t>.</w:t>
      </w:r>
      <w:r w:rsidR="008F4E21" w:rsidRPr="00F32F4C">
        <w:rPr>
          <w:rStyle w:val="FootnoteReference"/>
        </w:rPr>
        <w:footnoteReference w:id="28"/>
      </w:r>
      <w:r w:rsidR="000C7960" w:rsidRPr="000C7960">
        <w:rPr>
          <w:lang w:val="en-GB"/>
        </w:rPr>
        <w:t xml:space="preserve"> </w:t>
      </w:r>
      <w:r w:rsidR="00B4185E" w:rsidRPr="00F32F4C">
        <w:rPr>
          <w:lang w:val="en-GB"/>
        </w:rPr>
        <w:t>The NI High Court has also confirmed that “Article 2 has direct effect and legal persons … are able to rely on it in domestic courts”.</w:t>
      </w:r>
      <w:r w:rsidR="00B4185E" w:rsidRPr="00F32F4C">
        <w:rPr>
          <w:rStyle w:val="FootnoteReference"/>
          <w:lang w:val="en-GB"/>
        </w:rPr>
        <w:footnoteReference w:id="29"/>
      </w:r>
    </w:p>
    <w:p w14:paraId="649C2F67" w14:textId="77777777" w:rsidR="00AA377F" w:rsidRPr="00F32F4C" w:rsidRDefault="00AA377F" w:rsidP="00AA377F">
      <w:pPr>
        <w:pStyle w:val="ListParagraph"/>
        <w:numPr>
          <w:ilvl w:val="0"/>
          <w:numId w:val="0"/>
        </w:numPr>
        <w:ind w:left="720"/>
        <w:rPr>
          <w:lang w:val="en-GB"/>
        </w:rPr>
      </w:pPr>
    </w:p>
    <w:p w14:paraId="6F77E6EA" w14:textId="67BF17EC" w:rsidR="00F76939" w:rsidRPr="00F32F4C" w:rsidRDefault="002575FB" w:rsidP="00475D06">
      <w:pPr>
        <w:pStyle w:val="ListParagraph"/>
        <w:rPr>
          <w:lang w:val="en-GB"/>
        </w:rPr>
      </w:pPr>
      <w:r w:rsidRPr="00F32F4C">
        <w:rPr>
          <w:lang w:val="en-GB"/>
        </w:rPr>
        <w:t>Article 4(2) of the Withdrawal Agreement states “the UK will ensure compliance with [Article 4(1)], including as regards the required powers of its judicial and administrative authorities to disapply inconsistent or incompatible domestic provisions, through domestic primary legislation”.</w:t>
      </w:r>
      <w:r w:rsidRPr="00F32F4C">
        <w:rPr>
          <w:rStyle w:val="FootnoteReference"/>
          <w:lang w:val="en-GB"/>
        </w:rPr>
        <w:footnoteReference w:id="30"/>
      </w:r>
      <w:r w:rsidRPr="00F32F4C">
        <w:rPr>
          <w:lang w:val="en-GB"/>
        </w:rPr>
        <w:t xml:space="preserve"> </w:t>
      </w:r>
      <w:r w:rsidR="007976AF" w:rsidRPr="00F32F4C">
        <w:rPr>
          <w:lang w:val="en-GB"/>
        </w:rPr>
        <w:t xml:space="preserve">Moreover, any reference to EU law concepts </w:t>
      </w:r>
      <w:r w:rsidR="007976AF" w:rsidRPr="00F32F4C">
        <w:rPr>
          <w:lang w:val="en-GB"/>
        </w:rPr>
        <w:lastRenderedPageBreak/>
        <w:t>or provisions in the Withdrawal Agreement must be interpreted and applied in accordance with the methods and general principles of EU law.</w:t>
      </w:r>
      <w:r w:rsidR="007976AF" w:rsidRPr="00F32F4C">
        <w:rPr>
          <w:rStyle w:val="FootnoteReference"/>
          <w:lang w:val="en-GB"/>
        </w:rPr>
        <w:footnoteReference w:id="31"/>
      </w:r>
      <w:r w:rsidR="007976AF" w:rsidRPr="00F32F4C">
        <w:rPr>
          <w:lang w:val="en-GB"/>
        </w:rPr>
        <w:t xml:space="preserve"> </w:t>
      </w:r>
      <w:r w:rsidRPr="00F32F4C">
        <w:rPr>
          <w:lang w:val="en-GB"/>
        </w:rPr>
        <w:t xml:space="preserve"> </w:t>
      </w:r>
    </w:p>
    <w:p w14:paraId="0A2A4C3E" w14:textId="77777777" w:rsidR="00AA377F" w:rsidRPr="00F32F4C" w:rsidRDefault="00AA377F" w:rsidP="00AA377F">
      <w:pPr>
        <w:pStyle w:val="ListParagraph"/>
        <w:numPr>
          <w:ilvl w:val="0"/>
          <w:numId w:val="0"/>
        </w:numPr>
        <w:ind w:left="720"/>
        <w:rPr>
          <w:lang w:val="en-GB"/>
        </w:rPr>
      </w:pPr>
    </w:p>
    <w:p w14:paraId="6C62A164" w14:textId="22FAA785" w:rsidR="00AA377F" w:rsidRDefault="000149F9" w:rsidP="00AA377F">
      <w:pPr>
        <w:pStyle w:val="ListParagraph"/>
        <w:rPr>
          <w:lang w:val="en-GB"/>
        </w:rPr>
      </w:pPr>
      <w:r w:rsidRPr="00F32F4C">
        <w:rPr>
          <w:lang w:val="en-GB"/>
        </w:rPr>
        <w:t xml:space="preserve">The legal effects of </w:t>
      </w:r>
      <w:r w:rsidR="006F02BE" w:rsidRPr="00F32F4C">
        <w:rPr>
          <w:lang w:val="en-GB"/>
        </w:rPr>
        <w:t xml:space="preserve">EU </w:t>
      </w:r>
      <w:r w:rsidRPr="00F32F4C">
        <w:rPr>
          <w:lang w:val="en-GB"/>
        </w:rPr>
        <w:t xml:space="preserve">law </w:t>
      </w:r>
      <w:r w:rsidR="006F02BE" w:rsidRPr="00F32F4C">
        <w:rPr>
          <w:lang w:val="en-GB"/>
        </w:rPr>
        <w:t xml:space="preserve">are informed by </w:t>
      </w:r>
      <w:r w:rsidRPr="00F32F4C">
        <w:rPr>
          <w:lang w:val="en-GB"/>
        </w:rPr>
        <w:t>the principles of primacy</w:t>
      </w:r>
      <w:r w:rsidR="006F02BE" w:rsidRPr="00F32F4C">
        <w:rPr>
          <w:lang w:val="en-GB"/>
        </w:rPr>
        <w:t xml:space="preserve">, </w:t>
      </w:r>
      <w:r w:rsidRPr="00F32F4C">
        <w:rPr>
          <w:lang w:val="en-GB"/>
        </w:rPr>
        <w:t xml:space="preserve">full </w:t>
      </w:r>
      <w:proofErr w:type="gramStart"/>
      <w:r w:rsidRPr="00F32F4C">
        <w:rPr>
          <w:lang w:val="en-GB"/>
        </w:rPr>
        <w:t>effectiveness</w:t>
      </w:r>
      <w:proofErr w:type="gramEnd"/>
      <w:r w:rsidRPr="00F32F4C">
        <w:rPr>
          <w:lang w:val="en-GB"/>
        </w:rPr>
        <w:t xml:space="preserve"> </w:t>
      </w:r>
      <w:r w:rsidR="006F02BE" w:rsidRPr="00F32F4C">
        <w:rPr>
          <w:lang w:val="en-GB"/>
        </w:rPr>
        <w:t xml:space="preserve">and </w:t>
      </w:r>
      <w:r w:rsidRPr="00F32F4C">
        <w:rPr>
          <w:lang w:val="en-GB"/>
        </w:rPr>
        <w:t>direct effect.</w:t>
      </w:r>
      <w:r w:rsidR="009B0E66" w:rsidRPr="00F32F4C">
        <w:rPr>
          <w:rStyle w:val="FootnoteReference"/>
          <w:lang w:val="en-GB"/>
        </w:rPr>
        <w:footnoteReference w:id="32"/>
      </w:r>
      <w:r w:rsidRPr="00F32F4C">
        <w:rPr>
          <w:lang w:val="en-GB"/>
        </w:rPr>
        <w:t xml:space="preserve"> </w:t>
      </w:r>
      <w:r w:rsidR="002575FB" w:rsidRPr="00F32F4C">
        <w:rPr>
          <w:lang w:val="en-GB"/>
        </w:rPr>
        <w:t xml:space="preserve">The </w:t>
      </w:r>
      <w:r w:rsidRPr="00F32F4C">
        <w:rPr>
          <w:lang w:val="en-GB"/>
        </w:rPr>
        <w:t xml:space="preserve">principle </w:t>
      </w:r>
      <w:r w:rsidR="002575FB" w:rsidRPr="00F32F4C">
        <w:rPr>
          <w:lang w:val="en-GB"/>
        </w:rPr>
        <w:t xml:space="preserve">of </w:t>
      </w:r>
      <w:r w:rsidRPr="00F32F4C">
        <w:rPr>
          <w:lang w:val="en-GB"/>
        </w:rPr>
        <w:t>supremacy of EU law also applies to national administrative and judicial authorities</w:t>
      </w:r>
      <w:r w:rsidR="002575FB" w:rsidRPr="00F32F4C">
        <w:rPr>
          <w:lang w:val="en-GB"/>
        </w:rPr>
        <w:t>, who are</w:t>
      </w:r>
      <w:r w:rsidRPr="00F32F4C">
        <w:rPr>
          <w:lang w:val="en-GB"/>
        </w:rPr>
        <w:t xml:space="preserve"> obliged to </w:t>
      </w:r>
      <w:r w:rsidR="006F02BE" w:rsidRPr="00F32F4C">
        <w:rPr>
          <w:lang w:val="en-GB"/>
        </w:rPr>
        <w:t>ensure</w:t>
      </w:r>
      <w:r w:rsidRPr="00F32F4C">
        <w:rPr>
          <w:lang w:val="en-GB"/>
        </w:rPr>
        <w:t xml:space="preserve"> full effectiveness to EU law, including</w:t>
      </w:r>
      <w:r w:rsidR="003678F2" w:rsidRPr="00F32F4C">
        <w:rPr>
          <w:lang w:val="en-GB"/>
        </w:rPr>
        <w:t>,</w:t>
      </w:r>
      <w:r w:rsidRPr="00F32F4C">
        <w:rPr>
          <w:lang w:val="en-GB"/>
        </w:rPr>
        <w:t xml:space="preserve"> as required</w:t>
      </w:r>
      <w:r w:rsidR="003678F2" w:rsidRPr="00F32F4C">
        <w:rPr>
          <w:lang w:val="en-GB"/>
        </w:rPr>
        <w:t>,</w:t>
      </w:r>
      <w:r w:rsidRPr="00F32F4C">
        <w:rPr>
          <w:lang w:val="en-GB"/>
        </w:rPr>
        <w:t xml:space="preserve"> by setting aside national rules</w:t>
      </w:r>
      <w:r w:rsidR="00C92669">
        <w:rPr>
          <w:lang w:val="en-GB"/>
        </w:rPr>
        <w:t xml:space="preserve"> where they conflict with EU obligations</w:t>
      </w:r>
      <w:r w:rsidRPr="00F32F4C">
        <w:rPr>
          <w:lang w:val="en-GB"/>
        </w:rPr>
        <w:t>.</w:t>
      </w:r>
      <w:r w:rsidRPr="00F32F4C">
        <w:rPr>
          <w:rStyle w:val="FootnoteReference"/>
          <w:lang w:val="en-GB"/>
        </w:rPr>
        <w:footnoteReference w:id="33"/>
      </w:r>
      <w:r w:rsidR="005863D2">
        <w:rPr>
          <w:lang w:val="en-GB"/>
        </w:rPr>
        <w:t xml:space="preserve">  </w:t>
      </w:r>
    </w:p>
    <w:p w14:paraId="71A2E115" w14:textId="77777777" w:rsidR="005863D2" w:rsidRPr="005863D2" w:rsidRDefault="005863D2" w:rsidP="005863D2">
      <w:pPr>
        <w:pStyle w:val="ListParagraph"/>
        <w:numPr>
          <w:ilvl w:val="0"/>
          <w:numId w:val="0"/>
        </w:numPr>
        <w:ind w:left="720"/>
        <w:rPr>
          <w:lang w:val="en-GB"/>
        </w:rPr>
      </w:pPr>
    </w:p>
    <w:p w14:paraId="6E1D35B9" w14:textId="0FDA5101" w:rsidR="005863D2" w:rsidRPr="00A97FA1" w:rsidRDefault="0031041F" w:rsidP="00AA377F">
      <w:pPr>
        <w:pStyle w:val="ListParagraph"/>
        <w:rPr>
          <w:lang w:val="en-GB"/>
        </w:rPr>
      </w:pPr>
      <w:r w:rsidRPr="00A97FA1">
        <w:rPr>
          <w:lang w:val="en-GB"/>
        </w:rPr>
        <w:t xml:space="preserve">Both </w:t>
      </w:r>
      <w:r w:rsidR="00FF4B3F" w:rsidRPr="00A97FA1">
        <w:rPr>
          <w:lang w:val="en-GB"/>
        </w:rPr>
        <w:t xml:space="preserve">Mr Justice </w:t>
      </w:r>
      <w:r w:rsidRPr="00A97FA1">
        <w:rPr>
          <w:lang w:val="en-GB"/>
        </w:rPr>
        <w:t xml:space="preserve">Colton and </w:t>
      </w:r>
      <w:r w:rsidR="00FF4B3F" w:rsidRPr="00A97FA1">
        <w:rPr>
          <w:lang w:val="en-GB"/>
        </w:rPr>
        <w:t xml:space="preserve">Mr Justice </w:t>
      </w:r>
      <w:r w:rsidR="005863D2" w:rsidRPr="00A97FA1">
        <w:rPr>
          <w:lang w:val="en-GB"/>
        </w:rPr>
        <w:t xml:space="preserve">Humphreys </w:t>
      </w:r>
      <w:r w:rsidRPr="00A97FA1">
        <w:t>have</w:t>
      </w:r>
      <w:r w:rsidR="005863D2" w:rsidRPr="00A97FA1">
        <w:t xml:space="preserve"> </w:t>
      </w:r>
      <w:r w:rsidR="005863D2" w:rsidRPr="00A97FA1">
        <w:rPr>
          <w:lang w:val="en-GB"/>
        </w:rPr>
        <w:t>confirm</w:t>
      </w:r>
      <w:r w:rsidRPr="00A97FA1">
        <w:rPr>
          <w:lang w:val="en-GB"/>
        </w:rPr>
        <w:t xml:space="preserve">ed </w:t>
      </w:r>
      <w:r w:rsidR="005863D2" w:rsidRPr="00A97FA1">
        <w:rPr>
          <w:lang w:val="en-GB"/>
        </w:rPr>
        <w:t>that Section 7A of the EU Withdrawal Act 2018 mirrors the language of the European Communities Act 1972 and is the ‘conduit pipe’ through which the provisions of the Withdrawal Agreement flow into UK law.</w:t>
      </w:r>
      <w:r w:rsidR="005863D2" w:rsidRPr="00A97FA1">
        <w:rPr>
          <w:rStyle w:val="FootnoteReference"/>
        </w:rPr>
        <w:footnoteReference w:id="34"/>
      </w:r>
      <w:r w:rsidR="005863D2" w:rsidRPr="00A97FA1">
        <w:rPr>
          <w:lang w:val="en-GB"/>
        </w:rPr>
        <w:t xml:space="preserve"> </w:t>
      </w:r>
    </w:p>
    <w:p w14:paraId="73FA8238" w14:textId="77777777" w:rsidR="00AA377F" w:rsidRPr="00A97FA1" w:rsidRDefault="00AA377F" w:rsidP="00AA377F">
      <w:pPr>
        <w:pStyle w:val="ListParagraph"/>
        <w:numPr>
          <w:ilvl w:val="0"/>
          <w:numId w:val="0"/>
        </w:numPr>
        <w:ind w:left="720"/>
        <w:rPr>
          <w:lang w:val="en-GB"/>
        </w:rPr>
      </w:pPr>
    </w:p>
    <w:p w14:paraId="61CA53D8" w14:textId="47E26D63" w:rsidR="00382C54" w:rsidRPr="00A97FA1" w:rsidRDefault="006F02BE" w:rsidP="00382C54">
      <w:pPr>
        <w:pStyle w:val="ListParagraph"/>
        <w:rPr>
          <w:lang w:val="en-GB"/>
        </w:rPr>
      </w:pPr>
      <w:r w:rsidRPr="00A97FA1">
        <w:rPr>
          <w:lang w:val="en-GB"/>
        </w:rPr>
        <w:t xml:space="preserve">The </w:t>
      </w:r>
      <w:r w:rsidR="002575FB" w:rsidRPr="00A97FA1">
        <w:rPr>
          <w:lang w:val="en-GB"/>
        </w:rPr>
        <w:t xml:space="preserve">CJEU has developed the </w:t>
      </w:r>
      <w:r w:rsidRPr="00A97FA1">
        <w:rPr>
          <w:lang w:val="en-GB"/>
        </w:rPr>
        <w:t xml:space="preserve">requirement </w:t>
      </w:r>
      <w:r w:rsidR="002575FB" w:rsidRPr="00A97FA1">
        <w:rPr>
          <w:lang w:val="en-GB"/>
        </w:rPr>
        <w:t>of effectiveness of EU law, which includes effective judicial protection</w:t>
      </w:r>
      <w:r w:rsidRPr="00A97FA1">
        <w:rPr>
          <w:lang w:val="en-GB"/>
        </w:rPr>
        <w:t xml:space="preserve"> as a general principle</w:t>
      </w:r>
      <w:r w:rsidR="002575FB" w:rsidRPr="00A97FA1">
        <w:rPr>
          <w:lang w:val="en-GB"/>
        </w:rPr>
        <w:t>.</w:t>
      </w:r>
      <w:r w:rsidRPr="00A97FA1">
        <w:rPr>
          <w:rStyle w:val="FootnoteReference"/>
          <w:lang w:val="en-GB"/>
        </w:rPr>
        <w:footnoteReference w:id="35"/>
      </w:r>
      <w:r w:rsidR="000156E0" w:rsidRPr="00A97FA1">
        <w:rPr>
          <w:lang w:val="en-GB"/>
        </w:rPr>
        <w:t xml:space="preserve"> As noted in Craig and de </w:t>
      </w:r>
      <w:proofErr w:type="spellStart"/>
      <w:r w:rsidR="000156E0" w:rsidRPr="00A97FA1">
        <w:rPr>
          <w:lang w:val="en-GB"/>
        </w:rPr>
        <w:t>Búrca</w:t>
      </w:r>
      <w:proofErr w:type="spellEnd"/>
      <w:r w:rsidR="000156E0" w:rsidRPr="00A97FA1">
        <w:rPr>
          <w:lang w:val="en-GB"/>
        </w:rPr>
        <w:t>, the obligation in Article 4 of the Withdrawal Agreement, as implemented by Section 7A of the EU (Withdrawal) Act 2018, “will include the remedial obligations of effectiveness and equivalence”.</w:t>
      </w:r>
      <w:r w:rsidR="000156E0" w:rsidRPr="00A97FA1">
        <w:rPr>
          <w:rStyle w:val="FootnoteReference"/>
          <w:lang w:val="en-GB"/>
        </w:rPr>
        <w:footnoteReference w:id="36"/>
      </w:r>
      <w:r w:rsidR="000156E0" w:rsidRPr="00A97FA1">
        <w:rPr>
          <w:lang w:val="en-GB"/>
        </w:rPr>
        <w:t xml:space="preserve"> </w:t>
      </w:r>
    </w:p>
    <w:p w14:paraId="79819116" w14:textId="77777777" w:rsidR="00977817" w:rsidRPr="00F32F4C" w:rsidRDefault="00977817" w:rsidP="00977817">
      <w:pPr>
        <w:pStyle w:val="ListParagraph"/>
        <w:numPr>
          <w:ilvl w:val="0"/>
          <w:numId w:val="0"/>
        </w:numPr>
        <w:ind w:left="720"/>
        <w:rPr>
          <w:lang w:val="en-GB"/>
        </w:rPr>
      </w:pPr>
    </w:p>
    <w:p w14:paraId="2D73281F" w14:textId="4DA45113" w:rsidR="00F76939" w:rsidRPr="00F32F4C" w:rsidRDefault="00977817" w:rsidP="00F76939">
      <w:pPr>
        <w:pStyle w:val="ListParagraph"/>
        <w:rPr>
          <w:lang w:val="en-GB"/>
        </w:rPr>
      </w:pPr>
      <w:r w:rsidRPr="00F32F4C">
        <w:rPr>
          <w:lang w:val="en-GB"/>
        </w:rPr>
        <w:t>As noted by Anthony, “in terms of the courts, EU law no longer applies on its original terms in cases outside the [Windsor Framework], but it does apply with its full force in cases under it”.</w:t>
      </w:r>
      <w:r w:rsidRPr="00F32F4C">
        <w:rPr>
          <w:rStyle w:val="FootnoteReference"/>
          <w:lang w:val="en-GB"/>
        </w:rPr>
        <w:footnoteReference w:id="37"/>
      </w:r>
      <w:r w:rsidRPr="00F32F4C">
        <w:rPr>
          <w:lang w:val="en-GB"/>
        </w:rPr>
        <w:t xml:space="preserve"> He further notes that this means that the courts “must apply the supremacy principle, observe the [EU Charter of Fundamental Rights], … apply the general principles of EU law, and hear </w:t>
      </w:r>
      <w:r w:rsidRPr="00F32F4C">
        <w:rPr>
          <w:lang w:val="en-GB"/>
        </w:rPr>
        <w:lastRenderedPageBreak/>
        <w:t>Francovich claims”.</w:t>
      </w:r>
      <w:r w:rsidRPr="00F32F4C">
        <w:rPr>
          <w:rStyle w:val="FootnoteReference"/>
          <w:lang w:val="en-GB"/>
        </w:rPr>
        <w:footnoteReference w:id="38"/>
      </w:r>
      <w:r w:rsidR="00BB3E5D" w:rsidRPr="00F32F4C">
        <w:rPr>
          <w:lang w:val="en-GB"/>
        </w:rPr>
        <w:t xml:space="preserve">  McCrudden also relies on analogous case law of the European Free Trade Association Court,</w:t>
      </w:r>
      <w:r w:rsidR="00BB3E5D" w:rsidRPr="00F32F4C">
        <w:rPr>
          <w:rStyle w:val="FootnoteReference"/>
          <w:lang w:val="en-GB"/>
        </w:rPr>
        <w:footnoteReference w:id="39"/>
      </w:r>
      <w:r w:rsidR="00BB3E5D" w:rsidRPr="00F32F4C">
        <w:rPr>
          <w:lang w:val="en-GB"/>
        </w:rPr>
        <w:t xml:space="preserve"> to make the case that the non-diminution commitment in Windsor Framework Article 2 applies to both the substantive and procedural aspects of rights, including available remedies, such as </w:t>
      </w:r>
      <w:r w:rsidR="00BB3E5D" w:rsidRPr="00F32F4C">
        <w:rPr>
          <w:i/>
          <w:iCs/>
          <w:lang w:val="en-GB"/>
        </w:rPr>
        <w:t>Francovich</w:t>
      </w:r>
      <w:r w:rsidR="00BB3E5D" w:rsidRPr="00F32F4C">
        <w:rPr>
          <w:lang w:val="en-GB"/>
        </w:rPr>
        <w:t xml:space="preserve"> damages.</w:t>
      </w:r>
      <w:r w:rsidR="00BB3E5D" w:rsidRPr="00F32F4C">
        <w:rPr>
          <w:rStyle w:val="FootnoteReference"/>
          <w:lang w:val="en-GB"/>
        </w:rPr>
        <w:footnoteReference w:id="40"/>
      </w:r>
      <w:r w:rsidR="00CE4F0F" w:rsidRPr="00CE4F0F">
        <w:rPr>
          <w:lang w:val="en-GB"/>
        </w:rPr>
        <w:t xml:space="preserve"> </w:t>
      </w:r>
    </w:p>
    <w:p w14:paraId="35D6F86A" w14:textId="77777777" w:rsidR="00F76939" w:rsidRPr="00F32F4C" w:rsidRDefault="00F76939" w:rsidP="00F76939">
      <w:pPr>
        <w:pStyle w:val="ListParagraph"/>
        <w:numPr>
          <w:ilvl w:val="0"/>
          <w:numId w:val="0"/>
        </w:numPr>
        <w:ind w:left="720"/>
        <w:rPr>
          <w:lang w:val="en-GB"/>
        </w:rPr>
      </w:pPr>
    </w:p>
    <w:p w14:paraId="666B18C1" w14:textId="0FBB252C" w:rsidR="00336417" w:rsidRPr="00F32F4C" w:rsidRDefault="002575FB" w:rsidP="00336417">
      <w:pPr>
        <w:pStyle w:val="ListParagraph"/>
        <w:rPr>
          <w:lang w:val="en-GB"/>
        </w:rPr>
      </w:pPr>
      <w:r w:rsidRPr="00F32F4C">
        <w:rPr>
          <w:lang w:val="en-GB"/>
        </w:rPr>
        <w:t>Article 19 TEU require</w:t>
      </w:r>
      <w:r w:rsidR="00CB0F0D" w:rsidRPr="00F32F4C">
        <w:rPr>
          <w:lang w:val="en-GB"/>
        </w:rPr>
        <w:t>s</w:t>
      </w:r>
      <w:r w:rsidRPr="00F32F4C">
        <w:rPr>
          <w:lang w:val="en-GB"/>
        </w:rPr>
        <w:t xml:space="preserve"> Member </w:t>
      </w:r>
      <w:r w:rsidR="006C365F" w:rsidRPr="00F32F4C">
        <w:rPr>
          <w:lang w:val="en-GB"/>
        </w:rPr>
        <w:t xml:space="preserve">States </w:t>
      </w:r>
      <w:r w:rsidRPr="00F32F4C">
        <w:rPr>
          <w:lang w:val="en-GB"/>
        </w:rPr>
        <w:t>to provide sufficient remedies to ensure effective legal protection in the fields of EU law. In addition, Article 47 of the EU Charter provide</w:t>
      </w:r>
      <w:r w:rsidR="00CB0F0D" w:rsidRPr="00F32F4C">
        <w:rPr>
          <w:lang w:val="en-GB"/>
        </w:rPr>
        <w:t>s</w:t>
      </w:r>
      <w:r w:rsidRPr="00F32F4C">
        <w:rPr>
          <w:lang w:val="en-GB"/>
        </w:rPr>
        <w:t xml:space="preserve"> for</w:t>
      </w:r>
      <w:r w:rsidR="00C92669">
        <w:rPr>
          <w:lang w:val="en-GB"/>
        </w:rPr>
        <w:t xml:space="preserve"> the</w:t>
      </w:r>
      <w:r w:rsidRPr="00F32F4C">
        <w:rPr>
          <w:lang w:val="en-GB"/>
        </w:rPr>
        <w:t xml:space="preserve"> right to an effective remedy before a tribunal. </w:t>
      </w:r>
      <w:r w:rsidR="00382C54" w:rsidRPr="00F32F4C">
        <w:rPr>
          <w:lang w:val="en-GB"/>
        </w:rPr>
        <w:t xml:space="preserve">When the UK was an EU member state, the national </w:t>
      </w:r>
      <w:r w:rsidRPr="00F32F4C">
        <w:rPr>
          <w:lang w:val="en-GB"/>
        </w:rPr>
        <w:t>courts were required to ensure they g</w:t>
      </w:r>
      <w:r w:rsidR="00C92669">
        <w:rPr>
          <w:lang w:val="en-GB"/>
        </w:rPr>
        <w:t>a</w:t>
      </w:r>
      <w:r w:rsidRPr="00F32F4C">
        <w:rPr>
          <w:lang w:val="en-GB"/>
        </w:rPr>
        <w:t>ve adequate effect to EU law within the domestic legal ord</w:t>
      </w:r>
      <w:r w:rsidR="00103F6D" w:rsidRPr="00F32F4C">
        <w:rPr>
          <w:lang w:val="en-GB"/>
        </w:rPr>
        <w:t>er.</w:t>
      </w:r>
      <w:r w:rsidR="00CE4F0F">
        <w:rPr>
          <w:lang w:val="en-GB"/>
        </w:rPr>
        <w:t xml:space="preserve"> </w:t>
      </w:r>
      <w:r w:rsidR="00EE75E8">
        <w:rPr>
          <w:lang w:val="en-GB"/>
        </w:rPr>
        <w:t>The CJEU has required domestic courts to ensure the availability of a range of specific remedies,</w:t>
      </w:r>
      <w:r w:rsidR="00EE75E8">
        <w:rPr>
          <w:rStyle w:val="FootnoteReference"/>
          <w:lang w:val="en-GB"/>
        </w:rPr>
        <w:footnoteReference w:id="41"/>
      </w:r>
      <w:r w:rsidR="00EE75E8">
        <w:rPr>
          <w:lang w:val="en-GB"/>
        </w:rPr>
        <w:t xml:space="preserve"> including repayment of charges,</w:t>
      </w:r>
      <w:r w:rsidR="00EE75E8">
        <w:rPr>
          <w:rStyle w:val="FootnoteReference"/>
          <w:lang w:val="en-GB"/>
        </w:rPr>
        <w:footnoteReference w:id="42"/>
      </w:r>
      <w:r w:rsidR="00EE75E8">
        <w:rPr>
          <w:lang w:val="en-GB"/>
        </w:rPr>
        <w:t xml:space="preserve"> interim relief,</w:t>
      </w:r>
      <w:r w:rsidR="00EE75E8">
        <w:rPr>
          <w:rStyle w:val="FootnoteReference"/>
          <w:lang w:val="en-GB"/>
        </w:rPr>
        <w:footnoteReference w:id="43"/>
      </w:r>
      <w:r w:rsidR="00EE75E8">
        <w:rPr>
          <w:lang w:val="en-GB"/>
        </w:rPr>
        <w:t xml:space="preserve"> judicial review,</w:t>
      </w:r>
      <w:r w:rsidR="00EE75E8">
        <w:rPr>
          <w:rStyle w:val="FootnoteReference"/>
          <w:lang w:val="en-GB"/>
        </w:rPr>
        <w:footnoteReference w:id="44"/>
      </w:r>
      <w:r w:rsidR="00EE75E8">
        <w:rPr>
          <w:lang w:val="en-GB"/>
        </w:rPr>
        <w:t xml:space="preserve"> civil remedies</w:t>
      </w:r>
      <w:r w:rsidR="00EE75E8">
        <w:rPr>
          <w:rStyle w:val="FootnoteReference"/>
          <w:lang w:val="en-GB"/>
        </w:rPr>
        <w:footnoteReference w:id="45"/>
      </w:r>
      <w:r w:rsidR="00EE75E8">
        <w:rPr>
          <w:lang w:val="en-GB"/>
        </w:rPr>
        <w:t xml:space="preserve"> and damages.</w:t>
      </w:r>
      <w:r w:rsidR="00EE75E8">
        <w:rPr>
          <w:rStyle w:val="FootnoteReference"/>
          <w:lang w:val="en-GB"/>
        </w:rPr>
        <w:footnoteReference w:id="46"/>
      </w:r>
      <w:r w:rsidR="00F951B6">
        <w:rPr>
          <w:lang w:val="en-GB"/>
        </w:rPr>
        <w:t xml:space="preserve"> </w:t>
      </w:r>
    </w:p>
    <w:p w14:paraId="7432B024" w14:textId="77777777" w:rsidR="00F76939" w:rsidRPr="00F32F4C" w:rsidRDefault="00F76939" w:rsidP="00F76939">
      <w:pPr>
        <w:pStyle w:val="ListParagraph"/>
        <w:numPr>
          <w:ilvl w:val="0"/>
          <w:numId w:val="0"/>
        </w:numPr>
        <w:ind w:left="720"/>
        <w:rPr>
          <w:lang w:val="en-GB"/>
        </w:rPr>
      </w:pPr>
    </w:p>
    <w:p w14:paraId="62292032" w14:textId="2933961B" w:rsidR="00615138" w:rsidRPr="00F57421" w:rsidRDefault="00F76939" w:rsidP="00043800">
      <w:pPr>
        <w:pStyle w:val="ListParagraph"/>
        <w:rPr>
          <w:lang w:val="en-GB"/>
        </w:rPr>
      </w:pPr>
      <w:r w:rsidRPr="00F32F4C">
        <w:rPr>
          <w:lang w:val="en-GB"/>
        </w:rPr>
        <w:t xml:space="preserve">While the principle of effectiveness of EU law is carried over to the Windsor Framework this does not mean that Article 2 can be enforced through all the avenues available within the EU legal order. As noted above, </w:t>
      </w:r>
      <w:r w:rsidR="00746D98" w:rsidRPr="00F32F4C">
        <w:rPr>
          <w:lang w:val="en-GB"/>
        </w:rPr>
        <w:t>the Windsor Framework does make provision for claims from NI to be considered by the CJEU, but this does not apply to a claim pursuant to Article 2.</w:t>
      </w:r>
      <w:r w:rsidR="00746D98" w:rsidRPr="00F32F4C">
        <w:rPr>
          <w:rStyle w:val="FootnoteReference"/>
          <w:lang w:val="en-GB"/>
        </w:rPr>
        <w:footnoteReference w:id="47"/>
      </w:r>
      <w:r w:rsidR="001D0F09">
        <w:rPr>
          <w:lang w:val="en-GB"/>
        </w:rPr>
        <w:t xml:space="preserve">  </w:t>
      </w:r>
      <w:r w:rsidR="001D0F09" w:rsidRPr="00C93E20">
        <w:t>Nevertheless, the principle of effectiveness is central to our understanding of how EU rights were upheld and vindicated prior to the UK’s withdrawal from the EU</w:t>
      </w:r>
      <w:r w:rsidR="00D6124F" w:rsidRPr="00C93E20">
        <w:t xml:space="preserve">. </w:t>
      </w:r>
      <w:r w:rsidR="00F57421" w:rsidRPr="00C93E20">
        <w:t xml:space="preserve">The researchers may wish to </w:t>
      </w:r>
      <w:r w:rsidR="00D94CBC" w:rsidRPr="00D94CBC">
        <w:t>evaluat</w:t>
      </w:r>
      <w:r w:rsidR="00D94CBC">
        <w:t>e</w:t>
      </w:r>
      <w:r w:rsidR="00D94CBC" w:rsidRPr="00D94CBC">
        <w:t xml:space="preserve"> the operation of the principle of effectiveness in the post-Brexit legal landscape </w:t>
      </w:r>
      <w:r w:rsidR="00F57421" w:rsidRPr="00C93E20">
        <w:t xml:space="preserve">in the context of </w:t>
      </w:r>
      <w:r w:rsidR="003F2CA4" w:rsidRPr="00C93E20">
        <w:t xml:space="preserve">the range of </w:t>
      </w:r>
      <w:r w:rsidR="001D0F09" w:rsidRPr="00C93E20">
        <w:t xml:space="preserve">remedies </w:t>
      </w:r>
      <w:r w:rsidR="003F2CA4" w:rsidRPr="00C93E20">
        <w:t xml:space="preserve">available </w:t>
      </w:r>
      <w:r w:rsidR="00F57421" w:rsidRPr="00C93E20">
        <w:t xml:space="preserve">pursuant to </w:t>
      </w:r>
      <w:r w:rsidR="001D0F09" w:rsidRPr="00C93E20">
        <w:t>the UK Government</w:t>
      </w:r>
      <w:r w:rsidR="003F2CA4" w:rsidRPr="00C93E20">
        <w:t>’</w:t>
      </w:r>
      <w:r w:rsidR="001D0F09" w:rsidRPr="00C93E20">
        <w:t xml:space="preserve">s commitment in </w:t>
      </w:r>
      <w:r w:rsidR="003F2CA4" w:rsidRPr="00C93E20">
        <w:t>Windsor</w:t>
      </w:r>
      <w:r w:rsidR="001D0F09" w:rsidRPr="00C93E20">
        <w:t xml:space="preserve"> Fram</w:t>
      </w:r>
      <w:r w:rsidR="003F2CA4" w:rsidRPr="00C93E20">
        <w:t xml:space="preserve">ework Article </w:t>
      </w:r>
      <w:r w:rsidR="001D0F09" w:rsidRPr="00C93E20">
        <w:t>2</w:t>
      </w:r>
      <w:r w:rsidR="001D0F09" w:rsidRPr="00F57421">
        <w:t xml:space="preserve">. </w:t>
      </w:r>
    </w:p>
    <w:p w14:paraId="5EC512C0" w14:textId="77777777" w:rsidR="00615138" w:rsidRPr="00615138" w:rsidRDefault="00615138" w:rsidP="00615138">
      <w:pPr>
        <w:pStyle w:val="ListParagraph"/>
        <w:numPr>
          <w:ilvl w:val="0"/>
          <w:numId w:val="0"/>
        </w:numPr>
        <w:ind w:left="720"/>
        <w:rPr>
          <w:lang w:val="en-GB"/>
        </w:rPr>
      </w:pPr>
    </w:p>
    <w:p w14:paraId="7AE4F701" w14:textId="77777777" w:rsidR="00475D06" w:rsidRPr="00F32F4C" w:rsidRDefault="00475D06" w:rsidP="0031041F">
      <w:pPr>
        <w:pStyle w:val="ListParagraph"/>
        <w:numPr>
          <w:ilvl w:val="0"/>
          <w:numId w:val="0"/>
        </w:numPr>
        <w:ind w:left="720"/>
      </w:pPr>
    </w:p>
    <w:p w14:paraId="5F0AAF4E" w14:textId="462BBBC5" w:rsidR="00F32F4C" w:rsidRPr="00F32F4C" w:rsidRDefault="00F32F4C" w:rsidP="00F32F4C">
      <w:pPr>
        <w:pStyle w:val="Heading2"/>
      </w:pPr>
      <w:r w:rsidRPr="00F32F4C">
        <w:lastRenderedPageBreak/>
        <w:t xml:space="preserve">Access to </w:t>
      </w:r>
      <w:r>
        <w:t>Justice</w:t>
      </w:r>
    </w:p>
    <w:p w14:paraId="43939C37" w14:textId="1133FCA6" w:rsidR="00F32F4C" w:rsidRPr="00B941EE" w:rsidRDefault="00F32F4C" w:rsidP="00B941EE">
      <w:pPr>
        <w:pStyle w:val="ListParagraph"/>
        <w:rPr>
          <w:lang w:val="en-GB"/>
        </w:rPr>
      </w:pPr>
      <w:r>
        <w:rPr>
          <w:lang w:val="en-GB"/>
        </w:rPr>
        <w:t xml:space="preserve">As noted by Craig and de </w:t>
      </w:r>
      <w:proofErr w:type="spellStart"/>
      <w:r>
        <w:rPr>
          <w:lang w:val="en-GB"/>
        </w:rPr>
        <w:t>Búrca</w:t>
      </w:r>
      <w:proofErr w:type="spellEnd"/>
      <w:r>
        <w:rPr>
          <w:lang w:val="en-GB"/>
        </w:rPr>
        <w:t xml:space="preserve">, </w:t>
      </w:r>
      <w:r w:rsidRPr="00F32F4C">
        <w:rPr>
          <w:lang w:val="en-GB"/>
        </w:rPr>
        <w:t xml:space="preserve">the CJEU has </w:t>
      </w:r>
      <w:r>
        <w:rPr>
          <w:lang w:val="en-GB"/>
        </w:rPr>
        <w:t xml:space="preserve">consistently identified that access to courts and the right to a remedy </w:t>
      </w:r>
      <w:r w:rsidR="003F2CA4">
        <w:rPr>
          <w:lang w:val="en-GB"/>
        </w:rPr>
        <w:t>are</w:t>
      </w:r>
      <w:r>
        <w:rPr>
          <w:lang w:val="en-GB"/>
        </w:rPr>
        <w:t xml:space="preserve"> essential for the vindication of EU law rights</w:t>
      </w:r>
      <w:r w:rsidR="003F2CA4">
        <w:rPr>
          <w:lang w:val="en-GB"/>
        </w:rPr>
        <w:t xml:space="preserve">. This is </w:t>
      </w:r>
      <w:r>
        <w:rPr>
          <w:lang w:val="en-GB"/>
        </w:rPr>
        <w:t xml:space="preserve">a fundamental right protected by the ECHR and the EU Charter of </w:t>
      </w:r>
      <w:r w:rsidR="0031041F">
        <w:rPr>
          <w:lang w:val="en-GB"/>
        </w:rPr>
        <w:t>Fundamental Rights</w:t>
      </w:r>
      <w:r>
        <w:rPr>
          <w:lang w:val="en-GB"/>
        </w:rPr>
        <w:t>.</w:t>
      </w:r>
      <w:r w:rsidRPr="00F32F4C">
        <w:rPr>
          <w:rStyle w:val="FootnoteReference"/>
          <w:lang w:val="en-GB"/>
        </w:rPr>
        <w:footnoteReference w:id="48"/>
      </w:r>
      <w:r w:rsidR="00B941EE">
        <w:rPr>
          <w:lang w:val="en-GB"/>
        </w:rPr>
        <w:t xml:space="preserve"> Any limitation on access to courts and available remedies in respect of Windsor Framework Article 2 would constitute a potential diminution of rights</w:t>
      </w:r>
      <w:r w:rsidR="00B941EE" w:rsidRPr="00F32F4C">
        <w:rPr>
          <w:lang w:val="en-GB"/>
        </w:rPr>
        <w:t>.</w:t>
      </w:r>
      <w:r w:rsidR="00B941EE" w:rsidRPr="00F32F4C">
        <w:rPr>
          <w:rStyle w:val="FootnoteReference"/>
          <w:lang w:val="en-GB"/>
        </w:rPr>
        <w:footnoteReference w:id="49"/>
      </w:r>
      <w:r w:rsidR="00B941EE" w:rsidRPr="00F32F4C">
        <w:rPr>
          <w:lang w:val="en-GB"/>
        </w:rPr>
        <w:t xml:space="preserve"> </w:t>
      </w:r>
    </w:p>
    <w:p w14:paraId="59E10D97" w14:textId="77777777" w:rsidR="00F32F4C" w:rsidRDefault="00F32F4C" w:rsidP="00F32F4C">
      <w:pPr>
        <w:pStyle w:val="ListParagraph"/>
        <w:numPr>
          <w:ilvl w:val="0"/>
          <w:numId w:val="0"/>
        </w:numPr>
        <w:ind w:left="720"/>
        <w:rPr>
          <w:lang w:val="en-GB"/>
        </w:rPr>
      </w:pPr>
    </w:p>
    <w:p w14:paraId="704EA4B9" w14:textId="6D31253D" w:rsidR="00B941EE" w:rsidRDefault="00F32F4C" w:rsidP="00B941EE">
      <w:pPr>
        <w:pStyle w:val="ListParagraph"/>
        <w:rPr>
          <w:lang w:val="en-GB"/>
        </w:rPr>
      </w:pPr>
      <w:r w:rsidRPr="00F32F4C">
        <w:rPr>
          <w:lang w:val="en-GB"/>
        </w:rPr>
        <w:t>The EU Commission has limited mechanisms under the UK-EU Withdrawal Agreement to bring enforcement proceedings against the UK for failure to fulfil an obligation before the end of the transition period.</w:t>
      </w:r>
      <w:r w:rsidRPr="00F32F4C">
        <w:rPr>
          <w:rStyle w:val="FootnoteReference"/>
          <w:lang w:val="en-GB"/>
        </w:rPr>
        <w:footnoteReference w:id="50"/>
      </w:r>
      <w:r w:rsidRPr="00F32F4C">
        <w:rPr>
          <w:lang w:val="en-GB"/>
        </w:rPr>
        <w:t xml:space="preserve"> </w:t>
      </w:r>
      <w:r w:rsidR="0031041F">
        <w:rPr>
          <w:lang w:val="en-GB"/>
        </w:rPr>
        <w:t>For example</w:t>
      </w:r>
      <w:r w:rsidR="008F4E21">
        <w:rPr>
          <w:lang w:val="en-GB"/>
        </w:rPr>
        <w:t>, in respect of Windsor Framework Article 2,</w:t>
      </w:r>
      <w:r w:rsidR="0031041F">
        <w:rPr>
          <w:lang w:val="en-GB"/>
        </w:rPr>
        <w:t xml:space="preserve"> there is </w:t>
      </w:r>
      <w:r w:rsidRPr="00F32F4C">
        <w:rPr>
          <w:lang w:val="en-GB"/>
        </w:rPr>
        <w:t xml:space="preserve">no </w:t>
      </w:r>
      <w:r w:rsidR="0031041F">
        <w:rPr>
          <w:lang w:val="en-GB"/>
        </w:rPr>
        <w:t xml:space="preserve">provision </w:t>
      </w:r>
      <w:r w:rsidRPr="00F32F4C">
        <w:rPr>
          <w:lang w:val="en-GB"/>
        </w:rPr>
        <w:t xml:space="preserve">for the </w:t>
      </w:r>
      <w:r w:rsidR="008F4E21">
        <w:rPr>
          <w:lang w:val="en-GB"/>
        </w:rPr>
        <w:t>NI</w:t>
      </w:r>
      <w:r w:rsidRPr="00F32F4C">
        <w:rPr>
          <w:lang w:val="en-GB"/>
        </w:rPr>
        <w:t xml:space="preserve"> courts to issue a preliminary reference to the CJEU.</w:t>
      </w:r>
      <w:r w:rsidRPr="00F32F4C">
        <w:rPr>
          <w:rStyle w:val="FootnoteReference"/>
          <w:lang w:val="en-GB"/>
        </w:rPr>
        <w:footnoteReference w:id="51"/>
      </w:r>
      <w:r w:rsidRPr="00F32F4C">
        <w:rPr>
          <w:lang w:val="en-GB"/>
        </w:rPr>
        <w:t xml:space="preserve">  </w:t>
      </w:r>
    </w:p>
    <w:p w14:paraId="14123A61" w14:textId="77777777" w:rsidR="00B941EE" w:rsidRDefault="00B941EE" w:rsidP="00B941EE">
      <w:pPr>
        <w:pStyle w:val="ListParagraph"/>
        <w:numPr>
          <w:ilvl w:val="0"/>
          <w:numId w:val="0"/>
        </w:numPr>
        <w:ind w:left="720"/>
      </w:pPr>
    </w:p>
    <w:p w14:paraId="444DC9F2" w14:textId="7C8EB6FF" w:rsidR="00B941EE" w:rsidRPr="0009294F" w:rsidRDefault="00475D06" w:rsidP="00B941EE">
      <w:pPr>
        <w:pStyle w:val="ListParagraph"/>
        <w:rPr>
          <w:lang w:val="en-GB"/>
        </w:rPr>
      </w:pPr>
      <w:r w:rsidRPr="00B941EE">
        <w:t>Consequently</w:t>
      </w:r>
      <w:r w:rsidR="00EE75E8" w:rsidRPr="00B941EE">
        <w:t>,</w:t>
      </w:r>
      <w:r w:rsidRPr="00B941EE">
        <w:t xml:space="preserve"> </w:t>
      </w:r>
      <w:r w:rsidR="00533AE5">
        <w:t xml:space="preserve">in accordance with Section 7A of the EU (Withdrawal) Act 2018, </w:t>
      </w:r>
      <w:r w:rsidR="00741781" w:rsidRPr="00B941EE">
        <w:t xml:space="preserve">the </w:t>
      </w:r>
      <w:r w:rsidR="003F2CA4" w:rsidRPr="00B941EE">
        <w:t xml:space="preserve">effectiveness of the rights and safeguards under </w:t>
      </w:r>
      <w:r w:rsidR="00741781" w:rsidRPr="00B941EE">
        <w:t xml:space="preserve">Windsor Framework Article 2 will depend on how the NI courts and the UK Supreme Court </w:t>
      </w:r>
      <w:r w:rsidRPr="00B941EE">
        <w:t>give effect to EU law rights and remedies</w:t>
      </w:r>
      <w:r w:rsidR="003F2CA4" w:rsidRPr="00B941EE">
        <w:t xml:space="preserve"> in the context of the non-diminution commitment</w:t>
      </w:r>
      <w:r w:rsidRPr="00B941EE">
        <w:t>.</w:t>
      </w:r>
      <w:r w:rsidR="003F2CA4" w:rsidRPr="00B941EE">
        <w:t xml:space="preserve"> </w:t>
      </w:r>
      <w:r w:rsidR="00F57421">
        <w:t>This will have to be understood in the context of the wider dispute resolution procedures in the Withdrawal Agreement.</w:t>
      </w:r>
    </w:p>
    <w:p w14:paraId="3539A582" w14:textId="77777777" w:rsidR="00D04309" w:rsidRPr="00D04309" w:rsidRDefault="00D04309" w:rsidP="0009294F">
      <w:pPr>
        <w:pStyle w:val="ListParagraph"/>
        <w:numPr>
          <w:ilvl w:val="0"/>
          <w:numId w:val="0"/>
        </w:numPr>
        <w:ind w:left="720"/>
        <w:rPr>
          <w:lang w:val="en-GB"/>
        </w:rPr>
      </w:pPr>
    </w:p>
    <w:p w14:paraId="00DCE494" w14:textId="2F0D5CBC" w:rsidR="00D04309" w:rsidRDefault="00F57421" w:rsidP="0009294F">
      <w:pPr>
        <w:pStyle w:val="Heading2"/>
      </w:pPr>
      <w:r>
        <w:t xml:space="preserve">Dispute </w:t>
      </w:r>
      <w:r w:rsidR="00D76B67">
        <w:t xml:space="preserve">Resolution </w:t>
      </w:r>
      <w:r>
        <w:t>in the Withdrawal Agreement</w:t>
      </w:r>
    </w:p>
    <w:p w14:paraId="6124CF8A" w14:textId="7C1AB729" w:rsidR="003D3C95" w:rsidRPr="0057391E" w:rsidRDefault="00853144" w:rsidP="003D3C95">
      <w:pPr>
        <w:pStyle w:val="ListParagraph"/>
        <w:rPr>
          <w:lang w:val="en-GB"/>
        </w:rPr>
      </w:pPr>
      <w:r>
        <w:rPr>
          <w:lang w:val="en-GB"/>
        </w:rPr>
        <w:t xml:space="preserve">The Joint Committee is established pursuant to Article 165 of the Withdrawal Agreement. It is co-chaired by the UK and EU and </w:t>
      </w:r>
      <w:r w:rsidRPr="00853144">
        <w:rPr>
          <w:lang w:val="en-GB"/>
        </w:rPr>
        <w:t xml:space="preserve">responsible for the implementation and application of </w:t>
      </w:r>
      <w:r>
        <w:rPr>
          <w:lang w:val="en-GB"/>
        </w:rPr>
        <w:t xml:space="preserve">the </w:t>
      </w:r>
      <w:r w:rsidRPr="00853144">
        <w:rPr>
          <w:lang w:val="en-GB"/>
        </w:rPr>
        <w:t>Agreement</w:t>
      </w:r>
      <w:r>
        <w:rPr>
          <w:lang w:val="en-GB"/>
        </w:rPr>
        <w:t xml:space="preserve">. </w:t>
      </w:r>
      <w:r w:rsidR="006311D1">
        <w:rPr>
          <w:lang w:val="en-GB"/>
        </w:rPr>
        <w:t xml:space="preserve">The Joint Committee </w:t>
      </w:r>
      <w:r w:rsidRPr="00853144">
        <w:rPr>
          <w:lang w:val="en-GB"/>
        </w:rPr>
        <w:t>supervise</w:t>
      </w:r>
      <w:r w:rsidR="006311D1">
        <w:rPr>
          <w:lang w:val="en-GB"/>
        </w:rPr>
        <w:t>s</w:t>
      </w:r>
      <w:r w:rsidRPr="00853144">
        <w:rPr>
          <w:lang w:val="en-GB"/>
        </w:rPr>
        <w:t xml:space="preserve"> and facilitat</w:t>
      </w:r>
      <w:r w:rsidR="006311D1">
        <w:rPr>
          <w:lang w:val="en-GB"/>
        </w:rPr>
        <w:t>es</w:t>
      </w:r>
      <w:r w:rsidRPr="00853144">
        <w:rPr>
          <w:lang w:val="en-GB"/>
        </w:rPr>
        <w:t xml:space="preserve"> the implementation and application of </w:t>
      </w:r>
      <w:r>
        <w:rPr>
          <w:lang w:val="en-GB"/>
        </w:rPr>
        <w:t xml:space="preserve">the </w:t>
      </w:r>
      <w:r w:rsidRPr="00853144">
        <w:rPr>
          <w:lang w:val="en-GB"/>
        </w:rPr>
        <w:t>Agreement</w:t>
      </w:r>
      <w:r>
        <w:rPr>
          <w:lang w:val="en-GB"/>
        </w:rPr>
        <w:t xml:space="preserve"> and adopt </w:t>
      </w:r>
      <w:r>
        <w:rPr>
          <w:lang w:val="en-GB"/>
        </w:rPr>
        <w:lastRenderedPageBreak/>
        <w:t>binding decisions by mutual consent.</w:t>
      </w:r>
      <w:r w:rsidRPr="00F32F4C">
        <w:rPr>
          <w:rStyle w:val="FootnoteReference"/>
          <w:lang w:val="en-GB"/>
        </w:rPr>
        <w:footnoteReference w:id="52"/>
      </w:r>
      <w:r w:rsidR="006311D1">
        <w:rPr>
          <w:lang w:val="en-GB"/>
        </w:rPr>
        <w:t xml:space="preserve"> </w:t>
      </w:r>
      <w:r w:rsidR="0009294F">
        <w:rPr>
          <w:lang w:val="en-GB"/>
        </w:rPr>
        <w:t>Decisions of the Joint Committee ha</w:t>
      </w:r>
      <w:r w:rsidR="00496463">
        <w:rPr>
          <w:lang w:val="en-GB"/>
        </w:rPr>
        <w:t xml:space="preserve">ve the same legal effect as </w:t>
      </w:r>
      <w:r w:rsidR="003D3C95">
        <w:rPr>
          <w:lang w:val="en-GB"/>
        </w:rPr>
        <w:t xml:space="preserve">the Withdrawal Agreement. As noted by Van </w:t>
      </w:r>
      <w:proofErr w:type="spellStart"/>
      <w:r w:rsidR="003D3C95">
        <w:rPr>
          <w:lang w:val="en-GB"/>
        </w:rPr>
        <w:t>Nuffel</w:t>
      </w:r>
      <w:proofErr w:type="spellEnd"/>
      <w:r w:rsidR="003D3C95">
        <w:rPr>
          <w:lang w:val="en-GB"/>
        </w:rPr>
        <w:t xml:space="preserve">, </w:t>
      </w:r>
      <w:r w:rsidR="003D3C95">
        <w:t xml:space="preserve">Article 4(1) and (2) </w:t>
      </w:r>
      <w:proofErr w:type="gramStart"/>
      <w:r w:rsidR="003D3C95">
        <w:t>therefore  apply</w:t>
      </w:r>
      <w:proofErr w:type="gramEnd"/>
      <w:r w:rsidR="003D3C95">
        <w:t xml:space="preserve"> and</w:t>
      </w:r>
      <w:r w:rsidR="00262B88">
        <w:t xml:space="preserve"> Joint Committee decisions </w:t>
      </w:r>
      <w:r w:rsidR="003D3C95">
        <w:t>will benefit from the principles of primacy, full effectiveness and direct effect.</w:t>
      </w:r>
      <w:r w:rsidR="003D3C95" w:rsidRPr="00F32F4C">
        <w:rPr>
          <w:rStyle w:val="FootnoteReference"/>
          <w:lang w:val="en-GB"/>
        </w:rPr>
        <w:footnoteReference w:id="53"/>
      </w:r>
      <w:r w:rsidR="003D3C95">
        <w:t xml:space="preserve"> </w:t>
      </w:r>
    </w:p>
    <w:p w14:paraId="195DFC39" w14:textId="77777777" w:rsidR="003D3C95" w:rsidRPr="0057391E" w:rsidRDefault="003D3C95" w:rsidP="0057391E">
      <w:pPr>
        <w:pStyle w:val="ListParagraph"/>
        <w:numPr>
          <w:ilvl w:val="0"/>
          <w:numId w:val="0"/>
        </w:numPr>
        <w:ind w:left="720"/>
        <w:rPr>
          <w:lang w:val="en-GB"/>
        </w:rPr>
      </w:pPr>
    </w:p>
    <w:p w14:paraId="12FB4DF1" w14:textId="23247499" w:rsidR="00D04309" w:rsidRPr="0072472C" w:rsidRDefault="006311D1" w:rsidP="0072472C">
      <w:pPr>
        <w:pStyle w:val="ListParagraph"/>
      </w:pPr>
      <w:r w:rsidRPr="003D3C95">
        <w:t>Where the UK and the EU are unable to agree on the interpretation and application of the Withdrawal Agreement by mutual agreement, the arbitration procedure may be initiated by either party.</w:t>
      </w:r>
      <w:r w:rsidRPr="00F32F4C">
        <w:rPr>
          <w:rStyle w:val="FootnoteReference"/>
          <w:lang w:val="en-GB"/>
        </w:rPr>
        <w:footnoteReference w:id="54"/>
      </w:r>
      <w:r w:rsidRPr="003D3C95">
        <w:t xml:space="preserve"> Article 174 provides that where a dispute submitted to arbitration raises a question of interpretation of an EU law concept</w:t>
      </w:r>
      <w:r w:rsidR="006F0986" w:rsidRPr="003D3C95">
        <w:t>,</w:t>
      </w:r>
      <w:r w:rsidRPr="003D3C95">
        <w:t xml:space="preserve"> a provision of </w:t>
      </w:r>
      <w:r w:rsidR="006F0986" w:rsidRPr="003D3C95">
        <w:t xml:space="preserve">EU </w:t>
      </w:r>
      <w:r w:rsidRPr="003D3C95">
        <w:t>law referred to in the Withdrawal Agreement</w:t>
      </w:r>
      <w:r w:rsidR="006F0986" w:rsidRPr="003D3C95">
        <w:t xml:space="preserve">, or compliance with a CJEU judgment handed down before withdrawal, </w:t>
      </w:r>
      <w:r w:rsidR="0016176E" w:rsidRPr="003D3C95">
        <w:t xml:space="preserve">this should be referred to the CJEU to rule and its decision will </w:t>
      </w:r>
      <w:r w:rsidRPr="003D3C95">
        <w:t>be binding on the arbitration panel</w:t>
      </w:r>
      <w:r w:rsidR="0016176E" w:rsidRPr="003D3C95">
        <w:t>.</w:t>
      </w:r>
      <w:r w:rsidR="006F0986" w:rsidRPr="00F32F4C">
        <w:rPr>
          <w:rStyle w:val="FootnoteReference"/>
          <w:lang w:val="en-GB"/>
        </w:rPr>
        <w:footnoteReference w:id="55"/>
      </w:r>
      <w:r w:rsidR="006F0986" w:rsidRPr="003D3C95">
        <w:rPr>
          <w:rStyle w:val="FootnoteReference"/>
          <w:lang w:val="en-GB"/>
        </w:rPr>
        <w:t xml:space="preserve"> </w:t>
      </w:r>
      <w:r w:rsidR="006F0986" w:rsidRPr="003D3C95">
        <w:t>This obligation to refer questions of EU law to the CJEU applies both in relation to proceedings leading to an arbitration panel and also when such a question arises in the course of enforcement of an arbitration panel ruling.</w:t>
      </w:r>
      <w:r w:rsidR="006F0986">
        <w:rPr>
          <w:rStyle w:val="FootnoteReference"/>
          <w:lang w:val="en-GB"/>
        </w:rPr>
        <w:footnoteReference w:id="56"/>
      </w:r>
      <w:r w:rsidR="006F0986" w:rsidRPr="003D3C95">
        <w:t xml:space="preserve"> </w:t>
      </w:r>
    </w:p>
    <w:p w14:paraId="28405FE8" w14:textId="2C3FAFE5" w:rsidR="00475D06" w:rsidRPr="00F32F4C" w:rsidRDefault="00475D06" w:rsidP="00475D06"/>
    <w:p w14:paraId="4DC5579A" w14:textId="0100A896" w:rsidR="000054DC" w:rsidRPr="00F32F4C" w:rsidRDefault="000054DC" w:rsidP="000054DC">
      <w:pPr>
        <w:pStyle w:val="Heading2"/>
      </w:pPr>
      <w:r w:rsidRPr="00F32F4C">
        <w:t xml:space="preserve">EU Charter of Fundamental Rights </w:t>
      </w:r>
    </w:p>
    <w:p w14:paraId="31E80F0B" w14:textId="3C65C657" w:rsidR="00DB6ED7" w:rsidRPr="00200AA0" w:rsidRDefault="000054DC" w:rsidP="00DB6ED7">
      <w:pPr>
        <w:pStyle w:val="ListParagraph"/>
        <w:rPr>
          <w:lang w:val="en-GB"/>
        </w:rPr>
      </w:pPr>
      <w:bookmarkStart w:id="3" w:name="_Hlk166773245"/>
      <w:r w:rsidRPr="00F32F4C">
        <w:rPr>
          <w:lang w:val="en-GB"/>
        </w:rPr>
        <w:t>Where required by the UK-EU Withdrawal Agreement, including Windsor Framework Article 2, the EU Charter of Fundamental Rights continues to have relevance in NI</w:t>
      </w:r>
      <w:bookmarkEnd w:id="3"/>
      <w:r w:rsidRPr="00F32F4C">
        <w:rPr>
          <w:lang w:val="en-GB"/>
        </w:rPr>
        <w:t>.</w:t>
      </w:r>
      <w:r w:rsidR="005C456C" w:rsidRPr="00F32F4C">
        <w:rPr>
          <w:rStyle w:val="FootnoteReference"/>
          <w:lang w:val="en-GB"/>
        </w:rPr>
        <w:footnoteReference w:id="57"/>
      </w:r>
      <w:r w:rsidRPr="00F32F4C">
        <w:rPr>
          <w:lang w:val="en-GB"/>
        </w:rPr>
        <w:t xml:space="preserve"> This is an exception from Section 5(4) of the EU (Withdrawal) Act 2018 which provides that the EU Charter is not carried over by the general rules on the retention of EU law and is not part of UK law on or after 1 January 2021.</w:t>
      </w:r>
      <w:r w:rsidRPr="00F32F4C">
        <w:rPr>
          <w:rStyle w:val="FootnoteReference"/>
          <w:lang w:val="en-GB"/>
        </w:rPr>
        <w:footnoteReference w:id="58"/>
      </w:r>
      <w:r w:rsidRPr="00F32F4C">
        <w:rPr>
          <w:lang w:val="en-GB"/>
        </w:rPr>
        <w:t xml:space="preserve"> </w:t>
      </w:r>
      <w:r w:rsidR="00DB6ED7" w:rsidRPr="00200AA0">
        <w:rPr>
          <w:lang w:val="en-GB"/>
        </w:rPr>
        <w:t xml:space="preserve">The Commission has undertaken research on the continued application of the EU Charter in the context of Windsor Framework </w:t>
      </w:r>
      <w:r w:rsidR="00DB6ED7" w:rsidRPr="00200AA0">
        <w:rPr>
          <w:lang w:val="en-GB"/>
        </w:rPr>
        <w:lastRenderedPageBreak/>
        <w:t>Article 2.</w:t>
      </w:r>
      <w:r w:rsidR="00DB6ED7" w:rsidRPr="00200AA0">
        <w:rPr>
          <w:rStyle w:val="FootnoteReference"/>
          <w:lang w:val="en-GB"/>
        </w:rPr>
        <w:footnoteReference w:id="59"/>
      </w:r>
    </w:p>
    <w:p w14:paraId="535028E9" w14:textId="77777777" w:rsidR="000054DC" w:rsidRPr="00F32F4C" w:rsidRDefault="000054DC" w:rsidP="000054DC"/>
    <w:p w14:paraId="510AE9CD" w14:textId="453E5A1F" w:rsidR="000054DC" w:rsidRPr="00F32F4C" w:rsidRDefault="000054DC" w:rsidP="00B941EE">
      <w:pPr>
        <w:pStyle w:val="Heading3"/>
      </w:pPr>
      <w:r w:rsidRPr="00F32F4C">
        <w:t xml:space="preserve">Article 47 of the Charter </w:t>
      </w:r>
    </w:p>
    <w:p w14:paraId="0BA52898" w14:textId="3FFD1F7F" w:rsidR="00336417" w:rsidRPr="00F32F4C" w:rsidRDefault="00D11AFA" w:rsidP="00336417">
      <w:pPr>
        <w:pStyle w:val="ListParagraph"/>
        <w:rPr>
          <w:lang w:val="en-GB"/>
        </w:rPr>
      </w:pPr>
      <w:r w:rsidRPr="00F32F4C">
        <w:rPr>
          <w:lang w:val="en-GB"/>
        </w:rPr>
        <w:t>The right to an effective remedy is core to the principle of effectiveness of EU law</w:t>
      </w:r>
      <w:r w:rsidR="00336417" w:rsidRPr="00F32F4C">
        <w:rPr>
          <w:lang w:val="en-GB"/>
        </w:rPr>
        <w:t xml:space="preserve"> and </w:t>
      </w:r>
      <w:r w:rsidR="00602BEA" w:rsidRPr="00F32F4C">
        <w:rPr>
          <w:lang w:val="en-GB"/>
        </w:rPr>
        <w:t>“the affirmation that the right to an effective remedy is sufficient in itself and does not need to be made more specific by provisions of EU or national law in order to confer on individuals a right on which they may rely as such”</w:t>
      </w:r>
      <w:r w:rsidR="0072472C">
        <w:rPr>
          <w:lang w:val="en-GB"/>
        </w:rPr>
        <w:t>.</w:t>
      </w:r>
      <w:r w:rsidR="00602BEA" w:rsidRPr="00F32F4C">
        <w:rPr>
          <w:rStyle w:val="FootnoteReference"/>
          <w:rFonts w:cstheme="minorHAnsi"/>
          <w:lang w:val="en-GB"/>
        </w:rPr>
        <w:footnoteReference w:id="60"/>
      </w:r>
      <w:r w:rsidR="00AB666C" w:rsidRPr="00F32F4C">
        <w:rPr>
          <w:lang w:val="en-GB"/>
        </w:rPr>
        <w:t xml:space="preserve"> </w:t>
      </w:r>
      <w:r w:rsidRPr="00F32F4C">
        <w:rPr>
          <w:lang w:val="en-GB"/>
        </w:rPr>
        <w:t xml:space="preserve">As noted by </w:t>
      </w:r>
      <w:r w:rsidR="00737913">
        <w:rPr>
          <w:lang w:val="en-GB"/>
        </w:rPr>
        <w:t>Craig</w:t>
      </w:r>
      <w:r w:rsidR="002575FB" w:rsidRPr="00F32F4C">
        <w:rPr>
          <w:lang w:val="en-GB"/>
        </w:rPr>
        <w:t xml:space="preserve"> et al, “the right to effective judicial protection is being shaped into one of the most significant elements EU human rights law, and is currently the most litigated provision of the [EU]</w:t>
      </w:r>
      <w:r w:rsidR="00217E95">
        <w:rPr>
          <w:lang w:val="en-GB"/>
        </w:rPr>
        <w:t xml:space="preserve"> </w:t>
      </w:r>
      <w:r w:rsidR="002575FB" w:rsidRPr="00F32F4C">
        <w:rPr>
          <w:lang w:val="en-GB"/>
        </w:rPr>
        <w:t>Charter”.</w:t>
      </w:r>
      <w:r w:rsidR="002575FB" w:rsidRPr="00F32F4C">
        <w:rPr>
          <w:rStyle w:val="FootnoteReference"/>
          <w:lang w:val="en-GB"/>
        </w:rPr>
        <w:footnoteReference w:id="61"/>
      </w:r>
      <w:r w:rsidR="002575FB" w:rsidRPr="00F32F4C">
        <w:rPr>
          <w:lang w:val="en-GB"/>
        </w:rPr>
        <w:t xml:space="preserve">  </w:t>
      </w:r>
      <w:r w:rsidR="00CB0F0D" w:rsidRPr="00F32F4C">
        <w:rPr>
          <w:lang w:val="en-GB"/>
        </w:rPr>
        <w:t xml:space="preserve">Craig and de </w:t>
      </w:r>
      <w:proofErr w:type="spellStart"/>
      <w:r w:rsidR="00CB0F0D" w:rsidRPr="00F32F4C">
        <w:rPr>
          <w:lang w:val="en-GB"/>
        </w:rPr>
        <w:t>B</w:t>
      </w:r>
      <w:r w:rsidR="00217E95">
        <w:rPr>
          <w:lang w:val="en-GB"/>
        </w:rPr>
        <w:t>ú</w:t>
      </w:r>
      <w:r w:rsidR="00CB0F0D" w:rsidRPr="00F32F4C">
        <w:rPr>
          <w:lang w:val="en-GB"/>
        </w:rPr>
        <w:t>rca</w:t>
      </w:r>
      <w:proofErr w:type="spellEnd"/>
      <w:r w:rsidR="00CB0F0D" w:rsidRPr="00F32F4C">
        <w:rPr>
          <w:lang w:val="en-GB"/>
        </w:rPr>
        <w:t xml:space="preserve"> </w:t>
      </w:r>
      <w:r w:rsidR="003F1335" w:rsidRPr="00F32F4C">
        <w:rPr>
          <w:lang w:val="en-GB"/>
        </w:rPr>
        <w:t xml:space="preserve">also </w:t>
      </w:r>
      <w:r w:rsidR="00CB0F0D" w:rsidRPr="00F32F4C">
        <w:rPr>
          <w:lang w:val="en-GB"/>
        </w:rPr>
        <w:t xml:space="preserve">note that there </w:t>
      </w:r>
      <w:r w:rsidR="003F1335" w:rsidRPr="00F32F4C">
        <w:rPr>
          <w:lang w:val="en-GB"/>
        </w:rPr>
        <w:t>has been an increasing reliance by the CJEU on the ECHR and EU Charter to “underscore the principle of effective judicial protection as a fundamental right”.</w:t>
      </w:r>
      <w:r w:rsidR="003F1335" w:rsidRPr="00F32F4C">
        <w:rPr>
          <w:rStyle w:val="FootnoteReference"/>
          <w:lang w:val="en-GB"/>
        </w:rPr>
        <w:footnoteReference w:id="62"/>
      </w:r>
    </w:p>
    <w:p w14:paraId="26A0353C" w14:textId="77777777" w:rsidR="00336417" w:rsidRPr="00F32F4C" w:rsidRDefault="00336417" w:rsidP="00336417">
      <w:pPr>
        <w:pStyle w:val="ListParagraph"/>
        <w:numPr>
          <w:ilvl w:val="0"/>
          <w:numId w:val="0"/>
        </w:numPr>
        <w:ind w:left="720"/>
        <w:rPr>
          <w:lang w:val="en-GB"/>
        </w:rPr>
      </w:pPr>
    </w:p>
    <w:p w14:paraId="53B6FB01" w14:textId="77DD7788" w:rsidR="000054DC" w:rsidRDefault="000054DC" w:rsidP="00336417">
      <w:pPr>
        <w:pStyle w:val="ListParagraph"/>
        <w:rPr>
          <w:lang w:val="en-GB"/>
        </w:rPr>
      </w:pPr>
      <w:r w:rsidRPr="00F32F4C">
        <w:rPr>
          <w:lang w:val="en-GB"/>
        </w:rPr>
        <w:t>A string of cases</w:t>
      </w:r>
      <w:r w:rsidR="00336417" w:rsidRPr="00F32F4C">
        <w:rPr>
          <w:lang w:val="en-GB"/>
        </w:rPr>
        <w:t xml:space="preserve"> </w:t>
      </w:r>
      <w:r w:rsidR="00EE75E8">
        <w:rPr>
          <w:lang w:val="en-GB"/>
        </w:rPr>
        <w:t xml:space="preserve">in the CJEU </w:t>
      </w:r>
      <w:r w:rsidRPr="00F32F4C">
        <w:rPr>
          <w:lang w:val="en-GB"/>
        </w:rPr>
        <w:t>confirm that the “real and effective judicial protection”</w:t>
      </w:r>
      <w:r w:rsidRPr="00F32F4C">
        <w:rPr>
          <w:rStyle w:val="FootnoteReference"/>
          <w:rFonts w:cstheme="minorHAnsi"/>
          <w:lang w:val="en-GB"/>
        </w:rPr>
        <w:footnoteReference w:id="63"/>
      </w:r>
      <w:r w:rsidRPr="00F32F4C">
        <w:rPr>
          <w:lang w:val="en-GB"/>
        </w:rPr>
        <w:t xml:space="preserve"> required covers procedural matters and substantive law: admissibility and standing</w:t>
      </w:r>
      <w:r w:rsidR="00336417" w:rsidRPr="00F32F4C">
        <w:rPr>
          <w:lang w:val="en-GB"/>
        </w:rPr>
        <w:t>,</w:t>
      </w:r>
      <w:r w:rsidRPr="00F32F4C">
        <w:rPr>
          <w:rStyle w:val="FootnoteReference"/>
          <w:rFonts w:cstheme="minorHAnsi"/>
          <w:lang w:val="en-GB"/>
        </w:rPr>
        <w:footnoteReference w:id="64"/>
      </w:r>
      <w:r w:rsidRPr="00F32F4C">
        <w:rPr>
          <w:lang w:val="en-GB"/>
        </w:rPr>
        <w:t xml:space="preserve"> interim protection</w:t>
      </w:r>
      <w:r w:rsidRPr="00F32F4C">
        <w:rPr>
          <w:rStyle w:val="FootnoteReference"/>
          <w:rFonts w:cstheme="minorHAnsi"/>
          <w:lang w:val="en-GB"/>
        </w:rPr>
        <w:footnoteReference w:id="65"/>
      </w:r>
      <w:r w:rsidRPr="00F32F4C">
        <w:rPr>
          <w:lang w:val="en-GB"/>
        </w:rPr>
        <w:t xml:space="preserve"> as well as legal aid. Rules of evidence in Member States are also subject to review under </w:t>
      </w:r>
      <w:r w:rsidR="00336417" w:rsidRPr="00F32F4C">
        <w:rPr>
          <w:lang w:val="en-GB"/>
        </w:rPr>
        <w:t>Article 47 of the EU Charter</w:t>
      </w:r>
      <w:r w:rsidR="00EE75E8">
        <w:rPr>
          <w:lang w:val="en-GB"/>
        </w:rPr>
        <w:t>.</w:t>
      </w:r>
      <w:r w:rsidRPr="00F32F4C">
        <w:rPr>
          <w:rStyle w:val="FootnoteReference"/>
          <w:rFonts w:cstheme="minorHAnsi"/>
          <w:lang w:val="en-GB"/>
        </w:rPr>
        <w:footnoteReference w:id="66"/>
      </w:r>
      <w:r w:rsidRPr="00F32F4C">
        <w:rPr>
          <w:lang w:val="en-GB"/>
        </w:rPr>
        <w:t xml:space="preserve"> </w:t>
      </w:r>
      <w:r w:rsidR="00EE75E8">
        <w:rPr>
          <w:lang w:val="en-GB"/>
        </w:rPr>
        <w:t xml:space="preserve">As is the principle of </w:t>
      </w:r>
      <w:r w:rsidRPr="00F32F4C">
        <w:rPr>
          <w:lang w:val="en-GB"/>
        </w:rPr>
        <w:t>equality of arms</w:t>
      </w:r>
      <w:r w:rsidR="001F3D74">
        <w:rPr>
          <w:lang w:val="en-GB"/>
        </w:rPr>
        <w:t xml:space="preserve"> – </w:t>
      </w:r>
      <w:r w:rsidRPr="00F32F4C">
        <w:rPr>
          <w:lang w:val="en-GB"/>
        </w:rPr>
        <w:t xml:space="preserve">the </w:t>
      </w:r>
      <w:r w:rsidR="00EE75E8">
        <w:rPr>
          <w:lang w:val="en-GB"/>
        </w:rPr>
        <w:t>“</w:t>
      </w:r>
      <w:r w:rsidRPr="00F32F4C">
        <w:rPr>
          <w:lang w:val="en-GB"/>
        </w:rPr>
        <w:t>obligation to offer each party a reasonabl</w:t>
      </w:r>
      <w:r w:rsidR="002D459C">
        <w:rPr>
          <w:lang w:val="en-GB"/>
        </w:rPr>
        <w:t>e</w:t>
      </w:r>
      <w:r w:rsidRPr="00F32F4C">
        <w:rPr>
          <w:lang w:val="en-GB"/>
        </w:rPr>
        <w:t xml:space="preserve"> opportunity to present its case in conditions that do not place it in a clearly less advantageous position by comparison with its opponent</w:t>
      </w:r>
      <w:r w:rsidR="00EE75E8">
        <w:rPr>
          <w:lang w:val="en-GB"/>
        </w:rPr>
        <w:t>”</w:t>
      </w:r>
      <w:r w:rsidRPr="00F32F4C">
        <w:rPr>
          <w:lang w:val="en-GB"/>
        </w:rPr>
        <w:t>.</w:t>
      </w:r>
      <w:r w:rsidRPr="00F32F4C">
        <w:rPr>
          <w:rStyle w:val="FootnoteReference"/>
          <w:rFonts w:cstheme="minorHAnsi"/>
          <w:lang w:val="en-GB"/>
        </w:rPr>
        <w:footnoteReference w:id="67"/>
      </w:r>
    </w:p>
    <w:p w14:paraId="252B5D53" w14:textId="77777777" w:rsidR="001D3051" w:rsidRPr="001D3051" w:rsidRDefault="001D3051" w:rsidP="001D3051">
      <w:pPr>
        <w:pStyle w:val="ListParagraph"/>
        <w:numPr>
          <w:ilvl w:val="0"/>
          <w:numId w:val="0"/>
        </w:numPr>
        <w:ind w:left="720"/>
        <w:rPr>
          <w:lang w:val="en-GB"/>
        </w:rPr>
      </w:pPr>
    </w:p>
    <w:p w14:paraId="1C9898D1" w14:textId="0AA8F3A0" w:rsidR="001D3051" w:rsidRPr="00200AA0" w:rsidRDefault="001D3051" w:rsidP="00336417">
      <w:pPr>
        <w:pStyle w:val="ListParagraph"/>
        <w:rPr>
          <w:lang w:val="en-GB"/>
        </w:rPr>
      </w:pPr>
      <w:r w:rsidRPr="00200AA0">
        <w:rPr>
          <w:lang w:val="en-GB"/>
        </w:rPr>
        <w:t>As noted by Lock et al</w:t>
      </w:r>
      <w:r w:rsidR="00533AE5" w:rsidRPr="00200AA0">
        <w:rPr>
          <w:lang w:val="en-GB"/>
        </w:rPr>
        <w:t xml:space="preserve">, </w:t>
      </w:r>
      <w:r w:rsidRPr="00200AA0">
        <w:rPr>
          <w:lang w:val="en-GB"/>
        </w:rPr>
        <w:t xml:space="preserve">the remedial strength of the Charter was </w:t>
      </w:r>
      <w:r w:rsidR="00533AE5" w:rsidRPr="00200AA0">
        <w:rPr>
          <w:lang w:val="en-GB"/>
        </w:rPr>
        <w:t xml:space="preserve">a </w:t>
      </w:r>
      <w:r w:rsidRPr="00200AA0">
        <w:rPr>
          <w:lang w:val="en-GB"/>
        </w:rPr>
        <w:t xml:space="preserve">key </w:t>
      </w:r>
      <w:r w:rsidR="00533AE5" w:rsidRPr="00200AA0">
        <w:rPr>
          <w:lang w:val="en-GB"/>
        </w:rPr>
        <w:t>‘</w:t>
      </w:r>
      <w:r w:rsidRPr="00200AA0">
        <w:rPr>
          <w:lang w:val="en-GB"/>
        </w:rPr>
        <w:t>added value</w:t>
      </w:r>
      <w:r w:rsidR="00533AE5" w:rsidRPr="00200AA0">
        <w:rPr>
          <w:lang w:val="en-GB"/>
        </w:rPr>
        <w:t>’</w:t>
      </w:r>
      <w:r w:rsidRPr="00200AA0">
        <w:rPr>
          <w:lang w:val="en-GB"/>
        </w:rPr>
        <w:t xml:space="preserve"> recognised by the UK Supreme Court before </w:t>
      </w:r>
      <w:r w:rsidRPr="00200AA0">
        <w:rPr>
          <w:lang w:val="en-GB"/>
        </w:rPr>
        <w:lastRenderedPageBreak/>
        <w:t>Brexit</w:t>
      </w:r>
      <w:r w:rsidR="00533AE5" w:rsidRPr="00200AA0">
        <w:rPr>
          <w:lang w:val="en-GB"/>
        </w:rPr>
        <w:t xml:space="preserve"> and it is therefore </w:t>
      </w:r>
      <w:r w:rsidRPr="00200AA0">
        <w:rPr>
          <w:lang w:val="en-GB"/>
        </w:rPr>
        <w:t>essential that this feature be maintained within the non-diminution guarantee.</w:t>
      </w:r>
      <w:r w:rsidRPr="00200AA0">
        <w:rPr>
          <w:rStyle w:val="FootnoteReference"/>
          <w:lang w:val="en-GB"/>
        </w:rPr>
        <w:footnoteReference w:id="68"/>
      </w:r>
      <w:r w:rsidRPr="00200AA0">
        <w:rPr>
          <w:lang w:val="en-GB"/>
        </w:rPr>
        <w:t xml:space="preserve"> This research further notes that the remedies available th</w:t>
      </w:r>
      <w:r w:rsidR="00533AE5" w:rsidRPr="00200AA0">
        <w:rPr>
          <w:lang w:val="en-GB"/>
        </w:rPr>
        <w:t>r</w:t>
      </w:r>
      <w:r w:rsidRPr="00200AA0">
        <w:rPr>
          <w:lang w:val="en-GB"/>
        </w:rPr>
        <w:t>ough the Charter are stronger than those available through the ECHR within the UK and further noting, in particular, the issue of delay in respect of getting a final decision from the European Court of Human Rights.</w:t>
      </w:r>
      <w:r w:rsidR="00605350" w:rsidRPr="00200AA0">
        <w:rPr>
          <w:rStyle w:val="FootnoteReference"/>
          <w:lang w:val="en-GB"/>
        </w:rPr>
        <w:footnoteReference w:id="69"/>
      </w:r>
    </w:p>
    <w:p w14:paraId="58671F2D" w14:textId="77777777" w:rsidR="003029F6" w:rsidRPr="00F32F4C" w:rsidRDefault="003029F6" w:rsidP="003029F6"/>
    <w:p w14:paraId="0723E7EE" w14:textId="77777777" w:rsidR="003029F6" w:rsidRPr="00F32F4C" w:rsidRDefault="003029F6" w:rsidP="003029F6">
      <w:pPr>
        <w:pStyle w:val="Heading2"/>
      </w:pPr>
      <w:r w:rsidRPr="00F32F4C">
        <w:t>Safeguards in the Belfast (Good Friday) Agreement 1998</w:t>
      </w:r>
    </w:p>
    <w:p w14:paraId="07853C21" w14:textId="7A79520B" w:rsidR="003029F6" w:rsidRPr="00F32F4C" w:rsidRDefault="003029F6" w:rsidP="003029F6">
      <w:pPr>
        <w:pStyle w:val="ListParagraph"/>
        <w:rPr>
          <w:lang w:val="en-GB"/>
        </w:rPr>
      </w:pPr>
      <w:r w:rsidRPr="00F32F4C">
        <w:rPr>
          <w:lang w:val="en-GB"/>
        </w:rPr>
        <w:t xml:space="preserve">The commitment in Windsor Framework Article 2 is to ensure no diminution of the rights and </w:t>
      </w:r>
      <w:r w:rsidRPr="00F32F4C">
        <w:rPr>
          <w:i/>
          <w:iCs/>
          <w:lang w:val="en-GB"/>
        </w:rPr>
        <w:t>safeguards</w:t>
      </w:r>
      <w:r w:rsidRPr="00F32F4C">
        <w:rPr>
          <w:lang w:val="en-GB"/>
        </w:rPr>
        <w:t xml:space="preserve"> in the relevant chapter of the Belfast (Good Friday) Agreement.  As noted by </w:t>
      </w:r>
      <w:r w:rsidR="00737913">
        <w:rPr>
          <w:lang w:val="en-GB"/>
        </w:rPr>
        <w:t xml:space="preserve">Craig </w:t>
      </w:r>
      <w:r w:rsidRPr="00F32F4C">
        <w:rPr>
          <w:lang w:val="en-GB"/>
        </w:rPr>
        <w:t>et al, “the CJEU views effective judicial protection as a procedural right that is integral to European Union law, both in the field of equal treatment and in respect of other directly effective rights”.</w:t>
      </w:r>
      <w:r w:rsidRPr="00F32F4C">
        <w:rPr>
          <w:rStyle w:val="FootnoteReference"/>
          <w:lang w:val="en-GB"/>
        </w:rPr>
        <w:footnoteReference w:id="70"/>
      </w:r>
      <w:r w:rsidRPr="00F32F4C">
        <w:rPr>
          <w:lang w:val="en-GB"/>
        </w:rPr>
        <w:t xml:space="preserve"> The authors further note that consequently “effective judicial protection must be viewed as inherent in the concepts of ‘safeguards’ and ‘civil rights’ within this section of the 1998 Agreement”.</w:t>
      </w:r>
      <w:r w:rsidRPr="00F32F4C">
        <w:rPr>
          <w:rStyle w:val="FootnoteReference"/>
          <w:lang w:val="en-GB"/>
        </w:rPr>
        <w:footnoteReference w:id="71"/>
      </w:r>
      <w:r w:rsidRPr="00F32F4C">
        <w:rPr>
          <w:lang w:val="en-GB"/>
        </w:rPr>
        <w:t xml:space="preserve">  </w:t>
      </w:r>
    </w:p>
    <w:p w14:paraId="1D6066FA" w14:textId="77777777" w:rsidR="003029F6" w:rsidRPr="00F32F4C" w:rsidRDefault="003029F6" w:rsidP="003029F6">
      <w:pPr>
        <w:pStyle w:val="ListParagraph"/>
        <w:numPr>
          <w:ilvl w:val="0"/>
          <w:numId w:val="0"/>
        </w:numPr>
        <w:ind w:left="720"/>
        <w:rPr>
          <w:lang w:val="en-GB"/>
        </w:rPr>
      </w:pPr>
    </w:p>
    <w:p w14:paraId="165B4603" w14:textId="4808BF25" w:rsidR="003029F6" w:rsidRPr="000D3058" w:rsidRDefault="003029F6" w:rsidP="003029F6">
      <w:pPr>
        <w:pStyle w:val="ListParagraph"/>
        <w:rPr>
          <w:lang w:val="en-GB"/>
        </w:rPr>
      </w:pPr>
      <w:bookmarkStart w:id="4" w:name="_Hlk158126728"/>
      <w:r w:rsidRPr="000D3058">
        <w:rPr>
          <w:lang w:val="en-GB"/>
        </w:rPr>
        <w:t xml:space="preserve">There has been little analysis </w:t>
      </w:r>
      <w:proofErr w:type="gramStart"/>
      <w:r w:rsidRPr="000D3058">
        <w:rPr>
          <w:lang w:val="en-GB"/>
        </w:rPr>
        <w:t>as yet</w:t>
      </w:r>
      <w:bookmarkEnd w:id="4"/>
      <w:proofErr w:type="gramEnd"/>
      <w:r w:rsidRPr="000D3058">
        <w:rPr>
          <w:lang w:val="en-GB"/>
        </w:rPr>
        <w:t xml:space="preserve"> of the extent to which the concept of safeguards in the relevant chapter of the 1998 Agreement provides for additional mechanisms for identifying relevant remedies.  </w:t>
      </w:r>
      <w:r w:rsidR="001F3D74" w:rsidRPr="000D3058">
        <w:rPr>
          <w:lang w:val="en-GB"/>
        </w:rPr>
        <w:t>Further</w:t>
      </w:r>
      <w:r w:rsidRPr="000D3058">
        <w:rPr>
          <w:lang w:val="en-GB"/>
        </w:rPr>
        <w:t xml:space="preserve"> </w:t>
      </w:r>
      <w:r w:rsidR="001F3D74" w:rsidRPr="000D3058">
        <w:rPr>
          <w:lang w:val="en-GB"/>
        </w:rPr>
        <w:t xml:space="preserve">analysis is required to explore the </w:t>
      </w:r>
      <w:r w:rsidR="00735D56" w:rsidRPr="000D3058">
        <w:rPr>
          <w:lang w:val="en-GB"/>
        </w:rPr>
        <w:t xml:space="preserve">manner and </w:t>
      </w:r>
      <w:r w:rsidR="001F3D74" w:rsidRPr="000D3058">
        <w:rPr>
          <w:lang w:val="en-GB"/>
        </w:rPr>
        <w:t xml:space="preserve">extent to which </w:t>
      </w:r>
      <w:r w:rsidRPr="000D3058">
        <w:rPr>
          <w:lang w:val="en-GB"/>
        </w:rPr>
        <w:t xml:space="preserve">the principles of effectiveness of EU law and effective judicial protection </w:t>
      </w:r>
      <w:r w:rsidR="001F3D74" w:rsidRPr="000D3058">
        <w:rPr>
          <w:lang w:val="en-GB"/>
        </w:rPr>
        <w:t xml:space="preserve">apply and add value </w:t>
      </w:r>
      <w:r w:rsidRPr="000D3058">
        <w:rPr>
          <w:lang w:val="en-GB"/>
        </w:rPr>
        <w:t xml:space="preserve">in that context.  </w:t>
      </w:r>
    </w:p>
    <w:p w14:paraId="0F9D1D1E" w14:textId="77777777" w:rsidR="000054DC" w:rsidRPr="00F32F4C" w:rsidRDefault="000054DC" w:rsidP="00487D2D"/>
    <w:p w14:paraId="3E1D085E" w14:textId="2BAE5FA1" w:rsidR="00080B65" w:rsidRPr="00217E95" w:rsidRDefault="00080B65" w:rsidP="0013645C">
      <w:pPr>
        <w:pStyle w:val="Heading2"/>
      </w:pPr>
      <w:r w:rsidRPr="00217E95">
        <w:t xml:space="preserve">Disapplication </w:t>
      </w:r>
    </w:p>
    <w:p w14:paraId="6045497B" w14:textId="1F0EACBB" w:rsidR="00217E95" w:rsidRPr="00F57421" w:rsidRDefault="00217E95" w:rsidP="0031041F">
      <w:pPr>
        <w:pStyle w:val="ListParagraph"/>
        <w:rPr>
          <w:lang w:val="en-GB"/>
        </w:rPr>
      </w:pPr>
      <w:r>
        <w:rPr>
          <w:lang w:val="en-GB"/>
        </w:rPr>
        <w:t xml:space="preserve">As noted above, </w:t>
      </w:r>
      <w:r w:rsidRPr="00F32F4C">
        <w:rPr>
          <w:lang w:val="en-GB"/>
        </w:rPr>
        <w:t xml:space="preserve">Article 4(2) of the Withdrawal Agreement </w:t>
      </w:r>
      <w:r>
        <w:rPr>
          <w:lang w:val="en-GB"/>
        </w:rPr>
        <w:t xml:space="preserve">requires </w:t>
      </w:r>
      <w:r w:rsidRPr="00F32F4C">
        <w:rPr>
          <w:lang w:val="en-GB"/>
        </w:rPr>
        <w:t xml:space="preserve">the UK </w:t>
      </w:r>
      <w:r w:rsidR="00262B88">
        <w:rPr>
          <w:lang w:val="en-GB"/>
        </w:rPr>
        <w:t xml:space="preserve">to </w:t>
      </w:r>
      <w:r>
        <w:rPr>
          <w:lang w:val="en-GB"/>
        </w:rPr>
        <w:t xml:space="preserve">ensure that </w:t>
      </w:r>
      <w:r w:rsidRPr="00F32F4C">
        <w:rPr>
          <w:lang w:val="en-GB"/>
        </w:rPr>
        <w:t xml:space="preserve">judicial and administrative authorities </w:t>
      </w:r>
      <w:r>
        <w:rPr>
          <w:lang w:val="en-GB"/>
        </w:rPr>
        <w:t xml:space="preserve">have the power </w:t>
      </w:r>
      <w:r w:rsidRPr="00F32F4C">
        <w:rPr>
          <w:lang w:val="en-GB"/>
        </w:rPr>
        <w:t>to disapply domestic provisions</w:t>
      </w:r>
      <w:r>
        <w:rPr>
          <w:lang w:val="en-GB"/>
        </w:rPr>
        <w:t xml:space="preserve"> which are </w:t>
      </w:r>
      <w:r w:rsidRPr="00F32F4C">
        <w:rPr>
          <w:lang w:val="en-GB"/>
        </w:rPr>
        <w:t>inconsistent or incompatible</w:t>
      </w:r>
      <w:r>
        <w:rPr>
          <w:lang w:val="en-GB"/>
        </w:rPr>
        <w:t xml:space="preserve"> with the Withdrawal Agreement or EU law made </w:t>
      </w:r>
      <w:r>
        <w:rPr>
          <w:lang w:val="en-GB"/>
        </w:rPr>
        <w:lastRenderedPageBreak/>
        <w:t>applicable by it</w:t>
      </w:r>
      <w:r w:rsidRPr="00F32F4C">
        <w:rPr>
          <w:lang w:val="en-GB"/>
        </w:rPr>
        <w:t>.</w:t>
      </w:r>
      <w:r w:rsidRPr="00F32F4C">
        <w:rPr>
          <w:rStyle w:val="FootnoteReference"/>
          <w:lang w:val="en-GB"/>
        </w:rPr>
        <w:footnoteReference w:id="72"/>
      </w:r>
      <w:r>
        <w:rPr>
          <w:lang w:val="en-GB"/>
        </w:rPr>
        <w:t xml:space="preserve">  This is given effect by </w:t>
      </w:r>
      <w:r w:rsidRPr="00262B88">
        <w:rPr>
          <w:lang w:val="en-GB"/>
        </w:rPr>
        <w:t>Section 7A of the EU (Withdrawal) Act 2018. The England and Wales Court of Appeal has confirmed that these provisions, taken together, confer “direct effect on litigants and a connected power and duty on the national courts to disapply inconsistent domestic law”.</w:t>
      </w:r>
      <w:r w:rsidRPr="00262B88">
        <w:rPr>
          <w:rStyle w:val="FootnoteReference"/>
          <w:lang w:val="en-GB"/>
        </w:rPr>
        <w:footnoteReference w:id="73"/>
      </w:r>
      <w:r w:rsidR="000D3058">
        <w:rPr>
          <w:lang w:val="en-GB"/>
        </w:rPr>
        <w:t xml:space="preserve">  </w:t>
      </w:r>
      <w:r w:rsidR="00736DBD">
        <w:rPr>
          <w:lang w:val="en-GB"/>
        </w:rPr>
        <w:t>D</w:t>
      </w:r>
      <w:r w:rsidR="000D3058">
        <w:rPr>
          <w:lang w:val="en-GB"/>
        </w:rPr>
        <w:t xml:space="preserve">isapplication has been adopted as the appropriate remedy for a breach of Windsor Framework Article 2 in </w:t>
      </w:r>
      <w:r w:rsidR="000D3058" w:rsidRPr="000D3058">
        <w:rPr>
          <w:i/>
          <w:iCs/>
          <w:lang w:val="en-GB"/>
        </w:rPr>
        <w:t>Re Dillon and others</w:t>
      </w:r>
      <w:r w:rsidR="000D3058" w:rsidRPr="000D3058">
        <w:rPr>
          <w:rStyle w:val="FootnoteReference"/>
        </w:rPr>
        <w:footnoteReference w:id="74"/>
      </w:r>
      <w:r w:rsidR="000D3058">
        <w:rPr>
          <w:lang w:val="en-GB"/>
        </w:rPr>
        <w:t xml:space="preserve"> and </w:t>
      </w:r>
      <w:r w:rsidR="000D3058" w:rsidRPr="000D3058">
        <w:rPr>
          <w:i/>
          <w:iCs/>
          <w:lang w:val="en-GB"/>
        </w:rPr>
        <w:t>Re NIHRC</w:t>
      </w:r>
      <w:r w:rsidR="000D3058">
        <w:rPr>
          <w:lang w:val="en-GB"/>
        </w:rPr>
        <w:t>.</w:t>
      </w:r>
      <w:r w:rsidR="000D3058">
        <w:rPr>
          <w:rStyle w:val="FootnoteReference"/>
        </w:rPr>
        <w:footnoteReference w:id="75"/>
      </w:r>
      <w:r w:rsidR="000D3058">
        <w:rPr>
          <w:lang w:val="en-GB"/>
        </w:rPr>
        <w:t xml:space="preserve"> </w:t>
      </w:r>
    </w:p>
    <w:p w14:paraId="6DE53603" w14:textId="77777777" w:rsidR="004743D1" w:rsidRDefault="004743D1" w:rsidP="004743D1">
      <w:pPr>
        <w:pStyle w:val="ListParagraph"/>
        <w:numPr>
          <w:ilvl w:val="0"/>
          <w:numId w:val="0"/>
        </w:numPr>
        <w:ind w:left="720"/>
        <w:rPr>
          <w:lang w:val="en-GB"/>
        </w:rPr>
      </w:pPr>
    </w:p>
    <w:p w14:paraId="29BACB61" w14:textId="33069725" w:rsidR="0081656F" w:rsidRDefault="0031041F" w:rsidP="0031041F">
      <w:pPr>
        <w:pStyle w:val="ListParagraph"/>
        <w:rPr>
          <w:lang w:val="en-GB"/>
        </w:rPr>
      </w:pPr>
      <w:r>
        <w:rPr>
          <w:lang w:val="en-GB"/>
        </w:rPr>
        <w:t xml:space="preserve">In </w:t>
      </w:r>
      <w:r w:rsidRPr="00151B96">
        <w:rPr>
          <w:i/>
          <w:iCs/>
          <w:lang w:val="en-GB"/>
        </w:rPr>
        <w:t>Re NIHRC</w:t>
      </w:r>
      <w:r w:rsidRPr="00151B96">
        <w:rPr>
          <w:lang w:val="en-GB"/>
        </w:rPr>
        <w:t>,</w:t>
      </w:r>
      <w:r>
        <w:rPr>
          <w:lang w:val="en-GB"/>
        </w:rPr>
        <w:t xml:space="preserve"> Mr Justice Humphreys further noted tha</w:t>
      </w:r>
      <w:r w:rsidR="0081656F">
        <w:rPr>
          <w:lang w:val="en-GB"/>
        </w:rPr>
        <w:t>t:</w:t>
      </w:r>
    </w:p>
    <w:p w14:paraId="04180387" w14:textId="00D3E341" w:rsidR="0081656F" w:rsidRDefault="0081656F" w:rsidP="004743D1">
      <w:pPr>
        <w:pStyle w:val="Quote"/>
      </w:pPr>
      <w:r w:rsidRPr="0081656F">
        <w:t>Read together, the provisions of article 4 of the WA</w:t>
      </w:r>
      <w:r>
        <w:t xml:space="preserve"> [</w:t>
      </w:r>
      <w:r w:rsidRPr="00F32F4C">
        <w:t>Withdrawal Agreement</w:t>
      </w:r>
      <w:r>
        <w:t>]</w:t>
      </w:r>
      <w:r w:rsidRPr="0081656F">
        <w:t xml:space="preserve"> and section 7A of the </w:t>
      </w:r>
      <w:r>
        <w:t xml:space="preserve">[EU] </w:t>
      </w:r>
      <w:r w:rsidRPr="0081656F">
        <w:t xml:space="preserve">Withdrawal Act </w:t>
      </w:r>
      <w:r>
        <w:t xml:space="preserve">[2018] </w:t>
      </w:r>
      <w:r w:rsidRPr="0081656F">
        <w:t xml:space="preserve">are juridically aligned to the approach to the supremacy of EU law under the 1972 </w:t>
      </w:r>
      <w:r w:rsidR="00262B88">
        <w:t xml:space="preserve">[European Communities] </w:t>
      </w:r>
      <w:r w:rsidRPr="0081656F">
        <w:t xml:space="preserve">Act and </w:t>
      </w:r>
      <w:r w:rsidRPr="004743D1">
        <w:rPr>
          <w:i/>
          <w:iCs w:val="0"/>
        </w:rPr>
        <w:t>Factortame</w:t>
      </w:r>
      <w:r w:rsidRPr="0081656F">
        <w:t>. In the circumstances where domestic law is inconsistent with the provisions of the WA and laws made applicable by article 4, the latter take precedence and domestic law is disapplied. This outcome does not occur at the whim of the courts but represents the will of Parliament as articulated in the Withdrawal Act</w:t>
      </w:r>
      <w:r w:rsidR="004743D1">
        <w:t>.</w:t>
      </w:r>
      <w:r w:rsidR="004743D1">
        <w:rPr>
          <w:rStyle w:val="FootnoteReference"/>
        </w:rPr>
        <w:footnoteReference w:id="76"/>
      </w:r>
    </w:p>
    <w:p w14:paraId="1FBC3A17" w14:textId="77777777" w:rsidR="004743D1" w:rsidRPr="004743D1" w:rsidRDefault="004743D1" w:rsidP="004743D1"/>
    <w:p w14:paraId="0BC41F53" w14:textId="5495D56A" w:rsidR="0031041F" w:rsidRPr="00F32F4C" w:rsidRDefault="004743D1" w:rsidP="0031041F">
      <w:pPr>
        <w:pStyle w:val="ListParagraph"/>
        <w:rPr>
          <w:lang w:val="en-GB"/>
        </w:rPr>
      </w:pPr>
      <w:r>
        <w:rPr>
          <w:lang w:val="en-GB"/>
        </w:rPr>
        <w:t xml:space="preserve">In addition, Mr Justice Humphreys found that disapplication </w:t>
      </w:r>
      <w:r w:rsidR="0013645C">
        <w:rPr>
          <w:lang w:val="en-GB"/>
        </w:rPr>
        <w:t>was the</w:t>
      </w:r>
      <w:r>
        <w:rPr>
          <w:lang w:val="en-GB"/>
        </w:rPr>
        <w:t xml:space="preserve"> appropriate relief in respect of </w:t>
      </w:r>
      <w:proofErr w:type="spellStart"/>
      <w:r>
        <w:rPr>
          <w:lang w:val="en-GB"/>
        </w:rPr>
        <w:t>uncommen</w:t>
      </w:r>
      <w:r w:rsidR="00FE784B">
        <w:rPr>
          <w:lang w:val="en-GB"/>
        </w:rPr>
        <w:t>c</w:t>
      </w:r>
      <w:r>
        <w:rPr>
          <w:lang w:val="en-GB"/>
        </w:rPr>
        <w:t>ed</w:t>
      </w:r>
      <w:proofErr w:type="spellEnd"/>
      <w:r>
        <w:rPr>
          <w:lang w:val="en-GB"/>
        </w:rPr>
        <w:t xml:space="preserve"> provisions</w:t>
      </w:r>
      <w:r w:rsidR="0013645C">
        <w:rPr>
          <w:lang w:val="en-GB"/>
        </w:rPr>
        <w:t>.</w:t>
      </w:r>
      <w:r w:rsidR="0031041F">
        <w:rPr>
          <w:rStyle w:val="FootnoteReference"/>
        </w:rPr>
        <w:footnoteReference w:id="77"/>
      </w:r>
    </w:p>
    <w:p w14:paraId="635F71B6" w14:textId="77777777" w:rsidR="00080B65" w:rsidRPr="00F32F4C" w:rsidRDefault="00080B65" w:rsidP="00487D2D"/>
    <w:p w14:paraId="06FF05D5" w14:textId="00AE6B68" w:rsidR="00336417" w:rsidRPr="00F32F4C" w:rsidRDefault="00336417" w:rsidP="001F3D74">
      <w:pPr>
        <w:pStyle w:val="Heading2"/>
      </w:pPr>
      <w:r w:rsidRPr="00F32F4C">
        <w:t>Francovich</w:t>
      </w:r>
      <w:r w:rsidR="005C456C" w:rsidRPr="00F32F4C">
        <w:t xml:space="preserve"> Damages </w:t>
      </w:r>
    </w:p>
    <w:p w14:paraId="7D5DA15C" w14:textId="40CB4B66" w:rsidR="00103F6D" w:rsidRPr="00F32F4C" w:rsidRDefault="005C456C" w:rsidP="00103F6D">
      <w:pPr>
        <w:pStyle w:val="ListParagraph"/>
        <w:rPr>
          <w:lang w:val="en-GB"/>
        </w:rPr>
      </w:pPr>
      <w:r w:rsidRPr="00F32F4C">
        <w:rPr>
          <w:lang w:val="en-GB"/>
        </w:rPr>
        <w:t xml:space="preserve">In </w:t>
      </w:r>
      <w:r w:rsidRPr="00F32F4C">
        <w:rPr>
          <w:i/>
          <w:iCs/>
          <w:lang w:val="en-GB"/>
        </w:rPr>
        <w:t>Francovich</w:t>
      </w:r>
      <w:r w:rsidRPr="00F32F4C">
        <w:rPr>
          <w:lang w:val="en-GB"/>
        </w:rPr>
        <w:t>, the CJEU established the principle of state liability for breach of EU law obligations.</w:t>
      </w:r>
      <w:r w:rsidR="001F3D74" w:rsidRPr="00F32F4C">
        <w:rPr>
          <w:rStyle w:val="FootnoteReference"/>
          <w:lang w:val="en-GB"/>
        </w:rPr>
        <w:footnoteReference w:id="78"/>
      </w:r>
      <w:r w:rsidR="001F3D74" w:rsidRPr="00F32F4C">
        <w:rPr>
          <w:lang w:val="en-GB"/>
        </w:rPr>
        <w:t xml:space="preserve"> </w:t>
      </w:r>
      <w:r w:rsidRPr="00F32F4C">
        <w:rPr>
          <w:lang w:val="en-GB"/>
        </w:rPr>
        <w:t xml:space="preserve"> </w:t>
      </w:r>
      <w:r w:rsidR="00103F6D" w:rsidRPr="00F32F4C">
        <w:rPr>
          <w:lang w:val="en-GB"/>
        </w:rPr>
        <w:t>As noted by the CJEU, “the full effectiveness of Community rules would be impaired and the protection of rights which they grant would be weakened if individuals were unable to obtain redress when their rights are infringed by a breach of Community law for which a member state can be held responsible”.</w:t>
      </w:r>
      <w:r w:rsidR="00103F6D" w:rsidRPr="00F32F4C">
        <w:rPr>
          <w:rStyle w:val="FootnoteReference"/>
          <w:lang w:val="en-GB"/>
        </w:rPr>
        <w:footnoteReference w:id="79"/>
      </w:r>
      <w:r w:rsidR="00103F6D" w:rsidRPr="00F32F4C">
        <w:rPr>
          <w:lang w:val="en-GB"/>
        </w:rPr>
        <w:t xml:space="preserve"> </w:t>
      </w:r>
      <w:r w:rsidR="00D3239F" w:rsidRPr="00F32F4C">
        <w:rPr>
          <w:lang w:val="en-GB"/>
        </w:rPr>
        <w:t xml:space="preserve">This principle has been refined further </w:t>
      </w:r>
      <w:r w:rsidR="00D3239F" w:rsidRPr="00F32F4C">
        <w:rPr>
          <w:lang w:val="en-GB"/>
        </w:rPr>
        <w:lastRenderedPageBreak/>
        <w:t>by the CJEU</w:t>
      </w:r>
      <w:r w:rsidR="00BB3E5D" w:rsidRPr="00F32F4C">
        <w:rPr>
          <w:lang w:val="en-GB"/>
        </w:rPr>
        <w:t>.</w:t>
      </w:r>
      <w:r w:rsidR="00BB3E5D" w:rsidRPr="00F32F4C">
        <w:rPr>
          <w:rStyle w:val="FootnoteReference"/>
          <w:lang w:val="en-GB"/>
        </w:rPr>
        <w:footnoteReference w:id="80"/>
      </w:r>
    </w:p>
    <w:p w14:paraId="77DE3B9E" w14:textId="77777777" w:rsidR="00D86D21" w:rsidRPr="00F32F4C" w:rsidRDefault="00D86D21" w:rsidP="00D86D21">
      <w:pPr>
        <w:pStyle w:val="ListParagraph"/>
        <w:numPr>
          <w:ilvl w:val="0"/>
          <w:numId w:val="0"/>
        </w:numPr>
        <w:ind w:left="720"/>
        <w:rPr>
          <w:lang w:val="en-GB"/>
        </w:rPr>
      </w:pPr>
    </w:p>
    <w:p w14:paraId="66CE7644" w14:textId="4FAA0075" w:rsidR="00336417" w:rsidRPr="008554E1" w:rsidRDefault="00336417" w:rsidP="00487D2D">
      <w:pPr>
        <w:pStyle w:val="ListParagraph"/>
      </w:pPr>
      <w:r w:rsidRPr="00F32F4C">
        <w:rPr>
          <w:lang w:val="en-GB"/>
        </w:rPr>
        <w:t>Schedule 1, paragraph 5 of the EU (Withdrawal) Act 2018 provides that there is no right in domestic law to Francovich damages.</w:t>
      </w:r>
      <w:r w:rsidR="008F6A30" w:rsidRPr="00F32F4C">
        <w:rPr>
          <w:lang w:val="en-GB"/>
        </w:rPr>
        <w:t xml:space="preserve"> Nevertheless, </w:t>
      </w:r>
      <w:r w:rsidR="00B4487E" w:rsidRPr="00F32F4C">
        <w:rPr>
          <w:lang w:val="en-GB"/>
        </w:rPr>
        <w:t>as McCrudden notes, relying on the section 7A of the 2018 Act, “</w:t>
      </w:r>
      <w:r w:rsidR="00BB3E5D" w:rsidRPr="00F32F4C">
        <w:rPr>
          <w:lang w:val="en-GB"/>
        </w:rPr>
        <w:t xml:space="preserve">overrides the prohibition of Francovich damages in the rest of the UK” on the basis that </w:t>
      </w:r>
      <w:r w:rsidR="00B4487E" w:rsidRPr="00F32F4C">
        <w:rPr>
          <w:lang w:val="en-GB"/>
        </w:rPr>
        <w:t>the ‘no diminution rule</w:t>
      </w:r>
      <w:r w:rsidR="00BB3E5D" w:rsidRPr="00F32F4C">
        <w:rPr>
          <w:lang w:val="en-GB"/>
        </w:rPr>
        <w:t>’</w:t>
      </w:r>
      <w:r w:rsidR="00B4487E" w:rsidRPr="00F32F4C">
        <w:rPr>
          <w:lang w:val="en-GB"/>
        </w:rPr>
        <w:t xml:space="preserve"> </w:t>
      </w:r>
      <w:r w:rsidR="00BB3E5D" w:rsidRPr="00F32F4C">
        <w:rPr>
          <w:lang w:val="en-GB"/>
        </w:rPr>
        <w:t xml:space="preserve">in Windsor Framework Article 2 </w:t>
      </w:r>
      <w:r w:rsidR="00B4487E" w:rsidRPr="00F32F4C">
        <w:rPr>
          <w:lang w:val="en-GB"/>
        </w:rPr>
        <w:t>create</w:t>
      </w:r>
      <w:r w:rsidR="00BB3E5D" w:rsidRPr="00F32F4C">
        <w:rPr>
          <w:lang w:val="en-GB"/>
        </w:rPr>
        <w:t>s</w:t>
      </w:r>
      <w:r w:rsidR="00B4487E" w:rsidRPr="00F32F4C">
        <w:rPr>
          <w:lang w:val="en-GB"/>
        </w:rPr>
        <w:t xml:space="preserve"> a </w:t>
      </w:r>
      <w:r w:rsidR="00BB3E5D" w:rsidRPr="00F32F4C">
        <w:rPr>
          <w:lang w:val="en-GB"/>
        </w:rPr>
        <w:t>‘</w:t>
      </w:r>
      <w:r w:rsidR="00B4487E" w:rsidRPr="00F32F4C">
        <w:rPr>
          <w:lang w:val="en-GB"/>
        </w:rPr>
        <w:t xml:space="preserve">lex </w:t>
      </w:r>
      <w:proofErr w:type="spellStart"/>
      <w:r w:rsidR="00B4487E" w:rsidRPr="00F32F4C">
        <w:rPr>
          <w:lang w:val="en-GB"/>
        </w:rPr>
        <w:t>specialis</w:t>
      </w:r>
      <w:proofErr w:type="spellEnd"/>
      <w:r w:rsidR="00BB3E5D" w:rsidRPr="00F32F4C">
        <w:rPr>
          <w:lang w:val="en-GB"/>
        </w:rPr>
        <w:t>’ for NI</w:t>
      </w:r>
      <w:r w:rsidR="00B4487E" w:rsidRPr="00F32F4C">
        <w:rPr>
          <w:lang w:val="en-GB"/>
        </w:rPr>
        <w:t>.</w:t>
      </w:r>
      <w:r w:rsidR="00B4487E" w:rsidRPr="00F32F4C">
        <w:rPr>
          <w:rStyle w:val="FootnoteReference"/>
          <w:lang w:val="en-GB"/>
        </w:rPr>
        <w:footnoteReference w:id="81"/>
      </w:r>
      <w:r w:rsidR="00B4487E" w:rsidRPr="00F32F4C">
        <w:rPr>
          <w:lang w:val="en-GB"/>
        </w:rPr>
        <w:t xml:space="preserve">  </w:t>
      </w:r>
      <w:r w:rsidR="008554E1">
        <w:rPr>
          <w:lang w:val="en-GB"/>
        </w:rPr>
        <w:t>This is reiterated in De Smith’s Judicial Review, which states that in respect of Article 2, that an “</w:t>
      </w:r>
      <w:bookmarkStart w:id="5" w:name="_Hlk166845203"/>
      <w:r w:rsidR="008554E1">
        <w:rPr>
          <w:lang w:val="en-GB"/>
        </w:rPr>
        <w:t>assessment of a diminution of rights also requires assessment of the enforcement mechanisms and procedures available to protect those right</w:t>
      </w:r>
      <w:bookmarkEnd w:id="5"/>
      <w:r w:rsidR="008554E1">
        <w:rPr>
          <w:lang w:val="en-GB"/>
        </w:rPr>
        <w:t>, which may include consideration of Francovich damages”.</w:t>
      </w:r>
      <w:r w:rsidR="008554E1" w:rsidRPr="00F32F4C">
        <w:rPr>
          <w:rStyle w:val="FootnoteReference"/>
          <w:lang w:val="en-GB"/>
        </w:rPr>
        <w:footnoteReference w:id="82"/>
      </w:r>
      <w:r w:rsidR="008554E1" w:rsidRPr="00F32F4C">
        <w:rPr>
          <w:lang w:val="en-GB"/>
        </w:rPr>
        <w:t xml:space="preserve"> </w:t>
      </w:r>
      <w:r w:rsidR="008554E1">
        <w:rPr>
          <w:lang w:val="en-GB"/>
        </w:rPr>
        <w:t xml:space="preserve"> </w:t>
      </w:r>
    </w:p>
    <w:p w14:paraId="17928870" w14:textId="77777777" w:rsidR="008554E1" w:rsidRPr="00F32F4C" w:rsidRDefault="008554E1" w:rsidP="00580309"/>
    <w:p w14:paraId="069378F8" w14:textId="43D521CD" w:rsidR="001B1F38" w:rsidRPr="00F32F4C" w:rsidRDefault="001B1F38" w:rsidP="001F3D74">
      <w:pPr>
        <w:pStyle w:val="Heading2"/>
      </w:pPr>
      <w:r w:rsidRPr="00F32F4C">
        <w:t xml:space="preserve">Horizontal Application </w:t>
      </w:r>
    </w:p>
    <w:p w14:paraId="198B86B8" w14:textId="64B0E409" w:rsidR="00AB75C0" w:rsidRPr="00851719" w:rsidRDefault="00737913" w:rsidP="009500E1">
      <w:pPr>
        <w:pStyle w:val="ListParagraph"/>
      </w:pPr>
      <w:bookmarkStart w:id="6" w:name="_Hlk166773906"/>
      <w:r>
        <w:t>Craig</w:t>
      </w:r>
      <w:r w:rsidR="00F32F4C" w:rsidRPr="00F32F4C">
        <w:t xml:space="preserve"> et al </w:t>
      </w:r>
      <w:r w:rsidR="00AB75C0">
        <w:t xml:space="preserve">note that </w:t>
      </w:r>
      <w:r w:rsidR="00F32F4C" w:rsidRPr="00F32F4C">
        <w:rPr>
          <w:lang w:val="en-GB"/>
        </w:rPr>
        <w:t>some general principles, such as non-discrimination,</w:t>
      </w:r>
      <w:r w:rsidR="00AB75C0">
        <w:rPr>
          <w:rStyle w:val="FootnoteReference"/>
          <w:lang w:val="en-GB"/>
        </w:rPr>
        <w:footnoteReference w:id="83"/>
      </w:r>
      <w:r w:rsidR="00F32F4C" w:rsidRPr="00F32F4C">
        <w:rPr>
          <w:lang w:val="en-GB"/>
        </w:rPr>
        <w:t xml:space="preserve"> effective</w:t>
      </w:r>
      <w:r w:rsidR="00AB75C0">
        <w:rPr>
          <w:lang w:val="en-GB"/>
        </w:rPr>
        <w:t xml:space="preserve"> </w:t>
      </w:r>
      <w:r w:rsidR="00F32F4C" w:rsidRPr="00F32F4C">
        <w:rPr>
          <w:lang w:val="en-GB"/>
        </w:rPr>
        <w:t>judicial protection,</w:t>
      </w:r>
      <w:r w:rsidR="006F569B">
        <w:rPr>
          <w:lang w:val="en-GB"/>
        </w:rPr>
        <w:t xml:space="preserve"> </w:t>
      </w:r>
      <w:r w:rsidR="00F32F4C" w:rsidRPr="00F32F4C">
        <w:rPr>
          <w:lang w:val="en-GB"/>
        </w:rPr>
        <w:t>and fair working conditions,</w:t>
      </w:r>
      <w:r w:rsidR="006F569B">
        <w:rPr>
          <w:rStyle w:val="FootnoteReference"/>
          <w:lang w:val="en-GB"/>
        </w:rPr>
        <w:footnoteReference w:id="84"/>
      </w:r>
      <w:r w:rsidR="006F569B">
        <w:rPr>
          <w:lang w:val="en-GB"/>
        </w:rPr>
        <w:t xml:space="preserve"> </w:t>
      </w:r>
      <w:r w:rsidR="00F32F4C" w:rsidRPr="00F32F4C">
        <w:rPr>
          <w:lang w:val="en-GB"/>
        </w:rPr>
        <w:t>have</w:t>
      </w:r>
      <w:r w:rsidR="006F569B">
        <w:rPr>
          <w:lang w:val="en-GB"/>
        </w:rPr>
        <w:t xml:space="preserve"> </w:t>
      </w:r>
      <w:r w:rsidR="00F32F4C" w:rsidRPr="00F32F4C">
        <w:rPr>
          <w:lang w:val="en-GB"/>
        </w:rPr>
        <w:t>been found to enjoy direct effect in vertical as well as in horizontal relations</w:t>
      </w:r>
      <w:r w:rsidR="006F569B">
        <w:rPr>
          <w:lang w:val="en-GB"/>
        </w:rPr>
        <w:t>.</w:t>
      </w:r>
      <w:r w:rsidR="006F569B">
        <w:rPr>
          <w:rStyle w:val="FootnoteReference"/>
          <w:lang w:val="en-GB"/>
        </w:rPr>
        <w:footnoteReference w:id="85"/>
      </w:r>
      <w:r w:rsidR="006F569B" w:rsidRPr="00F32F4C">
        <w:rPr>
          <w:lang w:val="en-GB"/>
        </w:rPr>
        <w:t xml:space="preserve"> </w:t>
      </w:r>
      <w:r w:rsidR="006F569B">
        <w:rPr>
          <w:lang w:val="en-GB"/>
        </w:rPr>
        <w:t xml:space="preserve">Therefore </w:t>
      </w:r>
      <w:r w:rsidR="006F569B">
        <w:t xml:space="preserve">private </w:t>
      </w:r>
      <w:r w:rsidR="00AB75C0">
        <w:t xml:space="preserve">law claims based on the general principles of </w:t>
      </w:r>
      <w:r w:rsidR="006F569B">
        <w:t xml:space="preserve">EU </w:t>
      </w:r>
      <w:r w:rsidR="00AB75C0">
        <w:t>law</w:t>
      </w:r>
      <w:r w:rsidR="006F569B">
        <w:t xml:space="preserve"> </w:t>
      </w:r>
      <w:r w:rsidR="00AB75C0">
        <w:t xml:space="preserve">had </w:t>
      </w:r>
      <w:r w:rsidR="006F569B">
        <w:t xml:space="preserve">relied on EU law remedies </w:t>
      </w:r>
      <w:r w:rsidR="00AB75C0">
        <w:t>in employment and</w:t>
      </w:r>
      <w:r w:rsidR="006F569B">
        <w:t xml:space="preserve"> </w:t>
      </w:r>
      <w:r w:rsidR="00AB75C0">
        <w:t xml:space="preserve">pension disputes in the </w:t>
      </w:r>
      <w:r w:rsidR="006F569B">
        <w:t xml:space="preserve">UK </w:t>
      </w:r>
      <w:r w:rsidR="00AB75C0">
        <w:t>where no comparable remedy</w:t>
      </w:r>
      <w:r w:rsidR="006F569B">
        <w:t xml:space="preserve"> </w:t>
      </w:r>
      <w:r w:rsidR="00AB75C0">
        <w:t>existed in domestic law.</w:t>
      </w:r>
      <w:r w:rsidR="006F569B" w:rsidRPr="00F32F4C">
        <w:rPr>
          <w:rStyle w:val="FootnoteReference"/>
          <w:lang w:val="en-GB"/>
        </w:rPr>
        <w:footnoteReference w:id="86"/>
      </w:r>
      <w:r w:rsidR="009500E1">
        <w:t xml:space="preserve">  </w:t>
      </w:r>
      <w:r w:rsidR="006F569B">
        <w:t xml:space="preserve">So called </w:t>
      </w:r>
      <w:r w:rsidR="00AB75C0">
        <w:t>‘Mangold actions’</w:t>
      </w:r>
      <w:r w:rsidR="006F569B">
        <w:t xml:space="preserve"> </w:t>
      </w:r>
      <w:r w:rsidR="00AB75C0">
        <w:t>established that the general principles of EU law</w:t>
      </w:r>
      <w:r w:rsidR="006F569B">
        <w:t xml:space="preserve"> </w:t>
      </w:r>
      <w:r w:rsidR="00AB75C0">
        <w:t>can be invoked as such and generate a remedy, provided a case falls within the</w:t>
      </w:r>
      <w:r w:rsidR="006F569B">
        <w:t xml:space="preserve"> </w:t>
      </w:r>
      <w:r w:rsidR="00AB75C0" w:rsidRPr="00851719">
        <w:t>material scope of application of EU law.</w:t>
      </w:r>
      <w:r w:rsidR="009500E1" w:rsidRPr="00851719">
        <w:rPr>
          <w:rStyle w:val="FootnoteReference"/>
          <w:lang w:val="en-GB"/>
        </w:rPr>
        <w:footnoteReference w:id="87"/>
      </w:r>
      <w:r w:rsidR="009500E1" w:rsidRPr="00851719">
        <w:rPr>
          <w:lang w:val="en-GB"/>
        </w:rPr>
        <w:t xml:space="preserve"> </w:t>
      </w:r>
    </w:p>
    <w:p w14:paraId="1722A518" w14:textId="77777777" w:rsidR="007A7996" w:rsidRPr="00851719" w:rsidRDefault="007A7996" w:rsidP="007A7996">
      <w:pPr>
        <w:pStyle w:val="ListParagraph"/>
        <w:numPr>
          <w:ilvl w:val="0"/>
          <w:numId w:val="0"/>
        </w:numPr>
        <w:ind w:left="720"/>
      </w:pPr>
    </w:p>
    <w:p w14:paraId="245ADFF5" w14:textId="2200EA47" w:rsidR="00605350" w:rsidRPr="00851719" w:rsidRDefault="00605350" w:rsidP="009500E1">
      <w:pPr>
        <w:pStyle w:val="ListParagraph"/>
      </w:pPr>
      <w:r w:rsidRPr="00851719">
        <w:rPr>
          <w:lang w:val="en-GB"/>
        </w:rPr>
        <w:t xml:space="preserve">As noted by Lock et al, when the UK was a </w:t>
      </w:r>
      <w:r w:rsidR="00E42398" w:rsidRPr="00851719">
        <w:rPr>
          <w:lang w:val="en-GB"/>
        </w:rPr>
        <w:t>Member State</w:t>
      </w:r>
      <w:r w:rsidRPr="00851719">
        <w:rPr>
          <w:lang w:val="en-GB"/>
        </w:rPr>
        <w:t xml:space="preserve">, where </w:t>
      </w:r>
      <w:r w:rsidRPr="00851719">
        <w:rPr>
          <w:lang w:val="en-GB"/>
        </w:rPr>
        <w:lastRenderedPageBreak/>
        <w:t>the EU Charter was directly effective, it could be applied against a public or private body, even where no domestic legislation has been implemented or domestic law contradicts that right.</w:t>
      </w:r>
      <w:r w:rsidRPr="00851719">
        <w:rPr>
          <w:rStyle w:val="FootnoteReference"/>
          <w:lang w:val="en-GB"/>
        </w:rPr>
        <w:footnoteReference w:id="88"/>
      </w:r>
      <w:r w:rsidRPr="00851719">
        <w:rPr>
          <w:lang w:val="en-GB"/>
        </w:rPr>
        <w:t xml:space="preserve"> </w:t>
      </w:r>
      <w:r w:rsidR="007A7996" w:rsidRPr="00851719">
        <w:rPr>
          <w:lang w:val="en-GB"/>
        </w:rPr>
        <w:t>This research further notes that consideration of how state liability is used should extend to private actors who have been forced to pay compensation in the context of a private dispute for violation of a EU Charter right.</w:t>
      </w:r>
      <w:r w:rsidR="004668A0" w:rsidRPr="00851719">
        <w:rPr>
          <w:rStyle w:val="FootnoteReference"/>
          <w:lang w:val="en-GB"/>
        </w:rPr>
        <w:footnoteReference w:id="89"/>
      </w:r>
    </w:p>
    <w:bookmarkEnd w:id="6"/>
    <w:p w14:paraId="430596FA" w14:textId="77777777" w:rsidR="00E42398" w:rsidRPr="00B941EE" w:rsidRDefault="00E42398" w:rsidP="00E42398">
      <w:pPr>
        <w:pStyle w:val="ListParagraph"/>
        <w:numPr>
          <w:ilvl w:val="0"/>
          <w:numId w:val="0"/>
        </w:numPr>
        <w:ind w:left="720"/>
        <w:rPr>
          <w:lang w:val="en-GB"/>
        </w:rPr>
      </w:pPr>
    </w:p>
    <w:p w14:paraId="487DCD76" w14:textId="561D2AB1" w:rsidR="00E42398" w:rsidRPr="00B941EE" w:rsidRDefault="00E42398" w:rsidP="00E42398">
      <w:pPr>
        <w:pStyle w:val="Heading2"/>
      </w:pPr>
      <w:r w:rsidRPr="00B941EE">
        <w:t xml:space="preserve">Oversight Role of the Commissions </w:t>
      </w:r>
    </w:p>
    <w:p w14:paraId="1D3FFD23" w14:textId="149646CC" w:rsidR="00E42398" w:rsidRDefault="00E42398" w:rsidP="00E42398">
      <w:pPr>
        <w:pStyle w:val="ListParagraph"/>
      </w:pPr>
      <w:r>
        <w:t>As noted above, following the UK’s withdrawal from the EU, the UK committed to continuing to facilitate the work of the Commissions in upholding human rights and equality standards.</w:t>
      </w:r>
      <w:r>
        <w:rPr>
          <w:rStyle w:val="FootnoteReference"/>
        </w:rPr>
        <w:footnoteReference w:id="90"/>
      </w:r>
      <w:r>
        <w:t xml:space="preserve"> The Commission, together with the ECNI, have powers to oversee the implementation of Windsor Framework Article 2, including powers to bring and intervene in legal proceedings in respect of an alleged breach or potential breach of Windsor Framework Article 2.</w:t>
      </w:r>
      <w:r w:rsidR="00CC5F12">
        <w:rPr>
          <w:rStyle w:val="FootnoteReference"/>
        </w:rPr>
        <w:footnoteReference w:id="91"/>
      </w:r>
      <w:r>
        <w:t xml:space="preserve">  </w:t>
      </w:r>
    </w:p>
    <w:p w14:paraId="1AF1727E" w14:textId="77777777" w:rsidR="0013645C" w:rsidRDefault="0013645C" w:rsidP="0013645C">
      <w:pPr>
        <w:pStyle w:val="ListParagraph"/>
        <w:numPr>
          <w:ilvl w:val="0"/>
          <w:numId w:val="0"/>
        </w:numPr>
        <w:ind w:left="720"/>
      </w:pPr>
    </w:p>
    <w:p w14:paraId="39F68A26" w14:textId="75168BBE" w:rsidR="0009294F" w:rsidRDefault="0009294F" w:rsidP="00E42398">
      <w:pPr>
        <w:pStyle w:val="ListParagraph"/>
      </w:pPr>
      <w:r>
        <w:rPr>
          <w:lang w:val="en-GB"/>
        </w:rPr>
        <w:t xml:space="preserve">In accordance with Article 14 of the Windsor Framework, the Specialised Committee can consider any matter of relevance to Windsor Framework Article 2 brought to its attention by the Commission, by </w:t>
      </w:r>
      <w:r w:rsidR="0013645C">
        <w:rPr>
          <w:lang w:val="en-GB"/>
        </w:rPr>
        <w:t xml:space="preserve">the </w:t>
      </w:r>
      <w:r>
        <w:rPr>
          <w:lang w:val="en-GB"/>
        </w:rPr>
        <w:t>ECNI or by the Joint Committee of NIHRC and IHREC.</w:t>
      </w:r>
      <w:r w:rsidR="0013645C">
        <w:rPr>
          <w:rStyle w:val="FootnoteReference"/>
        </w:rPr>
        <w:footnoteReference w:id="92"/>
      </w:r>
      <w:r w:rsidR="0013645C" w:rsidRPr="0013645C">
        <w:rPr>
          <w:lang w:val="en-GB"/>
        </w:rPr>
        <w:t xml:space="preserve"> </w:t>
      </w:r>
    </w:p>
    <w:p w14:paraId="3ADEF651" w14:textId="77777777" w:rsidR="00E42398" w:rsidRDefault="00E42398" w:rsidP="00E42398">
      <w:pPr>
        <w:pStyle w:val="ListParagraph"/>
        <w:numPr>
          <w:ilvl w:val="0"/>
          <w:numId w:val="0"/>
        </w:numPr>
        <w:ind w:left="720"/>
      </w:pPr>
    </w:p>
    <w:p w14:paraId="169C49A9" w14:textId="61B4A19C" w:rsidR="00E42398" w:rsidRPr="00F32F4C" w:rsidRDefault="00E42398" w:rsidP="00E42398">
      <w:pPr>
        <w:pStyle w:val="ListParagraph"/>
      </w:pPr>
      <w:r w:rsidRPr="00C93E20">
        <w:rPr>
          <w:lang w:val="en-GB"/>
        </w:rPr>
        <w:t>The oversight functions of the Commissions in respect of Windsor Framework Article 2 include own motion powers in respect of a potential future breach.</w:t>
      </w:r>
      <w:r w:rsidR="00D43C43">
        <w:rPr>
          <w:rStyle w:val="FootnoteReference"/>
        </w:rPr>
        <w:footnoteReference w:id="93"/>
      </w:r>
      <w:r w:rsidR="00D43C43">
        <w:t xml:space="preserve"> </w:t>
      </w:r>
      <w:r w:rsidRPr="00C93E20">
        <w:rPr>
          <w:lang w:val="en-GB"/>
        </w:rPr>
        <w:t xml:space="preserve"> </w:t>
      </w:r>
      <w:r w:rsidR="00736DBD">
        <w:rPr>
          <w:lang w:val="en-GB"/>
        </w:rPr>
        <w:t xml:space="preserve">The researchers may wish to explore </w:t>
      </w:r>
      <w:r w:rsidR="00736DBD" w:rsidRPr="00C93E20">
        <w:rPr>
          <w:lang w:val="en-GB"/>
        </w:rPr>
        <w:t xml:space="preserve">the </w:t>
      </w:r>
      <w:r w:rsidRPr="00C93E20">
        <w:rPr>
          <w:lang w:val="en-GB"/>
        </w:rPr>
        <w:t>way in which this power is exercised and the possible remedies for ‘potential future breach’ in the context of the principles of primacy and effectiveness and the need to ensure an effective remedy.</w:t>
      </w:r>
      <w:r>
        <w:rPr>
          <w:lang w:val="en-GB"/>
        </w:rPr>
        <w:t xml:space="preserve"> </w:t>
      </w:r>
    </w:p>
    <w:p w14:paraId="4F38EBCF" w14:textId="77777777" w:rsidR="00AB75C0" w:rsidRPr="00F32F4C" w:rsidRDefault="00AB75C0" w:rsidP="00487D2D"/>
    <w:p w14:paraId="1A1B84EA" w14:textId="7248A4AA" w:rsidR="008E6F9C" w:rsidRPr="00F32F4C" w:rsidRDefault="008E6F9C" w:rsidP="00977817">
      <w:pPr>
        <w:pStyle w:val="Heading1"/>
      </w:pPr>
      <w:r w:rsidRPr="00F32F4C">
        <w:lastRenderedPageBreak/>
        <w:t>Key Research Aims</w:t>
      </w:r>
    </w:p>
    <w:p w14:paraId="50BB7A2E" w14:textId="548981D4" w:rsidR="00F415D9" w:rsidRPr="00F32F4C" w:rsidRDefault="008E6F9C" w:rsidP="00F415D9">
      <w:r w:rsidRPr="00F32F4C">
        <w:t xml:space="preserve">The Commission is interested in exploring the extent to which the obligation to ensure the full effectiveness of EU law </w:t>
      </w:r>
      <w:r w:rsidR="00F57421">
        <w:t>informs the interpretation of</w:t>
      </w:r>
      <w:r w:rsidRPr="00F32F4C">
        <w:t xml:space="preserve"> the non-diminution and keep pace commitment in Windsor Framework Article 2.  The purpose of this research is to understand how</w:t>
      </w:r>
      <w:r w:rsidR="004668A0">
        <w:t xml:space="preserve"> and to what extent</w:t>
      </w:r>
      <w:r w:rsidRPr="00F32F4C">
        <w:t xml:space="preserve"> EU law remedies </w:t>
      </w:r>
      <w:r w:rsidR="00281EDE" w:rsidRPr="00F32F4C">
        <w:t xml:space="preserve">continue to be available in NI pursuant to Windsor Framework Article 2. </w:t>
      </w:r>
      <w:r w:rsidR="00F415D9">
        <w:t>This research should also explore the role of the Commissions</w:t>
      </w:r>
      <w:r w:rsidR="00F415D9" w:rsidRPr="00D76B67">
        <w:t xml:space="preserve"> </w:t>
      </w:r>
      <w:r w:rsidR="00F415D9">
        <w:t xml:space="preserve">in overseeing the implementation of Article 2 and </w:t>
      </w:r>
      <w:r w:rsidR="00F415D9" w:rsidRPr="00D76B67">
        <w:t>the interaction of the oversight mechanisms of the Withdrawal Agreement</w:t>
      </w:r>
      <w:r w:rsidR="00F415D9">
        <w:t>,</w:t>
      </w:r>
      <w:r w:rsidR="00F415D9" w:rsidRPr="00D76B67">
        <w:t xml:space="preserve"> and associated dispute resolution procedures</w:t>
      </w:r>
      <w:r w:rsidR="00F415D9">
        <w:t>,</w:t>
      </w:r>
      <w:r w:rsidR="00F415D9" w:rsidRPr="00D76B67">
        <w:t xml:space="preserve"> with</w:t>
      </w:r>
      <w:r w:rsidR="00F415D9">
        <w:t xml:space="preserve"> Windsor Framework Article 2.</w:t>
      </w:r>
    </w:p>
    <w:p w14:paraId="76F466B3" w14:textId="77777777" w:rsidR="008E6F9C" w:rsidRPr="00F32F4C" w:rsidRDefault="008E6F9C" w:rsidP="000A0BBB"/>
    <w:p w14:paraId="58834480" w14:textId="790345EB" w:rsidR="00281EDE" w:rsidRPr="00F32F4C" w:rsidRDefault="00281EDE" w:rsidP="00281EDE">
      <w:pPr>
        <w:rPr>
          <w:rFonts w:eastAsia="Calibri" w:cs="Times New Roman"/>
        </w:rPr>
      </w:pPr>
      <w:r w:rsidRPr="00F32F4C">
        <w:t xml:space="preserve">It is therefore expected that the research </w:t>
      </w:r>
      <w:r w:rsidRPr="00F32F4C">
        <w:rPr>
          <w:rFonts w:eastAsia="Calibri" w:cs="Times New Roman"/>
        </w:rPr>
        <w:t>will undertake the following non</w:t>
      </w:r>
      <w:r w:rsidR="0013166F">
        <w:rPr>
          <w:rFonts w:eastAsia="Calibri" w:cs="Times New Roman"/>
        </w:rPr>
        <w:t>-</w:t>
      </w:r>
      <w:r w:rsidRPr="00F32F4C">
        <w:rPr>
          <w:rFonts w:eastAsia="Calibri" w:cs="Times New Roman"/>
        </w:rPr>
        <w:t xml:space="preserve">exhaustive list of tasks: </w:t>
      </w:r>
    </w:p>
    <w:p w14:paraId="3F82AC84" w14:textId="0B03BB1A" w:rsidR="009F32DA" w:rsidRPr="00F32F4C" w:rsidRDefault="00BE733F" w:rsidP="00D86D21">
      <w:pPr>
        <w:pStyle w:val="ListParagraph"/>
        <w:numPr>
          <w:ilvl w:val="0"/>
          <w:numId w:val="12"/>
        </w:numPr>
        <w:rPr>
          <w:lang w:val="en-GB"/>
        </w:rPr>
      </w:pPr>
      <w:r w:rsidRPr="00F32F4C">
        <w:rPr>
          <w:lang w:val="en-GB"/>
        </w:rPr>
        <w:t xml:space="preserve">Identify </w:t>
      </w:r>
      <w:r w:rsidR="00F066F1" w:rsidRPr="00F32F4C">
        <w:rPr>
          <w:lang w:val="en-GB"/>
        </w:rPr>
        <w:t>relevant procedures and remedies for enforcing EU rights in domestic law</w:t>
      </w:r>
      <w:r w:rsidR="009F32DA" w:rsidRPr="00F32F4C">
        <w:rPr>
          <w:lang w:val="en-GB"/>
        </w:rPr>
        <w:t>. This should include the following:</w:t>
      </w:r>
    </w:p>
    <w:p w14:paraId="0D5B652A" w14:textId="7B456C01" w:rsidR="00F066F1" w:rsidRPr="00F57421" w:rsidRDefault="009F32DA" w:rsidP="00F066F1">
      <w:pPr>
        <w:pStyle w:val="ListParagraph"/>
        <w:numPr>
          <w:ilvl w:val="1"/>
          <w:numId w:val="12"/>
        </w:numPr>
        <w:rPr>
          <w:lang w:val="en-GB"/>
        </w:rPr>
      </w:pPr>
      <w:r w:rsidRPr="00F57421">
        <w:rPr>
          <w:lang w:val="en-GB"/>
        </w:rPr>
        <w:t>a high-level overview of the remedies and procedures available when the</w:t>
      </w:r>
      <w:r w:rsidR="00F066F1" w:rsidRPr="00F57421">
        <w:rPr>
          <w:lang w:val="en-GB"/>
        </w:rPr>
        <w:t xml:space="preserve"> UK was a member state of the EU</w:t>
      </w:r>
      <w:r w:rsidR="006C365F" w:rsidRPr="00F57421">
        <w:rPr>
          <w:lang w:val="en-GB"/>
        </w:rPr>
        <w:t xml:space="preserve">, </w:t>
      </w:r>
      <w:r w:rsidR="006C365F" w:rsidRPr="00C93E20">
        <w:rPr>
          <w:lang w:val="en-GB"/>
        </w:rPr>
        <w:t xml:space="preserve">including the disapplication of domestic </w:t>
      </w:r>
      <w:proofErr w:type="gramStart"/>
      <w:r w:rsidR="006C365F" w:rsidRPr="00C93E20">
        <w:rPr>
          <w:lang w:val="en-GB"/>
        </w:rPr>
        <w:t>law</w:t>
      </w:r>
      <w:r w:rsidR="00F066F1" w:rsidRPr="00F57421">
        <w:rPr>
          <w:lang w:val="en-GB"/>
        </w:rPr>
        <w:t>;</w:t>
      </w:r>
      <w:proofErr w:type="gramEnd"/>
      <w:r w:rsidR="00F066F1" w:rsidRPr="00F57421">
        <w:rPr>
          <w:lang w:val="en-GB"/>
        </w:rPr>
        <w:t xml:space="preserve"> </w:t>
      </w:r>
    </w:p>
    <w:p w14:paraId="770D36E1" w14:textId="05709FFB" w:rsidR="00F066F1" w:rsidRPr="005C12FF" w:rsidRDefault="00851719" w:rsidP="005C12FF">
      <w:pPr>
        <w:pStyle w:val="ListParagraph"/>
        <w:numPr>
          <w:ilvl w:val="1"/>
          <w:numId w:val="12"/>
        </w:numPr>
        <w:rPr>
          <w:lang w:val="en-GB"/>
        </w:rPr>
      </w:pPr>
      <w:r w:rsidRPr="00F57421">
        <w:rPr>
          <w:lang w:val="en-GB"/>
        </w:rPr>
        <w:t xml:space="preserve">how, and </w:t>
      </w:r>
      <w:r w:rsidR="007F7B7B" w:rsidRPr="00F57421">
        <w:rPr>
          <w:lang w:val="en-GB"/>
        </w:rPr>
        <w:t>the extent to which</w:t>
      </w:r>
      <w:r w:rsidRPr="00F57421">
        <w:rPr>
          <w:lang w:val="en-GB"/>
        </w:rPr>
        <w:t>,</w:t>
      </w:r>
      <w:r w:rsidR="007F7B7B" w:rsidRPr="00F57421">
        <w:rPr>
          <w:lang w:val="en-GB"/>
        </w:rPr>
        <w:t xml:space="preserve"> these</w:t>
      </w:r>
      <w:r w:rsidR="00F066F1" w:rsidRPr="00F57421">
        <w:rPr>
          <w:lang w:val="en-GB"/>
        </w:rPr>
        <w:t xml:space="preserve"> procedures for</w:t>
      </w:r>
      <w:r w:rsidR="00F066F1" w:rsidRPr="00F32F4C">
        <w:rPr>
          <w:lang w:val="en-GB"/>
        </w:rPr>
        <w:t xml:space="preserve"> enforcement and</w:t>
      </w:r>
      <w:r w:rsidR="007F7B7B" w:rsidRPr="00F32F4C">
        <w:rPr>
          <w:lang w:val="en-GB"/>
        </w:rPr>
        <w:t xml:space="preserve"> remedies continue to be available in respect of Windsor Framework Article 2</w:t>
      </w:r>
      <w:r w:rsidR="005C12FF">
        <w:rPr>
          <w:lang w:val="en-GB"/>
        </w:rPr>
        <w:t>, including highlighting changes in</w:t>
      </w:r>
      <w:r w:rsidR="004668A0">
        <w:rPr>
          <w:lang w:val="en-GB"/>
        </w:rPr>
        <w:t xml:space="preserve"> how</w:t>
      </w:r>
      <w:r w:rsidR="005C12FF">
        <w:rPr>
          <w:lang w:val="en-GB"/>
        </w:rPr>
        <w:t xml:space="preserve"> those procedures and remedies operate under the Withdrawal Agreement; </w:t>
      </w:r>
      <w:r w:rsidR="00F066F1" w:rsidRPr="005C12FF">
        <w:t xml:space="preserve">and </w:t>
      </w:r>
    </w:p>
    <w:p w14:paraId="733B1D55" w14:textId="23480DBC" w:rsidR="00F066F1" w:rsidRPr="00F32F4C" w:rsidRDefault="009F32DA" w:rsidP="00F066F1">
      <w:pPr>
        <w:pStyle w:val="ListParagraph"/>
        <w:numPr>
          <w:ilvl w:val="1"/>
          <w:numId w:val="12"/>
        </w:numPr>
        <w:rPr>
          <w:lang w:val="en-GB"/>
        </w:rPr>
      </w:pPr>
      <w:r w:rsidRPr="00F32F4C">
        <w:rPr>
          <w:lang w:val="en-GB"/>
        </w:rPr>
        <w:t xml:space="preserve">identifying </w:t>
      </w:r>
      <w:r w:rsidR="00F066F1" w:rsidRPr="00F32F4C">
        <w:rPr>
          <w:lang w:val="en-GB"/>
        </w:rPr>
        <w:t xml:space="preserve">which procedures and remedies are no longer available pursuant to Windsor Framework Article 2. </w:t>
      </w:r>
    </w:p>
    <w:p w14:paraId="0D6E9530" w14:textId="0170604C" w:rsidR="009F32DA" w:rsidRPr="00F32F4C" w:rsidRDefault="00C25AF1" w:rsidP="00F066F1">
      <w:pPr>
        <w:pStyle w:val="ListParagraph"/>
        <w:numPr>
          <w:ilvl w:val="0"/>
          <w:numId w:val="12"/>
        </w:numPr>
        <w:rPr>
          <w:lang w:val="en-GB"/>
        </w:rPr>
      </w:pPr>
      <w:r w:rsidRPr="00F32F4C">
        <w:rPr>
          <w:lang w:val="en-GB"/>
        </w:rPr>
        <w:t xml:space="preserve">Consider and </w:t>
      </w:r>
      <w:r w:rsidR="00D86D21" w:rsidRPr="00F32F4C">
        <w:rPr>
          <w:lang w:val="en-GB"/>
        </w:rPr>
        <w:t>provide</w:t>
      </w:r>
      <w:r w:rsidR="009F32DA" w:rsidRPr="00F32F4C">
        <w:rPr>
          <w:lang w:val="en-GB"/>
        </w:rPr>
        <w:t xml:space="preserve"> an analysis of the </w:t>
      </w:r>
      <w:r w:rsidR="007F7B7B" w:rsidRPr="00F32F4C">
        <w:rPr>
          <w:lang w:val="en-GB"/>
        </w:rPr>
        <w:t xml:space="preserve">extent to which EU law remedies </w:t>
      </w:r>
      <w:r w:rsidR="00F066F1" w:rsidRPr="00F32F4C">
        <w:rPr>
          <w:lang w:val="en-GB"/>
        </w:rPr>
        <w:t>could be considered</w:t>
      </w:r>
      <w:r w:rsidR="00BC4949" w:rsidRPr="00F32F4C">
        <w:rPr>
          <w:lang w:val="en-GB"/>
        </w:rPr>
        <w:t xml:space="preserve"> as: </w:t>
      </w:r>
    </w:p>
    <w:p w14:paraId="2D164F7F" w14:textId="08CEC529" w:rsidR="009F32DA" w:rsidRPr="00F32F4C" w:rsidRDefault="007F7B7B" w:rsidP="009F32DA">
      <w:pPr>
        <w:pStyle w:val="ListParagraph"/>
        <w:numPr>
          <w:ilvl w:val="1"/>
          <w:numId w:val="12"/>
        </w:numPr>
        <w:rPr>
          <w:lang w:val="en-GB"/>
        </w:rPr>
      </w:pPr>
      <w:r w:rsidRPr="00F32F4C">
        <w:rPr>
          <w:lang w:val="en-GB"/>
        </w:rPr>
        <w:t xml:space="preserve">“safeguards” </w:t>
      </w:r>
      <w:r w:rsidR="000D6D8E">
        <w:rPr>
          <w:lang w:val="en-GB"/>
        </w:rPr>
        <w:t xml:space="preserve">that underpin </w:t>
      </w:r>
      <w:r w:rsidRPr="00F32F4C">
        <w:rPr>
          <w:lang w:val="en-GB"/>
        </w:rPr>
        <w:t>the relevant chapter of the Belfast Good Friday Agreement</w:t>
      </w:r>
      <w:r w:rsidR="00F066F1" w:rsidRPr="00F32F4C">
        <w:rPr>
          <w:lang w:val="en-GB"/>
        </w:rPr>
        <w:t xml:space="preserve">; </w:t>
      </w:r>
      <w:r w:rsidRPr="00F32F4C">
        <w:rPr>
          <w:lang w:val="en-GB"/>
        </w:rPr>
        <w:t xml:space="preserve">and </w:t>
      </w:r>
    </w:p>
    <w:p w14:paraId="4E5A91A1" w14:textId="234C3F8C" w:rsidR="007F7B7B" w:rsidRDefault="009F32DA" w:rsidP="009F32DA">
      <w:pPr>
        <w:pStyle w:val="ListParagraph"/>
        <w:numPr>
          <w:ilvl w:val="1"/>
          <w:numId w:val="12"/>
        </w:numPr>
        <w:rPr>
          <w:lang w:val="en-GB"/>
        </w:rPr>
      </w:pPr>
      <w:r w:rsidRPr="00F32F4C">
        <w:rPr>
          <w:lang w:val="en-GB"/>
        </w:rPr>
        <w:t>Enforceab</w:t>
      </w:r>
      <w:r w:rsidR="004668A0">
        <w:rPr>
          <w:lang w:val="en-GB"/>
        </w:rPr>
        <w:t>le</w:t>
      </w:r>
      <w:r w:rsidRPr="00F32F4C">
        <w:rPr>
          <w:lang w:val="en-GB"/>
        </w:rPr>
        <w:t xml:space="preserve"> as a corollary </w:t>
      </w:r>
      <w:r w:rsidR="001E1F00" w:rsidRPr="00F32F4C">
        <w:rPr>
          <w:lang w:val="en-GB"/>
        </w:rPr>
        <w:t xml:space="preserve">of </w:t>
      </w:r>
      <w:r w:rsidRPr="00F32F4C">
        <w:rPr>
          <w:lang w:val="en-GB"/>
        </w:rPr>
        <w:t xml:space="preserve">EU </w:t>
      </w:r>
      <w:r w:rsidR="001E1F00" w:rsidRPr="00F32F4C">
        <w:rPr>
          <w:lang w:val="en-GB"/>
        </w:rPr>
        <w:t>rights.</w:t>
      </w:r>
    </w:p>
    <w:p w14:paraId="5EEB483A" w14:textId="2C3F85DC" w:rsidR="00E42398" w:rsidRPr="006C0A9E" w:rsidRDefault="00C25AF1" w:rsidP="00E42398">
      <w:pPr>
        <w:pStyle w:val="ListParagraph"/>
        <w:numPr>
          <w:ilvl w:val="0"/>
          <w:numId w:val="12"/>
        </w:numPr>
        <w:rPr>
          <w:color w:val="auto"/>
          <w:lang w:val="en-GB"/>
        </w:rPr>
      </w:pPr>
      <w:r w:rsidRPr="00F32F4C">
        <w:rPr>
          <w:lang w:val="en-GB"/>
        </w:rPr>
        <w:t xml:space="preserve">Consider and provide </w:t>
      </w:r>
      <w:r w:rsidR="003F1C89" w:rsidRPr="00F32F4C">
        <w:rPr>
          <w:lang w:val="en-GB"/>
        </w:rPr>
        <w:t xml:space="preserve">an analysis of </w:t>
      </w:r>
      <w:r w:rsidR="00F066F1" w:rsidRPr="00F32F4C">
        <w:rPr>
          <w:lang w:val="en-GB"/>
        </w:rPr>
        <w:t>the extent to</w:t>
      </w:r>
      <w:r w:rsidR="00590249" w:rsidRPr="00F32F4C">
        <w:rPr>
          <w:lang w:val="en-GB"/>
        </w:rPr>
        <w:t xml:space="preserve"> which domestic procedures and remedies and/or </w:t>
      </w:r>
      <w:r w:rsidR="003029F6" w:rsidRPr="00F32F4C">
        <w:rPr>
          <w:lang w:val="en-GB"/>
        </w:rPr>
        <w:t xml:space="preserve">the </w:t>
      </w:r>
      <w:r w:rsidR="00590249" w:rsidRPr="00F32F4C">
        <w:rPr>
          <w:lang w:val="en-GB"/>
        </w:rPr>
        <w:t xml:space="preserve">oversight mechanisms of the Withdrawal Agreement provide for effective legal protection of </w:t>
      </w:r>
      <w:r w:rsidR="00590249" w:rsidRPr="006C0A9E">
        <w:rPr>
          <w:color w:val="auto"/>
          <w:lang w:val="en-GB"/>
        </w:rPr>
        <w:t>Windsor Framework Article 2.</w:t>
      </w:r>
      <w:r w:rsidR="00E42398" w:rsidRPr="006C0A9E">
        <w:rPr>
          <w:color w:val="auto"/>
          <w:lang w:val="en-GB"/>
        </w:rPr>
        <w:t xml:space="preserve">  Consideration should be given to</w:t>
      </w:r>
      <w:r w:rsidR="006C0A9E">
        <w:rPr>
          <w:color w:val="auto"/>
          <w:lang w:val="en-GB"/>
        </w:rPr>
        <w:t xml:space="preserve"> </w:t>
      </w:r>
      <w:r w:rsidR="00F57421">
        <w:rPr>
          <w:color w:val="auto"/>
          <w:lang w:val="en-GB"/>
        </w:rPr>
        <w:t xml:space="preserve">relevant </w:t>
      </w:r>
      <w:r w:rsidR="006C0A9E">
        <w:rPr>
          <w:color w:val="auto"/>
          <w:lang w:val="en-GB"/>
        </w:rPr>
        <w:t>remedies available</w:t>
      </w:r>
      <w:r w:rsidR="004668A0">
        <w:rPr>
          <w:color w:val="auto"/>
          <w:lang w:val="en-GB"/>
        </w:rPr>
        <w:t xml:space="preserve"> </w:t>
      </w:r>
      <w:r w:rsidR="00F57421">
        <w:rPr>
          <w:color w:val="auto"/>
          <w:lang w:val="en-GB"/>
        </w:rPr>
        <w:t xml:space="preserve">in </w:t>
      </w:r>
      <w:r w:rsidR="004668A0">
        <w:rPr>
          <w:color w:val="auto"/>
          <w:lang w:val="en-GB"/>
        </w:rPr>
        <w:t xml:space="preserve">the following non-exhaustive </w:t>
      </w:r>
      <w:r w:rsidR="00F57421">
        <w:rPr>
          <w:color w:val="auto"/>
          <w:lang w:val="en-GB"/>
        </w:rPr>
        <w:t xml:space="preserve">list of </w:t>
      </w:r>
      <w:r w:rsidR="004668A0">
        <w:rPr>
          <w:color w:val="auto"/>
          <w:lang w:val="en-GB"/>
        </w:rPr>
        <w:t>examples</w:t>
      </w:r>
      <w:r w:rsidR="00E42398" w:rsidRPr="006C0A9E">
        <w:rPr>
          <w:color w:val="auto"/>
          <w:lang w:val="en-GB"/>
        </w:rPr>
        <w:t xml:space="preserve">: </w:t>
      </w:r>
    </w:p>
    <w:p w14:paraId="64DDA48B" w14:textId="3E075B66" w:rsidR="006C0A9E" w:rsidRPr="00227BB1" w:rsidRDefault="00E42398" w:rsidP="00E42398">
      <w:pPr>
        <w:pStyle w:val="ListParagraph"/>
        <w:numPr>
          <w:ilvl w:val="1"/>
          <w:numId w:val="12"/>
        </w:numPr>
        <w:rPr>
          <w:color w:val="auto"/>
          <w:lang w:val="en-GB"/>
        </w:rPr>
      </w:pPr>
      <w:r w:rsidRPr="00227BB1">
        <w:rPr>
          <w:color w:val="auto"/>
          <w:lang w:val="en-GB"/>
        </w:rPr>
        <w:t xml:space="preserve">where the UK changes implementing legislation in respect of a binding EU obligation which is not capable of direct </w:t>
      </w:r>
      <w:proofErr w:type="gramStart"/>
      <w:r w:rsidRPr="00227BB1">
        <w:rPr>
          <w:color w:val="auto"/>
          <w:lang w:val="en-GB"/>
        </w:rPr>
        <w:t>effect</w:t>
      </w:r>
      <w:proofErr w:type="gramEnd"/>
      <w:r w:rsidRPr="00227BB1">
        <w:rPr>
          <w:color w:val="auto"/>
          <w:lang w:val="en-GB"/>
        </w:rPr>
        <w:t xml:space="preserve"> </w:t>
      </w:r>
      <w:r w:rsidRPr="00227BB1">
        <w:rPr>
          <w:color w:val="auto"/>
          <w:lang w:val="en-GB"/>
        </w:rPr>
        <w:lastRenderedPageBreak/>
        <w:t>and which results in a diminution of rights</w:t>
      </w:r>
      <w:r w:rsidR="006C0A9E" w:rsidRPr="00227BB1">
        <w:rPr>
          <w:color w:val="auto"/>
          <w:lang w:val="en-GB"/>
        </w:rPr>
        <w:t xml:space="preserve">; </w:t>
      </w:r>
    </w:p>
    <w:p w14:paraId="0DC16DEA" w14:textId="3B4A27B4" w:rsidR="0013166F" w:rsidRPr="00227BB1" w:rsidRDefault="0013166F" w:rsidP="006C0A9E">
      <w:pPr>
        <w:pStyle w:val="ListParagraph"/>
        <w:numPr>
          <w:ilvl w:val="1"/>
          <w:numId w:val="12"/>
        </w:numPr>
        <w:rPr>
          <w:color w:val="auto"/>
          <w:lang w:val="en-GB"/>
        </w:rPr>
      </w:pPr>
      <w:r w:rsidRPr="00227BB1">
        <w:rPr>
          <w:color w:val="auto"/>
          <w:lang w:val="en-GB"/>
        </w:rPr>
        <w:t xml:space="preserve">the principle in </w:t>
      </w:r>
      <w:r w:rsidRPr="00227BB1">
        <w:rPr>
          <w:i/>
          <w:iCs/>
          <w:color w:val="auto"/>
          <w:lang w:val="en-GB"/>
        </w:rPr>
        <w:t>Francovich</w:t>
      </w:r>
      <w:r w:rsidRPr="00227BB1">
        <w:rPr>
          <w:color w:val="auto"/>
          <w:lang w:val="en-GB"/>
        </w:rPr>
        <w:t xml:space="preserve">; </w:t>
      </w:r>
      <w:r w:rsidR="00193B48" w:rsidRPr="00227BB1">
        <w:rPr>
          <w:color w:val="auto"/>
          <w:lang w:val="en-GB"/>
        </w:rPr>
        <w:t xml:space="preserve">and </w:t>
      </w:r>
    </w:p>
    <w:p w14:paraId="4FA8F5FB" w14:textId="0B5F0F9B" w:rsidR="0013166F" w:rsidRPr="00227BB1" w:rsidRDefault="006C0A9E" w:rsidP="00193B48">
      <w:pPr>
        <w:pStyle w:val="ListParagraph"/>
        <w:numPr>
          <w:ilvl w:val="1"/>
          <w:numId w:val="12"/>
        </w:numPr>
        <w:rPr>
          <w:color w:val="auto"/>
          <w:lang w:val="en-GB"/>
        </w:rPr>
      </w:pPr>
      <w:r w:rsidRPr="00227BB1">
        <w:rPr>
          <w:color w:val="auto"/>
          <w:lang w:val="en-GB"/>
        </w:rPr>
        <w:t xml:space="preserve">horizontal proceedings where a finding of breach </w:t>
      </w:r>
      <w:r w:rsidR="00F57421">
        <w:rPr>
          <w:color w:val="auto"/>
          <w:lang w:val="en-GB"/>
        </w:rPr>
        <w:t xml:space="preserve">of </w:t>
      </w:r>
      <w:r w:rsidRPr="00227BB1">
        <w:rPr>
          <w:color w:val="auto"/>
          <w:lang w:val="en-GB"/>
        </w:rPr>
        <w:t xml:space="preserve">Windsor Framework Article 2 is made, including how this interacts with </w:t>
      </w:r>
      <w:r w:rsidR="00193B48" w:rsidRPr="00227BB1">
        <w:rPr>
          <w:color w:val="auto"/>
          <w:lang w:val="en-GB"/>
        </w:rPr>
        <w:t xml:space="preserve">the principle in </w:t>
      </w:r>
      <w:r w:rsidR="00193B48" w:rsidRPr="00227BB1">
        <w:rPr>
          <w:i/>
          <w:iCs/>
          <w:color w:val="auto"/>
          <w:lang w:val="en-GB"/>
        </w:rPr>
        <w:t>Francovich</w:t>
      </w:r>
      <w:r w:rsidR="00193B48" w:rsidRPr="00227BB1">
        <w:rPr>
          <w:color w:val="auto"/>
          <w:lang w:val="en-GB"/>
        </w:rPr>
        <w:t>.</w:t>
      </w:r>
      <w:r w:rsidR="0013166F" w:rsidRPr="00227BB1">
        <w:rPr>
          <w:color w:val="auto"/>
          <w:lang w:val="en-GB"/>
        </w:rPr>
        <w:t xml:space="preserve"> </w:t>
      </w:r>
    </w:p>
    <w:p w14:paraId="61A4ECA9" w14:textId="0ACD6ECD" w:rsidR="00E42398" w:rsidRPr="0088131B" w:rsidRDefault="00E42398" w:rsidP="006C0A9E">
      <w:pPr>
        <w:pStyle w:val="ListParagraph"/>
        <w:numPr>
          <w:ilvl w:val="0"/>
          <w:numId w:val="12"/>
        </w:numPr>
        <w:rPr>
          <w:color w:val="auto"/>
          <w:lang w:val="en-GB"/>
        </w:rPr>
      </w:pPr>
      <w:r w:rsidRPr="00227BB1">
        <w:rPr>
          <w:color w:val="auto"/>
          <w:lang w:val="en-GB"/>
        </w:rPr>
        <w:t>Consider and provide an analysis of</w:t>
      </w:r>
      <w:r w:rsidRPr="00227BB1">
        <w:rPr>
          <w:color w:val="auto"/>
        </w:rPr>
        <w:t xml:space="preserve"> the right to an effective remedy in respect of </w:t>
      </w:r>
      <w:r w:rsidRPr="00227BB1">
        <w:rPr>
          <w:color w:val="auto"/>
          <w:lang w:val="en-GB"/>
        </w:rPr>
        <w:t>oversight powers the Commissions to b</w:t>
      </w:r>
      <w:r w:rsidRPr="00227BB1">
        <w:rPr>
          <w:color w:val="auto"/>
        </w:rPr>
        <w:t xml:space="preserve">ring legal proceedings including for </w:t>
      </w:r>
      <w:r w:rsidR="006C0A9E" w:rsidRPr="00227BB1">
        <w:rPr>
          <w:color w:val="auto"/>
        </w:rPr>
        <w:t xml:space="preserve">a </w:t>
      </w:r>
      <w:r w:rsidR="00F57421">
        <w:rPr>
          <w:color w:val="auto"/>
        </w:rPr>
        <w:t>“</w:t>
      </w:r>
      <w:r w:rsidRPr="00227BB1">
        <w:rPr>
          <w:color w:val="auto"/>
        </w:rPr>
        <w:t>potential future breach</w:t>
      </w:r>
      <w:r w:rsidR="00F57421">
        <w:rPr>
          <w:color w:val="auto"/>
        </w:rPr>
        <w:t>”</w:t>
      </w:r>
      <w:r w:rsidRPr="00227BB1">
        <w:rPr>
          <w:color w:val="auto"/>
        </w:rPr>
        <w:t xml:space="preserve"> of Windsor Framework Article 2</w:t>
      </w:r>
      <w:r w:rsidR="006C0A9E" w:rsidRPr="00227BB1">
        <w:rPr>
          <w:color w:val="auto"/>
        </w:rPr>
        <w:t>. This should include consideration of how the principle</w:t>
      </w:r>
      <w:r w:rsidR="0013166F" w:rsidRPr="00227BB1">
        <w:rPr>
          <w:color w:val="auto"/>
        </w:rPr>
        <w:t>s</w:t>
      </w:r>
      <w:r w:rsidR="006C0A9E" w:rsidRPr="00227BB1">
        <w:rPr>
          <w:color w:val="auto"/>
        </w:rPr>
        <w:t xml:space="preserve"> of consistent interpretation and disapplication apply in this context. </w:t>
      </w:r>
    </w:p>
    <w:p w14:paraId="72BDE7E0" w14:textId="2BED02A1" w:rsidR="00BF771F" w:rsidRPr="0088131B" w:rsidRDefault="00BF771F" w:rsidP="006C0A9E">
      <w:pPr>
        <w:pStyle w:val="ListParagraph"/>
        <w:numPr>
          <w:ilvl w:val="0"/>
          <w:numId w:val="12"/>
        </w:numPr>
        <w:rPr>
          <w:color w:val="auto"/>
          <w:lang w:val="en-GB"/>
        </w:rPr>
      </w:pPr>
      <w:r>
        <w:rPr>
          <w:color w:val="auto"/>
        </w:rPr>
        <w:t>Consider and provide an analysis of the interaction of the oversight mechanisms of the Withdrawal Agreement and associated dispute resolution procedures with:</w:t>
      </w:r>
    </w:p>
    <w:p w14:paraId="357EEEA7" w14:textId="33453020" w:rsidR="00BF771F" w:rsidRPr="0088131B" w:rsidRDefault="00BF771F" w:rsidP="00BF771F">
      <w:pPr>
        <w:pStyle w:val="ListParagraph"/>
        <w:numPr>
          <w:ilvl w:val="1"/>
          <w:numId w:val="12"/>
        </w:numPr>
        <w:rPr>
          <w:color w:val="auto"/>
          <w:lang w:val="en-GB"/>
        </w:rPr>
      </w:pPr>
      <w:r>
        <w:rPr>
          <w:color w:val="auto"/>
        </w:rPr>
        <w:t xml:space="preserve">domestic remedies for a breach of Windsor Framework Article </w:t>
      </w:r>
      <w:proofErr w:type="gramStart"/>
      <w:r>
        <w:rPr>
          <w:color w:val="auto"/>
        </w:rPr>
        <w:t>2;</w:t>
      </w:r>
      <w:proofErr w:type="gramEnd"/>
      <w:r>
        <w:rPr>
          <w:color w:val="auto"/>
        </w:rPr>
        <w:t xml:space="preserve">  </w:t>
      </w:r>
    </w:p>
    <w:p w14:paraId="08AB38E6" w14:textId="13BF8F65" w:rsidR="00BF771F" w:rsidRPr="0088131B" w:rsidRDefault="00BF771F" w:rsidP="00BF771F">
      <w:pPr>
        <w:pStyle w:val="ListParagraph"/>
        <w:numPr>
          <w:ilvl w:val="1"/>
          <w:numId w:val="12"/>
        </w:numPr>
        <w:rPr>
          <w:color w:val="auto"/>
          <w:lang w:val="en-GB"/>
        </w:rPr>
      </w:pPr>
      <w:r>
        <w:rPr>
          <w:color w:val="auto"/>
        </w:rPr>
        <w:t xml:space="preserve">compliance by the UK Government and/or NI Executive with relevant remedies; and </w:t>
      </w:r>
    </w:p>
    <w:p w14:paraId="32627B32" w14:textId="3FD5642B" w:rsidR="00BF771F" w:rsidRPr="00227BB1" w:rsidRDefault="00BF771F" w:rsidP="0088131B">
      <w:pPr>
        <w:pStyle w:val="ListParagraph"/>
        <w:numPr>
          <w:ilvl w:val="1"/>
          <w:numId w:val="12"/>
        </w:numPr>
        <w:rPr>
          <w:color w:val="auto"/>
          <w:lang w:val="en-GB"/>
        </w:rPr>
      </w:pPr>
      <w:r>
        <w:rPr>
          <w:color w:val="auto"/>
          <w:lang w:val="en-GB"/>
        </w:rPr>
        <w:t>the Commission’s oversight functions.</w:t>
      </w:r>
    </w:p>
    <w:p w14:paraId="0ABE0813" w14:textId="34BD6A54" w:rsidR="00590249" w:rsidRPr="00F32F4C" w:rsidRDefault="008B30D1" w:rsidP="00AA377F">
      <w:pPr>
        <w:pStyle w:val="ListParagraph"/>
        <w:numPr>
          <w:ilvl w:val="0"/>
          <w:numId w:val="12"/>
        </w:numPr>
        <w:rPr>
          <w:lang w:val="en-GB"/>
        </w:rPr>
      </w:pPr>
      <w:r w:rsidRPr="00F32F4C">
        <w:rPr>
          <w:lang w:val="en-GB"/>
        </w:rPr>
        <w:t>Provide an analysis of</w:t>
      </w:r>
      <w:r w:rsidR="00590249" w:rsidRPr="00F32F4C">
        <w:rPr>
          <w:lang w:val="en-GB"/>
        </w:rPr>
        <w:t xml:space="preserve"> the extent to which domestic procedures and remedies and/or oversight mechanisms of the Withdrawal Agreement provide for effective legal protection in respect of the obligation to keep pace with the Annex 1 equality directives pursuant to Article 13 of the Windsor Framework. Consideration should be given to:</w:t>
      </w:r>
    </w:p>
    <w:p w14:paraId="6425F35D" w14:textId="1FC04603" w:rsidR="00590249" w:rsidRPr="00F32F4C" w:rsidRDefault="00590249" w:rsidP="00590249">
      <w:pPr>
        <w:pStyle w:val="ListParagraph"/>
        <w:numPr>
          <w:ilvl w:val="1"/>
          <w:numId w:val="12"/>
        </w:numPr>
        <w:rPr>
          <w:lang w:val="en-GB"/>
        </w:rPr>
      </w:pPr>
      <w:r w:rsidRPr="00F32F4C">
        <w:rPr>
          <w:lang w:val="en-GB"/>
        </w:rPr>
        <w:t>What domestic procedures and remedies</w:t>
      </w:r>
      <w:r w:rsidR="00017FF1" w:rsidRPr="00F32F4C">
        <w:rPr>
          <w:lang w:val="en-GB"/>
        </w:rPr>
        <w:t xml:space="preserve"> and/or oversight mechanisms of the Withdrawal Agreement</w:t>
      </w:r>
      <w:r w:rsidRPr="00F32F4C">
        <w:rPr>
          <w:lang w:val="en-GB"/>
        </w:rPr>
        <w:t xml:space="preserve"> are available if the UK Government or NI </w:t>
      </w:r>
      <w:r w:rsidR="00906579" w:rsidRPr="00F32F4C">
        <w:rPr>
          <w:lang w:val="en-GB"/>
        </w:rPr>
        <w:t xml:space="preserve">Executive </w:t>
      </w:r>
      <w:r w:rsidRPr="00F32F4C">
        <w:rPr>
          <w:lang w:val="en-GB"/>
        </w:rPr>
        <w:t xml:space="preserve">do not take action to ensure NI law keeps pace with relevant EU developments?  </w:t>
      </w:r>
    </w:p>
    <w:p w14:paraId="31487C78" w14:textId="742154B4" w:rsidR="00590249" w:rsidRPr="00F32F4C" w:rsidRDefault="00590249" w:rsidP="00590249">
      <w:pPr>
        <w:pStyle w:val="ListParagraph"/>
        <w:numPr>
          <w:ilvl w:val="2"/>
          <w:numId w:val="12"/>
        </w:numPr>
        <w:rPr>
          <w:lang w:val="en-GB"/>
        </w:rPr>
      </w:pPr>
      <w:r w:rsidRPr="00F32F4C">
        <w:rPr>
          <w:lang w:val="en-GB"/>
        </w:rPr>
        <w:t>What is the timeframe bringing action?</w:t>
      </w:r>
      <w:r w:rsidR="00017FF1" w:rsidRPr="00F32F4C">
        <w:rPr>
          <w:lang w:val="en-GB"/>
        </w:rPr>
        <w:t xml:space="preserve"> </w:t>
      </w:r>
    </w:p>
    <w:p w14:paraId="597B283F" w14:textId="7C651BE7" w:rsidR="00017FF1" w:rsidRPr="00F32F4C" w:rsidRDefault="00017FF1" w:rsidP="00590249">
      <w:pPr>
        <w:pStyle w:val="ListParagraph"/>
        <w:numPr>
          <w:ilvl w:val="2"/>
          <w:numId w:val="12"/>
        </w:numPr>
        <w:rPr>
          <w:lang w:val="en-GB"/>
        </w:rPr>
      </w:pPr>
      <w:r w:rsidRPr="00F32F4C">
        <w:rPr>
          <w:lang w:val="en-GB"/>
        </w:rPr>
        <w:t>What is the appropriate sequencing for domestic enforcement action and that taken and/or oversight mechanisms of the Withdrawal Agreement?</w:t>
      </w:r>
    </w:p>
    <w:p w14:paraId="739CA9F4" w14:textId="481AF218" w:rsidR="00590249" w:rsidRPr="00F32F4C" w:rsidRDefault="00017FF1" w:rsidP="00590249">
      <w:pPr>
        <w:pStyle w:val="ListParagraph"/>
        <w:numPr>
          <w:ilvl w:val="2"/>
          <w:numId w:val="12"/>
        </w:numPr>
        <w:rPr>
          <w:lang w:val="en-GB"/>
        </w:rPr>
      </w:pPr>
      <w:r w:rsidRPr="00F32F4C">
        <w:rPr>
          <w:lang w:val="en-GB"/>
        </w:rPr>
        <w:t xml:space="preserve">Would </w:t>
      </w:r>
      <w:r w:rsidR="009278FD" w:rsidRPr="00F32F4C">
        <w:rPr>
          <w:lang w:val="en-GB"/>
        </w:rPr>
        <w:t>Article</w:t>
      </w:r>
      <w:r w:rsidRPr="00F32F4C">
        <w:rPr>
          <w:lang w:val="en-GB"/>
        </w:rPr>
        <w:t xml:space="preserve"> 47 CFR/ </w:t>
      </w:r>
      <w:r w:rsidR="00590249" w:rsidRPr="00F32F4C">
        <w:rPr>
          <w:lang w:val="en-GB"/>
        </w:rPr>
        <w:t xml:space="preserve">Francovich type remedies </w:t>
      </w:r>
      <w:r w:rsidRPr="00F32F4C">
        <w:rPr>
          <w:lang w:val="en-GB"/>
        </w:rPr>
        <w:t>be available?</w:t>
      </w:r>
    </w:p>
    <w:p w14:paraId="24AD0DC8" w14:textId="77777777" w:rsidR="00017FF1" w:rsidRPr="00F32F4C" w:rsidRDefault="00590249" w:rsidP="00017FF1">
      <w:pPr>
        <w:pStyle w:val="ListParagraph"/>
        <w:numPr>
          <w:ilvl w:val="2"/>
          <w:numId w:val="12"/>
        </w:numPr>
        <w:rPr>
          <w:lang w:val="en-GB"/>
        </w:rPr>
      </w:pPr>
      <w:r w:rsidRPr="00F32F4C">
        <w:rPr>
          <w:lang w:val="en-GB"/>
        </w:rPr>
        <w:t xml:space="preserve">What </w:t>
      </w:r>
      <w:r w:rsidR="00017FF1" w:rsidRPr="00F32F4C">
        <w:rPr>
          <w:lang w:val="en-GB"/>
        </w:rPr>
        <w:t xml:space="preserve">other forms of </w:t>
      </w:r>
      <w:r w:rsidRPr="00F32F4C">
        <w:rPr>
          <w:lang w:val="en-GB"/>
        </w:rPr>
        <w:t xml:space="preserve">relief </w:t>
      </w:r>
      <w:r w:rsidR="00017FF1" w:rsidRPr="00F32F4C">
        <w:rPr>
          <w:lang w:val="en-GB"/>
        </w:rPr>
        <w:t>are available</w:t>
      </w:r>
      <w:r w:rsidRPr="00F32F4C">
        <w:rPr>
          <w:lang w:val="en-GB"/>
        </w:rPr>
        <w:t>?</w:t>
      </w:r>
    </w:p>
    <w:p w14:paraId="45D622C1" w14:textId="41BBD389" w:rsidR="00590249" w:rsidRPr="00227BB1" w:rsidRDefault="00017FF1" w:rsidP="00017FF1">
      <w:pPr>
        <w:pStyle w:val="ListParagraph"/>
        <w:numPr>
          <w:ilvl w:val="2"/>
          <w:numId w:val="12"/>
        </w:numPr>
        <w:rPr>
          <w:lang w:val="en-GB"/>
        </w:rPr>
      </w:pPr>
      <w:r w:rsidRPr="00F32F4C">
        <w:rPr>
          <w:lang w:val="en-GB"/>
        </w:rPr>
        <w:t>What</w:t>
      </w:r>
      <w:r w:rsidR="00C25AF1" w:rsidRPr="00F32F4C">
        <w:rPr>
          <w:lang w:val="en-GB"/>
        </w:rPr>
        <w:t>, if any,</w:t>
      </w:r>
      <w:r w:rsidRPr="00F32F4C">
        <w:rPr>
          <w:lang w:val="en-GB"/>
        </w:rPr>
        <w:t xml:space="preserve"> forms of declaratory/injunctive relief, fines and/or penalties are available where a </w:t>
      </w:r>
      <w:r w:rsidR="00590249" w:rsidRPr="00F32F4C">
        <w:rPr>
          <w:lang w:val="en-GB"/>
        </w:rPr>
        <w:t xml:space="preserve">devolved </w:t>
      </w:r>
      <w:r w:rsidR="00590249" w:rsidRPr="00227BB1">
        <w:rPr>
          <w:lang w:val="en-GB"/>
        </w:rPr>
        <w:t>authorit</w:t>
      </w:r>
      <w:r w:rsidRPr="00227BB1">
        <w:rPr>
          <w:lang w:val="en-GB"/>
        </w:rPr>
        <w:t xml:space="preserve">y or the </w:t>
      </w:r>
      <w:r w:rsidR="00590249" w:rsidRPr="00227BB1">
        <w:rPr>
          <w:lang w:val="en-GB"/>
        </w:rPr>
        <w:t>UK</w:t>
      </w:r>
      <w:r w:rsidRPr="00227BB1">
        <w:rPr>
          <w:lang w:val="en-GB"/>
        </w:rPr>
        <w:t xml:space="preserve"> </w:t>
      </w:r>
      <w:r w:rsidR="00590249" w:rsidRPr="00227BB1">
        <w:rPr>
          <w:lang w:val="en-GB"/>
        </w:rPr>
        <w:t>G</w:t>
      </w:r>
      <w:r w:rsidRPr="00227BB1">
        <w:rPr>
          <w:lang w:val="en-GB"/>
        </w:rPr>
        <w:t>overnment</w:t>
      </w:r>
      <w:r w:rsidR="00590249" w:rsidRPr="00227BB1">
        <w:rPr>
          <w:lang w:val="en-GB"/>
        </w:rPr>
        <w:t xml:space="preserve"> fail</w:t>
      </w:r>
      <w:r w:rsidRPr="00227BB1">
        <w:rPr>
          <w:lang w:val="en-GB"/>
        </w:rPr>
        <w:t>s</w:t>
      </w:r>
      <w:r w:rsidR="00590249" w:rsidRPr="00227BB1">
        <w:rPr>
          <w:lang w:val="en-GB"/>
        </w:rPr>
        <w:t xml:space="preserve"> to act</w:t>
      </w:r>
      <w:r w:rsidRPr="00227BB1">
        <w:rPr>
          <w:lang w:val="en-GB"/>
        </w:rPr>
        <w:t>?</w:t>
      </w:r>
    </w:p>
    <w:p w14:paraId="72707CD3" w14:textId="6E6D787A" w:rsidR="00E8357B" w:rsidRPr="00227BB1" w:rsidRDefault="00E8357B" w:rsidP="00E8357B">
      <w:pPr>
        <w:pStyle w:val="ListParagraph"/>
        <w:numPr>
          <w:ilvl w:val="1"/>
          <w:numId w:val="12"/>
        </w:numPr>
        <w:rPr>
          <w:lang w:val="en-GB"/>
        </w:rPr>
      </w:pPr>
      <w:r w:rsidRPr="00227BB1">
        <w:rPr>
          <w:lang w:val="en-GB"/>
        </w:rPr>
        <w:t xml:space="preserve">This analysis should include consideration of the oversight </w:t>
      </w:r>
      <w:r w:rsidRPr="00227BB1">
        <w:rPr>
          <w:lang w:val="en-GB"/>
        </w:rPr>
        <w:lastRenderedPageBreak/>
        <w:t>role of the Commission in respect of Windsor Framework Article 2.</w:t>
      </w:r>
    </w:p>
    <w:p w14:paraId="54D6FA1B" w14:textId="77777777" w:rsidR="0088131B" w:rsidRPr="0088131B" w:rsidRDefault="005F342B" w:rsidP="004668A0">
      <w:pPr>
        <w:pStyle w:val="ListParagraph"/>
        <w:numPr>
          <w:ilvl w:val="0"/>
          <w:numId w:val="6"/>
        </w:numPr>
        <w:rPr>
          <w:lang w:val="en-GB"/>
        </w:rPr>
      </w:pPr>
      <w:r w:rsidRPr="004668A0">
        <w:rPr>
          <w:lang w:val="en-GB"/>
        </w:rPr>
        <w:t xml:space="preserve">Consider and provide an analysis of the </w:t>
      </w:r>
      <w:r w:rsidR="00017FF1" w:rsidRPr="004668A0">
        <w:rPr>
          <w:lang w:val="en-GB"/>
        </w:rPr>
        <w:t>possible remedies</w:t>
      </w:r>
      <w:r w:rsidRPr="004668A0">
        <w:rPr>
          <w:lang w:val="en-GB"/>
        </w:rPr>
        <w:t xml:space="preserve"> which</w:t>
      </w:r>
      <w:r w:rsidR="00017FF1" w:rsidRPr="004668A0">
        <w:rPr>
          <w:lang w:val="en-GB"/>
        </w:rPr>
        <w:t xml:space="preserve"> are available where EU measures </w:t>
      </w:r>
      <w:r w:rsidR="005C12FF" w:rsidRPr="004668A0">
        <w:rPr>
          <w:lang w:val="en-GB"/>
        </w:rPr>
        <w:t xml:space="preserve">were </w:t>
      </w:r>
      <w:r w:rsidR="00C37501" w:rsidRPr="004668A0">
        <w:rPr>
          <w:lang w:val="en-GB"/>
        </w:rPr>
        <w:t>not transpo</w:t>
      </w:r>
      <w:r w:rsidR="00DA12BB" w:rsidRPr="004668A0">
        <w:rPr>
          <w:lang w:val="en-GB"/>
        </w:rPr>
        <w:t>s</w:t>
      </w:r>
      <w:r w:rsidR="00C37501" w:rsidRPr="004668A0">
        <w:rPr>
          <w:lang w:val="en-GB"/>
        </w:rPr>
        <w:t>ed correctly</w:t>
      </w:r>
      <w:r w:rsidR="005C12FF" w:rsidRPr="004668A0">
        <w:rPr>
          <w:lang w:val="en-GB"/>
        </w:rPr>
        <w:t xml:space="preserve"> on 31 December 2020. </w:t>
      </w:r>
      <w:r w:rsidR="004668A0">
        <w:rPr>
          <w:lang w:val="en-GB"/>
        </w:rPr>
        <w:t xml:space="preserve"> </w:t>
      </w:r>
      <w:r w:rsidR="00017FF1" w:rsidRPr="004668A0">
        <w:rPr>
          <w:lang w:val="en-GB"/>
        </w:rPr>
        <w:t>For</w:t>
      </w:r>
      <w:r w:rsidR="00C37501" w:rsidRPr="004668A0">
        <w:rPr>
          <w:lang w:val="en-GB"/>
        </w:rPr>
        <w:t xml:space="preserve"> </w:t>
      </w:r>
      <w:r w:rsidR="00017FF1" w:rsidRPr="004668A0">
        <w:rPr>
          <w:lang w:val="en-GB"/>
        </w:rPr>
        <w:t>example, w</w:t>
      </w:r>
      <w:r w:rsidR="004668A0" w:rsidRPr="004668A0">
        <w:rPr>
          <w:lang w:val="en-GB"/>
        </w:rPr>
        <w:t>h</w:t>
      </w:r>
      <w:r w:rsidR="00017FF1" w:rsidRPr="004668A0">
        <w:rPr>
          <w:lang w:val="en-GB"/>
        </w:rPr>
        <w:t xml:space="preserve">ere there is </w:t>
      </w:r>
      <w:r w:rsidR="00C37501" w:rsidRPr="004668A0">
        <w:rPr>
          <w:lang w:val="en-GB"/>
        </w:rPr>
        <w:t>gap in legislation</w:t>
      </w:r>
      <w:r w:rsidR="00017FF1" w:rsidRPr="004668A0">
        <w:rPr>
          <w:lang w:val="en-GB"/>
        </w:rPr>
        <w:t>;</w:t>
      </w:r>
      <w:r w:rsidR="004668A0" w:rsidRPr="004668A0">
        <w:rPr>
          <w:lang w:val="en-GB"/>
        </w:rPr>
        <w:t xml:space="preserve"> and</w:t>
      </w:r>
      <w:r w:rsidR="00017FF1" w:rsidRPr="004668A0">
        <w:rPr>
          <w:lang w:val="en-GB"/>
        </w:rPr>
        <w:t xml:space="preserve"> </w:t>
      </w:r>
      <w:r w:rsidR="004668A0" w:rsidRPr="004668A0">
        <w:rPr>
          <w:lang w:val="en-GB"/>
        </w:rPr>
        <w:t>where p</w:t>
      </w:r>
      <w:r w:rsidR="00C37501" w:rsidRPr="004668A0">
        <w:rPr>
          <w:lang w:val="en-GB"/>
        </w:rPr>
        <w:t xml:space="preserve">rovisions </w:t>
      </w:r>
      <w:r w:rsidR="00017FF1" w:rsidRPr="004668A0">
        <w:rPr>
          <w:lang w:val="en-GB"/>
        </w:rPr>
        <w:t xml:space="preserve">of domestic law </w:t>
      </w:r>
      <w:r w:rsidR="00C37501" w:rsidRPr="004668A0">
        <w:rPr>
          <w:lang w:val="en-GB"/>
        </w:rPr>
        <w:t>are ineffective</w:t>
      </w:r>
      <w:r w:rsidR="00017FF1" w:rsidRPr="004668A0">
        <w:rPr>
          <w:lang w:val="en-GB"/>
        </w:rPr>
        <w:t>.</w:t>
      </w:r>
      <w:r w:rsidR="004668A0" w:rsidRPr="004668A0">
        <w:rPr>
          <w:lang w:val="en-GB"/>
        </w:rPr>
        <w:t xml:space="preserve">  </w:t>
      </w:r>
      <w:r w:rsidRPr="004668A0">
        <w:t>This analysis should include consideration of</w:t>
      </w:r>
    </w:p>
    <w:p w14:paraId="7D78CC77" w14:textId="1822B7CD" w:rsidR="0088131B" w:rsidRPr="0088131B" w:rsidRDefault="005F342B" w:rsidP="0088131B">
      <w:pPr>
        <w:pStyle w:val="ListParagraph"/>
        <w:numPr>
          <w:ilvl w:val="1"/>
          <w:numId w:val="6"/>
        </w:numPr>
        <w:rPr>
          <w:lang w:val="en-GB"/>
        </w:rPr>
      </w:pPr>
      <w:r w:rsidRPr="004668A0">
        <w:t>the oversight role of the Commission in respect of Windsor Framework Article 2</w:t>
      </w:r>
      <w:r w:rsidR="0088131B">
        <w:t>;</w:t>
      </w:r>
      <w:r w:rsidR="00BF771F">
        <w:t xml:space="preserve"> and </w:t>
      </w:r>
    </w:p>
    <w:p w14:paraId="584BBE58" w14:textId="36AC2102" w:rsidR="005F342B" w:rsidRPr="00BD03A6" w:rsidRDefault="0088131B" w:rsidP="0088131B">
      <w:pPr>
        <w:pStyle w:val="ListParagraph"/>
        <w:numPr>
          <w:ilvl w:val="1"/>
          <w:numId w:val="6"/>
        </w:numPr>
        <w:rPr>
          <w:lang w:val="en-GB"/>
        </w:rPr>
      </w:pPr>
      <w:r>
        <w:rPr>
          <w:color w:val="auto"/>
        </w:rPr>
        <w:t>the interaction of the oversight mechanisms of the Withdrawal Agreement and associated dispute resolution procedures</w:t>
      </w:r>
      <w:r w:rsidR="005F342B" w:rsidRPr="004668A0">
        <w:t>.</w:t>
      </w:r>
    </w:p>
    <w:p w14:paraId="0EE73EA4" w14:textId="77777777" w:rsidR="003D638F" w:rsidRPr="00F32F4C" w:rsidRDefault="003D638F" w:rsidP="000A0BBB"/>
    <w:p w14:paraId="6BA4935D" w14:textId="77777777" w:rsidR="00281EDE" w:rsidRPr="00F32F4C" w:rsidRDefault="00281EDE" w:rsidP="0013166F">
      <w:pPr>
        <w:pStyle w:val="Heading2"/>
      </w:pPr>
      <w:r w:rsidRPr="00F32F4C">
        <w:t>Exclusions</w:t>
      </w:r>
    </w:p>
    <w:p w14:paraId="13B9B99C" w14:textId="14B3EFFD" w:rsidR="00CC4E44" w:rsidRPr="00F32F4C" w:rsidRDefault="003F3624" w:rsidP="00281EDE">
      <w:r>
        <w:t xml:space="preserve">The Commission, jointly with ECNI, have produced their own analysis on the scope of Windsor Framework Article 2.  </w:t>
      </w:r>
      <w:r w:rsidR="00CC4E44" w:rsidRPr="00F32F4C">
        <w:t>The Commission understands that the researchers may wish to set out context and background for the research</w:t>
      </w:r>
      <w:r w:rsidR="007F7B7B" w:rsidRPr="00F32F4C">
        <w:t xml:space="preserve"> to ensure </w:t>
      </w:r>
      <w:r w:rsidR="00CC4E44" w:rsidRPr="00F32F4C">
        <w:t xml:space="preserve">an understanding of </w:t>
      </w:r>
      <w:r w:rsidR="007F7B7B" w:rsidRPr="00F32F4C">
        <w:t xml:space="preserve">Windsor Framework Article 2 </w:t>
      </w:r>
      <w:r w:rsidR="00CC4E44" w:rsidRPr="00F32F4C">
        <w:t xml:space="preserve">and </w:t>
      </w:r>
      <w:r w:rsidR="007F7B7B" w:rsidRPr="00F32F4C">
        <w:t xml:space="preserve">to take account of </w:t>
      </w:r>
      <w:r w:rsidR="00CC4E44" w:rsidRPr="00F32F4C">
        <w:t>relevant and emerging case law</w:t>
      </w:r>
      <w:r w:rsidR="007F7B7B" w:rsidRPr="00F32F4C">
        <w:t xml:space="preserve">. Nevertheless, the research should not seek to set out a full overview of </w:t>
      </w:r>
      <w:r w:rsidR="004668A0">
        <w:t xml:space="preserve">Article </w:t>
      </w:r>
      <w:r w:rsidR="007F7B7B" w:rsidRPr="00F32F4C">
        <w:t xml:space="preserve">2. </w:t>
      </w:r>
    </w:p>
    <w:p w14:paraId="0C06FC99" w14:textId="77777777" w:rsidR="007F7B7B" w:rsidRPr="00F32F4C" w:rsidRDefault="007F7B7B" w:rsidP="00281EDE"/>
    <w:p w14:paraId="114AFB21" w14:textId="12A160E7" w:rsidR="00281EDE" w:rsidRDefault="00CC4E44" w:rsidP="00281EDE">
      <w:r w:rsidRPr="00F32F4C">
        <w:t>The Commission has contracted for independent research on the EU Charter of Fundamental Rights</w:t>
      </w:r>
      <w:r w:rsidR="00227BB1">
        <w:t>, which will be published in the Autum</w:t>
      </w:r>
      <w:r w:rsidR="006F2D47">
        <w:t>n</w:t>
      </w:r>
      <w:r w:rsidR="00227BB1">
        <w:t>, an</w:t>
      </w:r>
      <w:r w:rsidRPr="00F32F4C">
        <w:t xml:space="preserve">d </w:t>
      </w:r>
      <w:r w:rsidR="00193B48">
        <w:t xml:space="preserve">on </w:t>
      </w:r>
      <w:r w:rsidR="00281EDE" w:rsidRPr="00F32F4C">
        <w:t xml:space="preserve">the environment, human </w:t>
      </w:r>
      <w:proofErr w:type="gramStart"/>
      <w:r w:rsidR="00281EDE" w:rsidRPr="00F32F4C">
        <w:t>rights</w:t>
      </w:r>
      <w:proofErr w:type="gramEnd"/>
      <w:r w:rsidR="00281EDE" w:rsidRPr="00F32F4C">
        <w:t xml:space="preserve"> and </w:t>
      </w:r>
      <w:r w:rsidRPr="00F32F4C">
        <w:t xml:space="preserve">Windsor Framework </w:t>
      </w:r>
      <w:r w:rsidR="00281EDE" w:rsidRPr="00F32F4C">
        <w:t>Article 2</w:t>
      </w:r>
      <w:r w:rsidR="00227BB1">
        <w:t xml:space="preserve">, </w:t>
      </w:r>
      <w:r w:rsidR="00227BB1" w:rsidRPr="00F32F4C">
        <w:t>which is at an advanced stage</w:t>
      </w:r>
      <w:r w:rsidR="00281EDE" w:rsidRPr="00F32F4C">
        <w:t xml:space="preserve">. </w:t>
      </w:r>
      <w:r w:rsidRPr="00F32F4C">
        <w:t xml:space="preserve">In addition, Equality Commission for NI has commissioned research on behalf of the </w:t>
      </w:r>
      <w:r w:rsidR="00193B48">
        <w:t>NIHRC</w:t>
      </w:r>
      <w:r w:rsidRPr="00F32F4C">
        <w:t xml:space="preserve"> and IHREC on the Impact of Brexit on the Divergence of Rights and Best Practice on the Island of Ireland</w:t>
      </w:r>
      <w:r w:rsidR="00193B48">
        <w:t xml:space="preserve">, </w:t>
      </w:r>
      <w:r w:rsidR="00193B48" w:rsidRPr="00F32F4C">
        <w:t>which is at an advanced stage</w:t>
      </w:r>
      <w:r w:rsidRPr="00F32F4C">
        <w:t>.</w:t>
      </w:r>
      <w:r w:rsidR="00281EDE" w:rsidRPr="00F32F4C">
        <w:t xml:space="preserve"> </w:t>
      </w:r>
      <w:r w:rsidRPr="00F32F4C">
        <w:t xml:space="preserve">Any duplication of work with these projects should be avoided and the Commission will </w:t>
      </w:r>
      <w:r w:rsidR="00281EDE" w:rsidRPr="00F32F4C">
        <w:t xml:space="preserve">ensure that the researchers are kept apprised of related projects and will facilitate collaboration </w:t>
      </w:r>
      <w:r w:rsidRPr="00F32F4C">
        <w:t xml:space="preserve">and sharing of drafts </w:t>
      </w:r>
      <w:r w:rsidR="00281EDE" w:rsidRPr="00F32F4C">
        <w:t>where possible.</w:t>
      </w:r>
    </w:p>
    <w:p w14:paraId="748E80B3" w14:textId="77777777" w:rsidR="00193B48" w:rsidRDefault="00193B48" w:rsidP="00281EDE"/>
    <w:p w14:paraId="1B7B2203" w14:textId="13F0A942" w:rsidR="00193B48" w:rsidRDefault="00193B48" w:rsidP="00193B48">
      <w:pPr>
        <w:pStyle w:val="Heading1"/>
      </w:pPr>
      <w:r>
        <w:t xml:space="preserve">Specification </w:t>
      </w:r>
    </w:p>
    <w:p w14:paraId="073A9630" w14:textId="77777777" w:rsidR="00193B48" w:rsidRDefault="00193B48" w:rsidP="00193B48">
      <w:pPr>
        <w:pStyle w:val="BodyText"/>
      </w:pPr>
      <w:r>
        <w:t>The successful contractor will be required to:</w:t>
      </w:r>
    </w:p>
    <w:p w14:paraId="6DA0611D" w14:textId="77777777" w:rsidR="00193B48" w:rsidRDefault="00193B48" w:rsidP="00193B48">
      <w:pPr>
        <w:pStyle w:val="BodyText"/>
        <w:ind w:left="1079"/>
        <w:rPr>
          <w:sz w:val="33"/>
        </w:rPr>
      </w:pPr>
    </w:p>
    <w:p w14:paraId="3CBA7FC9" w14:textId="77777777" w:rsidR="00193B48" w:rsidRDefault="00193B48" w:rsidP="00193B48">
      <w:pPr>
        <w:pStyle w:val="ListParagraph"/>
        <w:numPr>
          <w:ilvl w:val="0"/>
          <w:numId w:val="16"/>
        </w:numPr>
        <w:tabs>
          <w:tab w:val="left" w:pos="820"/>
          <w:tab w:val="left" w:pos="821"/>
        </w:tabs>
        <w:spacing w:line="240" w:lineRule="auto"/>
        <w:ind w:left="1079" w:right="0" w:hanging="361"/>
      </w:pPr>
      <w:r>
        <w:t>Engage with the NIHRC to clarify the parameters of the</w:t>
      </w:r>
      <w:r>
        <w:rPr>
          <w:spacing w:val="-10"/>
        </w:rPr>
        <w:t xml:space="preserve"> </w:t>
      </w:r>
      <w:proofErr w:type="gramStart"/>
      <w:r>
        <w:t>project;</w:t>
      </w:r>
      <w:proofErr w:type="gramEnd"/>
    </w:p>
    <w:p w14:paraId="59C50B60" w14:textId="77777777" w:rsidR="00193B48" w:rsidRDefault="00193B48" w:rsidP="00193B48">
      <w:pPr>
        <w:pStyle w:val="BodyText"/>
        <w:ind w:left="1079"/>
        <w:rPr>
          <w:sz w:val="33"/>
        </w:rPr>
      </w:pPr>
    </w:p>
    <w:p w14:paraId="7752350B" w14:textId="77777777" w:rsidR="00193B48" w:rsidRDefault="00193B48" w:rsidP="00193B48">
      <w:pPr>
        <w:pStyle w:val="ListParagraph"/>
        <w:numPr>
          <w:ilvl w:val="0"/>
          <w:numId w:val="16"/>
        </w:numPr>
        <w:tabs>
          <w:tab w:val="left" w:pos="820"/>
          <w:tab w:val="left" w:pos="821"/>
        </w:tabs>
        <w:ind w:left="1079" w:right="0"/>
      </w:pPr>
      <w:r>
        <w:t>To undertake both desktop research and any potential interviews with</w:t>
      </w:r>
      <w:r>
        <w:rPr>
          <w:spacing w:val="-25"/>
        </w:rPr>
        <w:t xml:space="preserve"> </w:t>
      </w:r>
      <w:r>
        <w:t xml:space="preserve">key stakeholders which may include civil society </w:t>
      </w:r>
      <w:proofErr w:type="spellStart"/>
      <w:r>
        <w:lastRenderedPageBreak/>
        <w:t>organisations</w:t>
      </w:r>
      <w:proofErr w:type="spellEnd"/>
      <w:r>
        <w:t>, practitioners, service providers, academic or policy makers in this field;</w:t>
      </w:r>
      <w:r>
        <w:rPr>
          <w:spacing w:val="-13"/>
        </w:rPr>
        <w:t xml:space="preserve"> </w:t>
      </w:r>
      <w:r>
        <w:t>and</w:t>
      </w:r>
    </w:p>
    <w:p w14:paraId="27C9D8AA" w14:textId="77777777" w:rsidR="00193B48" w:rsidRDefault="00193B48" w:rsidP="00193B48">
      <w:pPr>
        <w:pStyle w:val="BodyText"/>
        <w:ind w:left="1079"/>
        <w:rPr>
          <w:sz w:val="28"/>
        </w:rPr>
      </w:pPr>
    </w:p>
    <w:p w14:paraId="0589BA5E" w14:textId="374B5A5F" w:rsidR="00193B48" w:rsidRPr="00487FB9" w:rsidRDefault="00193B48" w:rsidP="00193B48">
      <w:pPr>
        <w:pStyle w:val="ListParagraph"/>
        <w:numPr>
          <w:ilvl w:val="0"/>
          <w:numId w:val="16"/>
        </w:numPr>
        <w:tabs>
          <w:tab w:val="left" w:pos="820"/>
          <w:tab w:val="left" w:pos="821"/>
        </w:tabs>
        <w:ind w:left="1079" w:right="0"/>
      </w:pPr>
      <w:r w:rsidRPr="00487FB9">
        <w:t xml:space="preserve">To submit an interim report by </w:t>
      </w:r>
      <w:r w:rsidR="00227BB1" w:rsidRPr="00487FB9">
        <w:rPr>
          <w:b/>
          <w:bCs/>
        </w:rPr>
        <w:t>29</w:t>
      </w:r>
      <w:r w:rsidRPr="00487FB9">
        <w:rPr>
          <w:b/>
          <w:bCs/>
        </w:rPr>
        <w:t xml:space="preserve"> </w:t>
      </w:r>
      <w:r w:rsidR="00227BB1" w:rsidRPr="00487FB9">
        <w:rPr>
          <w:b/>
          <w:bCs/>
        </w:rPr>
        <w:t xml:space="preserve">November </w:t>
      </w:r>
      <w:r w:rsidRPr="00487FB9">
        <w:rPr>
          <w:b/>
          <w:bCs/>
        </w:rPr>
        <w:t xml:space="preserve">2024 </w:t>
      </w:r>
      <w:r w:rsidRPr="00487FB9">
        <w:t xml:space="preserve">and, having taken account of the NIHRC’s comments, a final report by </w:t>
      </w:r>
      <w:r w:rsidR="00227BB1" w:rsidRPr="00487FB9">
        <w:rPr>
          <w:b/>
          <w:bCs/>
        </w:rPr>
        <w:t>28 February</w:t>
      </w:r>
      <w:r w:rsidRPr="00487FB9">
        <w:rPr>
          <w:b/>
          <w:bCs/>
        </w:rPr>
        <w:t xml:space="preserve"> 202</w:t>
      </w:r>
      <w:r w:rsidR="00A97FA1" w:rsidRPr="00487FB9">
        <w:rPr>
          <w:b/>
          <w:bCs/>
        </w:rPr>
        <w:t>5</w:t>
      </w:r>
      <w:r w:rsidRPr="00487FB9">
        <w:t>. These timeframes are negotiable with the</w:t>
      </w:r>
      <w:r w:rsidRPr="00487FB9">
        <w:rPr>
          <w:spacing w:val="-4"/>
        </w:rPr>
        <w:t xml:space="preserve"> </w:t>
      </w:r>
      <w:r w:rsidRPr="00487FB9">
        <w:t>NIHRC.</w:t>
      </w:r>
    </w:p>
    <w:p w14:paraId="0FBF5C01" w14:textId="77777777" w:rsidR="00193B48" w:rsidRPr="00487FB9" w:rsidRDefault="00193B48" w:rsidP="00193B48">
      <w:pPr>
        <w:pStyle w:val="BodyText"/>
        <w:rPr>
          <w:sz w:val="27"/>
        </w:rPr>
      </w:pPr>
    </w:p>
    <w:p w14:paraId="376CC73D" w14:textId="4291365C" w:rsidR="008A4677" w:rsidRPr="00487FB9" w:rsidRDefault="00193B48" w:rsidP="00193B48">
      <w:pPr>
        <w:pStyle w:val="BodyText"/>
        <w:spacing w:line="276" w:lineRule="auto"/>
      </w:pPr>
      <w:r w:rsidRPr="00487FB9">
        <w:t>The NIHRC retains all rights to the intellectual property and will be responsible for future decisions regarding the publication of the report. In all publications, the role of the contractor will be duly acknowledged.</w:t>
      </w:r>
      <w:r w:rsidR="008A4677" w:rsidRPr="00487FB9">
        <w:t xml:space="preserve">  </w:t>
      </w:r>
      <w:r w:rsidR="008A4677" w:rsidRPr="00487FB9">
        <w:rPr>
          <w:sz w:val="23"/>
          <w:szCs w:val="23"/>
        </w:rPr>
        <w:t xml:space="preserve">The researchers will undertake their activities in good faith and seek to avoid any potential conflicts of interest </w:t>
      </w:r>
      <w:proofErr w:type="gramStart"/>
      <w:r w:rsidR="008A4677" w:rsidRPr="00487FB9">
        <w:rPr>
          <w:sz w:val="23"/>
          <w:szCs w:val="23"/>
        </w:rPr>
        <w:t>in the course of</w:t>
      </w:r>
      <w:proofErr w:type="gramEnd"/>
      <w:r w:rsidR="008A4677" w:rsidRPr="00487FB9">
        <w:rPr>
          <w:sz w:val="23"/>
          <w:szCs w:val="23"/>
        </w:rPr>
        <w:t xml:space="preserve"> academic teaching and research undertaken during the course of the project. If any of the research team intend to publish any of the research material developed under this project/agreement prior to the Commission’s publication of the final project report and there is the potential for any conflicts of interest, they will consult with the Commission in advance. The Commission grant</w:t>
      </w:r>
      <w:r w:rsidR="009F06AA" w:rsidRPr="00487FB9">
        <w:rPr>
          <w:sz w:val="23"/>
          <w:szCs w:val="23"/>
        </w:rPr>
        <w:t>s</w:t>
      </w:r>
      <w:r w:rsidR="008A4677" w:rsidRPr="00487FB9">
        <w:rPr>
          <w:sz w:val="23"/>
          <w:szCs w:val="23"/>
        </w:rPr>
        <w:t xml:space="preserve"> </w:t>
      </w:r>
      <w:proofErr w:type="spellStart"/>
      <w:r w:rsidR="008A4677" w:rsidRPr="00487FB9">
        <w:rPr>
          <w:sz w:val="23"/>
          <w:szCs w:val="23"/>
        </w:rPr>
        <w:t>licence</w:t>
      </w:r>
      <w:proofErr w:type="spellEnd"/>
      <w:r w:rsidR="008A4677" w:rsidRPr="00487FB9">
        <w:rPr>
          <w:sz w:val="23"/>
          <w:szCs w:val="23"/>
        </w:rPr>
        <w:t xml:space="preserve"> to the members of the research team to use the </w:t>
      </w:r>
      <w:r w:rsidR="003F3624" w:rsidRPr="00487FB9">
        <w:rPr>
          <w:sz w:val="23"/>
          <w:szCs w:val="23"/>
        </w:rPr>
        <w:t xml:space="preserve">research </w:t>
      </w:r>
      <w:r w:rsidR="008A4677" w:rsidRPr="00487FB9">
        <w:rPr>
          <w:sz w:val="23"/>
          <w:szCs w:val="23"/>
        </w:rPr>
        <w:t>for academic purposes</w:t>
      </w:r>
      <w:r w:rsidR="00DE18D3" w:rsidRPr="00487FB9">
        <w:rPr>
          <w:sz w:val="23"/>
          <w:szCs w:val="23"/>
        </w:rPr>
        <w:t>, subject to appropriate acknowledgment of the Commission, where portions of the report are reproduced</w:t>
      </w:r>
      <w:r w:rsidR="008A4677" w:rsidRPr="00487FB9">
        <w:rPr>
          <w:sz w:val="23"/>
          <w:szCs w:val="23"/>
        </w:rPr>
        <w:t>.</w:t>
      </w:r>
      <w:r w:rsidR="003F3624" w:rsidRPr="00487FB9">
        <w:rPr>
          <w:sz w:val="23"/>
          <w:szCs w:val="23"/>
        </w:rPr>
        <w:t xml:space="preserve"> </w:t>
      </w:r>
    </w:p>
    <w:p w14:paraId="1D78AEF4" w14:textId="77777777" w:rsidR="00193B48" w:rsidRPr="00487FB9" w:rsidRDefault="00193B48" w:rsidP="00193B48">
      <w:pPr>
        <w:pStyle w:val="BodyText"/>
        <w:rPr>
          <w:sz w:val="27"/>
        </w:rPr>
      </w:pPr>
    </w:p>
    <w:p w14:paraId="39DC96BD" w14:textId="77777777" w:rsidR="00193B48" w:rsidRPr="00487FB9" w:rsidRDefault="00193B48" w:rsidP="00193B48">
      <w:pPr>
        <w:pStyle w:val="BodyText"/>
        <w:spacing w:line="276" w:lineRule="auto"/>
      </w:pPr>
      <w:r w:rsidRPr="00487FB9">
        <w:t>Further dissemination opportunities will follow from this research in the form of a seminar and/or round table event which will be hosted and funded by the Northern Ireland Human Rights Commission.</w:t>
      </w:r>
    </w:p>
    <w:p w14:paraId="5E8FB12B" w14:textId="77777777" w:rsidR="00193B48" w:rsidRPr="00487FB9" w:rsidRDefault="00193B48" w:rsidP="00193B48">
      <w:pPr>
        <w:pStyle w:val="BodyText"/>
        <w:rPr>
          <w:sz w:val="27"/>
        </w:rPr>
      </w:pPr>
    </w:p>
    <w:p w14:paraId="498C96A9" w14:textId="77777777" w:rsidR="00193B48" w:rsidRPr="00487FB9" w:rsidRDefault="00193B48" w:rsidP="00193B48">
      <w:pPr>
        <w:pStyle w:val="BodyText"/>
        <w:spacing w:line="276" w:lineRule="auto"/>
      </w:pPr>
      <w:r w:rsidRPr="00487FB9">
        <w:t>The Director (Human Rights after EU Withdrawal) will be available to liaise with the successful contractor for the duration of the project, to resolve any queries concerning the research or the Commission’s requirements in respect of the final draft.</w:t>
      </w:r>
    </w:p>
    <w:p w14:paraId="1831DE7C" w14:textId="77777777" w:rsidR="00193B48" w:rsidRPr="00487FB9" w:rsidRDefault="00193B48" w:rsidP="00193B48"/>
    <w:p w14:paraId="3AFE3611" w14:textId="77777777" w:rsidR="00193B48" w:rsidRPr="00487FB9" w:rsidRDefault="00193B48" w:rsidP="00193B48">
      <w:pPr>
        <w:pStyle w:val="Heading1"/>
      </w:pPr>
      <w:r w:rsidRPr="00487FB9">
        <w:t>Application</w:t>
      </w:r>
    </w:p>
    <w:p w14:paraId="456D0630" w14:textId="77777777" w:rsidR="00193B48" w:rsidRPr="00487FB9" w:rsidRDefault="00193B48" w:rsidP="00993FE9">
      <w:pPr>
        <w:pStyle w:val="BasicParagraph"/>
        <w:suppressAutoHyphens/>
        <w:rPr>
          <w:rFonts w:ascii="Verdana" w:hAnsi="Verdana" w:cs="Arial"/>
          <w:color w:val="auto"/>
        </w:rPr>
      </w:pPr>
      <w:r w:rsidRPr="00487FB9">
        <w:rPr>
          <w:rFonts w:ascii="Verdana" w:hAnsi="Verdana" w:cs="Arial"/>
          <w:color w:val="auto"/>
        </w:rPr>
        <w:t xml:space="preserve">Interested contractors are invited to: </w:t>
      </w:r>
    </w:p>
    <w:p w14:paraId="02933B61" w14:textId="77777777" w:rsidR="00193B48" w:rsidRPr="00487FB9" w:rsidRDefault="00193B48" w:rsidP="00993FE9">
      <w:pPr>
        <w:pStyle w:val="BasicParagraph"/>
        <w:suppressAutoHyphens/>
        <w:rPr>
          <w:rFonts w:ascii="Verdana" w:hAnsi="Verdana" w:cs="Arial"/>
          <w:color w:val="auto"/>
        </w:rPr>
      </w:pPr>
    </w:p>
    <w:p w14:paraId="6559A6D7" w14:textId="40B7796D" w:rsidR="00193B48" w:rsidRPr="00487FB9" w:rsidRDefault="00193B48" w:rsidP="008A4677">
      <w:pPr>
        <w:pStyle w:val="ListParagraph"/>
        <w:widowControl/>
        <w:numPr>
          <w:ilvl w:val="0"/>
          <w:numId w:val="18"/>
        </w:numPr>
        <w:adjustRightInd w:val="0"/>
        <w:ind w:right="0"/>
        <w:contextualSpacing/>
        <w:rPr>
          <w:rFonts w:cs="Verdana"/>
          <w:color w:val="000000"/>
        </w:rPr>
      </w:pPr>
      <w:r w:rsidRPr="00487FB9">
        <w:rPr>
          <w:rFonts w:cs="Verdana"/>
          <w:color w:val="000000"/>
        </w:rPr>
        <w:t>Write a brief letter of motivation</w:t>
      </w:r>
      <w:r w:rsidR="008A4677" w:rsidRPr="00487FB9">
        <w:rPr>
          <w:rFonts w:cs="Verdana"/>
          <w:color w:val="000000"/>
        </w:rPr>
        <w:t xml:space="preserve"> of </w:t>
      </w:r>
      <w:r w:rsidRPr="00487FB9">
        <w:rPr>
          <w:rFonts w:cs="Verdana"/>
          <w:color w:val="000000"/>
        </w:rPr>
        <w:t xml:space="preserve">no </w:t>
      </w:r>
      <w:r w:rsidR="006F2D47" w:rsidRPr="00487FB9">
        <w:rPr>
          <w:rFonts w:cs="Verdana"/>
          <w:color w:val="000000"/>
        </w:rPr>
        <w:t xml:space="preserve">more </w:t>
      </w:r>
      <w:r w:rsidRPr="00487FB9">
        <w:rPr>
          <w:rFonts w:cs="Verdana"/>
          <w:color w:val="000000"/>
        </w:rPr>
        <w:t xml:space="preserve">than </w:t>
      </w:r>
      <w:r w:rsidR="008A4677" w:rsidRPr="00487FB9">
        <w:rPr>
          <w:rFonts w:cs="Verdana"/>
          <w:color w:val="000000"/>
        </w:rPr>
        <w:t xml:space="preserve">two </w:t>
      </w:r>
      <w:r w:rsidRPr="00487FB9">
        <w:rPr>
          <w:rFonts w:cs="Verdana"/>
          <w:color w:val="000000"/>
        </w:rPr>
        <w:t>pages,</w:t>
      </w:r>
      <w:r w:rsidR="00C93E20" w:rsidRPr="00487FB9">
        <w:rPr>
          <w:rFonts w:cs="Verdana"/>
          <w:color w:val="000000"/>
        </w:rPr>
        <w:t xml:space="preserve"> accompanied by appendices of relevant experience and publications of no more than one page per researcher,</w:t>
      </w:r>
      <w:r w:rsidRPr="00487FB9">
        <w:rPr>
          <w:rFonts w:cs="Verdana"/>
          <w:color w:val="000000"/>
        </w:rPr>
        <w:t xml:space="preserve"> demonstrating</w:t>
      </w:r>
      <w:r w:rsidR="008A4677" w:rsidRPr="00487FB9">
        <w:rPr>
          <w:rFonts w:cs="Verdana"/>
          <w:color w:val="000000"/>
        </w:rPr>
        <w:t xml:space="preserve"> the following</w:t>
      </w:r>
      <w:r w:rsidRPr="00487FB9">
        <w:rPr>
          <w:rFonts w:cs="Verdana"/>
          <w:color w:val="000000"/>
        </w:rPr>
        <w:t xml:space="preserve">: </w:t>
      </w:r>
    </w:p>
    <w:p w14:paraId="3B628590" w14:textId="77777777" w:rsidR="00193B48" w:rsidRPr="00487FB9" w:rsidRDefault="00193B48" w:rsidP="00993FE9">
      <w:pPr>
        <w:autoSpaceDE w:val="0"/>
        <w:autoSpaceDN w:val="0"/>
        <w:adjustRightInd w:val="0"/>
        <w:rPr>
          <w:rFonts w:cs="Verdana"/>
          <w:color w:val="000000"/>
        </w:rPr>
      </w:pPr>
    </w:p>
    <w:p w14:paraId="4DAAAEAB" w14:textId="5A3674F4" w:rsidR="00193B48" w:rsidRPr="00487FB9" w:rsidDel="00C93E20" w:rsidRDefault="00193B48" w:rsidP="00993FE9">
      <w:pPr>
        <w:pStyle w:val="ListParagraph"/>
        <w:widowControl/>
        <w:numPr>
          <w:ilvl w:val="0"/>
          <w:numId w:val="17"/>
        </w:numPr>
        <w:adjustRightInd w:val="0"/>
        <w:ind w:left="1080" w:right="0"/>
        <w:contextualSpacing/>
        <w:rPr>
          <w:rFonts w:cs="Verdana"/>
          <w:color w:val="000000"/>
        </w:rPr>
      </w:pPr>
      <w:r w:rsidRPr="00487FB9" w:rsidDel="00C93E20">
        <w:rPr>
          <w:rFonts w:cs="Verdana"/>
          <w:color w:val="000000"/>
        </w:rPr>
        <w:lastRenderedPageBreak/>
        <w:t xml:space="preserve">experience of each member of the research team in undertaking research in one or more of the following fields (to ensure coverage across of the range of relevant experience): </w:t>
      </w:r>
    </w:p>
    <w:p w14:paraId="4B6982C1" w14:textId="6AC2E1D9" w:rsidR="00193B48" w:rsidRPr="00487FB9" w:rsidDel="00C93E20" w:rsidRDefault="00193B48" w:rsidP="00993FE9">
      <w:pPr>
        <w:pStyle w:val="ListParagraph"/>
        <w:widowControl/>
        <w:numPr>
          <w:ilvl w:val="1"/>
          <w:numId w:val="17"/>
        </w:numPr>
        <w:adjustRightInd w:val="0"/>
        <w:ind w:left="1800" w:right="0"/>
        <w:contextualSpacing/>
        <w:rPr>
          <w:rFonts w:cs="Verdana"/>
          <w:color w:val="000000"/>
        </w:rPr>
      </w:pPr>
      <w:r w:rsidRPr="00487FB9" w:rsidDel="00C93E20">
        <w:rPr>
          <w:rFonts w:cs="Verdana"/>
          <w:color w:val="000000"/>
        </w:rPr>
        <w:t xml:space="preserve">EU law, with a particular focus on EU human rights </w:t>
      </w:r>
      <w:proofErr w:type="gramStart"/>
      <w:r w:rsidRPr="00487FB9" w:rsidDel="00C93E20">
        <w:rPr>
          <w:rFonts w:cs="Verdana"/>
          <w:color w:val="000000"/>
        </w:rPr>
        <w:t>law;</w:t>
      </w:r>
      <w:proofErr w:type="gramEnd"/>
      <w:r w:rsidRPr="00487FB9" w:rsidDel="00C93E20">
        <w:rPr>
          <w:rFonts w:cs="Verdana"/>
          <w:color w:val="000000"/>
        </w:rPr>
        <w:t xml:space="preserve"> </w:t>
      </w:r>
    </w:p>
    <w:p w14:paraId="6C745B9C" w14:textId="4ADD4E53" w:rsidR="00993FE9" w:rsidRPr="00487FB9" w:rsidDel="00C93E20" w:rsidRDefault="00993FE9" w:rsidP="00993FE9">
      <w:pPr>
        <w:pStyle w:val="ListParagraph"/>
        <w:widowControl/>
        <w:numPr>
          <w:ilvl w:val="1"/>
          <w:numId w:val="17"/>
        </w:numPr>
        <w:adjustRightInd w:val="0"/>
        <w:ind w:left="1800" w:right="0"/>
        <w:contextualSpacing/>
        <w:rPr>
          <w:rFonts w:cs="Verdana"/>
          <w:color w:val="000000"/>
        </w:rPr>
      </w:pPr>
      <w:r w:rsidRPr="00487FB9" w:rsidDel="00C93E20">
        <w:rPr>
          <w:rFonts w:cs="Verdana"/>
          <w:color w:val="000000"/>
        </w:rPr>
        <w:t xml:space="preserve">UK public </w:t>
      </w:r>
      <w:proofErr w:type="gramStart"/>
      <w:r w:rsidRPr="00487FB9" w:rsidDel="00C93E20">
        <w:rPr>
          <w:rFonts w:cs="Verdana"/>
          <w:color w:val="000000"/>
        </w:rPr>
        <w:t>law;</w:t>
      </w:r>
      <w:proofErr w:type="gramEnd"/>
      <w:r w:rsidRPr="00487FB9" w:rsidDel="00C93E20">
        <w:rPr>
          <w:rFonts w:cs="Verdana"/>
          <w:color w:val="000000"/>
        </w:rPr>
        <w:t xml:space="preserve">  </w:t>
      </w:r>
    </w:p>
    <w:p w14:paraId="29C9F95C" w14:textId="12A74CE5" w:rsidR="00193B48" w:rsidRPr="00487FB9" w:rsidDel="00C93E20" w:rsidRDefault="00193B48" w:rsidP="00993FE9">
      <w:pPr>
        <w:pStyle w:val="ListParagraph"/>
        <w:widowControl/>
        <w:numPr>
          <w:ilvl w:val="1"/>
          <w:numId w:val="17"/>
        </w:numPr>
        <w:adjustRightInd w:val="0"/>
        <w:ind w:left="1800" w:right="0"/>
        <w:contextualSpacing/>
        <w:rPr>
          <w:rFonts w:cs="Verdana"/>
          <w:color w:val="000000"/>
        </w:rPr>
      </w:pPr>
      <w:r w:rsidRPr="00487FB9" w:rsidDel="00C93E20">
        <w:rPr>
          <w:rFonts w:cs="Verdana"/>
          <w:color w:val="000000"/>
        </w:rPr>
        <w:t>the UK’s withdrawal from the EU; and</w:t>
      </w:r>
    </w:p>
    <w:p w14:paraId="447010B1" w14:textId="0E0937C1" w:rsidR="00193B48" w:rsidRPr="00487FB9" w:rsidDel="00C93E20" w:rsidRDefault="00993FE9" w:rsidP="00993FE9">
      <w:pPr>
        <w:pStyle w:val="ListParagraph"/>
        <w:widowControl/>
        <w:numPr>
          <w:ilvl w:val="1"/>
          <w:numId w:val="17"/>
        </w:numPr>
        <w:adjustRightInd w:val="0"/>
        <w:ind w:left="1800" w:right="0"/>
        <w:contextualSpacing/>
        <w:rPr>
          <w:rFonts w:cs="Verdana"/>
          <w:color w:val="000000"/>
        </w:rPr>
      </w:pPr>
      <w:r w:rsidRPr="00487FB9" w:rsidDel="00C93E20">
        <w:rPr>
          <w:rFonts w:cs="Verdana"/>
          <w:color w:val="000000"/>
        </w:rPr>
        <w:t xml:space="preserve">the </w:t>
      </w:r>
      <w:r w:rsidR="00193B48" w:rsidRPr="00487FB9" w:rsidDel="00C93E20">
        <w:rPr>
          <w:rFonts w:cs="Verdana"/>
          <w:color w:val="000000"/>
        </w:rPr>
        <w:t xml:space="preserve">Windsor </w:t>
      </w:r>
      <w:proofErr w:type="gramStart"/>
      <w:r w:rsidR="00193B48" w:rsidRPr="00487FB9" w:rsidDel="00C93E20">
        <w:rPr>
          <w:rFonts w:cs="Verdana"/>
          <w:color w:val="000000"/>
        </w:rPr>
        <w:t>Framework</w:t>
      </w:r>
      <w:r w:rsidRPr="00487FB9" w:rsidDel="00C93E20">
        <w:rPr>
          <w:rFonts w:cs="Verdana"/>
          <w:color w:val="000000"/>
        </w:rPr>
        <w:t>;</w:t>
      </w:r>
      <w:proofErr w:type="gramEnd"/>
      <w:r w:rsidRPr="00487FB9" w:rsidDel="00C93E20">
        <w:rPr>
          <w:rFonts w:cs="Verdana"/>
          <w:color w:val="000000"/>
        </w:rPr>
        <w:t xml:space="preserve"> </w:t>
      </w:r>
    </w:p>
    <w:p w14:paraId="1A3D4114" w14:textId="12ACA4C8" w:rsidR="00193B48" w:rsidRPr="00487FB9" w:rsidDel="00C93E20" w:rsidRDefault="00193B48" w:rsidP="00993FE9">
      <w:pPr>
        <w:adjustRightInd w:val="0"/>
        <w:ind w:left="1080" w:hanging="720"/>
        <w:rPr>
          <w:rFonts w:cs="Verdana"/>
          <w:color w:val="000000"/>
        </w:rPr>
      </w:pPr>
    </w:p>
    <w:p w14:paraId="3AF64986" w14:textId="43C1E5FF" w:rsidR="00193B48" w:rsidRPr="00487FB9" w:rsidDel="00C93E20" w:rsidRDefault="00193B48" w:rsidP="00993FE9">
      <w:pPr>
        <w:pStyle w:val="ListParagraph"/>
        <w:widowControl/>
        <w:numPr>
          <w:ilvl w:val="0"/>
          <w:numId w:val="17"/>
        </w:numPr>
        <w:adjustRightInd w:val="0"/>
        <w:ind w:left="1080" w:right="0"/>
        <w:contextualSpacing/>
        <w:rPr>
          <w:rFonts w:cs="Verdana"/>
          <w:color w:val="000000"/>
        </w:rPr>
      </w:pPr>
      <w:r w:rsidRPr="00487FB9" w:rsidDel="00C93E20">
        <w:rPr>
          <w:rFonts w:cs="Verdana"/>
          <w:color w:val="000000"/>
        </w:rPr>
        <w:t xml:space="preserve">knowledge and understanding across the research team of the key issues relating to the </w:t>
      </w:r>
      <w:r w:rsidR="00993FE9" w:rsidRPr="00487FB9" w:rsidDel="00C93E20">
        <w:rPr>
          <w:rFonts w:cs="Verdana"/>
          <w:color w:val="000000"/>
        </w:rPr>
        <w:t>EU law</w:t>
      </w:r>
      <w:r w:rsidRPr="00487FB9" w:rsidDel="00C93E20">
        <w:rPr>
          <w:rFonts w:cs="Verdana"/>
          <w:color w:val="000000"/>
        </w:rPr>
        <w:t xml:space="preserve">; </w:t>
      </w:r>
      <w:r w:rsidR="00993FE9" w:rsidRPr="00487FB9" w:rsidDel="00C93E20">
        <w:rPr>
          <w:rFonts w:cs="Verdana"/>
          <w:color w:val="000000"/>
        </w:rPr>
        <w:t xml:space="preserve">UK public law; </w:t>
      </w:r>
      <w:r w:rsidRPr="00487FB9" w:rsidDel="00C93E20">
        <w:rPr>
          <w:rFonts w:cs="Verdana"/>
          <w:color w:val="000000"/>
        </w:rPr>
        <w:t xml:space="preserve">the UK’s withdrawal from the EU; Article 2 of the Windsor </w:t>
      </w:r>
      <w:proofErr w:type="gramStart"/>
      <w:r w:rsidRPr="00487FB9" w:rsidDel="00C93E20">
        <w:rPr>
          <w:rFonts w:cs="Verdana"/>
          <w:color w:val="000000"/>
        </w:rPr>
        <w:t>Framework;</w:t>
      </w:r>
      <w:proofErr w:type="gramEnd"/>
    </w:p>
    <w:p w14:paraId="156F686F" w14:textId="77777777" w:rsidR="00193B48" w:rsidRPr="00487FB9" w:rsidRDefault="00193B48" w:rsidP="00993FE9">
      <w:pPr>
        <w:autoSpaceDE w:val="0"/>
        <w:autoSpaceDN w:val="0"/>
        <w:adjustRightInd w:val="0"/>
        <w:ind w:left="360"/>
        <w:rPr>
          <w:rFonts w:cs="Verdana"/>
          <w:color w:val="000000"/>
        </w:rPr>
      </w:pPr>
    </w:p>
    <w:p w14:paraId="6E061A20" w14:textId="77777777" w:rsidR="00193B48" w:rsidRPr="00487FB9" w:rsidRDefault="00193B48" w:rsidP="00993FE9">
      <w:pPr>
        <w:pStyle w:val="ListParagraph"/>
        <w:widowControl/>
        <w:numPr>
          <w:ilvl w:val="0"/>
          <w:numId w:val="17"/>
        </w:numPr>
        <w:adjustRightInd w:val="0"/>
        <w:ind w:left="1080" w:right="0"/>
        <w:contextualSpacing/>
        <w:rPr>
          <w:rFonts w:cs="Verdana"/>
          <w:color w:val="000000"/>
        </w:rPr>
      </w:pPr>
      <w:r w:rsidRPr="00487FB9">
        <w:rPr>
          <w:rFonts w:cs="Verdana"/>
          <w:color w:val="000000"/>
        </w:rPr>
        <w:t xml:space="preserve">how they will conduct the research, including how the research team will ensure the research adds value to pre-existing </w:t>
      </w:r>
      <w:proofErr w:type="gramStart"/>
      <w:r w:rsidRPr="00487FB9">
        <w:rPr>
          <w:rFonts w:cs="Verdana"/>
          <w:color w:val="000000"/>
        </w:rPr>
        <w:t>research;</w:t>
      </w:r>
      <w:proofErr w:type="gramEnd"/>
      <w:r w:rsidRPr="00487FB9">
        <w:rPr>
          <w:rFonts w:cs="Verdana"/>
          <w:color w:val="000000"/>
        </w:rPr>
        <w:t xml:space="preserve"> </w:t>
      </w:r>
    </w:p>
    <w:p w14:paraId="7B25397A" w14:textId="77777777" w:rsidR="00193B48" w:rsidRPr="00487FB9" w:rsidRDefault="00193B48" w:rsidP="00993FE9">
      <w:pPr>
        <w:autoSpaceDE w:val="0"/>
        <w:autoSpaceDN w:val="0"/>
        <w:adjustRightInd w:val="0"/>
        <w:ind w:left="360"/>
        <w:rPr>
          <w:rFonts w:cs="Verdana"/>
          <w:color w:val="000000"/>
        </w:rPr>
      </w:pPr>
    </w:p>
    <w:p w14:paraId="5E1B0743" w14:textId="77777777" w:rsidR="00193B48" w:rsidRPr="00487FB9" w:rsidRDefault="00193B48" w:rsidP="00993FE9">
      <w:pPr>
        <w:pStyle w:val="ListParagraph"/>
        <w:widowControl/>
        <w:numPr>
          <w:ilvl w:val="0"/>
          <w:numId w:val="17"/>
        </w:numPr>
        <w:adjustRightInd w:val="0"/>
        <w:ind w:left="1080" w:right="0"/>
        <w:contextualSpacing/>
        <w:rPr>
          <w:rFonts w:cs="Verdana"/>
          <w:color w:val="000000"/>
        </w:rPr>
      </w:pPr>
      <w:r w:rsidRPr="00487FB9">
        <w:rPr>
          <w:rFonts w:cs="Verdana"/>
          <w:color w:val="000000"/>
        </w:rPr>
        <w:t xml:space="preserve">how they will ensure value for money; and </w:t>
      </w:r>
    </w:p>
    <w:p w14:paraId="4DF27E9D" w14:textId="77777777" w:rsidR="00193B48" w:rsidRPr="00487FB9" w:rsidRDefault="00193B48" w:rsidP="00993FE9">
      <w:pPr>
        <w:autoSpaceDE w:val="0"/>
        <w:autoSpaceDN w:val="0"/>
        <w:adjustRightInd w:val="0"/>
        <w:ind w:left="360"/>
        <w:rPr>
          <w:rFonts w:cs="Verdana"/>
          <w:color w:val="000000"/>
        </w:rPr>
      </w:pPr>
    </w:p>
    <w:p w14:paraId="52BD6EF6" w14:textId="72DD9D5F" w:rsidR="008A4677" w:rsidRPr="00487FB9" w:rsidRDefault="00193B48" w:rsidP="008A4677">
      <w:pPr>
        <w:pStyle w:val="ListParagraph"/>
        <w:widowControl/>
        <w:numPr>
          <w:ilvl w:val="0"/>
          <w:numId w:val="17"/>
        </w:numPr>
        <w:adjustRightInd w:val="0"/>
        <w:ind w:left="1080" w:right="0"/>
        <w:contextualSpacing/>
        <w:rPr>
          <w:rFonts w:cs="Verdana"/>
          <w:color w:val="000000"/>
        </w:rPr>
      </w:pPr>
      <w:r w:rsidRPr="00487FB9">
        <w:rPr>
          <w:rFonts w:cs="Verdana"/>
          <w:color w:val="000000"/>
        </w:rPr>
        <w:t>how quality assurance will be guaranteed</w:t>
      </w:r>
      <w:r w:rsidR="008A4677" w:rsidRPr="00487FB9">
        <w:rPr>
          <w:rFonts w:cs="Verdana"/>
          <w:color w:val="000000"/>
        </w:rPr>
        <w:t>, including through peer review</w:t>
      </w:r>
      <w:r w:rsidRPr="00487FB9">
        <w:rPr>
          <w:rFonts w:cs="Verdana"/>
          <w:color w:val="000000"/>
        </w:rPr>
        <w:t xml:space="preserve">. </w:t>
      </w:r>
    </w:p>
    <w:p w14:paraId="1B3E0378" w14:textId="77777777" w:rsidR="00193B48" w:rsidRPr="00487FB9" w:rsidRDefault="00193B48" w:rsidP="00993FE9">
      <w:pPr>
        <w:autoSpaceDE w:val="0"/>
        <w:autoSpaceDN w:val="0"/>
        <w:adjustRightInd w:val="0"/>
        <w:ind w:left="360"/>
        <w:rPr>
          <w:rFonts w:cs="Verdana"/>
          <w:color w:val="000000"/>
        </w:rPr>
      </w:pPr>
    </w:p>
    <w:p w14:paraId="3517E158" w14:textId="35790724" w:rsidR="00193B48" w:rsidRPr="00487FB9" w:rsidRDefault="00193B48" w:rsidP="00993FE9">
      <w:pPr>
        <w:autoSpaceDE w:val="0"/>
        <w:autoSpaceDN w:val="0"/>
        <w:adjustRightInd w:val="0"/>
        <w:ind w:left="360"/>
        <w:rPr>
          <w:rFonts w:cs="Verdana"/>
          <w:color w:val="000000"/>
        </w:rPr>
      </w:pPr>
      <w:r w:rsidRPr="00487FB9">
        <w:rPr>
          <w:rFonts w:cs="Verdana"/>
          <w:color w:val="000000"/>
        </w:rPr>
        <w:t xml:space="preserve">It is expected that </w:t>
      </w:r>
      <w:r w:rsidR="00C71A2A" w:rsidRPr="00487FB9">
        <w:rPr>
          <w:rFonts w:cs="Verdana"/>
          <w:color w:val="000000"/>
        </w:rPr>
        <w:t>the letter</w:t>
      </w:r>
      <w:r w:rsidRPr="00487FB9">
        <w:rPr>
          <w:rFonts w:cs="Verdana"/>
          <w:color w:val="000000"/>
        </w:rPr>
        <w:t xml:space="preserve"> will provide an outline of the proposed approach to the project, including the methods the</w:t>
      </w:r>
      <w:r w:rsidR="009D650D" w:rsidRPr="00487FB9">
        <w:rPr>
          <w:rFonts w:cs="Verdana"/>
          <w:color w:val="000000"/>
        </w:rPr>
        <w:t xml:space="preserve"> researchers</w:t>
      </w:r>
      <w:r w:rsidRPr="00487FB9">
        <w:rPr>
          <w:rFonts w:cs="Verdana"/>
          <w:color w:val="000000"/>
        </w:rPr>
        <w:t xml:space="preserve"> will employ for ascertaining and ensuring that the Commission’s requirements are met. </w:t>
      </w:r>
    </w:p>
    <w:p w14:paraId="457CA479" w14:textId="77777777" w:rsidR="00C93E20" w:rsidRPr="00487FB9" w:rsidRDefault="00C93E20" w:rsidP="00993FE9">
      <w:pPr>
        <w:autoSpaceDE w:val="0"/>
        <w:autoSpaceDN w:val="0"/>
        <w:adjustRightInd w:val="0"/>
        <w:ind w:left="360"/>
        <w:rPr>
          <w:rFonts w:cs="Verdana"/>
          <w:color w:val="000000"/>
        </w:rPr>
      </w:pPr>
    </w:p>
    <w:p w14:paraId="0046EB36" w14:textId="094F824E" w:rsidR="00193B48" w:rsidRPr="00487FB9" w:rsidRDefault="00193B48" w:rsidP="00993FE9">
      <w:pPr>
        <w:pStyle w:val="ListParagraph"/>
        <w:widowControl/>
        <w:numPr>
          <w:ilvl w:val="0"/>
          <w:numId w:val="18"/>
        </w:numPr>
        <w:adjustRightInd w:val="0"/>
        <w:ind w:right="0"/>
        <w:contextualSpacing/>
        <w:rPr>
          <w:rFonts w:cs="Verdana"/>
        </w:rPr>
      </w:pPr>
      <w:r w:rsidRPr="00487FB9">
        <w:rPr>
          <w:rFonts w:cs="Verdana"/>
          <w:color w:val="000000"/>
        </w:rPr>
        <w:t xml:space="preserve">Quote a fixed price of no more than </w:t>
      </w:r>
      <w:r w:rsidRPr="00487FB9">
        <w:rPr>
          <w:rFonts w:cs="Verdana"/>
          <w:b/>
          <w:bCs/>
          <w:color w:val="000000"/>
        </w:rPr>
        <w:t>£2</w:t>
      </w:r>
      <w:r w:rsidR="00227BB1" w:rsidRPr="00487FB9">
        <w:rPr>
          <w:rFonts w:cs="Verdana"/>
          <w:b/>
          <w:bCs/>
          <w:color w:val="000000"/>
        </w:rPr>
        <w:t>5</w:t>
      </w:r>
      <w:r w:rsidRPr="00487FB9">
        <w:rPr>
          <w:rFonts w:cs="Verdana"/>
          <w:b/>
          <w:bCs/>
          <w:color w:val="000000"/>
        </w:rPr>
        <w:t>,000</w:t>
      </w:r>
      <w:r w:rsidRPr="00487FB9">
        <w:rPr>
          <w:rFonts w:cs="Verdana"/>
          <w:color w:val="000000"/>
        </w:rPr>
        <w:t xml:space="preserve"> (inclusive of VAT) for writing and </w:t>
      </w:r>
      <w:r w:rsidRPr="00487FB9">
        <w:rPr>
          <w:rFonts w:cs="Verdana"/>
        </w:rPr>
        <w:t xml:space="preserve">presenting a final report detailing a breakdown of how many days will be allocated to specific tasks undertaken by research team members, alongside a daily financial rate for each researcher. The proposals will be assessed for value for money. </w:t>
      </w:r>
    </w:p>
    <w:p w14:paraId="3BBA33D6" w14:textId="77777777" w:rsidR="00193B48" w:rsidRPr="00487FB9" w:rsidRDefault="00193B48" w:rsidP="00993FE9">
      <w:pPr>
        <w:pStyle w:val="ListParagraph"/>
        <w:numPr>
          <w:ilvl w:val="0"/>
          <w:numId w:val="0"/>
        </w:numPr>
        <w:adjustRightInd w:val="0"/>
        <w:ind w:left="360"/>
        <w:rPr>
          <w:rFonts w:cs="Verdana"/>
        </w:rPr>
      </w:pPr>
    </w:p>
    <w:p w14:paraId="71635B94" w14:textId="77777777" w:rsidR="00193B48" w:rsidRPr="00487FB9" w:rsidRDefault="00193B48" w:rsidP="00993FE9">
      <w:pPr>
        <w:pStyle w:val="ListParagraph"/>
        <w:widowControl/>
        <w:numPr>
          <w:ilvl w:val="0"/>
          <w:numId w:val="18"/>
        </w:numPr>
        <w:adjustRightInd w:val="0"/>
        <w:ind w:right="0"/>
        <w:contextualSpacing/>
        <w:rPr>
          <w:rFonts w:cs="Verdana"/>
        </w:rPr>
      </w:pPr>
      <w:r w:rsidRPr="00487FB9">
        <w:rPr>
          <w:rFonts w:cs="Verdana"/>
        </w:rPr>
        <w:t xml:space="preserve">Provide details of two referees who can comment on their ability to deliver the type of document described in the above specification. </w:t>
      </w:r>
    </w:p>
    <w:p w14:paraId="0BBD25E5" w14:textId="77777777" w:rsidR="00193B48" w:rsidRPr="00487FB9" w:rsidRDefault="00193B48" w:rsidP="00993FE9">
      <w:pPr>
        <w:ind w:left="720" w:hanging="720"/>
        <w:rPr>
          <w:rFonts w:cs="Verdana"/>
        </w:rPr>
      </w:pPr>
    </w:p>
    <w:p w14:paraId="72636FAC" w14:textId="77777777" w:rsidR="00193B48" w:rsidRPr="00487FB9" w:rsidRDefault="00193B48" w:rsidP="00993FE9">
      <w:pPr>
        <w:autoSpaceDE w:val="0"/>
        <w:autoSpaceDN w:val="0"/>
        <w:adjustRightInd w:val="0"/>
        <w:ind w:firstLine="360"/>
        <w:rPr>
          <w:rFonts w:cs="Verdana"/>
        </w:rPr>
      </w:pPr>
      <w:r w:rsidRPr="00487FB9">
        <w:rPr>
          <w:rFonts w:cs="Verdana"/>
        </w:rPr>
        <w:t xml:space="preserve">The award of the contract will be based on: </w:t>
      </w:r>
    </w:p>
    <w:p w14:paraId="6BBFFD23" w14:textId="77777777" w:rsidR="00193B48" w:rsidRPr="00487FB9" w:rsidRDefault="00193B48" w:rsidP="00993FE9">
      <w:pPr>
        <w:pStyle w:val="ListParagraph"/>
        <w:widowControl/>
        <w:numPr>
          <w:ilvl w:val="0"/>
          <w:numId w:val="19"/>
        </w:numPr>
        <w:adjustRightInd w:val="0"/>
        <w:ind w:right="0"/>
        <w:contextualSpacing/>
        <w:rPr>
          <w:rFonts w:cs="Verdana"/>
        </w:rPr>
      </w:pPr>
      <w:r w:rsidRPr="00487FB9">
        <w:rPr>
          <w:rFonts w:cs="Verdana"/>
        </w:rPr>
        <w:t xml:space="preserve">the applicants’ competence to undertake the work, judged from the content of the letter of motivation and previous </w:t>
      </w:r>
      <w:proofErr w:type="gramStart"/>
      <w:r w:rsidRPr="00487FB9">
        <w:rPr>
          <w:rFonts w:cs="Verdana"/>
        </w:rPr>
        <w:t>experience;</w:t>
      </w:r>
      <w:proofErr w:type="gramEnd"/>
      <w:r w:rsidRPr="00487FB9">
        <w:rPr>
          <w:rFonts w:cs="Verdana"/>
        </w:rPr>
        <w:t xml:space="preserve"> </w:t>
      </w:r>
    </w:p>
    <w:p w14:paraId="3F5F1808" w14:textId="77777777" w:rsidR="00193B48" w:rsidRPr="00487FB9" w:rsidRDefault="00193B48" w:rsidP="00993FE9">
      <w:pPr>
        <w:pStyle w:val="ListParagraph"/>
        <w:widowControl/>
        <w:numPr>
          <w:ilvl w:val="0"/>
          <w:numId w:val="19"/>
        </w:numPr>
        <w:adjustRightInd w:val="0"/>
        <w:ind w:right="0"/>
        <w:contextualSpacing/>
        <w:rPr>
          <w:rFonts w:cs="Verdana"/>
        </w:rPr>
      </w:pPr>
      <w:r w:rsidRPr="00487FB9">
        <w:rPr>
          <w:rFonts w:cs="Verdana"/>
        </w:rPr>
        <w:t xml:space="preserve">how effectively the proposal will be delivered in practice; and </w:t>
      </w:r>
    </w:p>
    <w:p w14:paraId="3E29CF89" w14:textId="77777777" w:rsidR="00193B48" w:rsidRPr="00487FB9" w:rsidRDefault="00193B48" w:rsidP="00993FE9">
      <w:pPr>
        <w:pStyle w:val="ListParagraph"/>
        <w:widowControl/>
        <w:numPr>
          <w:ilvl w:val="0"/>
          <w:numId w:val="19"/>
        </w:numPr>
        <w:adjustRightInd w:val="0"/>
        <w:ind w:right="0"/>
        <w:contextualSpacing/>
        <w:rPr>
          <w:rFonts w:cs="Verdana"/>
        </w:rPr>
      </w:pPr>
      <w:r w:rsidRPr="00487FB9">
        <w:rPr>
          <w:rFonts w:cs="Verdana"/>
        </w:rPr>
        <w:t xml:space="preserve">value for money. </w:t>
      </w:r>
    </w:p>
    <w:p w14:paraId="650B926F" w14:textId="77777777" w:rsidR="00193B48" w:rsidRPr="00487FB9" w:rsidRDefault="00193B48" w:rsidP="00993FE9">
      <w:pPr>
        <w:autoSpaceDE w:val="0"/>
        <w:autoSpaceDN w:val="0"/>
        <w:adjustRightInd w:val="0"/>
        <w:ind w:firstLine="360"/>
        <w:rPr>
          <w:rFonts w:cs="Verdana"/>
        </w:rPr>
      </w:pPr>
      <w:r w:rsidRPr="00487FB9">
        <w:rPr>
          <w:rFonts w:cs="Verdana"/>
        </w:rPr>
        <w:lastRenderedPageBreak/>
        <w:t xml:space="preserve">The Commission reserves the right not to accept the lowest quotation. </w:t>
      </w:r>
    </w:p>
    <w:p w14:paraId="07FD9A19" w14:textId="77777777" w:rsidR="00193B48" w:rsidRPr="00487FB9" w:rsidRDefault="00193B48" w:rsidP="00993FE9">
      <w:pPr>
        <w:rPr>
          <w:b/>
        </w:rPr>
      </w:pPr>
    </w:p>
    <w:p w14:paraId="08DB005C" w14:textId="77777777" w:rsidR="00193B48" w:rsidRPr="00487FB9" w:rsidRDefault="00193B48" w:rsidP="00993FE9">
      <w:pPr>
        <w:pStyle w:val="Heading2"/>
        <w:rPr>
          <w:rFonts w:cs="Verdana"/>
          <w:color w:val="6F2F9F"/>
          <w:sz w:val="23"/>
          <w:szCs w:val="23"/>
        </w:rPr>
      </w:pPr>
      <w:r w:rsidRPr="00487FB9">
        <w:t xml:space="preserve">Human Rights Policy </w:t>
      </w:r>
    </w:p>
    <w:p w14:paraId="54A98524" w14:textId="77777777" w:rsidR="00193B48" w:rsidRPr="00487FB9" w:rsidRDefault="00193B48" w:rsidP="00993FE9">
      <w:pPr>
        <w:autoSpaceDE w:val="0"/>
        <w:autoSpaceDN w:val="0"/>
        <w:adjustRightInd w:val="0"/>
        <w:rPr>
          <w:rFonts w:cs="Verdana"/>
          <w:color w:val="000000"/>
        </w:rPr>
      </w:pPr>
      <w:r w:rsidRPr="00487FB9">
        <w:rPr>
          <w:rFonts w:cs="Verdana"/>
          <w:color w:val="000000"/>
        </w:rPr>
        <w:t xml:space="preserve">Tenderers must confirm that their organisation has a human rights policy. Those tenderers who have been selected will be asked to provide a copy of their organisational human rights policy prior to award of contract. </w:t>
      </w:r>
    </w:p>
    <w:p w14:paraId="06658701" w14:textId="77777777" w:rsidR="00193B48" w:rsidRPr="00487FB9" w:rsidRDefault="00193B48" w:rsidP="00993FE9">
      <w:pPr>
        <w:autoSpaceDE w:val="0"/>
        <w:autoSpaceDN w:val="0"/>
        <w:adjustRightInd w:val="0"/>
        <w:rPr>
          <w:rFonts w:cs="Verdana"/>
          <w:color w:val="000000"/>
        </w:rPr>
      </w:pPr>
    </w:p>
    <w:p w14:paraId="7FF8EB6E" w14:textId="77777777" w:rsidR="00193B48" w:rsidRPr="00487FB9" w:rsidRDefault="00193B48" w:rsidP="00993FE9">
      <w:pPr>
        <w:pStyle w:val="Heading2"/>
        <w:rPr>
          <w:rFonts w:cs="Verdana"/>
          <w:color w:val="000000"/>
          <w:sz w:val="23"/>
          <w:szCs w:val="23"/>
        </w:rPr>
      </w:pPr>
      <w:r w:rsidRPr="00487FB9">
        <w:t xml:space="preserve">GDPR Policy </w:t>
      </w:r>
    </w:p>
    <w:p w14:paraId="6B537B9E" w14:textId="24E10DFD" w:rsidR="009D650D" w:rsidRPr="00487FB9" w:rsidRDefault="00C93E20" w:rsidP="009D650D">
      <w:pPr>
        <w:pStyle w:val="BasicParagraph"/>
        <w:suppressAutoHyphens/>
        <w:rPr>
          <w:rFonts w:ascii="Verdana" w:hAnsi="Verdana" w:cs="Verdana"/>
        </w:rPr>
      </w:pPr>
      <w:r w:rsidRPr="00487FB9">
        <w:rPr>
          <w:rFonts w:ascii="Verdana" w:hAnsi="Verdana" w:cs="Verdana"/>
        </w:rPr>
        <w:t>To the extent that the project deals with personal data, t</w:t>
      </w:r>
      <w:r w:rsidR="00193B48" w:rsidRPr="00487FB9">
        <w:rPr>
          <w:rFonts w:ascii="Verdana" w:hAnsi="Verdana" w:cs="Verdana"/>
        </w:rPr>
        <w:t>enderers must confirm that their organisation has a GDPR policy. Those tenderers who have been selected will be asked to provide a copy of their organisational GDPR policy prior to award of contract.</w:t>
      </w:r>
    </w:p>
    <w:p w14:paraId="060CAE74" w14:textId="77777777" w:rsidR="00D94CBC" w:rsidRPr="00487FB9" w:rsidRDefault="00D94CBC">
      <w:pPr>
        <w:rPr>
          <w:rFonts w:cs="Verdana"/>
        </w:rPr>
      </w:pPr>
    </w:p>
    <w:p w14:paraId="56499239" w14:textId="77777777" w:rsidR="00D94CBC" w:rsidRPr="00487FB9" w:rsidRDefault="00D94CBC" w:rsidP="00D94CBC">
      <w:pPr>
        <w:autoSpaceDE w:val="0"/>
        <w:autoSpaceDN w:val="0"/>
        <w:adjustRightInd w:val="0"/>
        <w:jc w:val="center"/>
        <w:rPr>
          <w:rFonts w:cs="Verdana"/>
          <w:b/>
          <w:bCs/>
          <w:color w:val="773189"/>
          <w:kern w:val="0"/>
          <w:sz w:val="32"/>
          <w:szCs w:val="32"/>
        </w:rPr>
      </w:pPr>
    </w:p>
    <w:p w14:paraId="29C5CA98" w14:textId="77777777" w:rsidR="00D94CBC" w:rsidRPr="00487FB9" w:rsidRDefault="00D94CBC" w:rsidP="00D94CBC">
      <w:pPr>
        <w:autoSpaceDE w:val="0"/>
        <w:autoSpaceDN w:val="0"/>
        <w:adjustRightInd w:val="0"/>
        <w:jc w:val="center"/>
        <w:rPr>
          <w:rFonts w:cs="Verdana"/>
          <w:b/>
          <w:bCs/>
          <w:color w:val="773189"/>
          <w:kern w:val="0"/>
          <w:sz w:val="32"/>
          <w:szCs w:val="32"/>
        </w:rPr>
      </w:pPr>
    </w:p>
    <w:p w14:paraId="3DC9CCCA" w14:textId="77777777" w:rsidR="00D94CBC" w:rsidRPr="00487FB9" w:rsidRDefault="00D94CBC" w:rsidP="00D94CBC">
      <w:pPr>
        <w:autoSpaceDE w:val="0"/>
        <w:autoSpaceDN w:val="0"/>
        <w:adjustRightInd w:val="0"/>
        <w:jc w:val="center"/>
        <w:rPr>
          <w:rFonts w:cs="Verdana"/>
          <w:b/>
          <w:bCs/>
          <w:color w:val="773189"/>
          <w:kern w:val="0"/>
          <w:sz w:val="32"/>
          <w:szCs w:val="32"/>
        </w:rPr>
      </w:pPr>
    </w:p>
    <w:p w14:paraId="44C1F23C" w14:textId="192FC6EA" w:rsidR="00D94CBC" w:rsidRPr="00487FB9" w:rsidRDefault="00D94CBC" w:rsidP="00D94CBC">
      <w:pPr>
        <w:autoSpaceDE w:val="0"/>
        <w:autoSpaceDN w:val="0"/>
        <w:adjustRightInd w:val="0"/>
        <w:jc w:val="center"/>
        <w:rPr>
          <w:rFonts w:cs="Verdana"/>
          <w:color w:val="000000"/>
          <w:kern w:val="0"/>
          <w:sz w:val="32"/>
          <w:szCs w:val="32"/>
        </w:rPr>
      </w:pPr>
      <w:r w:rsidRPr="00487FB9">
        <w:rPr>
          <w:rFonts w:cs="Verdana"/>
          <w:b/>
          <w:bCs/>
          <w:color w:val="773189"/>
          <w:kern w:val="0"/>
          <w:sz w:val="32"/>
          <w:szCs w:val="32"/>
        </w:rPr>
        <w:t xml:space="preserve">Any questions about the project should be emailed to </w:t>
      </w:r>
      <w:hyperlink r:id="rId9" w:history="1">
        <w:r w:rsidRPr="00487FB9">
          <w:rPr>
            <w:rStyle w:val="Hyperlink"/>
            <w:rFonts w:cs="Verdana"/>
            <w:b/>
            <w:bCs/>
            <w:kern w:val="0"/>
            <w:sz w:val="32"/>
            <w:szCs w:val="32"/>
          </w:rPr>
          <w:t>Eilis.Haughey@NIHRC.org</w:t>
        </w:r>
      </w:hyperlink>
      <w:r w:rsidRPr="00487FB9">
        <w:rPr>
          <w:rFonts w:cs="Verdana"/>
          <w:b/>
          <w:bCs/>
          <w:color w:val="0462C1"/>
          <w:kern w:val="0"/>
          <w:sz w:val="32"/>
          <w:szCs w:val="32"/>
        </w:rPr>
        <w:t xml:space="preserve"> </w:t>
      </w:r>
      <w:r w:rsidRPr="00487FB9">
        <w:rPr>
          <w:rFonts w:cs="Verdana"/>
          <w:b/>
          <w:bCs/>
          <w:color w:val="773189"/>
          <w:kern w:val="0"/>
          <w:sz w:val="32"/>
          <w:szCs w:val="32"/>
        </w:rPr>
        <w:t>who will arrange a prompt response.</w:t>
      </w:r>
    </w:p>
    <w:p w14:paraId="5F3BD840" w14:textId="77777777" w:rsidR="00D94CBC" w:rsidRPr="00487FB9" w:rsidRDefault="00D94CBC" w:rsidP="00D94CBC">
      <w:pPr>
        <w:autoSpaceDE w:val="0"/>
        <w:autoSpaceDN w:val="0"/>
        <w:adjustRightInd w:val="0"/>
        <w:jc w:val="center"/>
        <w:rPr>
          <w:rFonts w:cs="Verdana"/>
          <w:b/>
          <w:bCs/>
          <w:color w:val="22201F"/>
          <w:kern w:val="0"/>
          <w:sz w:val="30"/>
          <w:szCs w:val="30"/>
        </w:rPr>
      </w:pPr>
    </w:p>
    <w:p w14:paraId="245F2AD7" w14:textId="77777777" w:rsidR="00D94CBC" w:rsidRPr="00487FB9" w:rsidRDefault="00D94CBC" w:rsidP="00D94CBC">
      <w:pPr>
        <w:autoSpaceDE w:val="0"/>
        <w:autoSpaceDN w:val="0"/>
        <w:adjustRightInd w:val="0"/>
        <w:jc w:val="center"/>
        <w:rPr>
          <w:rFonts w:cs="Verdana"/>
          <w:b/>
          <w:bCs/>
          <w:color w:val="22201F"/>
          <w:kern w:val="0"/>
          <w:sz w:val="30"/>
          <w:szCs w:val="30"/>
        </w:rPr>
      </w:pPr>
    </w:p>
    <w:p w14:paraId="72C8ABA8" w14:textId="77777777" w:rsidR="00D94CBC" w:rsidRPr="00487FB9" w:rsidRDefault="00D94CBC" w:rsidP="00D94CBC">
      <w:pPr>
        <w:autoSpaceDE w:val="0"/>
        <w:autoSpaceDN w:val="0"/>
        <w:adjustRightInd w:val="0"/>
        <w:jc w:val="center"/>
        <w:rPr>
          <w:rFonts w:cs="Verdana"/>
          <w:b/>
          <w:bCs/>
          <w:color w:val="22201F"/>
          <w:kern w:val="0"/>
          <w:sz w:val="30"/>
          <w:szCs w:val="30"/>
        </w:rPr>
      </w:pPr>
    </w:p>
    <w:p w14:paraId="7595C088" w14:textId="77777777" w:rsidR="00A97FA1" w:rsidRPr="00487FB9" w:rsidRDefault="00D94CBC" w:rsidP="00D94CBC">
      <w:pPr>
        <w:autoSpaceDE w:val="0"/>
        <w:autoSpaceDN w:val="0"/>
        <w:adjustRightInd w:val="0"/>
        <w:jc w:val="center"/>
        <w:rPr>
          <w:rFonts w:cs="Verdana"/>
          <w:b/>
          <w:bCs/>
          <w:color w:val="0462C1"/>
          <w:kern w:val="0"/>
          <w:sz w:val="30"/>
          <w:szCs w:val="30"/>
        </w:rPr>
      </w:pPr>
      <w:r w:rsidRPr="00487FB9">
        <w:rPr>
          <w:rFonts w:cs="Verdana"/>
          <w:b/>
          <w:bCs/>
          <w:color w:val="22201F"/>
          <w:kern w:val="0"/>
          <w:sz w:val="30"/>
          <w:szCs w:val="30"/>
        </w:rPr>
        <w:t xml:space="preserve">Please email your application to </w:t>
      </w:r>
      <w:r w:rsidRPr="00487FB9">
        <w:rPr>
          <w:rFonts w:cs="Verdana"/>
          <w:b/>
          <w:bCs/>
          <w:color w:val="0462C1"/>
          <w:kern w:val="0"/>
          <w:sz w:val="30"/>
          <w:szCs w:val="30"/>
        </w:rPr>
        <w:t xml:space="preserve">Accounts@NIHRC.org </w:t>
      </w:r>
    </w:p>
    <w:p w14:paraId="5F76CD79" w14:textId="08E934A8" w:rsidR="00D94CBC" w:rsidRPr="00487FB9" w:rsidRDefault="00D94CBC" w:rsidP="00D94CBC">
      <w:pPr>
        <w:autoSpaceDE w:val="0"/>
        <w:autoSpaceDN w:val="0"/>
        <w:adjustRightInd w:val="0"/>
        <w:jc w:val="center"/>
        <w:rPr>
          <w:rFonts w:cs="Verdana"/>
          <w:color w:val="000000"/>
          <w:kern w:val="0"/>
          <w:sz w:val="30"/>
          <w:szCs w:val="30"/>
        </w:rPr>
      </w:pPr>
      <w:r w:rsidRPr="00487FB9">
        <w:rPr>
          <w:rFonts w:cs="Verdana"/>
          <w:b/>
          <w:bCs/>
          <w:color w:val="22201F"/>
          <w:kern w:val="0"/>
          <w:sz w:val="30"/>
          <w:szCs w:val="30"/>
        </w:rPr>
        <w:t xml:space="preserve">by 12 noon on </w:t>
      </w:r>
      <w:r w:rsidR="00A97FA1" w:rsidRPr="00487FB9">
        <w:rPr>
          <w:rFonts w:cs="Verdana"/>
          <w:b/>
          <w:bCs/>
          <w:color w:val="22201F"/>
          <w:kern w:val="0"/>
          <w:sz w:val="30"/>
          <w:szCs w:val="30"/>
        </w:rPr>
        <w:t>4 September</w:t>
      </w:r>
      <w:r w:rsidRPr="00487FB9">
        <w:rPr>
          <w:rFonts w:cs="Verdana"/>
          <w:b/>
          <w:bCs/>
          <w:color w:val="22201F"/>
          <w:kern w:val="0"/>
          <w:sz w:val="30"/>
          <w:szCs w:val="30"/>
        </w:rPr>
        <w:t xml:space="preserve"> 2024</w:t>
      </w:r>
    </w:p>
    <w:p w14:paraId="191535F4" w14:textId="77777777" w:rsidR="00D94CBC" w:rsidRPr="00487FB9" w:rsidRDefault="00D94CBC" w:rsidP="00D94CBC">
      <w:pPr>
        <w:autoSpaceDE w:val="0"/>
        <w:autoSpaceDN w:val="0"/>
        <w:adjustRightInd w:val="0"/>
        <w:jc w:val="center"/>
        <w:rPr>
          <w:rFonts w:cs="Verdana"/>
          <w:color w:val="22201F"/>
          <w:kern w:val="0"/>
          <w:sz w:val="28"/>
          <w:szCs w:val="28"/>
        </w:rPr>
      </w:pPr>
    </w:p>
    <w:p w14:paraId="49C8A2BF" w14:textId="77777777" w:rsidR="00D94CBC" w:rsidRPr="00487FB9" w:rsidRDefault="00D94CBC" w:rsidP="00D94CBC">
      <w:pPr>
        <w:autoSpaceDE w:val="0"/>
        <w:autoSpaceDN w:val="0"/>
        <w:adjustRightInd w:val="0"/>
        <w:jc w:val="center"/>
        <w:rPr>
          <w:rFonts w:cs="Verdana"/>
          <w:color w:val="22201F"/>
          <w:kern w:val="0"/>
          <w:sz w:val="28"/>
          <w:szCs w:val="28"/>
        </w:rPr>
      </w:pPr>
    </w:p>
    <w:p w14:paraId="6BB58773" w14:textId="01CA526C" w:rsidR="00D94CBC" w:rsidRPr="00487FB9" w:rsidRDefault="00D94CBC" w:rsidP="00D94CBC">
      <w:pPr>
        <w:autoSpaceDE w:val="0"/>
        <w:autoSpaceDN w:val="0"/>
        <w:adjustRightInd w:val="0"/>
        <w:jc w:val="center"/>
        <w:rPr>
          <w:rFonts w:cs="Verdana"/>
          <w:color w:val="000000"/>
          <w:kern w:val="0"/>
          <w:sz w:val="28"/>
          <w:szCs w:val="28"/>
        </w:rPr>
      </w:pPr>
      <w:r w:rsidRPr="00487FB9">
        <w:rPr>
          <w:rFonts w:cs="Verdana"/>
          <w:color w:val="22201F"/>
          <w:kern w:val="0"/>
          <w:sz w:val="28"/>
          <w:szCs w:val="28"/>
        </w:rPr>
        <w:t xml:space="preserve">www.nihrc.org </w:t>
      </w:r>
      <w:r w:rsidRPr="00487FB9">
        <w:rPr>
          <w:rFonts w:cs="Verdana"/>
          <w:color w:val="000000"/>
          <w:kern w:val="0"/>
          <w:sz w:val="28"/>
          <w:szCs w:val="28"/>
        </w:rPr>
        <w:t xml:space="preserve">| </w:t>
      </w:r>
      <w:r w:rsidRPr="00487FB9">
        <w:rPr>
          <w:rFonts w:cs="Verdana"/>
          <w:color w:val="22201F"/>
          <w:kern w:val="0"/>
          <w:sz w:val="28"/>
          <w:szCs w:val="28"/>
        </w:rPr>
        <w:t xml:space="preserve">info@nihrc.org </w:t>
      </w:r>
      <w:r w:rsidRPr="00487FB9">
        <w:rPr>
          <w:rFonts w:cs="Verdana"/>
          <w:color w:val="000000"/>
          <w:kern w:val="0"/>
          <w:sz w:val="28"/>
          <w:szCs w:val="28"/>
        </w:rPr>
        <w:t>| +44 (0)28 9024 3987</w:t>
      </w:r>
    </w:p>
    <w:p w14:paraId="3DE21233" w14:textId="6C227182" w:rsidR="009C29D6" w:rsidRDefault="00D94CBC" w:rsidP="00D94CBC">
      <w:pPr>
        <w:jc w:val="center"/>
        <w:rPr>
          <w:rFonts w:cs="Verdana"/>
        </w:rPr>
      </w:pPr>
      <w:r w:rsidRPr="00487FB9">
        <w:rPr>
          <w:rFonts w:cs="Verdana"/>
          <w:color w:val="22201F"/>
          <w:kern w:val="0"/>
          <w:sz w:val="28"/>
          <w:szCs w:val="28"/>
        </w:rPr>
        <w:t>4th Floor, Alfred House, 19-21</w:t>
      </w:r>
      <w:r w:rsidRPr="00D94CBC">
        <w:rPr>
          <w:rFonts w:cs="Verdana"/>
          <w:color w:val="22201F"/>
          <w:kern w:val="0"/>
          <w:sz w:val="28"/>
          <w:szCs w:val="28"/>
        </w:rPr>
        <w:t xml:space="preserve"> Alfred Street, Belfast, BT2 8ED </w:t>
      </w:r>
    </w:p>
    <w:p w14:paraId="03859FEC" w14:textId="77777777" w:rsidR="00D94CBC" w:rsidRDefault="00D94CBC" w:rsidP="00D94CBC">
      <w:pPr>
        <w:jc w:val="center"/>
        <w:rPr>
          <w:rFonts w:cs="Verdana"/>
        </w:rPr>
      </w:pPr>
    </w:p>
    <w:p w14:paraId="4AF99D5F" w14:textId="77777777" w:rsidR="00D94CBC" w:rsidRDefault="00D94CBC" w:rsidP="00D94CBC">
      <w:pPr>
        <w:jc w:val="center"/>
        <w:rPr>
          <w:rFonts w:cs="Verdana"/>
        </w:rPr>
      </w:pPr>
    </w:p>
    <w:p w14:paraId="6658FBF2" w14:textId="77777777" w:rsidR="00D94CBC" w:rsidRPr="00D94CBC" w:rsidRDefault="00D94CBC" w:rsidP="00D94CBC">
      <w:pPr>
        <w:jc w:val="center"/>
        <w:rPr>
          <w:rFonts w:eastAsiaTheme="minorEastAsia" w:cs="Verdana"/>
          <w:color w:val="000000"/>
          <w:kern w:val="0"/>
          <w14:ligatures w14:val="none"/>
        </w:rPr>
      </w:pPr>
    </w:p>
    <w:sectPr w:rsidR="00D94CBC" w:rsidRPr="00D94CBC">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3C0F29" w14:textId="77777777" w:rsidR="001B61FD" w:rsidRDefault="001B61FD" w:rsidP="00DE038A">
      <w:pPr>
        <w:spacing w:line="240" w:lineRule="auto"/>
      </w:pPr>
      <w:r>
        <w:separator/>
      </w:r>
    </w:p>
  </w:endnote>
  <w:endnote w:type="continuationSeparator" w:id="0">
    <w:p w14:paraId="127BD751" w14:textId="77777777" w:rsidR="001B61FD" w:rsidRDefault="001B61FD" w:rsidP="00DE038A">
      <w:pPr>
        <w:spacing w:line="240" w:lineRule="auto"/>
      </w:pPr>
      <w:r>
        <w:continuationSeparator/>
      </w:r>
    </w:p>
  </w:endnote>
  <w:endnote w:type="continuationNotice" w:id="1">
    <w:p w14:paraId="7E180F44" w14:textId="77777777" w:rsidR="001B61FD" w:rsidRDefault="001B61F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0769233"/>
      <w:docPartObj>
        <w:docPartGallery w:val="Page Numbers (Bottom of Page)"/>
        <w:docPartUnique/>
      </w:docPartObj>
    </w:sdtPr>
    <w:sdtEndPr>
      <w:rPr>
        <w:noProof/>
      </w:rPr>
    </w:sdtEndPr>
    <w:sdtContent>
      <w:p w14:paraId="5E4FFB7E" w14:textId="126C5CB6" w:rsidR="0042555F" w:rsidRDefault="004255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C386EC" w14:textId="77777777" w:rsidR="0042555F" w:rsidRDefault="004255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F84F2" w14:textId="77777777" w:rsidR="001B61FD" w:rsidRDefault="001B61FD" w:rsidP="00DE038A">
      <w:pPr>
        <w:spacing w:line="240" w:lineRule="auto"/>
      </w:pPr>
      <w:r>
        <w:separator/>
      </w:r>
    </w:p>
  </w:footnote>
  <w:footnote w:type="continuationSeparator" w:id="0">
    <w:p w14:paraId="0C4B76DB" w14:textId="77777777" w:rsidR="001B61FD" w:rsidRDefault="001B61FD" w:rsidP="00DE038A">
      <w:pPr>
        <w:spacing w:line="240" w:lineRule="auto"/>
      </w:pPr>
      <w:r>
        <w:continuationSeparator/>
      </w:r>
    </w:p>
  </w:footnote>
  <w:footnote w:type="continuationNotice" w:id="1">
    <w:p w14:paraId="25458FD6" w14:textId="77777777" w:rsidR="001B61FD" w:rsidRDefault="001B61FD">
      <w:pPr>
        <w:spacing w:line="240" w:lineRule="auto"/>
      </w:pPr>
    </w:p>
  </w:footnote>
  <w:footnote w:id="2">
    <w:p w14:paraId="093D8AC4" w14:textId="77777777" w:rsidR="00E01411" w:rsidRPr="00CC5F12" w:rsidRDefault="00E01411"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The Protocol on Ireland/Northern Ireland was renamed by Decision No 1/2023 of the Joint Committee established by the Agreement on the Withdrawal of the United Kingdom of Great Britain and Northern Ireland from the European Union and the European Atomic Energy Community of 24 March 2023 laying down arrangements relating to the Windsor Framework.</w:t>
      </w:r>
    </w:p>
  </w:footnote>
  <w:footnote w:id="3">
    <w:p w14:paraId="37427669" w14:textId="77777777" w:rsidR="00E01411" w:rsidRPr="00CC5F12" w:rsidRDefault="00E01411"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Joint report from the Negotiators of the EU and UK Government progress during Phase 1 of Negotiations under Article 50 TEU on the UK’s Orderly Withdrawal from the EU, 8 December 2017, para 42.</w:t>
      </w:r>
    </w:p>
  </w:footnote>
  <w:footnote w:id="4">
    <w:p w14:paraId="035803A6" w14:textId="09C00916" w:rsidR="001E0999" w:rsidRPr="00CC5F12" w:rsidRDefault="001E0999"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NI Human Rights Commission and Equality Commission NI, ‘Working Paper: Scope of Article 2(1) of the Ireland/NI Protocol to the Withdrawal Agreement 2020’, (NIHRC and ECNI, 2022).</w:t>
      </w:r>
    </w:p>
  </w:footnote>
  <w:footnote w:id="5">
    <w:p w14:paraId="1E45E1ED" w14:textId="77777777" w:rsidR="002575FB" w:rsidRPr="00CC5F12" w:rsidRDefault="002575FB" w:rsidP="00CC5F12">
      <w:pPr>
        <w:pStyle w:val="FootnoteText"/>
        <w:rPr>
          <w:rFonts w:ascii="Verdana" w:hAnsi="Verdana" w:cstheme="minorHAnsi"/>
          <w:color w:val="77328A"/>
          <w:sz w:val="16"/>
          <w:szCs w:val="16"/>
        </w:rPr>
      </w:pPr>
      <w:r w:rsidRPr="00CC5F12">
        <w:rPr>
          <w:rStyle w:val="FootnoteReference"/>
          <w:rFonts w:ascii="Verdana" w:hAnsi="Verdana" w:cstheme="minorHAnsi"/>
          <w:color w:val="77328A"/>
          <w:sz w:val="16"/>
          <w:szCs w:val="16"/>
        </w:rPr>
        <w:footnoteRef/>
      </w:r>
      <w:r w:rsidRPr="00CC5F12">
        <w:rPr>
          <w:rFonts w:ascii="Verdana" w:hAnsi="Verdana" w:cstheme="minorHAnsi"/>
          <w:color w:val="77328A"/>
          <w:sz w:val="16"/>
          <w:szCs w:val="16"/>
        </w:rPr>
        <w:t xml:space="preserve"> </w:t>
      </w:r>
      <w:r w:rsidRPr="00CC5F12">
        <w:rPr>
          <w:rStyle w:val="Hyperlink"/>
          <w:rFonts w:ascii="Verdana" w:hAnsi="Verdana" w:cstheme="minorHAnsi"/>
          <w:color w:val="77328A"/>
          <w:sz w:val="16"/>
          <w:szCs w:val="16"/>
          <w:u w:val="none"/>
        </w:rPr>
        <w:t xml:space="preserve">NI Office, ‘UK Government Commitment to “no diminution of rights, </w:t>
      </w:r>
      <w:proofErr w:type="gramStart"/>
      <w:r w:rsidRPr="00CC5F12">
        <w:rPr>
          <w:rStyle w:val="Hyperlink"/>
          <w:rFonts w:ascii="Verdana" w:hAnsi="Verdana" w:cstheme="minorHAnsi"/>
          <w:color w:val="77328A"/>
          <w:sz w:val="16"/>
          <w:szCs w:val="16"/>
          <w:u w:val="none"/>
        </w:rPr>
        <w:t>safeguards</w:t>
      </w:r>
      <w:proofErr w:type="gramEnd"/>
      <w:r w:rsidRPr="00CC5F12">
        <w:rPr>
          <w:rStyle w:val="Hyperlink"/>
          <w:rFonts w:ascii="Verdana" w:hAnsi="Verdana" w:cstheme="minorHAnsi"/>
          <w:color w:val="77328A"/>
          <w:sz w:val="16"/>
          <w:szCs w:val="16"/>
          <w:u w:val="none"/>
        </w:rPr>
        <w:t xml:space="preserve"> and equality of opportunity” in Northern Ireland: What does it mean and how will it be implemented?’ (NIO, 2020).</w:t>
      </w:r>
    </w:p>
  </w:footnote>
  <w:footnote w:id="6">
    <w:p w14:paraId="5D362003" w14:textId="77777777" w:rsidR="002575FB" w:rsidRPr="00CC5F12" w:rsidRDefault="002575FB"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w:t>
      </w:r>
      <w:r w:rsidRPr="00CC5F12">
        <w:rPr>
          <w:rFonts w:ascii="Verdana" w:hAnsi="Verdana" w:cstheme="minorHAnsi"/>
          <w:color w:val="77328A"/>
          <w:sz w:val="16"/>
          <w:szCs w:val="16"/>
        </w:rPr>
        <w:t xml:space="preserve">The UK Government has identified a non-exhaustive list of measures, including the EU Victims’ Directive; the EU Parental Leave Directive; EU Pregnant Workers’ Directive; and measures aimed at protecting the rights of disabled people (see </w:t>
      </w:r>
      <w:r w:rsidRPr="00CC5F12">
        <w:rPr>
          <w:rStyle w:val="Hyperlink"/>
          <w:rFonts w:ascii="Verdana" w:hAnsi="Verdana" w:cstheme="minorHAnsi"/>
          <w:color w:val="77328A"/>
          <w:sz w:val="16"/>
          <w:szCs w:val="16"/>
          <w:u w:val="none"/>
        </w:rPr>
        <w:t>NI Office, ‘UK Government Commitment to “no diminution of rights, safeguards and equality of opportunity” in Northern Ireland: What does it mean and how will it be implemented?’, (NIO, 2020), at para 13).</w:t>
      </w:r>
    </w:p>
  </w:footnote>
  <w:footnote w:id="7">
    <w:p w14:paraId="0076F254" w14:textId="7B088724" w:rsidR="002575FB" w:rsidRPr="00CC5F12" w:rsidRDefault="002575FB"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See Appendix 1, NI Human Rights Commission and Equality Commission </w:t>
      </w:r>
      <w:r w:rsidR="00263964" w:rsidRPr="00CC5F12">
        <w:rPr>
          <w:rFonts w:ascii="Verdana" w:hAnsi="Verdana"/>
          <w:color w:val="77328A"/>
          <w:sz w:val="16"/>
          <w:szCs w:val="16"/>
        </w:rPr>
        <w:t xml:space="preserve">for </w:t>
      </w:r>
      <w:r w:rsidRPr="00CC5F12">
        <w:rPr>
          <w:rFonts w:ascii="Verdana" w:hAnsi="Verdana"/>
          <w:color w:val="77328A"/>
          <w:sz w:val="16"/>
          <w:szCs w:val="16"/>
        </w:rPr>
        <w:t>NI, ‘Working Paper: Scope of Article 2(1) of the Ireland/NI Protocol to the Withdrawal Agreement 2020’, (NIHRC and ECNI, 2022).</w:t>
      </w:r>
    </w:p>
  </w:footnote>
  <w:footnote w:id="8">
    <w:p w14:paraId="4CAC2BE4" w14:textId="62FE8AE5" w:rsidR="009C2F7E" w:rsidRPr="00CC5F12" w:rsidRDefault="009C2F7E"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The changes</w:t>
      </w:r>
      <w:r w:rsidR="0042555F" w:rsidRPr="00CC5F12">
        <w:rPr>
          <w:rFonts w:ascii="Verdana" w:hAnsi="Verdana"/>
          <w:color w:val="77328A"/>
          <w:sz w:val="16"/>
          <w:szCs w:val="16"/>
        </w:rPr>
        <w:t xml:space="preserve"> to Article 13(3)</w:t>
      </w:r>
      <w:r w:rsidR="00966FAC" w:rsidRPr="00CC5F12">
        <w:rPr>
          <w:rFonts w:ascii="Verdana" w:hAnsi="Verdana"/>
          <w:color w:val="77328A"/>
          <w:sz w:val="16"/>
          <w:szCs w:val="16"/>
        </w:rPr>
        <w:t>(</w:t>
      </w:r>
      <w:r w:rsidR="0042555F" w:rsidRPr="00CC5F12">
        <w:rPr>
          <w:rFonts w:ascii="Verdana" w:hAnsi="Verdana"/>
          <w:color w:val="77328A"/>
          <w:sz w:val="16"/>
          <w:szCs w:val="16"/>
        </w:rPr>
        <w:t>a</w:t>
      </w:r>
      <w:r w:rsidR="00966FAC" w:rsidRPr="00CC5F12">
        <w:rPr>
          <w:rFonts w:ascii="Verdana" w:hAnsi="Verdana"/>
          <w:color w:val="77328A"/>
          <w:sz w:val="16"/>
          <w:szCs w:val="16"/>
        </w:rPr>
        <w:t>)</w:t>
      </w:r>
      <w:r w:rsidR="0042555F" w:rsidRPr="00CC5F12">
        <w:rPr>
          <w:rFonts w:ascii="Verdana" w:hAnsi="Verdana"/>
          <w:color w:val="77328A"/>
          <w:sz w:val="16"/>
          <w:szCs w:val="16"/>
        </w:rPr>
        <w:t xml:space="preserve"> following the political agreement between the UK and EU on a new way forward on the original Protocol are limited to measures in Annex 2. See Decision No 1/2023 of the Joint Committee established by the agreement on the withdrawal of the UK of Great Britain and NI from the EU and the European Atomic Energy Community of 24 March 2023, laying down arrangements relating to the Windsor Framework.</w:t>
      </w:r>
    </w:p>
  </w:footnote>
  <w:footnote w:id="9">
    <w:p w14:paraId="5F3E0A1E" w14:textId="77777777" w:rsidR="001E0999" w:rsidRPr="00CC5F12" w:rsidRDefault="001E0999" w:rsidP="00CC5F12">
      <w:pPr>
        <w:spacing w:line="240" w:lineRule="auto"/>
        <w:rPr>
          <w:rFonts w:cstheme="minorHAnsi"/>
          <w:color w:val="77328A"/>
          <w:sz w:val="16"/>
          <w:szCs w:val="16"/>
        </w:rPr>
      </w:pPr>
      <w:r w:rsidRPr="00CC5F12">
        <w:rPr>
          <w:rStyle w:val="FootnoteReference"/>
          <w:rFonts w:cstheme="minorHAnsi"/>
          <w:color w:val="77328A"/>
          <w:sz w:val="16"/>
          <w:szCs w:val="16"/>
        </w:rPr>
        <w:footnoteRef/>
      </w:r>
      <w:r w:rsidRPr="00CC5F12">
        <w:rPr>
          <w:rFonts w:cstheme="minorHAnsi"/>
          <w:color w:val="77328A"/>
          <w:sz w:val="16"/>
          <w:szCs w:val="16"/>
        </w:rPr>
        <w:t xml:space="preserve"> Council Directive 2004/113/EC, ‘EU Council Directive implementing the principle of equal treatment between men and women in the access to and supply of goods and services’, 13 December 2004; Directive 2006/54/EC, ‘EU Directive on the implementation of the principle of equal opportunities and equal treatment of men and women in matters of employment and occupation’, 5 July 2006; Council Directive 2000/43/EC, ‘EU Council Directive implementing the principle of equal treatment between persons irrespective of racial or ethnic origin’, 29 June 2000; Council Directive 2000/78/EC, ‘EU Council Directive establishing a general framework for equal treatment in employment and occupation’, 27 November 2000; Directive 2010/41/EU, ‘EU Directive on the application of the principle of equal treatment between men and women engaged in an activity in a self-employed capacity and repealing Council Directive 86/613/EEC’, 7 July 2010; Council Directive 79/7/EEC, ‘EU Council Directive on the progressive implementation of the principle of equal treatment for men and women in matters of social security’, 19 December 1978.</w:t>
      </w:r>
    </w:p>
  </w:footnote>
  <w:footnote w:id="10">
    <w:p w14:paraId="595A63D5" w14:textId="77777777" w:rsidR="00E01411" w:rsidRPr="00CC5F12" w:rsidRDefault="00E01411" w:rsidP="00CC5F12">
      <w:pPr>
        <w:pStyle w:val="FootnoteText"/>
        <w:rPr>
          <w:rFonts w:ascii="Verdana" w:hAnsi="Verdana" w:cstheme="minorHAnsi"/>
          <w:color w:val="77328A"/>
          <w:sz w:val="16"/>
          <w:szCs w:val="16"/>
        </w:rPr>
      </w:pPr>
      <w:r w:rsidRPr="00CC5F12">
        <w:rPr>
          <w:rStyle w:val="FootnoteReference"/>
          <w:rFonts w:ascii="Verdana" w:hAnsi="Verdana" w:cstheme="minorHAnsi"/>
          <w:color w:val="77328A"/>
          <w:sz w:val="16"/>
          <w:szCs w:val="16"/>
        </w:rPr>
        <w:footnoteRef/>
      </w:r>
      <w:r w:rsidRPr="00CC5F12">
        <w:rPr>
          <w:rStyle w:val="Hyperlink"/>
          <w:rFonts w:ascii="Verdana" w:hAnsi="Verdana" w:cstheme="minorHAnsi"/>
          <w:color w:val="77328A"/>
          <w:sz w:val="16"/>
          <w:szCs w:val="16"/>
          <w:u w:val="none"/>
        </w:rPr>
        <w:t xml:space="preserve"> NI Office, ‘UK Government Commitment to “no diminution of rights, </w:t>
      </w:r>
      <w:proofErr w:type="gramStart"/>
      <w:r w:rsidRPr="00CC5F12">
        <w:rPr>
          <w:rStyle w:val="Hyperlink"/>
          <w:rFonts w:ascii="Verdana" w:hAnsi="Verdana" w:cstheme="minorHAnsi"/>
          <w:color w:val="77328A"/>
          <w:sz w:val="16"/>
          <w:szCs w:val="16"/>
          <w:u w:val="none"/>
        </w:rPr>
        <w:t>safeguards</w:t>
      </w:r>
      <w:proofErr w:type="gramEnd"/>
      <w:r w:rsidRPr="00CC5F12">
        <w:rPr>
          <w:rStyle w:val="Hyperlink"/>
          <w:rFonts w:ascii="Verdana" w:hAnsi="Verdana" w:cstheme="minorHAnsi"/>
          <w:color w:val="77328A"/>
          <w:sz w:val="16"/>
          <w:szCs w:val="16"/>
          <w:u w:val="none"/>
        </w:rPr>
        <w:t xml:space="preserve"> and equality of opportunity” in Northern Ireland: What does it mean and how will it be implemented?’, (NIO, 2020), at para 13.</w:t>
      </w:r>
    </w:p>
  </w:footnote>
  <w:footnote w:id="11">
    <w:p w14:paraId="61BCC901" w14:textId="580581C2" w:rsidR="00E01411" w:rsidRPr="00CC5F12" w:rsidRDefault="00E01411"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Article 13(2) and 13(3), Windsor Framework to the UK-EU Withdrawal Agreement; Re Allister [2021] NIQB 64, </w:t>
      </w:r>
      <w:r w:rsidR="00F951B6" w:rsidRPr="00CC5F12">
        <w:rPr>
          <w:rFonts w:ascii="Verdana" w:hAnsi="Verdana"/>
          <w:color w:val="77328A"/>
          <w:sz w:val="16"/>
          <w:szCs w:val="16"/>
        </w:rPr>
        <w:t xml:space="preserve">at </w:t>
      </w:r>
      <w:r w:rsidRPr="00CC5F12">
        <w:rPr>
          <w:rFonts w:ascii="Verdana" w:hAnsi="Verdana"/>
          <w:color w:val="77328A"/>
          <w:sz w:val="16"/>
          <w:szCs w:val="16"/>
        </w:rPr>
        <w:t>para 234.</w:t>
      </w:r>
    </w:p>
  </w:footnote>
  <w:footnote w:id="12">
    <w:p w14:paraId="285EBE17" w14:textId="77777777" w:rsidR="00B4185E" w:rsidRPr="00CC5F12" w:rsidRDefault="00B4185E" w:rsidP="00CC5F12">
      <w:pPr>
        <w:pStyle w:val="FootnoteText"/>
        <w:rPr>
          <w:rFonts w:ascii="Verdana" w:hAnsi="Verdana" w:cstheme="minorHAnsi"/>
          <w:color w:val="77328A"/>
          <w:sz w:val="16"/>
          <w:szCs w:val="16"/>
        </w:rPr>
      </w:pPr>
      <w:r w:rsidRPr="00CC5F12">
        <w:rPr>
          <w:rStyle w:val="FootnoteReference"/>
          <w:rFonts w:ascii="Verdana" w:hAnsi="Verdana" w:cstheme="minorHAnsi"/>
          <w:color w:val="77328A"/>
          <w:sz w:val="16"/>
          <w:szCs w:val="16"/>
        </w:rPr>
        <w:footnoteRef/>
      </w:r>
      <w:r w:rsidRPr="00CC5F12">
        <w:rPr>
          <w:rFonts w:ascii="Verdana" w:hAnsi="Verdana" w:cstheme="minorHAnsi"/>
          <w:color w:val="77328A"/>
          <w:sz w:val="16"/>
          <w:szCs w:val="16"/>
        </w:rPr>
        <w:t xml:space="preserve"> Sections 78A-E, Northern Ireland Act 1998</w:t>
      </w:r>
    </w:p>
  </w:footnote>
  <w:footnote w:id="13">
    <w:p w14:paraId="5EE86AC0" w14:textId="77777777" w:rsidR="00B4185E" w:rsidRPr="00CC5F12" w:rsidRDefault="00B4185E"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w:t>
      </w:r>
      <w:r w:rsidRPr="00CC5F12">
        <w:rPr>
          <w:rFonts w:ascii="Verdana" w:hAnsi="Verdana"/>
          <w:i/>
          <w:iCs/>
          <w:color w:val="77328A"/>
          <w:sz w:val="16"/>
          <w:szCs w:val="16"/>
        </w:rPr>
        <w:t>Re SPUC Pro-Life Limited</w:t>
      </w:r>
      <w:r w:rsidRPr="00CC5F12">
        <w:rPr>
          <w:rFonts w:ascii="Verdana" w:hAnsi="Verdana"/>
          <w:color w:val="77328A"/>
          <w:sz w:val="16"/>
          <w:szCs w:val="16"/>
        </w:rPr>
        <w:t xml:space="preserve"> [2023] NICA 35, at para 54.</w:t>
      </w:r>
    </w:p>
  </w:footnote>
  <w:footnote w:id="14">
    <w:p w14:paraId="15543765" w14:textId="197551BF" w:rsidR="00B4185E" w:rsidRPr="00CC5F12" w:rsidRDefault="00B4185E"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Where UK and NI law was out of alignment with EU law on 31 December 2020, the absence of a ‘domestic implementing measure’ is not an insurmountable obstacle to demonstrating a diminution of Protocol Article 2, provided the EU legal obligation existed and </w:t>
      </w:r>
      <w:r w:rsidR="00B90616" w:rsidRPr="00CC5F12">
        <w:rPr>
          <w:rFonts w:ascii="Verdana" w:hAnsi="Verdana"/>
          <w:color w:val="77328A"/>
          <w:sz w:val="16"/>
          <w:szCs w:val="16"/>
        </w:rPr>
        <w:t xml:space="preserve">was binding on the UK </w:t>
      </w:r>
      <w:r w:rsidRPr="00CC5F12">
        <w:rPr>
          <w:rFonts w:ascii="Verdana" w:hAnsi="Verdana"/>
          <w:color w:val="77328A"/>
          <w:sz w:val="16"/>
          <w:szCs w:val="16"/>
        </w:rPr>
        <w:t xml:space="preserve">on that date. See also </w:t>
      </w:r>
      <w:r w:rsidRPr="00CC5F12">
        <w:rPr>
          <w:rFonts w:ascii="Verdana" w:hAnsi="Verdana"/>
          <w:i/>
          <w:iCs/>
          <w:color w:val="77328A"/>
          <w:sz w:val="16"/>
          <w:szCs w:val="16"/>
        </w:rPr>
        <w:t xml:space="preserve">Re SPUC Pro-Life Limited </w:t>
      </w:r>
      <w:r w:rsidRPr="00CC5F12">
        <w:rPr>
          <w:rFonts w:ascii="Verdana" w:hAnsi="Verdana"/>
          <w:color w:val="77328A"/>
          <w:sz w:val="16"/>
          <w:szCs w:val="16"/>
        </w:rPr>
        <w:t>[2022] NIQB 9, at para 88-90 for further discussion of the relationship between EU underpinning law and Article 2.</w:t>
      </w:r>
    </w:p>
  </w:footnote>
  <w:footnote w:id="15">
    <w:p w14:paraId="7BCF5E47" w14:textId="1385E4F7" w:rsidR="00D11AFA" w:rsidRPr="00CC5F12" w:rsidRDefault="00D11AFA"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Thomas </w:t>
      </w:r>
      <w:proofErr w:type="spellStart"/>
      <w:r w:rsidRPr="00CC5F12">
        <w:rPr>
          <w:rFonts w:ascii="Verdana" w:hAnsi="Verdana"/>
          <w:color w:val="77328A"/>
          <w:sz w:val="16"/>
          <w:szCs w:val="16"/>
        </w:rPr>
        <w:t>Liefl</w:t>
      </w:r>
      <w:r w:rsidRPr="00CC5F12">
        <w:rPr>
          <w:rFonts w:ascii="Verdana" w:hAnsi="Verdana" w:cstheme="minorHAnsi"/>
          <w:color w:val="77328A"/>
          <w:sz w:val="16"/>
          <w:szCs w:val="16"/>
        </w:rPr>
        <w:t>ä</w:t>
      </w:r>
      <w:r w:rsidRPr="00CC5F12">
        <w:rPr>
          <w:rFonts w:ascii="Verdana" w:hAnsi="Verdana"/>
          <w:color w:val="77328A"/>
          <w:sz w:val="16"/>
          <w:szCs w:val="16"/>
        </w:rPr>
        <w:t>nder</w:t>
      </w:r>
      <w:proofErr w:type="spellEnd"/>
      <w:r w:rsidRPr="00CC5F12">
        <w:rPr>
          <w:rFonts w:ascii="Verdana" w:hAnsi="Verdana"/>
          <w:color w:val="77328A"/>
          <w:sz w:val="16"/>
          <w:szCs w:val="16"/>
        </w:rPr>
        <w:t xml:space="preserve">, ‘Article 5 – Customs, movement of goods – A Commentary’ in Thomas </w:t>
      </w:r>
      <w:proofErr w:type="spellStart"/>
      <w:r w:rsidRPr="00CC5F12">
        <w:rPr>
          <w:rFonts w:ascii="Verdana" w:hAnsi="Verdana"/>
          <w:color w:val="77328A"/>
          <w:sz w:val="16"/>
          <w:szCs w:val="16"/>
        </w:rPr>
        <w:t>Liefl</w:t>
      </w:r>
      <w:r w:rsidRPr="00CC5F12">
        <w:rPr>
          <w:rFonts w:ascii="Verdana" w:hAnsi="Verdana" w:cstheme="minorHAnsi"/>
          <w:color w:val="77328A"/>
          <w:sz w:val="16"/>
          <w:szCs w:val="16"/>
        </w:rPr>
        <w:t>ä</w:t>
      </w:r>
      <w:r w:rsidRPr="00CC5F12">
        <w:rPr>
          <w:rFonts w:ascii="Verdana" w:hAnsi="Verdana"/>
          <w:color w:val="77328A"/>
          <w:sz w:val="16"/>
          <w:szCs w:val="16"/>
        </w:rPr>
        <w:t>nder</w:t>
      </w:r>
      <w:proofErr w:type="spellEnd"/>
      <w:r w:rsidRPr="00CC5F12">
        <w:rPr>
          <w:rFonts w:ascii="Verdana" w:hAnsi="Verdana"/>
          <w:color w:val="77328A"/>
          <w:sz w:val="16"/>
          <w:szCs w:val="16"/>
        </w:rPr>
        <w:t>, Manuel Kellerbauer and Eugenia Dumitriu-</w:t>
      </w:r>
      <w:proofErr w:type="spellStart"/>
      <w:r w:rsidRPr="00CC5F12">
        <w:rPr>
          <w:rFonts w:ascii="Verdana" w:hAnsi="Verdana"/>
          <w:color w:val="77328A"/>
          <w:sz w:val="16"/>
          <w:szCs w:val="16"/>
        </w:rPr>
        <w:t>Segnana</w:t>
      </w:r>
      <w:proofErr w:type="spellEnd"/>
      <w:r w:rsidRPr="00CC5F12">
        <w:rPr>
          <w:rFonts w:ascii="Verdana" w:hAnsi="Verdana"/>
          <w:color w:val="77328A"/>
          <w:sz w:val="16"/>
          <w:szCs w:val="16"/>
        </w:rPr>
        <w:t xml:space="preserve"> (Eds), ‘The Withdrawal Agreement – A Commentary’ (OUP</w:t>
      </w:r>
      <w:r w:rsidR="00977817" w:rsidRPr="00CC5F12">
        <w:rPr>
          <w:rFonts w:ascii="Verdana" w:hAnsi="Verdana"/>
          <w:color w:val="77328A"/>
          <w:sz w:val="16"/>
          <w:szCs w:val="16"/>
        </w:rPr>
        <w:t>, 2021</w:t>
      </w:r>
      <w:r w:rsidRPr="00CC5F12">
        <w:rPr>
          <w:rFonts w:ascii="Verdana" w:hAnsi="Verdana"/>
          <w:color w:val="77328A"/>
          <w:sz w:val="16"/>
          <w:szCs w:val="16"/>
        </w:rPr>
        <w:t>), at para 8.67.</w:t>
      </w:r>
    </w:p>
  </w:footnote>
  <w:footnote w:id="16">
    <w:p w14:paraId="5D60D54F" w14:textId="77777777" w:rsidR="00D11AFA" w:rsidRPr="00CC5F12" w:rsidRDefault="00D11AFA"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w:t>
      </w:r>
      <w:hyperlink r:id="rId1" w:history="1">
        <w:r w:rsidRPr="00CC5F12">
          <w:rPr>
            <w:rStyle w:val="Hyperlink"/>
            <w:rFonts w:ascii="Verdana" w:hAnsi="Verdana"/>
            <w:color w:val="77328A"/>
            <w:sz w:val="16"/>
            <w:szCs w:val="16"/>
            <w:u w:val="none"/>
          </w:rPr>
          <w:t>Political Declaration</w:t>
        </w:r>
      </w:hyperlink>
      <w:r w:rsidRPr="00CC5F12">
        <w:rPr>
          <w:rFonts w:ascii="Verdana" w:hAnsi="Verdana"/>
          <w:color w:val="77328A"/>
          <w:sz w:val="16"/>
          <w:szCs w:val="16"/>
        </w:rPr>
        <w:t xml:space="preserve"> by the European Commission and the Government of the United Kingdom of 27 February 2023.</w:t>
      </w:r>
    </w:p>
  </w:footnote>
  <w:footnote w:id="17">
    <w:p w14:paraId="66E419EE" w14:textId="7547EEEC" w:rsidR="00D11AFA" w:rsidRPr="00CC5F12" w:rsidRDefault="00D11AFA"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See </w:t>
      </w:r>
      <w:hyperlink r:id="rId2" w:history="1">
        <w:r w:rsidRPr="00CC5F12">
          <w:rPr>
            <w:rStyle w:val="Hyperlink"/>
            <w:rFonts w:ascii="Verdana" w:hAnsi="Verdana"/>
            <w:color w:val="77328A"/>
            <w:sz w:val="16"/>
            <w:szCs w:val="16"/>
            <w:u w:val="none"/>
          </w:rPr>
          <w:t>Decision No 1/2023 of the Joint Committee</w:t>
        </w:r>
      </w:hyperlink>
      <w:r w:rsidRPr="00CC5F12">
        <w:rPr>
          <w:rFonts w:ascii="Verdana" w:hAnsi="Verdana"/>
          <w:color w:val="77328A"/>
          <w:sz w:val="16"/>
          <w:szCs w:val="16"/>
        </w:rPr>
        <w:t xml:space="preserve"> established by the agreement on the withdrawal of the United Kingdom Great Britain and Northern Ireland from the European Union and the European Atomic Energy Community of 24 March 2023, laying down arrangements relating to the Windsor Framework. New measures which amend or replace those currently listed in Annex 2 will no longer be automatically read as ‘amended or replaced’.  Article 13(3)(a) of the Windsor Framework provides for additional scrutiny of such measures by the NI Assembly in respect of Annex 2 measures.</w:t>
      </w:r>
      <w:r w:rsidR="00966FAC" w:rsidRPr="00CC5F12">
        <w:rPr>
          <w:rFonts w:ascii="Verdana" w:hAnsi="Verdana"/>
          <w:color w:val="77328A"/>
          <w:sz w:val="16"/>
          <w:szCs w:val="16"/>
        </w:rPr>
        <w:t xml:space="preserve"> This has been given effect in UK law through the draft Windsor Framework (Democratic Scrutiny) Regulations 2023, which implement the ‘Stormont brake’ mechanism in domestic law. This will allow the UK Government to potentially stop the application in NI of amended or replaced EU legal provisions in Annex 2 of the Windsor Framework.</w:t>
      </w:r>
    </w:p>
  </w:footnote>
  <w:footnote w:id="18">
    <w:p w14:paraId="77B24649" w14:textId="73971A00" w:rsidR="00966FAC" w:rsidRPr="00CC5F12" w:rsidRDefault="00966FAC"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This also includes Article 12(2) on the exchange of information on the application of Article 5(1) and (2).</w:t>
      </w:r>
    </w:p>
  </w:footnote>
  <w:footnote w:id="19">
    <w:p w14:paraId="57C39E52" w14:textId="7D2B9768" w:rsidR="00D11AFA" w:rsidRPr="00CC5F12" w:rsidRDefault="00D11AFA"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Thomas </w:t>
      </w:r>
      <w:proofErr w:type="spellStart"/>
      <w:r w:rsidRPr="00CC5F12">
        <w:rPr>
          <w:rFonts w:ascii="Verdana" w:hAnsi="Verdana"/>
          <w:color w:val="77328A"/>
          <w:sz w:val="16"/>
          <w:szCs w:val="16"/>
        </w:rPr>
        <w:t>Liefl</w:t>
      </w:r>
      <w:r w:rsidRPr="00CC5F12">
        <w:rPr>
          <w:rFonts w:ascii="Verdana" w:hAnsi="Verdana" w:cstheme="minorHAnsi"/>
          <w:color w:val="77328A"/>
          <w:sz w:val="16"/>
          <w:szCs w:val="16"/>
        </w:rPr>
        <w:t>ä</w:t>
      </w:r>
      <w:r w:rsidRPr="00CC5F12">
        <w:rPr>
          <w:rFonts w:ascii="Verdana" w:hAnsi="Verdana"/>
          <w:color w:val="77328A"/>
          <w:sz w:val="16"/>
          <w:szCs w:val="16"/>
        </w:rPr>
        <w:t>nder</w:t>
      </w:r>
      <w:proofErr w:type="spellEnd"/>
      <w:r w:rsidRPr="00CC5F12">
        <w:rPr>
          <w:rFonts w:ascii="Verdana" w:hAnsi="Verdana"/>
          <w:color w:val="77328A"/>
          <w:sz w:val="16"/>
          <w:szCs w:val="16"/>
        </w:rPr>
        <w:t xml:space="preserve">, ‘Article 12 – Implementation, application, supervision and enforcement – A Commentary’ in Thomas </w:t>
      </w:r>
      <w:proofErr w:type="spellStart"/>
      <w:r w:rsidRPr="00CC5F12">
        <w:rPr>
          <w:rFonts w:ascii="Verdana" w:hAnsi="Verdana"/>
          <w:color w:val="77328A"/>
          <w:sz w:val="16"/>
          <w:szCs w:val="16"/>
        </w:rPr>
        <w:t>Liefl</w:t>
      </w:r>
      <w:r w:rsidRPr="00CC5F12">
        <w:rPr>
          <w:rFonts w:ascii="Verdana" w:hAnsi="Verdana" w:cstheme="minorHAnsi"/>
          <w:color w:val="77328A"/>
          <w:sz w:val="16"/>
          <w:szCs w:val="16"/>
        </w:rPr>
        <w:t>ä</w:t>
      </w:r>
      <w:r w:rsidRPr="00CC5F12">
        <w:rPr>
          <w:rFonts w:ascii="Verdana" w:hAnsi="Verdana"/>
          <w:color w:val="77328A"/>
          <w:sz w:val="16"/>
          <w:szCs w:val="16"/>
        </w:rPr>
        <w:t>nder</w:t>
      </w:r>
      <w:proofErr w:type="spellEnd"/>
      <w:r w:rsidRPr="00CC5F12">
        <w:rPr>
          <w:rFonts w:ascii="Verdana" w:hAnsi="Verdana"/>
          <w:color w:val="77328A"/>
          <w:sz w:val="16"/>
          <w:szCs w:val="16"/>
        </w:rPr>
        <w:t>, Manuel Kellerbauer and Eugenia Dumitriu-</w:t>
      </w:r>
      <w:proofErr w:type="spellStart"/>
      <w:r w:rsidRPr="00CC5F12">
        <w:rPr>
          <w:rFonts w:ascii="Verdana" w:hAnsi="Verdana"/>
          <w:color w:val="77328A"/>
          <w:sz w:val="16"/>
          <w:szCs w:val="16"/>
        </w:rPr>
        <w:t>Segnana</w:t>
      </w:r>
      <w:proofErr w:type="spellEnd"/>
      <w:r w:rsidRPr="00CC5F12">
        <w:rPr>
          <w:rFonts w:ascii="Verdana" w:hAnsi="Verdana"/>
          <w:color w:val="77328A"/>
          <w:sz w:val="16"/>
          <w:szCs w:val="16"/>
        </w:rPr>
        <w:t xml:space="preserve"> (Eds), ‘The Withdrawal Agreement – A Commentary’ (</w:t>
      </w:r>
      <w:r w:rsidR="00977817" w:rsidRPr="00CC5F12">
        <w:rPr>
          <w:rFonts w:ascii="Verdana" w:hAnsi="Verdana"/>
          <w:color w:val="77328A"/>
          <w:sz w:val="16"/>
          <w:szCs w:val="16"/>
        </w:rPr>
        <w:t>OUP, 2021</w:t>
      </w:r>
      <w:r w:rsidRPr="00CC5F12">
        <w:rPr>
          <w:rFonts w:ascii="Verdana" w:hAnsi="Verdana"/>
          <w:color w:val="77328A"/>
          <w:sz w:val="16"/>
          <w:szCs w:val="16"/>
        </w:rPr>
        <w:t>), at paras 8.138-8.140.</w:t>
      </w:r>
    </w:p>
  </w:footnote>
  <w:footnote w:id="20">
    <w:p w14:paraId="3D72A334" w14:textId="282A58BA" w:rsidR="00F55075" w:rsidRPr="00CC5F12" w:rsidRDefault="00F55075"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The UK Government has also recognised this commitment in its explainer on Windsor Framework Article 2. See </w:t>
      </w:r>
      <w:r w:rsidRPr="00CC5F12">
        <w:rPr>
          <w:rStyle w:val="Hyperlink"/>
          <w:rFonts w:ascii="Verdana" w:hAnsi="Verdana" w:cstheme="minorHAnsi"/>
          <w:color w:val="77328A"/>
          <w:sz w:val="16"/>
          <w:szCs w:val="16"/>
          <w:u w:val="none"/>
        </w:rPr>
        <w:t xml:space="preserve">NI Office, ‘UK Government Commitment to “no diminution of rights, </w:t>
      </w:r>
      <w:proofErr w:type="gramStart"/>
      <w:r w:rsidRPr="00CC5F12">
        <w:rPr>
          <w:rStyle w:val="Hyperlink"/>
          <w:rFonts w:ascii="Verdana" w:hAnsi="Verdana" w:cstheme="minorHAnsi"/>
          <w:color w:val="77328A"/>
          <w:sz w:val="16"/>
          <w:szCs w:val="16"/>
          <w:u w:val="none"/>
        </w:rPr>
        <w:t>safeguards</w:t>
      </w:r>
      <w:proofErr w:type="gramEnd"/>
      <w:r w:rsidRPr="00CC5F12">
        <w:rPr>
          <w:rStyle w:val="Hyperlink"/>
          <w:rFonts w:ascii="Verdana" w:hAnsi="Verdana" w:cstheme="minorHAnsi"/>
          <w:color w:val="77328A"/>
          <w:sz w:val="16"/>
          <w:szCs w:val="16"/>
          <w:u w:val="none"/>
        </w:rPr>
        <w:t xml:space="preserve"> and equality of opportunity” in Northern Ireland: What does it mean and how will it be implemented?’, (NIO, 2020), at para 12.</w:t>
      </w:r>
    </w:p>
  </w:footnote>
  <w:footnote w:id="21">
    <w:p w14:paraId="069D87FC" w14:textId="241B26AA" w:rsidR="00D11AFA" w:rsidRPr="00CC5F12" w:rsidRDefault="00D11AFA"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Daniel Denman, ‘Article 2 – Rights of Individuals – A Commentary’ in Thomas </w:t>
      </w:r>
      <w:proofErr w:type="spellStart"/>
      <w:r w:rsidRPr="00CC5F12">
        <w:rPr>
          <w:rFonts w:ascii="Verdana" w:hAnsi="Verdana"/>
          <w:color w:val="77328A"/>
          <w:sz w:val="16"/>
          <w:szCs w:val="16"/>
        </w:rPr>
        <w:t>Liefl</w:t>
      </w:r>
      <w:r w:rsidRPr="00CC5F12">
        <w:rPr>
          <w:rFonts w:ascii="Verdana" w:hAnsi="Verdana" w:cstheme="minorHAnsi"/>
          <w:color w:val="77328A"/>
          <w:sz w:val="16"/>
          <w:szCs w:val="16"/>
        </w:rPr>
        <w:t>ä</w:t>
      </w:r>
      <w:r w:rsidRPr="00CC5F12">
        <w:rPr>
          <w:rFonts w:ascii="Verdana" w:hAnsi="Verdana"/>
          <w:color w:val="77328A"/>
          <w:sz w:val="16"/>
          <w:szCs w:val="16"/>
        </w:rPr>
        <w:t>nder</w:t>
      </w:r>
      <w:proofErr w:type="spellEnd"/>
      <w:r w:rsidRPr="00CC5F12">
        <w:rPr>
          <w:rFonts w:ascii="Verdana" w:hAnsi="Verdana"/>
          <w:color w:val="77328A"/>
          <w:sz w:val="16"/>
          <w:szCs w:val="16"/>
        </w:rPr>
        <w:t>, Manuel Kellerbauer and Eugenia Dumitriu-</w:t>
      </w:r>
      <w:proofErr w:type="spellStart"/>
      <w:r w:rsidRPr="00CC5F12">
        <w:rPr>
          <w:rFonts w:ascii="Verdana" w:hAnsi="Verdana"/>
          <w:color w:val="77328A"/>
          <w:sz w:val="16"/>
          <w:szCs w:val="16"/>
        </w:rPr>
        <w:t>Segnana</w:t>
      </w:r>
      <w:proofErr w:type="spellEnd"/>
      <w:r w:rsidRPr="00CC5F12">
        <w:rPr>
          <w:rFonts w:ascii="Verdana" w:hAnsi="Verdana"/>
          <w:color w:val="77328A"/>
          <w:sz w:val="16"/>
          <w:szCs w:val="16"/>
        </w:rPr>
        <w:t xml:space="preserve"> (Eds), ‘The Withdrawal Agreement – A Commentary’ (OUP</w:t>
      </w:r>
      <w:r w:rsidR="00977817" w:rsidRPr="00CC5F12">
        <w:rPr>
          <w:rFonts w:ascii="Verdana" w:hAnsi="Verdana"/>
          <w:color w:val="77328A"/>
          <w:sz w:val="16"/>
          <w:szCs w:val="16"/>
        </w:rPr>
        <w:t>, 2021</w:t>
      </w:r>
      <w:r w:rsidRPr="00CC5F12">
        <w:rPr>
          <w:rFonts w:ascii="Verdana" w:hAnsi="Verdana"/>
          <w:color w:val="77328A"/>
          <w:sz w:val="16"/>
          <w:szCs w:val="16"/>
        </w:rPr>
        <w:t>), at para 8.17 (See footnote 21).</w:t>
      </w:r>
    </w:p>
  </w:footnote>
  <w:footnote w:id="22">
    <w:p w14:paraId="2D5581CE" w14:textId="5AC23FD5" w:rsidR="00E54B5E" w:rsidRPr="00CC5F12" w:rsidRDefault="00E54B5E" w:rsidP="00CC5F12">
      <w:pPr>
        <w:pStyle w:val="FootnoteText"/>
        <w:rPr>
          <w:rFonts w:ascii="Verdana" w:hAnsi="Verdana" w:cstheme="minorHAnsi"/>
          <w:color w:val="77328A"/>
          <w:sz w:val="16"/>
          <w:szCs w:val="16"/>
        </w:rPr>
      </w:pPr>
      <w:r w:rsidRPr="00CC5F12">
        <w:rPr>
          <w:rStyle w:val="FootnoteReference"/>
          <w:rFonts w:ascii="Verdana" w:hAnsi="Verdana" w:cstheme="minorHAnsi"/>
          <w:color w:val="77328A"/>
          <w:sz w:val="16"/>
          <w:szCs w:val="16"/>
        </w:rPr>
        <w:footnoteRef/>
      </w:r>
      <w:r w:rsidRPr="00CC5F12">
        <w:rPr>
          <w:rFonts w:ascii="Verdana" w:hAnsi="Verdana" w:cstheme="minorHAnsi"/>
          <w:color w:val="77328A"/>
          <w:sz w:val="16"/>
          <w:szCs w:val="16"/>
        </w:rPr>
        <w:t xml:space="preserve"> NI Office, ‘</w:t>
      </w:r>
      <w:hyperlink r:id="rId3" w:history="1">
        <w:r w:rsidRPr="00CC5F12">
          <w:rPr>
            <w:rStyle w:val="Hyperlink"/>
            <w:rFonts w:ascii="Verdana" w:hAnsi="Verdana" w:cstheme="minorHAnsi"/>
            <w:color w:val="77328A"/>
            <w:sz w:val="16"/>
            <w:szCs w:val="16"/>
            <w:u w:val="none"/>
          </w:rPr>
          <w:t>UK Government Commitment</w:t>
        </w:r>
      </w:hyperlink>
      <w:r w:rsidRPr="00CC5F12">
        <w:rPr>
          <w:rFonts w:ascii="Verdana" w:hAnsi="Verdana" w:cstheme="minorHAnsi"/>
          <w:color w:val="77328A"/>
          <w:sz w:val="16"/>
          <w:szCs w:val="16"/>
        </w:rPr>
        <w:t xml:space="preserve"> to “No Diminution of Rights, Safeguards and Equality of Opportunity” in Northern Ireland: What does it Mean and How will it be Implemented?’ (NIO, 2020), at para 29. </w:t>
      </w:r>
    </w:p>
  </w:footnote>
  <w:footnote w:id="23">
    <w:p w14:paraId="2E6A640D" w14:textId="77777777" w:rsidR="00E54B5E" w:rsidRPr="00CC5F12" w:rsidRDefault="00E54B5E" w:rsidP="00CC5F12">
      <w:pPr>
        <w:pStyle w:val="FootnoteText"/>
        <w:rPr>
          <w:rFonts w:ascii="Verdana" w:hAnsi="Verdana" w:cstheme="minorHAnsi"/>
          <w:color w:val="77328A"/>
          <w:sz w:val="16"/>
          <w:szCs w:val="16"/>
        </w:rPr>
      </w:pPr>
      <w:r w:rsidRPr="00CC5F12">
        <w:rPr>
          <w:rStyle w:val="FootnoteReference"/>
          <w:rFonts w:ascii="Verdana" w:hAnsi="Verdana" w:cstheme="minorHAnsi"/>
          <w:color w:val="77328A"/>
          <w:sz w:val="16"/>
          <w:szCs w:val="16"/>
        </w:rPr>
        <w:footnoteRef/>
      </w:r>
      <w:r w:rsidRPr="00CC5F12">
        <w:rPr>
          <w:rFonts w:ascii="Verdana" w:hAnsi="Verdana" w:cstheme="minorHAnsi"/>
          <w:color w:val="77328A"/>
          <w:sz w:val="16"/>
          <w:szCs w:val="16"/>
        </w:rPr>
        <w:t xml:space="preserve"> NI Office, ‘</w:t>
      </w:r>
      <w:hyperlink r:id="rId4" w:history="1">
        <w:r w:rsidRPr="00CC5F12">
          <w:rPr>
            <w:rStyle w:val="Hyperlink"/>
            <w:rFonts w:ascii="Verdana" w:hAnsi="Verdana" w:cstheme="minorHAnsi"/>
            <w:color w:val="77328A"/>
            <w:sz w:val="16"/>
            <w:szCs w:val="16"/>
            <w:u w:val="none"/>
          </w:rPr>
          <w:t>UK Government Commitment</w:t>
        </w:r>
      </w:hyperlink>
      <w:r w:rsidRPr="00CC5F12">
        <w:rPr>
          <w:rFonts w:ascii="Verdana" w:hAnsi="Verdana" w:cstheme="minorHAnsi"/>
          <w:color w:val="77328A"/>
          <w:sz w:val="16"/>
          <w:szCs w:val="16"/>
        </w:rPr>
        <w:t xml:space="preserve"> to “No Diminution of Rights, Safeguards and Equality of Opportunity” in Northern Ireland: What does it Mean and How will it be Implemented?’ (NIO, 2020), at para 29. </w:t>
      </w:r>
    </w:p>
  </w:footnote>
  <w:footnote w:id="24">
    <w:p w14:paraId="6C55E16F" w14:textId="77777777" w:rsidR="007976AF" w:rsidRPr="00CC5F12" w:rsidRDefault="007976AF"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Article 4(1), UK-EU Withdrawal Agreement.</w:t>
      </w:r>
    </w:p>
  </w:footnote>
  <w:footnote w:id="25">
    <w:p w14:paraId="7454EC5D" w14:textId="00CF1662" w:rsidR="00B4185E" w:rsidRPr="00CC5F12" w:rsidRDefault="00B4185E" w:rsidP="00CC5F12">
      <w:pPr>
        <w:pStyle w:val="FootnoteText"/>
        <w:rPr>
          <w:rFonts w:ascii="Verdana" w:hAnsi="Verdana" w:cstheme="minorHAnsi"/>
          <w:color w:val="77328A"/>
          <w:sz w:val="16"/>
          <w:szCs w:val="16"/>
        </w:rPr>
      </w:pPr>
      <w:r w:rsidRPr="00CC5F12">
        <w:rPr>
          <w:rStyle w:val="FootnoteReference"/>
          <w:rFonts w:ascii="Verdana" w:hAnsi="Verdana" w:cstheme="minorHAnsi"/>
          <w:color w:val="77328A"/>
          <w:sz w:val="16"/>
          <w:szCs w:val="16"/>
        </w:rPr>
        <w:footnoteRef/>
      </w:r>
      <w:r w:rsidRPr="00CC5F12">
        <w:rPr>
          <w:rFonts w:ascii="Verdana" w:hAnsi="Verdana" w:cstheme="minorHAnsi"/>
          <w:color w:val="77328A"/>
          <w:sz w:val="16"/>
          <w:szCs w:val="16"/>
        </w:rPr>
        <w:t xml:space="preserve"> </w:t>
      </w:r>
      <w:bookmarkStart w:id="1" w:name="_Hlk96860790"/>
      <w:r w:rsidRPr="00CC5F12">
        <w:rPr>
          <w:rFonts w:ascii="Verdana" w:hAnsi="Verdana" w:cstheme="minorHAnsi"/>
          <w:color w:val="77328A"/>
          <w:sz w:val="16"/>
          <w:szCs w:val="16"/>
        </w:rPr>
        <w:t>NI Office, ‘</w:t>
      </w:r>
      <w:hyperlink r:id="rId5" w:history="1">
        <w:r w:rsidRPr="00CC5F12">
          <w:rPr>
            <w:rStyle w:val="Hyperlink"/>
            <w:rFonts w:ascii="Verdana" w:hAnsi="Verdana" w:cstheme="minorHAnsi"/>
            <w:color w:val="77328A"/>
            <w:sz w:val="16"/>
            <w:szCs w:val="16"/>
            <w:u w:val="none"/>
          </w:rPr>
          <w:t>UK Government Commitment</w:t>
        </w:r>
      </w:hyperlink>
      <w:r w:rsidRPr="00CC5F12">
        <w:rPr>
          <w:rFonts w:ascii="Verdana" w:hAnsi="Verdana" w:cstheme="minorHAnsi"/>
          <w:color w:val="77328A"/>
          <w:sz w:val="16"/>
          <w:szCs w:val="16"/>
        </w:rPr>
        <w:t xml:space="preserve"> to “No Diminution of Rights, Safeguards and Equality of Opportunity” in Northern Ireland: What does it Mean and How will it be Implemented?’ (NIO, 2020), at para 29</w:t>
      </w:r>
      <w:bookmarkEnd w:id="1"/>
      <w:r w:rsidR="00F951B6" w:rsidRPr="00CC5F12">
        <w:rPr>
          <w:rFonts w:ascii="Verdana" w:hAnsi="Verdana" w:cstheme="minorHAnsi"/>
          <w:color w:val="77328A"/>
          <w:sz w:val="16"/>
          <w:szCs w:val="16"/>
        </w:rPr>
        <w:t xml:space="preserve">. See also </w:t>
      </w:r>
      <w:r w:rsidRPr="00CC5F12">
        <w:rPr>
          <w:rFonts w:ascii="Verdana" w:hAnsi="Verdana" w:cstheme="minorHAnsi"/>
          <w:color w:val="77328A"/>
          <w:sz w:val="16"/>
          <w:szCs w:val="16"/>
        </w:rPr>
        <w:t>UK Parliament Hansard, ‘</w:t>
      </w:r>
      <w:hyperlink r:id="rId6" w:history="1">
        <w:r w:rsidRPr="00CC5F12">
          <w:rPr>
            <w:rStyle w:val="Hyperlink"/>
            <w:rFonts w:ascii="Verdana" w:hAnsi="Verdana" w:cstheme="minorHAnsi"/>
            <w:color w:val="77328A"/>
            <w:sz w:val="16"/>
            <w:szCs w:val="16"/>
            <w:u w:val="none"/>
          </w:rPr>
          <w:t>Written Answer</w:t>
        </w:r>
      </w:hyperlink>
      <w:r w:rsidRPr="00CC5F12">
        <w:rPr>
          <w:rFonts w:ascii="Verdana" w:hAnsi="Verdana" w:cstheme="minorHAnsi"/>
          <w:color w:val="77328A"/>
          <w:sz w:val="16"/>
          <w:szCs w:val="16"/>
        </w:rPr>
        <w:t xml:space="preserve">: Belfast Agreement – NI Minister, Lord Duncan of </w:t>
      </w:r>
      <w:proofErr w:type="spellStart"/>
      <w:r w:rsidRPr="00CC5F12">
        <w:rPr>
          <w:rFonts w:ascii="Verdana" w:hAnsi="Verdana" w:cstheme="minorHAnsi"/>
          <w:color w:val="77328A"/>
          <w:sz w:val="16"/>
          <w:szCs w:val="16"/>
        </w:rPr>
        <w:t>Springbank</w:t>
      </w:r>
      <w:proofErr w:type="spellEnd"/>
      <w:r w:rsidRPr="00CC5F12">
        <w:rPr>
          <w:rFonts w:ascii="Verdana" w:hAnsi="Verdana" w:cstheme="minorHAnsi"/>
          <w:color w:val="77328A"/>
          <w:sz w:val="16"/>
          <w:szCs w:val="16"/>
        </w:rPr>
        <w:t xml:space="preserve"> – HL404’, 28 January 2020; Letter from Robin Walker MP, Minister of State for NI to Professor Christopher McCrudden, 26 February 2020 attached to Christopher McCrudden, ‘Parliamentary Scrutiny of the Joint Committee and the Application of the Northern Ireland Protocol – </w:t>
      </w:r>
      <w:hyperlink r:id="rId7" w:history="1">
        <w:r w:rsidRPr="00CC5F12">
          <w:rPr>
            <w:rStyle w:val="Hyperlink"/>
            <w:rFonts w:ascii="Verdana" w:hAnsi="Verdana" w:cstheme="minorHAnsi"/>
            <w:color w:val="77328A"/>
            <w:sz w:val="16"/>
            <w:szCs w:val="16"/>
            <w:u w:val="none"/>
          </w:rPr>
          <w:t>Evidence</w:t>
        </w:r>
      </w:hyperlink>
      <w:r w:rsidRPr="00CC5F12">
        <w:rPr>
          <w:rFonts w:ascii="Verdana" w:hAnsi="Verdana" w:cstheme="minorHAnsi"/>
          <w:color w:val="77328A"/>
          <w:sz w:val="16"/>
          <w:szCs w:val="16"/>
        </w:rPr>
        <w:t xml:space="preserve"> to the House of Commons European Scrutiny Committee’ (ESC, 2020).  </w:t>
      </w:r>
    </w:p>
  </w:footnote>
  <w:footnote w:id="26">
    <w:p w14:paraId="2B6B28BF" w14:textId="7A931821" w:rsidR="00151B96" w:rsidRPr="00CC5F12" w:rsidRDefault="00151B96"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w:t>
      </w:r>
      <w:r w:rsidRPr="00CC5F12">
        <w:rPr>
          <w:rFonts w:ascii="Verdana" w:hAnsi="Verdana"/>
          <w:i/>
          <w:iCs/>
          <w:color w:val="77328A"/>
          <w:sz w:val="16"/>
          <w:szCs w:val="16"/>
        </w:rPr>
        <w:t>Re NIHRC</w:t>
      </w:r>
      <w:r w:rsidRPr="00CC5F12">
        <w:rPr>
          <w:rFonts w:ascii="Verdana" w:hAnsi="Verdana"/>
          <w:color w:val="77328A"/>
          <w:sz w:val="16"/>
          <w:szCs w:val="16"/>
        </w:rPr>
        <w:t xml:space="preserve"> [2024] NIKB 35, at paras 55-56.</w:t>
      </w:r>
    </w:p>
  </w:footnote>
  <w:footnote w:id="27">
    <w:p w14:paraId="78FCA7B7" w14:textId="77777777" w:rsidR="00B4185E" w:rsidRPr="00CC5F12" w:rsidRDefault="00B4185E" w:rsidP="00CC5F12">
      <w:pPr>
        <w:pStyle w:val="FootnoteText"/>
        <w:rPr>
          <w:rFonts w:ascii="Verdana" w:hAnsi="Verdana" w:cstheme="minorHAnsi"/>
          <w:color w:val="77328A"/>
          <w:sz w:val="16"/>
          <w:szCs w:val="16"/>
        </w:rPr>
      </w:pPr>
      <w:r w:rsidRPr="00CC5F12">
        <w:rPr>
          <w:rStyle w:val="FootnoteReference"/>
          <w:rFonts w:ascii="Verdana" w:hAnsi="Verdana" w:cstheme="minorHAnsi"/>
          <w:color w:val="77328A"/>
          <w:sz w:val="16"/>
          <w:szCs w:val="16"/>
        </w:rPr>
        <w:footnoteRef/>
      </w:r>
      <w:r w:rsidRPr="00CC5F12">
        <w:rPr>
          <w:rFonts w:ascii="Verdana" w:hAnsi="Verdana" w:cstheme="minorHAnsi"/>
          <w:color w:val="77328A"/>
          <w:sz w:val="16"/>
          <w:szCs w:val="16"/>
        </w:rPr>
        <w:t xml:space="preserve"> NI Office, ‘</w:t>
      </w:r>
      <w:hyperlink r:id="rId8" w:history="1">
        <w:r w:rsidRPr="00CC5F12">
          <w:rPr>
            <w:rStyle w:val="Hyperlink"/>
            <w:rFonts w:ascii="Verdana" w:hAnsi="Verdana" w:cstheme="minorHAnsi"/>
            <w:color w:val="77328A"/>
            <w:sz w:val="16"/>
            <w:szCs w:val="16"/>
            <w:u w:val="none"/>
          </w:rPr>
          <w:t>UK Government Commitment</w:t>
        </w:r>
      </w:hyperlink>
      <w:r w:rsidRPr="00CC5F12">
        <w:rPr>
          <w:rFonts w:ascii="Verdana" w:hAnsi="Verdana" w:cstheme="minorHAnsi"/>
          <w:color w:val="77328A"/>
          <w:sz w:val="16"/>
          <w:szCs w:val="16"/>
        </w:rPr>
        <w:t xml:space="preserve"> to “No Diminution of Rights, Safeguards and Equality of Opportunity” in Northern Ireland: What does it Mean and How will it be Implemented?’ (NIO, 2020), at para 29.</w:t>
      </w:r>
    </w:p>
  </w:footnote>
  <w:footnote w:id="28">
    <w:p w14:paraId="385DA150" w14:textId="0FD7E23E" w:rsidR="008F4E21" w:rsidRPr="00CC5F12" w:rsidRDefault="008F4E21" w:rsidP="00CC5F12">
      <w:pPr>
        <w:pStyle w:val="FootnoteText"/>
        <w:rPr>
          <w:rFonts w:ascii="Verdana" w:hAnsi="Verdana" w:cstheme="minorHAnsi"/>
          <w:color w:val="77328A"/>
          <w:sz w:val="16"/>
          <w:szCs w:val="16"/>
        </w:rPr>
      </w:pPr>
      <w:r w:rsidRPr="00CC5F12">
        <w:rPr>
          <w:rStyle w:val="FootnoteReference"/>
          <w:rFonts w:ascii="Verdana" w:hAnsi="Verdana" w:cstheme="minorHAnsi"/>
          <w:color w:val="77328A"/>
          <w:sz w:val="16"/>
          <w:szCs w:val="16"/>
        </w:rPr>
        <w:footnoteRef/>
      </w:r>
      <w:r w:rsidRPr="00CC5F12">
        <w:rPr>
          <w:rFonts w:ascii="Verdana" w:hAnsi="Verdana" w:cstheme="minorHAnsi"/>
          <w:color w:val="77328A"/>
          <w:sz w:val="16"/>
          <w:szCs w:val="16"/>
        </w:rPr>
        <w:t xml:space="preserve"> UK Parliament Hansard, ‘</w:t>
      </w:r>
      <w:hyperlink r:id="rId9" w:history="1">
        <w:r w:rsidRPr="00CC5F12">
          <w:rPr>
            <w:rStyle w:val="Hyperlink"/>
            <w:rFonts w:ascii="Verdana" w:hAnsi="Verdana" w:cstheme="minorHAnsi"/>
            <w:color w:val="77328A"/>
            <w:sz w:val="16"/>
            <w:szCs w:val="16"/>
            <w:u w:val="none"/>
          </w:rPr>
          <w:t>Written Answer</w:t>
        </w:r>
      </w:hyperlink>
      <w:r w:rsidRPr="00CC5F12">
        <w:rPr>
          <w:rFonts w:ascii="Verdana" w:hAnsi="Verdana" w:cstheme="minorHAnsi"/>
          <w:color w:val="77328A"/>
          <w:sz w:val="16"/>
          <w:szCs w:val="16"/>
        </w:rPr>
        <w:t xml:space="preserve">: Belfast Agreement – NI Minister, Lord Duncan of </w:t>
      </w:r>
      <w:proofErr w:type="spellStart"/>
      <w:r w:rsidRPr="00CC5F12">
        <w:rPr>
          <w:rFonts w:ascii="Verdana" w:hAnsi="Verdana" w:cstheme="minorHAnsi"/>
          <w:color w:val="77328A"/>
          <w:sz w:val="16"/>
          <w:szCs w:val="16"/>
        </w:rPr>
        <w:t>Springbank</w:t>
      </w:r>
      <w:proofErr w:type="spellEnd"/>
      <w:r w:rsidRPr="00CC5F12">
        <w:rPr>
          <w:rFonts w:ascii="Verdana" w:hAnsi="Verdana" w:cstheme="minorHAnsi"/>
          <w:color w:val="77328A"/>
          <w:sz w:val="16"/>
          <w:szCs w:val="16"/>
        </w:rPr>
        <w:t xml:space="preserve"> – HL404’, 28 January 2020.  </w:t>
      </w:r>
    </w:p>
  </w:footnote>
  <w:footnote w:id="29">
    <w:p w14:paraId="0FBB021B" w14:textId="61634F05" w:rsidR="00B4185E" w:rsidRPr="00CC5F12" w:rsidRDefault="00B4185E" w:rsidP="00CC5F12">
      <w:pPr>
        <w:pStyle w:val="FootnoteText"/>
        <w:rPr>
          <w:rFonts w:ascii="Verdana" w:hAnsi="Verdana" w:cstheme="minorHAnsi"/>
          <w:color w:val="77328A"/>
          <w:sz w:val="16"/>
          <w:szCs w:val="16"/>
        </w:rPr>
      </w:pPr>
      <w:r w:rsidRPr="00CC5F12">
        <w:rPr>
          <w:rStyle w:val="FootnoteReference"/>
          <w:rFonts w:ascii="Verdana" w:hAnsi="Verdana" w:cstheme="minorHAnsi"/>
          <w:color w:val="77328A"/>
          <w:sz w:val="16"/>
          <w:szCs w:val="16"/>
        </w:rPr>
        <w:footnoteRef/>
      </w:r>
      <w:r w:rsidRPr="00CC5F12">
        <w:rPr>
          <w:rFonts w:ascii="Verdana" w:hAnsi="Verdana" w:cstheme="minorHAnsi"/>
          <w:color w:val="77328A"/>
          <w:sz w:val="16"/>
          <w:szCs w:val="16"/>
        </w:rPr>
        <w:t xml:space="preserve"> </w:t>
      </w:r>
      <w:hyperlink r:id="rId10" w:history="1">
        <w:r w:rsidRPr="00CC5F12">
          <w:rPr>
            <w:rStyle w:val="Hyperlink"/>
            <w:rFonts w:ascii="Verdana" w:hAnsi="Verdana" w:cstheme="minorHAnsi"/>
            <w:i/>
            <w:iCs/>
            <w:color w:val="77328A"/>
            <w:sz w:val="16"/>
            <w:szCs w:val="16"/>
            <w:u w:val="none"/>
          </w:rPr>
          <w:t xml:space="preserve">Re SPUC Pro-Life Limited </w:t>
        </w:r>
        <w:r w:rsidRPr="00CC5F12">
          <w:rPr>
            <w:rStyle w:val="Hyperlink"/>
            <w:rFonts w:ascii="Verdana" w:hAnsi="Verdana" w:cstheme="minorHAnsi"/>
            <w:color w:val="77328A"/>
            <w:sz w:val="16"/>
            <w:szCs w:val="16"/>
            <w:u w:val="none"/>
          </w:rPr>
          <w:t>[2022] NIQB 9</w:t>
        </w:r>
      </w:hyperlink>
      <w:r w:rsidRPr="00CC5F12">
        <w:rPr>
          <w:rFonts w:ascii="Verdana" w:hAnsi="Verdana" w:cstheme="minorHAnsi"/>
          <w:color w:val="77328A"/>
          <w:sz w:val="16"/>
          <w:szCs w:val="16"/>
        </w:rPr>
        <w:t>, at para 77</w:t>
      </w:r>
      <w:r w:rsidR="0042555F" w:rsidRPr="00CC5F12">
        <w:rPr>
          <w:rFonts w:ascii="Verdana" w:hAnsi="Verdana" w:cstheme="minorHAnsi"/>
          <w:color w:val="77328A"/>
          <w:sz w:val="16"/>
          <w:szCs w:val="16"/>
        </w:rPr>
        <w:t xml:space="preserve">. Confirmed </w:t>
      </w:r>
      <w:r w:rsidRPr="00CC5F12">
        <w:rPr>
          <w:rFonts w:ascii="Verdana" w:hAnsi="Verdana" w:cstheme="minorHAnsi"/>
          <w:color w:val="77328A"/>
          <w:sz w:val="16"/>
          <w:szCs w:val="16"/>
        </w:rPr>
        <w:t xml:space="preserve">in </w:t>
      </w:r>
      <w:r w:rsidRPr="00CC5F12">
        <w:rPr>
          <w:rFonts w:ascii="Verdana" w:hAnsi="Verdana" w:cstheme="minorHAnsi"/>
          <w:i/>
          <w:iCs/>
          <w:color w:val="77328A"/>
          <w:sz w:val="16"/>
          <w:szCs w:val="16"/>
        </w:rPr>
        <w:t xml:space="preserve">Re </w:t>
      </w:r>
      <w:proofErr w:type="spellStart"/>
      <w:r w:rsidRPr="00CC5F12">
        <w:rPr>
          <w:rFonts w:ascii="Verdana" w:hAnsi="Verdana" w:cstheme="minorHAnsi"/>
          <w:i/>
          <w:iCs/>
          <w:color w:val="77328A"/>
          <w:sz w:val="16"/>
          <w:szCs w:val="16"/>
        </w:rPr>
        <w:t>Angesom</w:t>
      </w:r>
      <w:proofErr w:type="spellEnd"/>
      <w:r w:rsidRPr="00CC5F12">
        <w:rPr>
          <w:rFonts w:ascii="Verdana" w:hAnsi="Verdana" w:cstheme="minorHAnsi"/>
          <w:color w:val="77328A"/>
          <w:sz w:val="16"/>
          <w:szCs w:val="16"/>
        </w:rPr>
        <w:t xml:space="preserve"> </w:t>
      </w:r>
      <w:r w:rsidRPr="00CC5F12">
        <w:rPr>
          <w:rFonts w:ascii="Verdana" w:hAnsi="Verdana"/>
          <w:color w:val="77328A"/>
          <w:sz w:val="16"/>
          <w:szCs w:val="16"/>
        </w:rPr>
        <w:t>[2023] NIKB 102</w:t>
      </w:r>
      <w:r w:rsidRPr="00CC5F12">
        <w:rPr>
          <w:rFonts w:ascii="Verdana" w:hAnsi="Verdana" w:cstheme="minorHAnsi"/>
          <w:color w:val="77328A"/>
          <w:sz w:val="16"/>
          <w:szCs w:val="16"/>
        </w:rPr>
        <w:t>.</w:t>
      </w:r>
    </w:p>
  </w:footnote>
  <w:footnote w:id="30">
    <w:p w14:paraId="745976A8" w14:textId="77777777" w:rsidR="002575FB" w:rsidRPr="00CC5F12" w:rsidRDefault="002575FB"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Article 4(2), EU-UK Withdrawal Agreement.</w:t>
      </w:r>
    </w:p>
  </w:footnote>
  <w:footnote w:id="31">
    <w:p w14:paraId="35B6483A" w14:textId="77777777" w:rsidR="007976AF" w:rsidRPr="00CC5F12" w:rsidRDefault="007976AF"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Article 4(3), UK-EU Withdrawal Agreement.</w:t>
      </w:r>
    </w:p>
  </w:footnote>
  <w:footnote w:id="32">
    <w:p w14:paraId="3D0606E2" w14:textId="08AD5606" w:rsidR="009B0E66" w:rsidRPr="00CC5F12" w:rsidRDefault="009B0E66"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Pieter Van </w:t>
      </w:r>
      <w:proofErr w:type="spellStart"/>
      <w:r w:rsidRPr="00CC5F12">
        <w:rPr>
          <w:rFonts w:ascii="Verdana" w:hAnsi="Verdana"/>
          <w:color w:val="77328A"/>
          <w:sz w:val="16"/>
          <w:szCs w:val="16"/>
        </w:rPr>
        <w:t>Nuffel</w:t>
      </w:r>
      <w:proofErr w:type="spellEnd"/>
      <w:r w:rsidRPr="00CC5F12">
        <w:rPr>
          <w:rFonts w:ascii="Verdana" w:hAnsi="Verdana"/>
          <w:color w:val="77328A"/>
          <w:sz w:val="16"/>
          <w:szCs w:val="16"/>
        </w:rPr>
        <w:t>, ‘The Withdrawal Agreement, Part One – Common provisions’ in</w:t>
      </w:r>
      <w:r w:rsidR="00F51452" w:rsidRPr="00CC5F12">
        <w:rPr>
          <w:rFonts w:ascii="Verdana" w:hAnsi="Verdana"/>
          <w:color w:val="77328A"/>
          <w:sz w:val="16"/>
          <w:szCs w:val="16"/>
        </w:rPr>
        <w:t xml:space="preserve"> Thomas</w:t>
      </w:r>
      <w:r w:rsidRPr="00CC5F12">
        <w:rPr>
          <w:rFonts w:ascii="Verdana" w:hAnsi="Verdana"/>
          <w:color w:val="77328A"/>
          <w:sz w:val="16"/>
          <w:szCs w:val="16"/>
        </w:rPr>
        <w:t xml:space="preserve"> </w:t>
      </w:r>
      <w:proofErr w:type="spellStart"/>
      <w:r w:rsidRPr="00CC5F12">
        <w:rPr>
          <w:rFonts w:ascii="Verdana" w:hAnsi="Verdana"/>
          <w:color w:val="77328A"/>
          <w:sz w:val="16"/>
          <w:szCs w:val="16"/>
        </w:rPr>
        <w:t>Liefl</w:t>
      </w:r>
      <w:r w:rsidR="00F51452" w:rsidRPr="00CC5F12">
        <w:rPr>
          <w:rFonts w:ascii="Verdana" w:hAnsi="Verdana" w:cstheme="minorHAnsi"/>
          <w:color w:val="77328A"/>
          <w:sz w:val="16"/>
          <w:szCs w:val="16"/>
        </w:rPr>
        <w:t>ä</w:t>
      </w:r>
      <w:r w:rsidRPr="00CC5F12">
        <w:rPr>
          <w:rFonts w:ascii="Verdana" w:hAnsi="Verdana"/>
          <w:color w:val="77328A"/>
          <w:sz w:val="16"/>
          <w:szCs w:val="16"/>
        </w:rPr>
        <w:t>nde</w:t>
      </w:r>
      <w:r w:rsidR="00F51452" w:rsidRPr="00CC5F12">
        <w:rPr>
          <w:rFonts w:ascii="Verdana" w:hAnsi="Verdana"/>
          <w:color w:val="77328A"/>
          <w:sz w:val="16"/>
          <w:szCs w:val="16"/>
        </w:rPr>
        <w:t>r</w:t>
      </w:r>
      <w:proofErr w:type="spellEnd"/>
      <w:r w:rsidR="00F51452" w:rsidRPr="00CC5F12">
        <w:rPr>
          <w:rFonts w:ascii="Verdana" w:hAnsi="Verdana"/>
          <w:color w:val="77328A"/>
          <w:sz w:val="16"/>
          <w:szCs w:val="16"/>
        </w:rPr>
        <w:t>, Manuel Kellerbauer and Eugenia Dumitriu-</w:t>
      </w:r>
      <w:proofErr w:type="spellStart"/>
      <w:r w:rsidR="00F51452" w:rsidRPr="00CC5F12">
        <w:rPr>
          <w:rFonts w:ascii="Verdana" w:hAnsi="Verdana"/>
          <w:color w:val="77328A"/>
          <w:sz w:val="16"/>
          <w:szCs w:val="16"/>
        </w:rPr>
        <w:t>Segnana</w:t>
      </w:r>
      <w:proofErr w:type="spellEnd"/>
      <w:r w:rsidR="00F51452" w:rsidRPr="00CC5F12">
        <w:rPr>
          <w:rFonts w:ascii="Verdana" w:hAnsi="Verdana"/>
          <w:color w:val="77328A"/>
          <w:sz w:val="16"/>
          <w:szCs w:val="16"/>
        </w:rPr>
        <w:t xml:space="preserve"> (Eds)</w:t>
      </w:r>
      <w:r w:rsidRPr="00CC5F12">
        <w:rPr>
          <w:rFonts w:ascii="Verdana" w:hAnsi="Verdana"/>
          <w:color w:val="77328A"/>
          <w:sz w:val="16"/>
          <w:szCs w:val="16"/>
        </w:rPr>
        <w:t>, ‘The Withdrawal Agreement – A Commentary</w:t>
      </w:r>
      <w:r w:rsidR="00F51452" w:rsidRPr="00CC5F12">
        <w:rPr>
          <w:rFonts w:ascii="Verdana" w:hAnsi="Verdana"/>
          <w:color w:val="77328A"/>
          <w:sz w:val="16"/>
          <w:szCs w:val="16"/>
        </w:rPr>
        <w:t>’ (</w:t>
      </w:r>
      <w:r w:rsidR="00B05407" w:rsidRPr="00CC5F12">
        <w:rPr>
          <w:rFonts w:ascii="Verdana" w:hAnsi="Verdana"/>
          <w:color w:val="77328A"/>
          <w:sz w:val="16"/>
          <w:szCs w:val="16"/>
        </w:rPr>
        <w:t>OUP, 2021</w:t>
      </w:r>
      <w:r w:rsidR="00F51452" w:rsidRPr="00CC5F12">
        <w:rPr>
          <w:rFonts w:ascii="Verdana" w:hAnsi="Verdana"/>
          <w:color w:val="77328A"/>
          <w:sz w:val="16"/>
          <w:szCs w:val="16"/>
        </w:rPr>
        <w:t>), at para 2.29.</w:t>
      </w:r>
    </w:p>
  </w:footnote>
  <w:footnote w:id="33">
    <w:p w14:paraId="075FF198" w14:textId="57D4F193" w:rsidR="000149F9" w:rsidRPr="00CC5F12" w:rsidRDefault="000149F9"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Pieter Van </w:t>
      </w:r>
      <w:proofErr w:type="spellStart"/>
      <w:r w:rsidRPr="00CC5F12">
        <w:rPr>
          <w:rFonts w:ascii="Verdana" w:hAnsi="Verdana"/>
          <w:color w:val="77328A"/>
          <w:sz w:val="16"/>
          <w:szCs w:val="16"/>
        </w:rPr>
        <w:t>Nuffel</w:t>
      </w:r>
      <w:proofErr w:type="spellEnd"/>
      <w:r w:rsidRPr="00CC5F12">
        <w:rPr>
          <w:rFonts w:ascii="Verdana" w:hAnsi="Verdana"/>
          <w:color w:val="77328A"/>
          <w:sz w:val="16"/>
          <w:szCs w:val="16"/>
        </w:rPr>
        <w:t xml:space="preserve">, ‘The Withdrawal Agreement, Part One – Common provisions’ in Thomas </w:t>
      </w:r>
      <w:proofErr w:type="spellStart"/>
      <w:r w:rsidRPr="00CC5F12">
        <w:rPr>
          <w:rFonts w:ascii="Verdana" w:hAnsi="Verdana"/>
          <w:color w:val="77328A"/>
          <w:sz w:val="16"/>
          <w:szCs w:val="16"/>
        </w:rPr>
        <w:t>Liefl</w:t>
      </w:r>
      <w:r w:rsidRPr="00CC5F12">
        <w:rPr>
          <w:rFonts w:ascii="Verdana" w:hAnsi="Verdana" w:cstheme="minorHAnsi"/>
          <w:color w:val="77328A"/>
          <w:sz w:val="16"/>
          <w:szCs w:val="16"/>
        </w:rPr>
        <w:t>ä</w:t>
      </w:r>
      <w:r w:rsidRPr="00CC5F12">
        <w:rPr>
          <w:rFonts w:ascii="Verdana" w:hAnsi="Verdana"/>
          <w:color w:val="77328A"/>
          <w:sz w:val="16"/>
          <w:szCs w:val="16"/>
        </w:rPr>
        <w:t>nder</w:t>
      </w:r>
      <w:proofErr w:type="spellEnd"/>
      <w:r w:rsidRPr="00CC5F12">
        <w:rPr>
          <w:rFonts w:ascii="Verdana" w:hAnsi="Verdana"/>
          <w:color w:val="77328A"/>
          <w:sz w:val="16"/>
          <w:szCs w:val="16"/>
        </w:rPr>
        <w:t>, Manuel Kellerbauer and Eugenia Dumitriu-</w:t>
      </w:r>
      <w:proofErr w:type="spellStart"/>
      <w:r w:rsidRPr="00CC5F12">
        <w:rPr>
          <w:rFonts w:ascii="Verdana" w:hAnsi="Verdana"/>
          <w:color w:val="77328A"/>
          <w:sz w:val="16"/>
          <w:szCs w:val="16"/>
        </w:rPr>
        <w:t>Segnana</w:t>
      </w:r>
      <w:proofErr w:type="spellEnd"/>
      <w:r w:rsidRPr="00CC5F12">
        <w:rPr>
          <w:rFonts w:ascii="Verdana" w:hAnsi="Verdana"/>
          <w:color w:val="77328A"/>
          <w:sz w:val="16"/>
          <w:szCs w:val="16"/>
        </w:rPr>
        <w:t xml:space="preserve"> (Eds), ‘The Withdrawal Agreement – A Commentary’ (OUP</w:t>
      </w:r>
      <w:r w:rsidR="00B05407" w:rsidRPr="00CC5F12">
        <w:rPr>
          <w:rFonts w:ascii="Verdana" w:hAnsi="Verdana"/>
          <w:color w:val="77328A"/>
          <w:sz w:val="16"/>
          <w:szCs w:val="16"/>
        </w:rPr>
        <w:t>, 2021</w:t>
      </w:r>
      <w:r w:rsidRPr="00CC5F12">
        <w:rPr>
          <w:rFonts w:ascii="Verdana" w:hAnsi="Verdana"/>
          <w:color w:val="77328A"/>
          <w:sz w:val="16"/>
          <w:szCs w:val="16"/>
        </w:rPr>
        <w:t>), at para 2.30.</w:t>
      </w:r>
      <w:r w:rsidR="005863D2" w:rsidRPr="00CC5F12">
        <w:rPr>
          <w:rFonts w:ascii="Verdana" w:hAnsi="Verdana"/>
          <w:color w:val="77328A"/>
          <w:sz w:val="16"/>
          <w:szCs w:val="16"/>
        </w:rPr>
        <w:t xml:space="preserve"> </w:t>
      </w:r>
    </w:p>
  </w:footnote>
  <w:footnote w:id="34">
    <w:p w14:paraId="4104B44E" w14:textId="593913AC" w:rsidR="005863D2" w:rsidRPr="00CC5F12" w:rsidRDefault="005863D2"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w:t>
      </w:r>
      <w:r w:rsidR="0031041F" w:rsidRPr="00CC5F12">
        <w:rPr>
          <w:rFonts w:ascii="Verdana" w:hAnsi="Verdana"/>
          <w:i/>
          <w:iCs/>
          <w:color w:val="77328A"/>
          <w:sz w:val="16"/>
          <w:szCs w:val="16"/>
        </w:rPr>
        <w:t>Re Dillon and others</w:t>
      </w:r>
      <w:r w:rsidR="0031041F" w:rsidRPr="00CC5F12">
        <w:rPr>
          <w:rFonts w:ascii="Verdana" w:hAnsi="Verdana"/>
          <w:color w:val="77328A"/>
          <w:sz w:val="16"/>
          <w:szCs w:val="16"/>
        </w:rPr>
        <w:t xml:space="preserve"> [2024] NIKB 11, at paras 524-527 and </w:t>
      </w:r>
      <w:r w:rsidRPr="00CC5F12">
        <w:rPr>
          <w:rFonts w:ascii="Verdana" w:hAnsi="Verdana"/>
          <w:i/>
          <w:iCs/>
          <w:color w:val="77328A"/>
          <w:sz w:val="16"/>
          <w:szCs w:val="16"/>
        </w:rPr>
        <w:t>Re NIHRC</w:t>
      </w:r>
      <w:r w:rsidRPr="00CC5F12">
        <w:rPr>
          <w:rFonts w:ascii="Verdana" w:hAnsi="Verdana"/>
          <w:color w:val="77328A"/>
          <w:sz w:val="16"/>
          <w:szCs w:val="16"/>
        </w:rPr>
        <w:t xml:space="preserve"> [2024] NIKB 35, at para 53</w:t>
      </w:r>
      <w:r w:rsidR="00736DBD">
        <w:rPr>
          <w:rFonts w:ascii="Verdana" w:hAnsi="Verdana"/>
          <w:color w:val="77328A"/>
          <w:sz w:val="16"/>
          <w:szCs w:val="16"/>
        </w:rPr>
        <w:t xml:space="preserve"> - r</w:t>
      </w:r>
      <w:r w:rsidR="00043800" w:rsidRPr="00CC5F12">
        <w:rPr>
          <w:rFonts w:ascii="Verdana" w:hAnsi="Verdana"/>
          <w:color w:val="77328A"/>
          <w:sz w:val="16"/>
          <w:szCs w:val="16"/>
        </w:rPr>
        <w:t xml:space="preserve">elying on </w:t>
      </w:r>
      <w:r w:rsidR="00043800" w:rsidRPr="00CC5F12">
        <w:rPr>
          <w:rFonts w:ascii="Verdana" w:hAnsi="Verdana"/>
          <w:i/>
          <w:iCs/>
          <w:color w:val="77328A"/>
          <w:sz w:val="16"/>
          <w:szCs w:val="16"/>
        </w:rPr>
        <w:t>Re Dillon and others</w:t>
      </w:r>
      <w:r w:rsidR="00043800" w:rsidRPr="00CC5F12">
        <w:rPr>
          <w:rFonts w:ascii="Verdana" w:hAnsi="Verdana"/>
          <w:color w:val="77328A"/>
          <w:sz w:val="16"/>
          <w:szCs w:val="16"/>
        </w:rPr>
        <w:t xml:space="preserve"> [2024] NIKB 11 and </w:t>
      </w:r>
      <w:r w:rsidR="00043800" w:rsidRPr="00CC5F12">
        <w:rPr>
          <w:rFonts w:ascii="Verdana" w:hAnsi="Verdana"/>
          <w:i/>
          <w:iCs/>
          <w:color w:val="77328A"/>
          <w:sz w:val="16"/>
          <w:szCs w:val="16"/>
        </w:rPr>
        <w:t xml:space="preserve">R(Miller) </w:t>
      </w:r>
      <w:r w:rsidR="00043800" w:rsidRPr="00CC5F12">
        <w:rPr>
          <w:rFonts w:ascii="Verdana" w:hAnsi="Verdana"/>
          <w:color w:val="77328A"/>
          <w:sz w:val="16"/>
          <w:szCs w:val="16"/>
        </w:rPr>
        <w:t>[2017] UKSC 5.</w:t>
      </w:r>
    </w:p>
  </w:footnote>
  <w:footnote w:id="35">
    <w:p w14:paraId="45A4D213" w14:textId="4F685473" w:rsidR="006F02BE" w:rsidRPr="00CC5F12" w:rsidRDefault="006F02BE"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Paul Craig and Gráinne de </w:t>
      </w:r>
      <w:proofErr w:type="spellStart"/>
      <w:r w:rsidRPr="00CC5F12">
        <w:rPr>
          <w:rFonts w:ascii="Verdana" w:hAnsi="Verdana"/>
          <w:color w:val="77328A"/>
          <w:sz w:val="16"/>
          <w:szCs w:val="16"/>
        </w:rPr>
        <w:t>Búrca</w:t>
      </w:r>
      <w:proofErr w:type="spellEnd"/>
      <w:r w:rsidRPr="00CC5F12">
        <w:rPr>
          <w:rFonts w:ascii="Verdana" w:hAnsi="Verdana"/>
          <w:color w:val="77328A"/>
          <w:sz w:val="16"/>
          <w:szCs w:val="16"/>
        </w:rPr>
        <w:t>, ‘EU Law – Text, Cases and Materials (7</w:t>
      </w:r>
      <w:r w:rsidRPr="00CC5F12">
        <w:rPr>
          <w:rFonts w:ascii="Verdana" w:hAnsi="Verdana"/>
          <w:color w:val="77328A"/>
          <w:sz w:val="16"/>
          <w:szCs w:val="16"/>
          <w:vertAlign w:val="superscript"/>
        </w:rPr>
        <w:t>th</w:t>
      </w:r>
      <w:r w:rsidRPr="00CC5F12">
        <w:rPr>
          <w:rFonts w:ascii="Verdana" w:hAnsi="Verdana"/>
          <w:color w:val="77328A"/>
          <w:sz w:val="16"/>
          <w:szCs w:val="16"/>
        </w:rPr>
        <w:t>Ed)’ (UK Version) (OUP</w:t>
      </w:r>
      <w:r w:rsidR="00977817" w:rsidRPr="00CC5F12">
        <w:rPr>
          <w:rFonts w:ascii="Verdana" w:hAnsi="Verdana"/>
          <w:color w:val="77328A"/>
          <w:sz w:val="16"/>
          <w:szCs w:val="16"/>
        </w:rPr>
        <w:t>, 2020</w:t>
      </w:r>
      <w:r w:rsidRPr="00CC5F12">
        <w:rPr>
          <w:rFonts w:ascii="Verdana" w:hAnsi="Verdana"/>
          <w:color w:val="77328A"/>
          <w:sz w:val="16"/>
          <w:szCs w:val="16"/>
        </w:rPr>
        <w:t xml:space="preserve">), </w:t>
      </w:r>
      <w:r w:rsidR="00CB0F0D" w:rsidRPr="00CC5F12">
        <w:rPr>
          <w:rFonts w:ascii="Verdana" w:hAnsi="Verdana"/>
          <w:color w:val="77328A"/>
          <w:sz w:val="16"/>
          <w:szCs w:val="16"/>
        </w:rPr>
        <w:t xml:space="preserve">at 272. </w:t>
      </w:r>
    </w:p>
  </w:footnote>
  <w:footnote w:id="36">
    <w:p w14:paraId="1A9FBC3D" w14:textId="375D703F" w:rsidR="000156E0" w:rsidRPr="00CC5F12" w:rsidRDefault="000156E0"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Paul Craig and Gráinne de </w:t>
      </w:r>
      <w:proofErr w:type="spellStart"/>
      <w:r w:rsidRPr="00CC5F12">
        <w:rPr>
          <w:rFonts w:ascii="Verdana" w:hAnsi="Verdana"/>
          <w:color w:val="77328A"/>
          <w:sz w:val="16"/>
          <w:szCs w:val="16"/>
        </w:rPr>
        <w:t>Búrca</w:t>
      </w:r>
      <w:proofErr w:type="spellEnd"/>
      <w:r w:rsidRPr="00CC5F12">
        <w:rPr>
          <w:rFonts w:ascii="Verdana" w:hAnsi="Verdana"/>
          <w:color w:val="77328A"/>
          <w:sz w:val="16"/>
          <w:szCs w:val="16"/>
        </w:rPr>
        <w:t>, ‘EU Law – Text, Cases and Materials (7</w:t>
      </w:r>
      <w:r w:rsidRPr="00CC5F12">
        <w:rPr>
          <w:rFonts w:ascii="Verdana" w:hAnsi="Verdana"/>
          <w:color w:val="77328A"/>
          <w:sz w:val="16"/>
          <w:szCs w:val="16"/>
          <w:vertAlign w:val="superscript"/>
        </w:rPr>
        <w:t>th</w:t>
      </w:r>
      <w:r w:rsidRPr="00CC5F12">
        <w:rPr>
          <w:rFonts w:ascii="Verdana" w:hAnsi="Verdana"/>
          <w:color w:val="77328A"/>
          <w:sz w:val="16"/>
          <w:szCs w:val="16"/>
        </w:rPr>
        <w:t>Ed)’ (UK Version) (OUP</w:t>
      </w:r>
      <w:r w:rsidR="00977817" w:rsidRPr="00CC5F12">
        <w:rPr>
          <w:rFonts w:ascii="Verdana" w:hAnsi="Verdana"/>
          <w:color w:val="77328A"/>
          <w:sz w:val="16"/>
          <w:szCs w:val="16"/>
        </w:rPr>
        <w:t>, 2020</w:t>
      </w:r>
      <w:r w:rsidRPr="00CC5F12">
        <w:rPr>
          <w:rFonts w:ascii="Verdana" w:hAnsi="Verdana"/>
          <w:color w:val="77328A"/>
          <w:sz w:val="16"/>
          <w:szCs w:val="16"/>
        </w:rPr>
        <w:t>), at 312 and at 286-298.</w:t>
      </w:r>
    </w:p>
  </w:footnote>
  <w:footnote w:id="37">
    <w:p w14:paraId="7E536B00" w14:textId="77777777" w:rsidR="00977817" w:rsidRPr="00CC5F12" w:rsidRDefault="00977817"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Gordon Anthony, ‘The Protocol in NI Law’, in Christopher McCrudden (Ed), ‘The Law and Practice of the Ireland-Northern Ireland Protocol’ (CUP, 2022), at 127.</w:t>
      </w:r>
    </w:p>
  </w:footnote>
  <w:footnote w:id="38">
    <w:p w14:paraId="613CD3F6" w14:textId="77777777" w:rsidR="00977817" w:rsidRPr="00CC5F12" w:rsidRDefault="00977817"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Gordon Anthony, ‘The Protocol in NI Law’, in Christopher McCrudden (Ed), ‘The Law and Practice of the Ireland-Northern Ireland Protocol’ (CUP, 2022), at 127.</w:t>
      </w:r>
    </w:p>
  </w:footnote>
  <w:footnote w:id="39">
    <w:p w14:paraId="77D5EBB7" w14:textId="7DB95F11" w:rsidR="00BB3E5D" w:rsidRPr="00CC5F12" w:rsidRDefault="00BB3E5D"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Case E-9/97 </w:t>
      </w:r>
      <w:proofErr w:type="spellStart"/>
      <w:r w:rsidRPr="00CC5F12">
        <w:rPr>
          <w:rFonts w:ascii="Verdana" w:hAnsi="Verdana"/>
          <w:i/>
          <w:iCs/>
          <w:color w:val="77328A"/>
          <w:sz w:val="16"/>
          <w:szCs w:val="16"/>
        </w:rPr>
        <w:t>Sveinsbj</w:t>
      </w:r>
      <w:r w:rsidRPr="00CC5F12">
        <w:rPr>
          <w:rFonts w:ascii="Verdana" w:hAnsi="Verdana" w:cstheme="minorHAnsi"/>
          <w:i/>
          <w:iCs/>
          <w:color w:val="77328A"/>
          <w:sz w:val="16"/>
          <w:szCs w:val="16"/>
        </w:rPr>
        <w:t>ö</w:t>
      </w:r>
      <w:r w:rsidRPr="00CC5F12">
        <w:rPr>
          <w:rFonts w:ascii="Verdana" w:hAnsi="Verdana"/>
          <w:i/>
          <w:iCs/>
          <w:color w:val="77328A"/>
          <w:sz w:val="16"/>
          <w:szCs w:val="16"/>
        </w:rPr>
        <w:t>rndóttir</w:t>
      </w:r>
      <w:proofErr w:type="spellEnd"/>
      <w:r w:rsidRPr="00CC5F12">
        <w:rPr>
          <w:rFonts w:ascii="Verdana" w:hAnsi="Verdana"/>
          <w:color w:val="77328A"/>
          <w:sz w:val="16"/>
          <w:szCs w:val="16"/>
        </w:rPr>
        <w:t xml:space="preserve"> [1998] EFTA Court Reports 95, at para 48</w:t>
      </w:r>
      <w:r w:rsidR="00AB12AB" w:rsidRPr="00CC5F12">
        <w:rPr>
          <w:rFonts w:ascii="Verdana" w:hAnsi="Verdana"/>
          <w:color w:val="77328A"/>
          <w:sz w:val="16"/>
          <w:szCs w:val="16"/>
        </w:rPr>
        <w:t>.</w:t>
      </w:r>
    </w:p>
  </w:footnote>
  <w:footnote w:id="40">
    <w:p w14:paraId="28FA4A7E" w14:textId="7DCA0732" w:rsidR="00BB3E5D" w:rsidRPr="00CC5F12" w:rsidRDefault="00BB3E5D"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Christopher McCrudden, ‘Human Rights and Equality’, in Christopher McCrudden (Ed), ‘The Law and Practice of the Ireland-Northern Ireland Protocol’ (CUP, 2022), at 127.</w:t>
      </w:r>
    </w:p>
  </w:footnote>
  <w:footnote w:id="41">
    <w:p w14:paraId="7BF3ACD8" w14:textId="77777777" w:rsidR="00EE75E8" w:rsidRPr="00CC5F12" w:rsidRDefault="00EE75E8"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See Chapter 9 on the Application of EU law – Remedies in National Courts in Paul Craig and Gráinne de </w:t>
      </w:r>
      <w:proofErr w:type="spellStart"/>
      <w:r w:rsidRPr="00CC5F12">
        <w:rPr>
          <w:rFonts w:ascii="Verdana" w:hAnsi="Verdana"/>
          <w:color w:val="77328A"/>
          <w:sz w:val="16"/>
          <w:szCs w:val="16"/>
        </w:rPr>
        <w:t>Búrca</w:t>
      </w:r>
      <w:proofErr w:type="spellEnd"/>
      <w:r w:rsidRPr="00CC5F12">
        <w:rPr>
          <w:rFonts w:ascii="Verdana" w:hAnsi="Verdana"/>
          <w:color w:val="77328A"/>
          <w:sz w:val="16"/>
          <w:szCs w:val="16"/>
        </w:rPr>
        <w:t>, ‘EU Law – Text, Cases and Materials (7</w:t>
      </w:r>
      <w:r w:rsidRPr="00CC5F12">
        <w:rPr>
          <w:rFonts w:ascii="Verdana" w:hAnsi="Verdana"/>
          <w:color w:val="77328A"/>
          <w:sz w:val="16"/>
          <w:szCs w:val="16"/>
          <w:vertAlign w:val="superscript"/>
        </w:rPr>
        <w:t>th</w:t>
      </w:r>
      <w:r w:rsidRPr="00CC5F12">
        <w:rPr>
          <w:rFonts w:ascii="Verdana" w:hAnsi="Verdana"/>
          <w:color w:val="77328A"/>
          <w:sz w:val="16"/>
          <w:szCs w:val="16"/>
        </w:rPr>
        <w:t>Ed)’ (UK Version) (OUP, 2020).</w:t>
      </w:r>
    </w:p>
  </w:footnote>
  <w:footnote w:id="42">
    <w:p w14:paraId="4E3ACF48" w14:textId="77777777" w:rsidR="00EE75E8" w:rsidRPr="00EF7309" w:rsidRDefault="00EE75E8" w:rsidP="00CC5F12">
      <w:pPr>
        <w:pStyle w:val="FootnoteText"/>
        <w:rPr>
          <w:rFonts w:ascii="Verdana" w:hAnsi="Verdana"/>
          <w:color w:val="77328A"/>
          <w:sz w:val="16"/>
          <w:szCs w:val="16"/>
          <w:lang w:val="it-IT"/>
        </w:rPr>
      </w:pPr>
      <w:r w:rsidRPr="00CC5F12">
        <w:rPr>
          <w:rStyle w:val="FootnoteReference"/>
          <w:rFonts w:ascii="Verdana" w:hAnsi="Verdana"/>
          <w:color w:val="77328A"/>
          <w:sz w:val="16"/>
          <w:szCs w:val="16"/>
        </w:rPr>
        <w:footnoteRef/>
      </w:r>
      <w:r w:rsidRPr="00EF7309">
        <w:rPr>
          <w:rFonts w:ascii="Verdana" w:hAnsi="Verdana"/>
          <w:color w:val="77328A"/>
          <w:sz w:val="16"/>
          <w:szCs w:val="16"/>
          <w:lang w:val="it-IT"/>
        </w:rPr>
        <w:t xml:space="preserve"> </w:t>
      </w:r>
      <w:r w:rsidRPr="00EF7309">
        <w:rPr>
          <w:rFonts w:ascii="Verdana" w:hAnsi="Verdana"/>
          <w:i/>
          <w:iCs/>
          <w:color w:val="77328A"/>
          <w:sz w:val="16"/>
          <w:szCs w:val="16"/>
          <w:lang w:val="it-IT"/>
        </w:rPr>
        <w:t>Amministrazione delle Finanze dello Stato v SpA San Giorgio</w:t>
      </w:r>
      <w:r w:rsidRPr="00EF7309">
        <w:rPr>
          <w:rFonts w:ascii="Verdana" w:hAnsi="Verdana"/>
          <w:color w:val="77328A"/>
          <w:sz w:val="16"/>
          <w:szCs w:val="16"/>
          <w:lang w:val="it-IT"/>
        </w:rPr>
        <w:t>, Case 199/82, 9 November 1983.</w:t>
      </w:r>
    </w:p>
  </w:footnote>
  <w:footnote w:id="43">
    <w:p w14:paraId="412EDDE4" w14:textId="77777777" w:rsidR="00EE75E8" w:rsidRPr="00CC5F12" w:rsidRDefault="00EE75E8"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w:t>
      </w:r>
      <w:r w:rsidRPr="00CC5F12">
        <w:rPr>
          <w:rFonts w:ascii="Verdana" w:hAnsi="Verdana"/>
          <w:i/>
          <w:iCs/>
          <w:color w:val="77328A"/>
          <w:sz w:val="16"/>
          <w:szCs w:val="16"/>
        </w:rPr>
        <w:t xml:space="preserve">R v Secretary of State for Transport, ex </w:t>
      </w:r>
      <w:proofErr w:type="spellStart"/>
      <w:r w:rsidRPr="00CC5F12">
        <w:rPr>
          <w:rFonts w:ascii="Verdana" w:hAnsi="Verdana"/>
          <w:i/>
          <w:iCs/>
          <w:color w:val="77328A"/>
          <w:sz w:val="16"/>
          <w:szCs w:val="16"/>
        </w:rPr>
        <w:t>parte</w:t>
      </w:r>
      <w:proofErr w:type="spellEnd"/>
      <w:r w:rsidRPr="00CC5F12">
        <w:rPr>
          <w:rFonts w:ascii="Verdana" w:hAnsi="Verdana"/>
          <w:i/>
          <w:iCs/>
          <w:color w:val="77328A"/>
          <w:sz w:val="16"/>
          <w:szCs w:val="16"/>
        </w:rPr>
        <w:t>: Factortame Ltd and others</w:t>
      </w:r>
      <w:r w:rsidRPr="00CC5F12">
        <w:rPr>
          <w:rFonts w:ascii="Verdana" w:hAnsi="Verdana"/>
          <w:color w:val="77328A"/>
          <w:sz w:val="16"/>
          <w:szCs w:val="16"/>
        </w:rPr>
        <w:t>, Case C-213/89, 19 June 1990.</w:t>
      </w:r>
    </w:p>
  </w:footnote>
  <w:footnote w:id="44">
    <w:p w14:paraId="3E033A69" w14:textId="77777777" w:rsidR="00EE75E8" w:rsidRPr="00CC5F12" w:rsidRDefault="00EE75E8"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w:t>
      </w:r>
      <w:r w:rsidRPr="00CC5F12">
        <w:rPr>
          <w:rFonts w:ascii="Verdana" w:hAnsi="Verdana"/>
          <w:i/>
          <w:iCs/>
          <w:color w:val="77328A"/>
          <w:sz w:val="16"/>
          <w:szCs w:val="16"/>
        </w:rPr>
        <w:t xml:space="preserve">Union </w:t>
      </w:r>
      <w:proofErr w:type="spellStart"/>
      <w:r w:rsidRPr="00CC5F12">
        <w:rPr>
          <w:rFonts w:ascii="Verdana" w:hAnsi="Verdana"/>
          <w:i/>
          <w:iCs/>
          <w:color w:val="77328A"/>
          <w:sz w:val="16"/>
          <w:szCs w:val="16"/>
        </w:rPr>
        <w:t>nationale</w:t>
      </w:r>
      <w:proofErr w:type="spellEnd"/>
      <w:r w:rsidRPr="00CC5F12">
        <w:rPr>
          <w:rFonts w:ascii="Verdana" w:hAnsi="Verdana"/>
          <w:i/>
          <w:iCs/>
          <w:color w:val="77328A"/>
          <w:sz w:val="16"/>
          <w:szCs w:val="16"/>
        </w:rPr>
        <w:t xml:space="preserve"> des </w:t>
      </w:r>
      <w:proofErr w:type="spellStart"/>
      <w:r w:rsidRPr="00CC5F12">
        <w:rPr>
          <w:rFonts w:ascii="Verdana" w:hAnsi="Verdana"/>
          <w:i/>
          <w:iCs/>
          <w:color w:val="77328A"/>
          <w:sz w:val="16"/>
          <w:szCs w:val="16"/>
        </w:rPr>
        <w:t>entraîneurs</w:t>
      </w:r>
      <w:proofErr w:type="spellEnd"/>
      <w:r w:rsidRPr="00CC5F12">
        <w:rPr>
          <w:rFonts w:ascii="Verdana" w:hAnsi="Verdana"/>
          <w:i/>
          <w:iCs/>
          <w:color w:val="77328A"/>
          <w:sz w:val="16"/>
          <w:szCs w:val="16"/>
        </w:rPr>
        <w:t xml:space="preserve"> et </w:t>
      </w:r>
      <w:proofErr w:type="gramStart"/>
      <w:r w:rsidRPr="00CC5F12">
        <w:rPr>
          <w:rFonts w:ascii="Verdana" w:hAnsi="Verdana"/>
          <w:i/>
          <w:iCs/>
          <w:color w:val="77328A"/>
          <w:sz w:val="16"/>
          <w:szCs w:val="16"/>
        </w:rPr>
        <w:t>cadres</w:t>
      </w:r>
      <w:proofErr w:type="gramEnd"/>
      <w:r w:rsidRPr="00CC5F12">
        <w:rPr>
          <w:rFonts w:ascii="Verdana" w:hAnsi="Verdana"/>
          <w:i/>
          <w:iCs/>
          <w:color w:val="77328A"/>
          <w:sz w:val="16"/>
          <w:szCs w:val="16"/>
        </w:rPr>
        <w:t xml:space="preserve"> techniques </w:t>
      </w:r>
      <w:proofErr w:type="spellStart"/>
      <w:r w:rsidRPr="00CC5F12">
        <w:rPr>
          <w:rFonts w:ascii="Verdana" w:hAnsi="Verdana"/>
          <w:i/>
          <w:iCs/>
          <w:color w:val="77328A"/>
          <w:sz w:val="16"/>
          <w:szCs w:val="16"/>
        </w:rPr>
        <w:t>professionnels</w:t>
      </w:r>
      <w:proofErr w:type="spellEnd"/>
      <w:r w:rsidRPr="00CC5F12">
        <w:rPr>
          <w:rFonts w:ascii="Verdana" w:hAnsi="Verdana"/>
          <w:i/>
          <w:iCs/>
          <w:color w:val="77328A"/>
          <w:sz w:val="16"/>
          <w:szCs w:val="16"/>
        </w:rPr>
        <w:t xml:space="preserve"> du football (</w:t>
      </w:r>
      <w:proofErr w:type="spellStart"/>
      <w:r w:rsidRPr="00CC5F12">
        <w:rPr>
          <w:rFonts w:ascii="Verdana" w:hAnsi="Verdana"/>
          <w:i/>
          <w:iCs/>
          <w:color w:val="77328A"/>
          <w:sz w:val="16"/>
          <w:szCs w:val="16"/>
        </w:rPr>
        <w:t>Unectef</w:t>
      </w:r>
      <w:proofErr w:type="spellEnd"/>
      <w:r w:rsidRPr="00CC5F12">
        <w:rPr>
          <w:rFonts w:ascii="Verdana" w:hAnsi="Verdana"/>
          <w:i/>
          <w:iCs/>
          <w:color w:val="77328A"/>
          <w:sz w:val="16"/>
          <w:szCs w:val="16"/>
        </w:rPr>
        <w:t xml:space="preserve">) v Georges </w:t>
      </w:r>
      <w:proofErr w:type="spellStart"/>
      <w:r w:rsidRPr="00CC5F12">
        <w:rPr>
          <w:rFonts w:ascii="Verdana" w:hAnsi="Verdana"/>
          <w:i/>
          <w:iCs/>
          <w:color w:val="77328A"/>
          <w:sz w:val="16"/>
          <w:szCs w:val="16"/>
        </w:rPr>
        <w:t>Heylens</w:t>
      </w:r>
      <w:proofErr w:type="spellEnd"/>
      <w:r w:rsidRPr="00CC5F12">
        <w:rPr>
          <w:rFonts w:ascii="Verdana" w:hAnsi="Verdana"/>
          <w:color w:val="77328A"/>
          <w:sz w:val="16"/>
          <w:szCs w:val="16"/>
        </w:rPr>
        <w:t xml:space="preserve">, Case 222/86, 15 October 1987. </w:t>
      </w:r>
    </w:p>
  </w:footnote>
  <w:footnote w:id="45">
    <w:p w14:paraId="1CE4AC08" w14:textId="77777777" w:rsidR="00EE75E8" w:rsidRPr="00CC5F12" w:rsidRDefault="00EE75E8"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w:t>
      </w:r>
      <w:r w:rsidRPr="00CC5F12">
        <w:rPr>
          <w:rFonts w:ascii="Verdana" w:hAnsi="Verdana"/>
          <w:i/>
          <w:iCs/>
          <w:color w:val="77328A"/>
          <w:sz w:val="16"/>
          <w:szCs w:val="16"/>
        </w:rPr>
        <w:t xml:space="preserve">Antonio Muñoz y Cia SA and Superior </w:t>
      </w:r>
      <w:proofErr w:type="spellStart"/>
      <w:r w:rsidRPr="00CC5F12">
        <w:rPr>
          <w:rFonts w:ascii="Verdana" w:hAnsi="Verdana"/>
          <w:i/>
          <w:iCs/>
          <w:color w:val="77328A"/>
          <w:sz w:val="16"/>
          <w:szCs w:val="16"/>
        </w:rPr>
        <w:t>Fruiticola</w:t>
      </w:r>
      <w:proofErr w:type="spellEnd"/>
      <w:r w:rsidRPr="00CC5F12">
        <w:rPr>
          <w:rFonts w:ascii="Verdana" w:hAnsi="Verdana"/>
          <w:i/>
          <w:iCs/>
          <w:color w:val="77328A"/>
          <w:sz w:val="16"/>
          <w:szCs w:val="16"/>
        </w:rPr>
        <w:t xml:space="preserve"> SA v Frumar Ltd and Redbridge Produce Marketing Ltd</w:t>
      </w:r>
      <w:r w:rsidRPr="00CC5F12">
        <w:rPr>
          <w:rFonts w:ascii="Verdana" w:hAnsi="Verdana"/>
          <w:color w:val="77328A"/>
          <w:sz w:val="16"/>
          <w:szCs w:val="16"/>
        </w:rPr>
        <w:t>, Case C-253/00, 17 September 2002.</w:t>
      </w:r>
    </w:p>
  </w:footnote>
  <w:footnote w:id="46">
    <w:p w14:paraId="0BA8793D" w14:textId="77777777" w:rsidR="00EE75E8" w:rsidRPr="00A97FA1" w:rsidRDefault="00EE75E8" w:rsidP="00CC5F12">
      <w:pPr>
        <w:pStyle w:val="FootnoteText"/>
        <w:rPr>
          <w:rFonts w:ascii="Verdana" w:hAnsi="Verdana"/>
          <w:color w:val="77328A"/>
          <w:sz w:val="16"/>
          <w:szCs w:val="16"/>
        </w:rPr>
      </w:pPr>
      <w:r w:rsidRPr="00A97FA1">
        <w:rPr>
          <w:rStyle w:val="FootnoteReference"/>
          <w:rFonts w:ascii="Verdana" w:hAnsi="Verdana"/>
          <w:color w:val="77328A"/>
          <w:sz w:val="16"/>
          <w:szCs w:val="16"/>
        </w:rPr>
        <w:footnoteRef/>
      </w:r>
      <w:r w:rsidRPr="00A97FA1">
        <w:rPr>
          <w:rFonts w:ascii="Verdana" w:hAnsi="Verdana"/>
          <w:color w:val="77328A"/>
          <w:sz w:val="16"/>
          <w:szCs w:val="16"/>
        </w:rPr>
        <w:t xml:space="preserve"> </w:t>
      </w:r>
      <w:r w:rsidRPr="00A97FA1">
        <w:rPr>
          <w:rFonts w:ascii="Verdana" w:hAnsi="Verdana"/>
          <w:i/>
          <w:iCs/>
          <w:color w:val="77328A"/>
          <w:sz w:val="16"/>
          <w:szCs w:val="16"/>
        </w:rPr>
        <w:t>Courage Ltd v Bernard Crehan</w:t>
      </w:r>
      <w:r w:rsidRPr="00A97FA1">
        <w:rPr>
          <w:rFonts w:ascii="Verdana" w:hAnsi="Verdana"/>
          <w:color w:val="77328A"/>
          <w:sz w:val="16"/>
          <w:szCs w:val="16"/>
        </w:rPr>
        <w:t>, Case C-453/99, 20 September 2001.</w:t>
      </w:r>
    </w:p>
  </w:footnote>
  <w:footnote w:id="47">
    <w:p w14:paraId="4624DFF3" w14:textId="04A550BB" w:rsidR="00746D98" w:rsidRPr="00CC5F12" w:rsidRDefault="00746D98" w:rsidP="00CC5F12">
      <w:pPr>
        <w:pStyle w:val="FootnoteText"/>
        <w:rPr>
          <w:rFonts w:ascii="Verdana" w:hAnsi="Verdana"/>
          <w:color w:val="77328A"/>
          <w:sz w:val="16"/>
          <w:szCs w:val="16"/>
        </w:rPr>
      </w:pPr>
      <w:r w:rsidRPr="00A97FA1">
        <w:rPr>
          <w:rStyle w:val="FootnoteReference"/>
          <w:rFonts w:ascii="Verdana" w:hAnsi="Verdana"/>
          <w:color w:val="77328A"/>
          <w:sz w:val="16"/>
          <w:szCs w:val="16"/>
        </w:rPr>
        <w:footnoteRef/>
      </w:r>
      <w:r w:rsidRPr="00A97FA1">
        <w:rPr>
          <w:rFonts w:ascii="Verdana" w:hAnsi="Verdana"/>
          <w:color w:val="77328A"/>
          <w:sz w:val="16"/>
          <w:szCs w:val="16"/>
        </w:rPr>
        <w:t xml:space="preserve"> </w:t>
      </w:r>
      <w:r w:rsidR="00A97FA1" w:rsidRPr="00A97FA1">
        <w:rPr>
          <w:rFonts w:ascii="Verdana" w:hAnsi="Verdana"/>
          <w:color w:val="77328A"/>
          <w:sz w:val="16"/>
          <w:szCs w:val="16"/>
        </w:rPr>
        <w:t xml:space="preserve">See </w:t>
      </w:r>
      <w:r w:rsidRPr="00A97FA1">
        <w:rPr>
          <w:rFonts w:ascii="Verdana" w:hAnsi="Verdana"/>
          <w:color w:val="77328A"/>
          <w:sz w:val="16"/>
          <w:szCs w:val="16"/>
        </w:rPr>
        <w:t>Para 2.12</w:t>
      </w:r>
      <w:r w:rsidR="00A97FA1" w:rsidRPr="00A97FA1">
        <w:rPr>
          <w:rFonts w:ascii="Verdana" w:hAnsi="Verdana"/>
          <w:color w:val="77328A"/>
          <w:sz w:val="16"/>
          <w:szCs w:val="16"/>
        </w:rPr>
        <w:t xml:space="preserve"> above.</w:t>
      </w:r>
      <w:r w:rsidR="00A97FA1">
        <w:rPr>
          <w:rFonts w:ascii="Verdana" w:hAnsi="Verdana"/>
          <w:color w:val="77328A"/>
          <w:sz w:val="16"/>
          <w:szCs w:val="16"/>
        </w:rPr>
        <w:t xml:space="preserve"> </w:t>
      </w:r>
    </w:p>
  </w:footnote>
  <w:footnote w:id="48">
    <w:p w14:paraId="17D00D78" w14:textId="5273E344" w:rsidR="00F32F4C" w:rsidRPr="00CC5F12" w:rsidRDefault="00F32F4C"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Paul Craig and Gráinne de </w:t>
      </w:r>
      <w:proofErr w:type="spellStart"/>
      <w:r w:rsidRPr="00CC5F12">
        <w:rPr>
          <w:rFonts w:ascii="Verdana" w:hAnsi="Verdana"/>
          <w:color w:val="77328A"/>
          <w:sz w:val="16"/>
          <w:szCs w:val="16"/>
        </w:rPr>
        <w:t>Búrca</w:t>
      </w:r>
      <w:proofErr w:type="spellEnd"/>
      <w:r w:rsidRPr="00CC5F12">
        <w:rPr>
          <w:rFonts w:ascii="Verdana" w:hAnsi="Verdana"/>
          <w:color w:val="77328A"/>
          <w:sz w:val="16"/>
          <w:szCs w:val="16"/>
        </w:rPr>
        <w:t>, ‘EU Law – Text, Cases and Materials (7</w:t>
      </w:r>
      <w:r w:rsidRPr="00CC5F12">
        <w:rPr>
          <w:rFonts w:ascii="Verdana" w:hAnsi="Verdana"/>
          <w:color w:val="77328A"/>
          <w:sz w:val="16"/>
          <w:szCs w:val="16"/>
          <w:vertAlign w:val="superscript"/>
        </w:rPr>
        <w:t>th</w:t>
      </w:r>
      <w:r w:rsidRPr="00CC5F12">
        <w:rPr>
          <w:rFonts w:ascii="Verdana" w:hAnsi="Verdana"/>
          <w:color w:val="77328A"/>
          <w:sz w:val="16"/>
          <w:szCs w:val="16"/>
        </w:rPr>
        <w:t>Ed)’ (UK Version) (OUP, 2020), at 293 ff.</w:t>
      </w:r>
    </w:p>
  </w:footnote>
  <w:footnote w:id="49">
    <w:p w14:paraId="072E31B8" w14:textId="75C758F6" w:rsidR="00B941EE" w:rsidRPr="00CC5F12" w:rsidRDefault="00B941EE"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00277F3A" w:rsidRPr="00CC5F12">
        <w:rPr>
          <w:rFonts w:ascii="Verdana" w:hAnsi="Verdana"/>
          <w:color w:val="77328A"/>
          <w:sz w:val="16"/>
          <w:szCs w:val="16"/>
        </w:rPr>
        <w:t xml:space="preserve"> </w:t>
      </w:r>
      <w:r w:rsidR="0031041F" w:rsidRPr="00CC5F12">
        <w:rPr>
          <w:rFonts w:ascii="Verdana" w:hAnsi="Verdana"/>
          <w:color w:val="77328A"/>
          <w:sz w:val="16"/>
          <w:szCs w:val="16"/>
        </w:rPr>
        <w:t xml:space="preserve">See Colton J in </w:t>
      </w:r>
      <w:r w:rsidR="0031041F" w:rsidRPr="00CC5F12">
        <w:rPr>
          <w:rFonts w:ascii="Verdana" w:hAnsi="Verdana"/>
          <w:i/>
          <w:iCs/>
          <w:color w:val="77328A"/>
          <w:sz w:val="16"/>
          <w:szCs w:val="16"/>
        </w:rPr>
        <w:t xml:space="preserve">Re Dillon and others </w:t>
      </w:r>
      <w:r w:rsidR="0031041F" w:rsidRPr="00CC5F12">
        <w:rPr>
          <w:rFonts w:ascii="Verdana" w:hAnsi="Verdana"/>
          <w:color w:val="77328A"/>
          <w:sz w:val="16"/>
          <w:szCs w:val="16"/>
        </w:rPr>
        <w:t xml:space="preserve">[2024] NIKB 11, at para 586.  </w:t>
      </w:r>
      <w:r w:rsidR="00277F3A" w:rsidRPr="00CC5F12">
        <w:rPr>
          <w:rFonts w:ascii="Verdana" w:hAnsi="Verdana"/>
          <w:color w:val="77328A"/>
          <w:sz w:val="16"/>
          <w:szCs w:val="16"/>
        </w:rPr>
        <w:t xml:space="preserve">As noted by Murray et al, “it is essential to ensure that the application of UK wide legislation such as the Judicial Review and Courts Act 2022 and reform of the Human Rights Act 1998 does not compromise the protection for access to justice and effective judicial protection in NI law”. See </w:t>
      </w:r>
      <w:r w:rsidRPr="00CC5F12">
        <w:rPr>
          <w:rFonts w:ascii="Verdana" w:hAnsi="Verdana"/>
          <w:color w:val="77328A"/>
          <w:sz w:val="16"/>
          <w:szCs w:val="16"/>
        </w:rPr>
        <w:t xml:space="preserve">Sarah Craig, Anurag Deb, Eleni Frantziou, Alexander Horne, Colin Murray, Clare </w:t>
      </w:r>
      <w:proofErr w:type="gramStart"/>
      <w:r w:rsidRPr="00CC5F12">
        <w:rPr>
          <w:rFonts w:ascii="Verdana" w:hAnsi="Verdana"/>
          <w:color w:val="77328A"/>
          <w:sz w:val="16"/>
          <w:szCs w:val="16"/>
        </w:rPr>
        <w:t>Rice</w:t>
      </w:r>
      <w:proofErr w:type="gramEnd"/>
      <w:r w:rsidRPr="00CC5F12">
        <w:rPr>
          <w:rFonts w:ascii="Verdana" w:hAnsi="Verdana"/>
          <w:color w:val="77328A"/>
          <w:sz w:val="16"/>
          <w:szCs w:val="16"/>
        </w:rPr>
        <w:t xml:space="preserve"> and Jane Rooney, ‘EU Developments in Equality and Human Rights: The Impact of Brexit on the Divergence of Rights and Best Practice on the Island of Ireland’ (ECNI, NIHRC and IHREC, 2022), at 88.</w:t>
      </w:r>
    </w:p>
  </w:footnote>
  <w:footnote w:id="50">
    <w:p w14:paraId="1FDBBB82" w14:textId="77777777" w:rsidR="00F32F4C" w:rsidRPr="00CC5F12" w:rsidRDefault="00F32F4C"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Articles 86-91</w:t>
      </w:r>
    </w:p>
  </w:footnote>
  <w:footnote w:id="51">
    <w:p w14:paraId="4BB5377A" w14:textId="0AEBD7ED" w:rsidR="00F32F4C" w:rsidRPr="00CC5F12" w:rsidRDefault="00F32F4C"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w:t>
      </w:r>
      <w:r w:rsidR="008F4E21" w:rsidRPr="00CC5F12">
        <w:rPr>
          <w:rFonts w:ascii="Verdana" w:hAnsi="Verdana"/>
          <w:color w:val="77328A"/>
          <w:sz w:val="16"/>
          <w:szCs w:val="16"/>
        </w:rPr>
        <w:t>See Article 12(4)</w:t>
      </w:r>
      <w:r w:rsidR="00853144" w:rsidRPr="00CC5F12">
        <w:rPr>
          <w:rFonts w:ascii="Verdana" w:hAnsi="Verdana"/>
          <w:color w:val="77328A"/>
          <w:sz w:val="16"/>
          <w:szCs w:val="16"/>
        </w:rPr>
        <w:t xml:space="preserve">, Windsor Framework </w:t>
      </w:r>
      <w:r w:rsidR="008F4E21" w:rsidRPr="00CC5F12">
        <w:rPr>
          <w:rFonts w:ascii="Verdana" w:hAnsi="Verdana"/>
          <w:color w:val="77328A"/>
          <w:sz w:val="16"/>
          <w:szCs w:val="16"/>
        </w:rPr>
        <w:t xml:space="preserve">in respect of Articles 5 and 7-10, which provides that the CJEU will have jurisdiction and the preliminary reference procedure in Article 267 of the Treaty on the Functioning of the EU shall apply in the UK in this respect. As noted by </w:t>
      </w:r>
      <w:proofErr w:type="spellStart"/>
      <w:r w:rsidR="008F4E21" w:rsidRPr="00CC5F12">
        <w:rPr>
          <w:rFonts w:ascii="Verdana" w:hAnsi="Verdana"/>
          <w:color w:val="77328A"/>
          <w:sz w:val="16"/>
          <w:szCs w:val="16"/>
        </w:rPr>
        <w:t>Leifländer</w:t>
      </w:r>
      <w:proofErr w:type="spellEnd"/>
      <w:r w:rsidR="008F4E21" w:rsidRPr="00CC5F12">
        <w:rPr>
          <w:rFonts w:ascii="Verdana" w:hAnsi="Verdana"/>
          <w:color w:val="77328A"/>
          <w:sz w:val="16"/>
          <w:szCs w:val="16"/>
        </w:rPr>
        <w:t>, this displaces the arbitration mechanism established by the Withdrawal Agreement (</w:t>
      </w:r>
      <w:r w:rsidR="00262B88" w:rsidRPr="00CC5F12">
        <w:rPr>
          <w:rFonts w:ascii="Verdana" w:hAnsi="Verdana"/>
          <w:color w:val="77328A"/>
          <w:sz w:val="16"/>
          <w:szCs w:val="16"/>
        </w:rPr>
        <w:t xml:space="preserve">Thomas </w:t>
      </w:r>
      <w:proofErr w:type="spellStart"/>
      <w:r w:rsidR="008F4E21" w:rsidRPr="00CC5F12">
        <w:rPr>
          <w:rFonts w:ascii="Verdana" w:hAnsi="Verdana"/>
          <w:color w:val="77328A"/>
          <w:sz w:val="16"/>
          <w:szCs w:val="16"/>
        </w:rPr>
        <w:t>Leifländer</w:t>
      </w:r>
      <w:proofErr w:type="spellEnd"/>
      <w:r w:rsidR="008F4E21" w:rsidRPr="00CC5F12">
        <w:rPr>
          <w:rFonts w:ascii="Verdana" w:hAnsi="Verdana"/>
          <w:color w:val="77328A"/>
          <w:sz w:val="16"/>
          <w:szCs w:val="16"/>
        </w:rPr>
        <w:t xml:space="preserve">, ‘Article 12 – Commentary’, in Thomas </w:t>
      </w:r>
      <w:proofErr w:type="spellStart"/>
      <w:r w:rsidR="008F4E21" w:rsidRPr="00CC5F12">
        <w:rPr>
          <w:rFonts w:ascii="Verdana" w:hAnsi="Verdana"/>
          <w:color w:val="77328A"/>
          <w:sz w:val="16"/>
          <w:szCs w:val="16"/>
        </w:rPr>
        <w:t>Liefl</w:t>
      </w:r>
      <w:r w:rsidR="008F4E21" w:rsidRPr="00CC5F12">
        <w:rPr>
          <w:rFonts w:ascii="Verdana" w:hAnsi="Verdana" w:cstheme="minorHAnsi"/>
          <w:color w:val="77328A"/>
          <w:sz w:val="16"/>
          <w:szCs w:val="16"/>
        </w:rPr>
        <w:t>ä</w:t>
      </w:r>
      <w:r w:rsidR="008F4E21" w:rsidRPr="00CC5F12">
        <w:rPr>
          <w:rFonts w:ascii="Verdana" w:hAnsi="Verdana"/>
          <w:color w:val="77328A"/>
          <w:sz w:val="16"/>
          <w:szCs w:val="16"/>
        </w:rPr>
        <w:t>nder</w:t>
      </w:r>
      <w:proofErr w:type="spellEnd"/>
      <w:r w:rsidR="008F4E21" w:rsidRPr="00CC5F12">
        <w:rPr>
          <w:rFonts w:ascii="Verdana" w:hAnsi="Verdana"/>
          <w:color w:val="77328A"/>
          <w:sz w:val="16"/>
          <w:szCs w:val="16"/>
        </w:rPr>
        <w:t>, Manuel Kellerbauer and Eugenia Dumitriu-</w:t>
      </w:r>
      <w:proofErr w:type="spellStart"/>
      <w:r w:rsidR="008F4E21" w:rsidRPr="00CC5F12">
        <w:rPr>
          <w:rFonts w:ascii="Verdana" w:hAnsi="Verdana"/>
          <w:color w:val="77328A"/>
          <w:sz w:val="16"/>
          <w:szCs w:val="16"/>
        </w:rPr>
        <w:t>Segnana</w:t>
      </w:r>
      <w:proofErr w:type="spellEnd"/>
      <w:r w:rsidR="008F4E21" w:rsidRPr="00CC5F12">
        <w:rPr>
          <w:rFonts w:ascii="Verdana" w:hAnsi="Verdana"/>
          <w:color w:val="77328A"/>
          <w:sz w:val="16"/>
          <w:szCs w:val="16"/>
        </w:rPr>
        <w:t xml:space="preserve"> (Eds), ‘The Withdrawal Agreement – A Commentary’ (OUP, 2021), at para 8.139).  </w:t>
      </w:r>
    </w:p>
  </w:footnote>
  <w:footnote w:id="52">
    <w:p w14:paraId="7EDA97D3" w14:textId="6595D2E2" w:rsidR="00853144" w:rsidRPr="00CC5F12" w:rsidRDefault="00853144"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See Article 166, UK-EU Withdrawal Agreement.  </w:t>
      </w:r>
    </w:p>
  </w:footnote>
  <w:footnote w:id="53">
    <w:p w14:paraId="7DCEF4B7" w14:textId="359330D9" w:rsidR="003D3C95" w:rsidRPr="00CC5F12" w:rsidRDefault="003D3C95"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Pieter Van </w:t>
      </w:r>
      <w:proofErr w:type="spellStart"/>
      <w:r w:rsidRPr="00CC5F12">
        <w:rPr>
          <w:rFonts w:ascii="Verdana" w:hAnsi="Verdana"/>
          <w:color w:val="77328A"/>
          <w:sz w:val="16"/>
          <w:szCs w:val="16"/>
        </w:rPr>
        <w:t>Nuffel</w:t>
      </w:r>
      <w:proofErr w:type="spellEnd"/>
      <w:r w:rsidRPr="00CC5F12">
        <w:rPr>
          <w:rFonts w:ascii="Verdana" w:hAnsi="Verdana"/>
          <w:color w:val="77328A"/>
          <w:sz w:val="16"/>
          <w:szCs w:val="16"/>
        </w:rPr>
        <w:t xml:space="preserve">, ‘Withdrawal Agreement, Part 6 – Institutional and Financial Provisions’ in Thomas </w:t>
      </w:r>
      <w:proofErr w:type="spellStart"/>
      <w:r w:rsidRPr="00CC5F12">
        <w:rPr>
          <w:rFonts w:ascii="Verdana" w:hAnsi="Verdana"/>
          <w:color w:val="77328A"/>
          <w:sz w:val="16"/>
          <w:szCs w:val="16"/>
        </w:rPr>
        <w:t>Liefl</w:t>
      </w:r>
      <w:r w:rsidRPr="00CC5F12">
        <w:rPr>
          <w:rFonts w:ascii="Verdana" w:hAnsi="Verdana" w:cstheme="minorHAnsi"/>
          <w:color w:val="77328A"/>
          <w:sz w:val="16"/>
          <w:szCs w:val="16"/>
        </w:rPr>
        <w:t>ä</w:t>
      </w:r>
      <w:r w:rsidRPr="00CC5F12">
        <w:rPr>
          <w:rFonts w:ascii="Verdana" w:hAnsi="Verdana"/>
          <w:color w:val="77328A"/>
          <w:sz w:val="16"/>
          <w:szCs w:val="16"/>
        </w:rPr>
        <w:t>nder</w:t>
      </w:r>
      <w:proofErr w:type="spellEnd"/>
      <w:r w:rsidRPr="00CC5F12">
        <w:rPr>
          <w:rFonts w:ascii="Verdana" w:hAnsi="Verdana"/>
          <w:color w:val="77328A"/>
          <w:sz w:val="16"/>
          <w:szCs w:val="16"/>
        </w:rPr>
        <w:t>, Manuel Kellerbauer and Eugenia Dumitriu-</w:t>
      </w:r>
      <w:proofErr w:type="spellStart"/>
      <w:r w:rsidRPr="00CC5F12">
        <w:rPr>
          <w:rFonts w:ascii="Verdana" w:hAnsi="Verdana"/>
          <w:color w:val="77328A"/>
          <w:sz w:val="16"/>
          <w:szCs w:val="16"/>
        </w:rPr>
        <w:t>Segnana</w:t>
      </w:r>
      <w:proofErr w:type="spellEnd"/>
      <w:r w:rsidRPr="00CC5F12">
        <w:rPr>
          <w:rFonts w:ascii="Verdana" w:hAnsi="Verdana"/>
          <w:color w:val="77328A"/>
          <w:sz w:val="16"/>
          <w:szCs w:val="16"/>
        </w:rPr>
        <w:t xml:space="preserve"> (Eds), ‘The Withdrawal Agreement – A Commentary’ (OUP, 2021), at para 7.47.</w:t>
      </w:r>
    </w:p>
  </w:footnote>
  <w:footnote w:id="54">
    <w:p w14:paraId="069B6F28" w14:textId="2544B7B4" w:rsidR="006311D1" w:rsidRPr="00CC5F12" w:rsidRDefault="006311D1"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See Article 170, UK-EU Withdrawal Agreement.  </w:t>
      </w:r>
      <w:r w:rsidR="0016176E" w:rsidRPr="00CC5F12">
        <w:rPr>
          <w:rFonts w:ascii="Verdana" w:hAnsi="Verdana"/>
          <w:color w:val="77328A"/>
          <w:sz w:val="16"/>
          <w:szCs w:val="16"/>
        </w:rPr>
        <w:t>A</w:t>
      </w:r>
    </w:p>
  </w:footnote>
  <w:footnote w:id="55">
    <w:p w14:paraId="2439CF17" w14:textId="53DF9995" w:rsidR="006F0986" w:rsidRPr="00CC5F12" w:rsidRDefault="006F0986"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See Article 170, UK-EU Withdrawal Agreement.  As noted by Van </w:t>
      </w:r>
      <w:proofErr w:type="spellStart"/>
      <w:r w:rsidRPr="00CC5F12">
        <w:rPr>
          <w:rFonts w:ascii="Verdana" w:hAnsi="Verdana"/>
          <w:color w:val="77328A"/>
          <w:sz w:val="16"/>
          <w:szCs w:val="16"/>
        </w:rPr>
        <w:t>Nuffel</w:t>
      </w:r>
      <w:proofErr w:type="spellEnd"/>
      <w:r w:rsidRPr="00CC5F12">
        <w:rPr>
          <w:rFonts w:ascii="Verdana" w:hAnsi="Verdana"/>
          <w:color w:val="77328A"/>
          <w:sz w:val="16"/>
          <w:szCs w:val="16"/>
        </w:rPr>
        <w:t xml:space="preserve">, the first two areas correspond to Article 4(3) and 4(4) of the Withdrawal Agreement and places an obligation on the arbitration panel to refer matter to the CJEU even where the EU issue is not central to a dispute. This is to ensure the arbitration panel avoids incidental rulings on the interpretation of EU law. (See Pieter Van </w:t>
      </w:r>
      <w:proofErr w:type="spellStart"/>
      <w:r w:rsidRPr="00CC5F12">
        <w:rPr>
          <w:rFonts w:ascii="Verdana" w:hAnsi="Verdana"/>
          <w:color w:val="77328A"/>
          <w:sz w:val="16"/>
          <w:szCs w:val="16"/>
        </w:rPr>
        <w:t>Nuffel</w:t>
      </w:r>
      <w:proofErr w:type="spellEnd"/>
      <w:r w:rsidRPr="00CC5F12">
        <w:rPr>
          <w:rFonts w:ascii="Verdana" w:hAnsi="Verdana"/>
          <w:color w:val="77328A"/>
          <w:sz w:val="16"/>
          <w:szCs w:val="16"/>
        </w:rPr>
        <w:t xml:space="preserve">, ‘Withdrawal Agreement, Part 6 – Institutional and Financial Provisions’ in Thomas </w:t>
      </w:r>
      <w:proofErr w:type="spellStart"/>
      <w:r w:rsidRPr="00CC5F12">
        <w:rPr>
          <w:rFonts w:ascii="Verdana" w:hAnsi="Verdana"/>
          <w:color w:val="77328A"/>
          <w:sz w:val="16"/>
          <w:szCs w:val="16"/>
        </w:rPr>
        <w:t>Liefl</w:t>
      </w:r>
      <w:r w:rsidRPr="00CC5F12">
        <w:rPr>
          <w:rFonts w:ascii="Verdana" w:hAnsi="Verdana" w:cstheme="minorHAnsi"/>
          <w:color w:val="77328A"/>
          <w:sz w:val="16"/>
          <w:szCs w:val="16"/>
        </w:rPr>
        <w:t>ä</w:t>
      </w:r>
      <w:r w:rsidRPr="00CC5F12">
        <w:rPr>
          <w:rFonts w:ascii="Verdana" w:hAnsi="Verdana"/>
          <w:color w:val="77328A"/>
          <w:sz w:val="16"/>
          <w:szCs w:val="16"/>
        </w:rPr>
        <w:t>nder</w:t>
      </w:r>
      <w:proofErr w:type="spellEnd"/>
      <w:r w:rsidRPr="00CC5F12">
        <w:rPr>
          <w:rFonts w:ascii="Verdana" w:hAnsi="Verdana"/>
          <w:color w:val="77328A"/>
          <w:sz w:val="16"/>
          <w:szCs w:val="16"/>
        </w:rPr>
        <w:t>, Manuel Kellerbauer and Eugenia Dumitriu-</w:t>
      </w:r>
      <w:proofErr w:type="spellStart"/>
      <w:r w:rsidRPr="00CC5F12">
        <w:rPr>
          <w:rFonts w:ascii="Verdana" w:hAnsi="Verdana"/>
          <w:color w:val="77328A"/>
          <w:sz w:val="16"/>
          <w:szCs w:val="16"/>
        </w:rPr>
        <w:t>Segnana</w:t>
      </w:r>
      <w:proofErr w:type="spellEnd"/>
      <w:r w:rsidRPr="00CC5F12">
        <w:rPr>
          <w:rFonts w:ascii="Verdana" w:hAnsi="Verdana"/>
          <w:color w:val="77328A"/>
          <w:sz w:val="16"/>
          <w:szCs w:val="16"/>
        </w:rPr>
        <w:t xml:space="preserve"> (Eds), ‘The Withdrawal Agreement – A Commentary’ (OUP, 2021), at para 7.72.)</w:t>
      </w:r>
    </w:p>
  </w:footnote>
  <w:footnote w:id="56">
    <w:p w14:paraId="55320918" w14:textId="52805F87" w:rsidR="006F0986" w:rsidRPr="00CC5F12" w:rsidRDefault="006F0986" w:rsidP="00CC5F12">
      <w:pPr>
        <w:pStyle w:val="FootnoteText"/>
        <w:rPr>
          <w:rFonts w:ascii="Verdana" w:hAnsi="Verdana"/>
          <w:sz w:val="16"/>
          <w:szCs w:val="16"/>
        </w:rPr>
      </w:pPr>
      <w:r w:rsidRPr="00CC5F12">
        <w:rPr>
          <w:rStyle w:val="FootnoteReference"/>
          <w:rFonts w:ascii="Verdana" w:hAnsi="Verdana"/>
          <w:sz w:val="16"/>
          <w:szCs w:val="16"/>
        </w:rPr>
        <w:footnoteRef/>
      </w:r>
      <w:r w:rsidRPr="00CC5F12">
        <w:rPr>
          <w:rFonts w:ascii="Verdana" w:hAnsi="Verdana"/>
          <w:sz w:val="16"/>
          <w:szCs w:val="16"/>
        </w:rPr>
        <w:t xml:space="preserve"> </w:t>
      </w:r>
      <w:r w:rsidRPr="00CC5F12">
        <w:rPr>
          <w:rFonts w:ascii="Verdana" w:hAnsi="Verdana"/>
          <w:color w:val="77328A"/>
          <w:sz w:val="16"/>
          <w:szCs w:val="16"/>
        </w:rPr>
        <w:t xml:space="preserve">Pieter Van </w:t>
      </w:r>
      <w:proofErr w:type="spellStart"/>
      <w:r w:rsidRPr="00CC5F12">
        <w:rPr>
          <w:rFonts w:ascii="Verdana" w:hAnsi="Verdana"/>
          <w:color w:val="77328A"/>
          <w:sz w:val="16"/>
          <w:szCs w:val="16"/>
        </w:rPr>
        <w:t>Nuffel</w:t>
      </w:r>
      <w:proofErr w:type="spellEnd"/>
      <w:r w:rsidRPr="00CC5F12">
        <w:rPr>
          <w:rFonts w:ascii="Verdana" w:hAnsi="Verdana"/>
          <w:color w:val="77328A"/>
          <w:sz w:val="16"/>
          <w:szCs w:val="16"/>
        </w:rPr>
        <w:t xml:space="preserve">, ‘Withdrawal Agreement, Part 6 – Institutional and Financial Provisions’ in Thomas </w:t>
      </w:r>
      <w:proofErr w:type="spellStart"/>
      <w:r w:rsidRPr="00CC5F12">
        <w:rPr>
          <w:rFonts w:ascii="Verdana" w:hAnsi="Verdana"/>
          <w:color w:val="77328A"/>
          <w:sz w:val="16"/>
          <w:szCs w:val="16"/>
        </w:rPr>
        <w:t>Liefl</w:t>
      </w:r>
      <w:r w:rsidRPr="00CC5F12">
        <w:rPr>
          <w:rFonts w:ascii="Verdana" w:hAnsi="Verdana" w:cstheme="minorHAnsi"/>
          <w:color w:val="77328A"/>
          <w:sz w:val="16"/>
          <w:szCs w:val="16"/>
        </w:rPr>
        <w:t>ä</w:t>
      </w:r>
      <w:r w:rsidRPr="00CC5F12">
        <w:rPr>
          <w:rFonts w:ascii="Verdana" w:hAnsi="Verdana"/>
          <w:color w:val="77328A"/>
          <w:sz w:val="16"/>
          <w:szCs w:val="16"/>
        </w:rPr>
        <w:t>nder</w:t>
      </w:r>
      <w:proofErr w:type="spellEnd"/>
      <w:r w:rsidRPr="00CC5F12">
        <w:rPr>
          <w:rFonts w:ascii="Verdana" w:hAnsi="Verdana"/>
          <w:color w:val="77328A"/>
          <w:sz w:val="16"/>
          <w:szCs w:val="16"/>
        </w:rPr>
        <w:t>, Manuel Kellerbauer and Eugenia Dumitriu-</w:t>
      </w:r>
      <w:proofErr w:type="spellStart"/>
      <w:r w:rsidRPr="00CC5F12">
        <w:rPr>
          <w:rFonts w:ascii="Verdana" w:hAnsi="Verdana"/>
          <w:color w:val="77328A"/>
          <w:sz w:val="16"/>
          <w:szCs w:val="16"/>
        </w:rPr>
        <w:t>Segnana</w:t>
      </w:r>
      <w:proofErr w:type="spellEnd"/>
      <w:r w:rsidRPr="00CC5F12">
        <w:rPr>
          <w:rFonts w:ascii="Verdana" w:hAnsi="Verdana"/>
          <w:color w:val="77328A"/>
          <w:sz w:val="16"/>
          <w:szCs w:val="16"/>
        </w:rPr>
        <w:t xml:space="preserve"> (Eds), ‘The Withdrawal Agreement – A Commentary’ (OUP, 2021), at para 7.72 Pieter Van </w:t>
      </w:r>
      <w:proofErr w:type="spellStart"/>
      <w:proofErr w:type="gramStart"/>
      <w:r w:rsidRPr="00CC5F12">
        <w:rPr>
          <w:rFonts w:ascii="Verdana" w:hAnsi="Verdana"/>
          <w:color w:val="77328A"/>
          <w:sz w:val="16"/>
          <w:szCs w:val="16"/>
        </w:rPr>
        <w:t>Nuffel</w:t>
      </w:r>
      <w:proofErr w:type="spellEnd"/>
      <w:r w:rsidRPr="00CC5F12">
        <w:rPr>
          <w:rFonts w:ascii="Verdana" w:hAnsi="Verdana"/>
          <w:color w:val="77328A"/>
          <w:sz w:val="16"/>
          <w:szCs w:val="16"/>
        </w:rPr>
        <w:t>,  ‘</w:t>
      </w:r>
      <w:proofErr w:type="gramEnd"/>
      <w:r w:rsidRPr="00CC5F12">
        <w:rPr>
          <w:rFonts w:ascii="Verdana" w:hAnsi="Verdana"/>
          <w:color w:val="77328A"/>
          <w:sz w:val="16"/>
          <w:szCs w:val="16"/>
        </w:rPr>
        <w:t xml:space="preserve">Withdrawal Agreement, Part 6 – Institutional and Financial Provisions’ in Thomas </w:t>
      </w:r>
      <w:proofErr w:type="spellStart"/>
      <w:r w:rsidRPr="00CC5F12">
        <w:rPr>
          <w:rFonts w:ascii="Verdana" w:hAnsi="Verdana"/>
          <w:color w:val="77328A"/>
          <w:sz w:val="16"/>
          <w:szCs w:val="16"/>
        </w:rPr>
        <w:t>Liefl</w:t>
      </w:r>
      <w:r w:rsidRPr="00CC5F12">
        <w:rPr>
          <w:rFonts w:ascii="Verdana" w:hAnsi="Verdana" w:cstheme="minorHAnsi"/>
          <w:color w:val="77328A"/>
          <w:sz w:val="16"/>
          <w:szCs w:val="16"/>
        </w:rPr>
        <w:t>ä</w:t>
      </w:r>
      <w:r w:rsidRPr="00CC5F12">
        <w:rPr>
          <w:rFonts w:ascii="Verdana" w:hAnsi="Verdana"/>
          <w:color w:val="77328A"/>
          <w:sz w:val="16"/>
          <w:szCs w:val="16"/>
        </w:rPr>
        <w:t>nder</w:t>
      </w:r>
      <w:proofErr w:type="spellEnd"/>
      <w:r w:rsidRPr="00CC5F12">
        <w:rPr>
          <w:rFonts w:ascii="Verdana" w:hAnsi="Verdana"/>
          <w:color w:val="77328A"/>
          <w:sz w:val="16"/>
          <w:szCs w:val="16"/>
        </w:rPr>
        <w:t>, Manuel Kellerbauer and Eugenia Dumitriu-</w:t>
      </w:r>
      <w:proofErr w:type="spellStart"/>
      <w:r w:rsidRPr="00CC5F12">
        <w:rPr>
          <w:rFonts w:ascii="Verdana" w:hAnsi="Verdana"/>
          <w:color w:val="77328A"/>
          <w:sz w:val="16"/>
          <w:szCs w:val="16"/>
        </w:rPr>
        <w:t>Segnana</w:t>
      </w:r>
      <w:proofErr w:type="spellEnd"/>
      <w:r w:rsidRPr="00CC5F12">
        <w:rPr>
          <w:rFonts w:ascii="Verdana" w:hAnsi="Verdana"/>
          <w:color w:val="77328A"/>
          <w:sz w:val="16"/>
          <w:szCs w:val="16"/>
        </w:rPr>
        <w:t xml:space="preserve"> (Eds), ‘The Withdrawal Agreement – A Commentary’ (OUP, 2021), at para 7.75.</w:t>
      </w:r>
    </w:p>
  </w:footnote>
  <w:footnote w:id="57">
    <w:p w14:paraId="400B39FE" w14:textId="084EFAE0" w:rsidR="005C456C" w:rsidRPr="00CC5F12" w:rsidRDefault="005C456C"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w:t>
      </w:r>
      <w:r w:rsidRPr="00CC5F12">
        <w:rPr>
          <w:rFonts w:ascii="Verdana" w:hAnsi="Verdana" w:cstheme="minorHAnsi"/>
          <w:i/>
          <w:iCs/>
          <w:color w:val="77328A"/>
          <w:sz w:val="16"/>
          <w:szCs w:val="16"/>
        </w:rPr>
        <w:t xml:space="preserve">Re </w:t>
      </w:r>
      <w:proofErr w:type="spellStart"/>
      <w:r w:rsidRPr="00CC5F12">
        <w:rPr>
          <w:rFonts w:ascii="Verdana" w:hAnsi="Verdana" w:cstheme="minorHAnsi"/>
          <w:i/>
          <w:iCs/>
          <w:color w:val="77328A"/>
          <w:sz w:val="16"/>
          <w:szCs w:val="16"/>
        </w:rPr>
        <w:t>Angesom</w:t>
      </w:r>
      <w:proofErr w:type="spellEnd"/>
      <w:r w:rsidRPr="00CC5F12">
        <w:rPr>
          <w:rFonts w:ascii="Verdana" w:hAnsi="Verdana" w:cstheme="minorHAnsi"/>
          <w:color w:val="77328A"/>
          <w:sz w:val="16"/>
          <w:szCs w:val="16"/>
        </w:rPr>
        <w:t xml:space="preserve"> </w:t>
      </w:r>
      <w:r w:rsidRPr="00CC5F12">
        <w:rPr>
          <w:rFonts w:ascii="Verdana" w:hAnsi="Verdana"/>
          <w:color w:val="77328A"/>
          <w:sz w:val="16"/>
          <w:szCs w:val="16"/>
        </w:rPr>
        <w:t xml:space="preserve">[2023] NIKB 102; </w:t>
      </w:r>
      <w:r w:rsidRPr="00CC5F12">
        <w:rPr>
          <w:rFonts w:ascii="Verdana" w:hAnsi="Verdana"/>
          <w:i/>
          <w:iCs/>
          <w:color w:val="77328A"/>
          <w:sz w:val="16"/>
          <w:szCs w:val="16"/>
        </w:rPr>
        <w:t>AT v Secretary of State for Work and Pensions</w:t>
      </w:r>
      <w:r w:rsidRPr="00CC5F12">
        <w:rPr>
          <w:rFonts w:ascii="Verdana" w:hAnsi="Verdana"/>
          <w:color w:val="77328A"/>
          <w:sz w:val="16"/>
          <w:szCs w:val="16"/>
        </w:rPr>
        <w:t xml:space="preserve"> [</w:t>
      </w:r>
      <w:r w:rsidR="002D459C" w:rsidRPr="00CC5F12">
        <w:rPr>
          <w:rFonts w:ascii="Verdana" w:hAnsi="Verdana"/>
          <w:color w:val="77328A"/>
          <w:sz w:val="16"/>
          <w:szCs w:val="16"/>
        </w:rPr>
        <w:t>2023] ECWA</w:t>
      </w:r>
      <w:r w:rsidRPr="00CC5F12">
        <w:rPr>
          <w:rFonts w:ascii="Verdana" w:hAnsi="Verdana"/>
          <w:color w:val="77328A"/>
          <w:sz w:val="16"/>
          <w:szCs w:val="16"/>
        </w:rPr>
        <w:t xml:space="preserve"> </w:t>
      </w:r>
      <w:proofErr w:type="spellStart"/>
      <w:r w:rsidRPr="00CC5F12">
        <w:rPr>
          <w:rFonts w:ascii="Verdana" w:hAnsi="Verdana"/>
          <w:color w:val="77328A"/>
          <w:sz w:val="16"/>
          <w:szCs w:val="16"/>
        </w:rPr>
        <w:t>Civ</w:t>
      </w:r>
      <w:proofErr w:type="spellEnd"/>
      <w:r w:rsidRPr="00CC5F12">
        <w:rPr>
          <w:rFonts w:ascii="Verdana" w:hAnsi="Verdana"/>
          <w:color w:val="77328A"/>
          <w:sz w:val="16"/>
          <w:szCs w:val="16"/>
        </w:rPr>
        <w:t xml:space="preserve"> 1307.</w:t>
      </w:r>
    </w:p>
  </w:footnote>
  <w:footnote w:id="58">
    <w:p w14:paraId="7827A674" w14:textId="77777777" w:rsidR="000054DC" w:rsidRPr="00CC5F12" w:rsidRDefault="000054DC" w:rsidP="00CC5F12">
      <w:pPr>
        <w:pStyle w:val="FootnoteText"/>
        <w:rPr>
          <w:rFonts w:ascii="Verdana" w:hAnsi="Verdana" w:cstheme="minorHAnsi"/>
          <w:color w:val="77328A"/>
          <w:sz w:val="16"/>
          <w:szCs w:val="16"/>
        </w:rPr>
      </w:pPr>
      <w:r w:rsidRPr="00CC5F12">
        <w:rPr>
          <w:rStyle w:val="FootnoteReference"/>
          <w:rFonts w:ascii="Verdana" w:hAnsi="Verdana" w:cstheme="minorHAnsi"/>
          <w:color w:val="77328A"/>
          <w:sz w:val="16"/>
          <w:szCs w:val="16"/>
        </w:rPr>
        <w:footnoteRef/>
      </w:r>
      <w:r w:rsidRPr="00CC5F12">
        <w:rPr>
          <w:rFonts w:ascii="Verdana" w:hAnsi="Verdana" w:cstheme="minorHAnsi"/>
          <w:color w:val="77328A"/>
          <w:sz w:val="16"/>
          <w:szCs w:val="16"/>
        </w:rPr>
        <w:t xml:space="preserve"> Section 5, </w:t>
      </w:r>
      <w:hyperlink r:id="rId11" w:history="1">
        <w:r w:rsidRPr="00CC5F12">
          <w:rPr>
            <w:rStyle w:val="Hyperlink"/>
            <w:rFonts w:ascii="Verdana" w:hAnsi="Verdana" w:cstheme="minorHAnsi"/>
            <w:color w:val="77328A"/>
            <w:sz w:val="16"/>
            <w:szCs w:val="16"/>
            <w:u w:val="none"/>
          </w:rPr>
          <w:t>EU (Withdrawal) Act 2018</w:t>
        </w:r>
      </w:hyperlink>
      <w:r w:rsidRPr="00CC5F12">
        <w:rPr>
          <w:rFonts w:ascii="Verdana" w:hAnsi="Verdana" w:cstheme="minorHAnsi"/>
          <w:color w:val="77328A"/>
          <w:sz w:val="16"/>
          <w:szCs w:val="16"/>
        </w:rPr>
        <w:t xml:space="preserve">.  See </w:t>
      </w:r>
      <w:hyperlink r:id="rId12" w:history="1">
        <w:r w:rsidRPr="00CC5F12">
          <w:rPr>
            <w:rStyle w:val="Hyperlink"/>
            <w:rFonts w:ascii="Verdana" w:hAnsi="Verdana" w:cstheme="minorHAnsi"/>
            <w:i/>
            <w:iCs/>
            <w:color w:val="77328A"/>
            <w:sz w:val="16"/>
            <w:szCs w:val="16"/>
            <w:u w:val="none"/>
          </w:rPr>
          <w:t xml:space="preserve">Re SPUC Pro-Life Limited </w:t>
        </w:r>
        <w:r w:rsidRPr="00CC5F12">
          <w:rPr>
            <w:rStyle w:val="Hyperlink"/>
            <w:rFonts w:ascii="Verdana" w:hAnsi="Verdana" w:cstheme="minorHAnsi"/>
            <w:color w:val="77328A"/>
            <w:sz w:val="16"/>
            <w:szCs w:val="16"/>
            <w:u w:val="none"/>
          </w:rPr>
          <w:t>[2022] NIQB 9</w:t>
        </w:r>
      </w:hyperlink>
      <w:r w:rsidRPr="00CC5F12">
        <w:rPr>
          <w:rFonts w:ascii="Verdana" w:hAnsi="Verdana" w:cstheme="minorHAnsi"/>
          <w:color w:val="77328A"/>
          <w:sz w:val="16"/>
          <w:szCs w:val="16"/>
        </w:rPr>
        <w:t>, at paras 78 and 115.</w:t>
      </w:r>
    </w:p>
  </w:footnote>
  <w:footnote w:id="59">
    <w:p w14:paraId="3C3BDCE2" w14:textId="168D3EA7" w:rsidR="00DB6ED7" w:rsidRPr="00CC5F12" w:rsidRDefault="00DB6ED7"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Tobias Lock, Eleni Frantziou and Anurag Deb, ‘the Interaction between the EU Charter of Fundamental Rights and the general principles of EU law with the Windsor Framework’ (NIHRC, </w:t>
      </w:r>
      <w:r w:rsidR="00200AA0" w:rsidRPr="00CC5F12">
        <w:rPr>
          <w:rFonts w:ascii="Verdana" w:hAnsi="Verdana"/>
          <w:color w:val="77328A"/>
          <w:sz w:val="16"/>
          <w:szCs w:val="16"/>
        </w:rPr>
        <w:t>2024</w:t>
      </w:r>
      <w:r w:rsidRPr="00CC5F12">
        <w:rPr>
          <w:rFonts w:ascii="Verdana" w:hAnsi="Verdana"/>
          <w:color w:val="77328A"/>
          <w:sz w:val="16"/>
          <w:szCs w:val="16"/>
        </w:rPr>
        <w:t>).</w:t>
      </w:r>
    </w:p>
  </w:footnote>
  <w:footnote w:id="60">
    <w:p w14:paraId="5F6C3657" w14:textId="3D8A2733" w:rsidR="00602BEA" w:rsidRPr="00CC5F12" w:rsidRDefault="00602BEA"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w:t>
      </w:r>
      <w:r w:rsidR="00336417" w:rsidRPr="00CC5F12">
        <w:rPr>
          <w:rFonts w:ascii="Verdana" w:hAnsi="Verdana"/>
          <w:color w:val="77328A"/>
          <w:sz w:val="16"/>
          <w:szCs w:val="16"/>
        </w:rPr>
        <w:t xml:space="preserve">Herbert Hofmann ‘D. Specific Provisions’ in </w:t>
      </w:r>
      <w:r w:rsidRPr="00CC5F12">
        <w:rPr>
          <w:rFonts w:ascii="Verdana" w:hAnsi="Verdana"/>
          <w:color w:val="77328A"/>
          <w:sz w:val="16"/>
          <w:szCs w:val="16"/>
        </w:rPr>
        <w:t xml:space="preserve">Steve Peers, Tamara Hervey, Jeff </w:t>
      </w:r>
      <w:proofErr w:type="gramStart"/>
      <w:r w:rsidRPr="00CC5F12">
        <w:rPr>
          <w:rFonts w:ascii="Verdana" w:hAnsi="Verdana"/>
          <w:color w:val="77328A"/>
          <w:sz w:val="16"/>
          <w:szCs w:val="16"/>
        </w:rPr>
        <w:t>Kenner</w:t>
      </w:r>
      <w:proofErr w:type="gramEnd"/>
      <w:r w:rsidRPr="00CC5F12">
        <w:rPr>
          <w:rFonts w:ascii="Verdana" w:hAnsi="Verdana"/>
          <w:color w:val="77328A"/>
          <w:sz w:val="16"/>
          <w:szCs w:val="16"/>
        </w:rPr>
        <w:t xml:space="preserve"> and Angela Ward ‘The EU Charter of Fundamental Rights, A Commentary</w:t>
      </w:r>
      <w:r w:rsidR="00336417" w:rsidRPr="00CC5F12">
        <w:rPr>
          <w:rFonts w:ascii="Verdana" w:hAnsi="Verdana"/>
          <w:color w:val="77328A"/>
          <w:sz w:val="16"/>
          <w:szCs w:val="16"/>
        </w:rPr>
        <w:t>’</w:t>
      </w:r>
      <w:r w:rsidRPr="00CC5F12">
        <w:rPr>
          <w:rFonts w:ascii="Verdana" w:hAnsi="Verdana"/>
          <w:color w:val="77328A"/>
          <w:sz w:val="16"/>
          <w:szCs w:val="16"/>
        </w:rPr>
        <w:t xml:space="preserve"> (Hart, 2</w:t>
      </w:r>
      <w:r w:rsidRPr="00CC5F12">
        <w:rPr>
          <w:rFonts w:ascii="Verdana" w:hAnsi="Verdana"/>
          <w:color w:val="77328A"/>
          <w:sz w:val="16"/>
          <w:szCs w:val="16"/>
          <w:vertAlign w:val="superscript"/>
        </w:rPr>
        <w:t>nd</w:t>
      </w:r>
      <w:r w:rsidRPr="00CC5F12">
        <w:rPr>
          <w:rFonts w:ascii="Verdana" w:hAnsi="Verdana"/>
          <w:color w:val="77328A"/>
          <w:sz w:val="16"/>
          <w:szCs w:val="16"/>
        </w:rPr>
        <w:t xml:space="preserve"> Ed, 2021) at </w:t>
      </w:r>
      <w:r w:rsidR="00336417" w:rsidRPr="00CC5F12">
        <w:rPr>
          <w:rFonts w:ascii="Verdana" w:hAnsi="Verdana"/>
          <w:color w:val="77328A"/>
          <w:sz w:val="16"/>
          <w:szCs w:val="16"/>
        </w:rPr>
        <w:t>para 47.65</w:t>
      </w:r>
      <w:r w:rsidRPr="00CC5F12">
        <w:rPr>
          <w:rFonts w:ascii="Verdana" w:hAnsi="Verdana"/>
          <w:color w:val="77328A"/>
          <w:sz w:val="16"/>
          <w:szCs w:val="16"/>
        </w:rPr>
        <w:t xml:space="preserve">, citing </w:t>
      </w:r>
      <w:r w:rsidRPr="00CC5F12">
        <w:rPr>
          <w:rFonts w:ascii="Verdana" w:hAnsi="Verdana"/>
          <w:i/>
          <w:iCs/>
          <w:color w:val="77328A"/>
          <w:sz w:val="16"/>
          <w:szCs w:val="16"/>
        </w:rPr>
        <w:t xml:space="preserve">État </w:t>
      </w:r>
      <w:proofErr w:type="spellStart"/>
      <w:r w:rsidRPr="00CC5F12">
        <w:rPr>
          <w:rFonts w:ascii="Verdana" w:hAnsi="Verdana"/>
          <w:i/>
          <w:iCs/>
          <w:color w:val="77328A"/>
          <w:sz w:val="16"/>
          <w:szCs w:val="16"/>
        </w:rPr>
        <w:t>Luxenbourgeois</w:t>
      </w:r>
      <w:proofErr w:type="spellEnd"/>
      <w:r w:rsidRPr="00CC5F12">
        <w:rPr>
          <w:rFonts w:ascii="Verdana" w:hAnsi="Verdana"/>
          <w:i/>
          <w:iCs/>
          <w:color w:val="77328A"/>
          <w:sz w:val="16"/>
          <w:szCs w:val="16"/>
        </w:rPr>
        <w:t xml:space="preserve"> v B and Others</w:t>
      </w:r>
      <w:r w:rsidRPr="00CC5F12">
        <w:rPr>
          <w:rFonts w:ascii="Verdana" w:hAnsi="Verdana"/>
          <w:color w:val="77328A"/>
          <w:sz w:val="16"/>
          <w:szCs w:val="16"/>
        </w:rPr>
        <w:t>, joined cases C-245/19 and C-246/19</w:t>
      </w:r>
      <w:r w:rsidR="00AB666C" w:rsidRPr="00CC5F12">
        <w:rPr>
          <w:rFonts w:ascii="Verdana" w:hAnsi="Verdana"/>
          <w:color w:val="77328A"/>
          <w:sz w:val="16"/>
          <w:szCs w:val="16"/>
        </w:rPr>
        <w:t>, 6 October 2020, at para 5</w:t>
      </w:r>
      <w:r w:rsidRPr="00CC5F12">
        <w:rPr>
          <w:rFonts w:ascii="Verdana" w:hAnsi="Verdana"/>
          <w:color w:val="77328A"/>
          <w:sz w:val="16"/>
          <w:szCs w:val="16"/>
        </w:rPr>
        <w:t>4.</w:t>
      </w:r>
    </w:p>
  </w:footnote>
  <w:footnote w:id="61">
    <w:p w14:paraId="7C45E7B4" w14:textId="77777777" w:rsidR="002575FB" w:rsidRPr="00CC5F12" w:rsidRDefault="002575FB"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Sarah Craig, Anurag Deb, Eleni Frantziou, Alexander Horne, Colin Murray, Clare </w:t>
      </w:r>
      <w:proofErr w:type="gramStart"/>
      <w:r w:rsidRPr="00CC5F12">
        <w:rPr>
          <w:rFonts w:ascii="Verdana" w:hAnsi="Verdana"/>
          <w:color w:val="77328A"/>
          <w:sz w:val="16"/>
          <w:szCs w:val="16"/>
        </w:rPr>
        <w:t>Rice</w:t>
      </w:r>
      <w:proofErr w:type="gramEnd"/>
      <w:r w:rsidRPr="00CC5F12">
        <w:rPr>
          <w:rFonts w:ascii="Verdana" w:hAnsi="Verdana"/>
          <w:color w:val="77328A"/>
          <w:sz w:val="16"/>
          <w:szCs w:val="16"/>
        </w:rPr>
        <w:t xml:space="preserve"> and Jane Rooney, ‘EU Developments in Equality and Human Rights: The Impact of Brexit on the Divergence of Rights and Best Practice on the Island of Ireland’ (ECNI, NIHRC and IHREC, 2022), at 87. </w:t>
      </w:r>
    </w:p>
  </w:footnote>
  <w:footnote w:id="62">
    <w:p w14:paraId="1729164E" w14:textId="41E3F7BE" w:rsidR="003F1335" w:rsidRPr="00CC5F12" w:rsidRDefault="003F1335"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Paul Craig and Gráinne de </w:t>
      </w:r>
      <w:proofErr w:type="spellStart"/>
      <w:r w:rsidRPr="00CC5F12">
        <w:rPr>
          <w:rFonts w:ascii="Verdana" w:hAnsi="Verdana"/>
          <w:color w:val="77328A"/>
          <w:sz w:val="16"/>
          <w:szCs w:val="16"/>
        </w:rPr>
        <w:t>Búrca</w:t>
      </w:r>
      <w:proofErr w:type="spellEnd"/>
      <w:r w:rsidRPr="00CC5F12">
        <w:rPr>
          <w:rFonts w:ascii="Verdana" w:hAnsi="Verdana"/>
          <w:color w:val="77328A"/>
          <w:sz w:val="16"/>
          <w:szCs w:val="16"/>
        </w:rPr>
        <w:t>, ‘EU Law – Text, Cases and Materials (7</w:t>
      </w:r>
      <w:r w:rsidRPr="00CC5F12">
        <w:rPr>
          <w:rFonts w:ascii="Verdana" w:hAnsi="Verdana"/>
          <w:color w:val="77328A"/>
          <w:sz w:val="16"/>
          <w:szCs w:val="16"/>
          <w:vertAlign w:val="superscript"/>
        </w:rPr>
        <w:t>th</w:t>
      </w:r>
      <w:r w:rsidRPr="00CC5F12">
        <w:rPr>
          <w:rFonts w:ascii="Verdana" w:hAnsi="Verdana"/>
          <w:color w:val="77328A"/>
          <w:sz w:val="16"/>
          <w:szCs w:val="16"/>
        </w:rPr>
        <w:t>Ed)’ (UK Version) (2020, OUP), at 272</w:t>
      </w:r>
      <w:r w:rsidR="008527A1" w:rsidRPr="00CC5F12">
        <w:rPr>
          <w:rFonts w:ascii="Verdana" w:hAnsi="Verdana"/>
          <w:color w:val="77328A"/>
          <w:sz w:val="16"/>
          <w:szCs w:val="16"/>
        </w:rPr>
        <w:t>.</w:t>
      </w:r>
    </w:p>
  </w:footnote>
  <w:footnote w:id="63">
    <w:p w14:paraId="138757F9" w14:textId="43263F2A" w:rsidR="000054DC" w:rsidRPr="00CC5F12" w:rsidRDefault="000054DC"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w:t>
      </w:r>
      <w:r w:rsidR="00785C97" w:rsidRPr="00CC5F12">
        <w:rPr>
          <w:rFonts w:ascii="Verdana" w:hAnsi="Verdana"/>
          <w:color w:val="77328A"/>
          <w:sz w:val="16"/>
          <w:szCs w:val="16"/>
        </w:rPr>
        <w:t xml:space="preserve">Sabine </w:t>
      </w:r>
      <w:r w:rsidRPr="00CC5F12">
        <w:rPr>
          <w:rFonts w:ascii="Verdana" w:hAnsi="Verdana"/>
          <w:i/>
          <w:iCs/>
          <w:color w:val="77328A"/>
          <w:sz w:val="16"/>
          <w:szCs w:val="16"/>
        </w:rPr>
        <w:t>V</w:t>
      </w:r>
      <w:r w:rsidR="00785C97" w:rsidRPr="00CC5F12">
        <w:rPr>
          <w:rFonts w:ascii="Verdana" w:hAnsi="Verdana"/>
          <w:i/>
          <w:iCs/>
          <w:color w:val="77328A"/>
          <w:sz w:val="16"/>
          <w:szCs w:val="16"/>
        </w:rPr>
        <w:t>o</w:t>
      </w:r>
      <w:r w:rsidRPr="00CC5F12">
        <w:rPr>
          <w:rFonts w:ascii="Verdana" w:hAnsi="Verdana"/>
          <w:i/>
          <w:iCs/>
          <w:color w:val="77328A"/>
          <w:sz w:val="16"/>
          <w:szCs w:val="16"/>
        </w:rPr>
        <w:t>n Coulson</w:t>
      </w:r>
      <w:r w:rsidR="00785C97" w:rsidRPr="00CC5F12">
        <w:rPr>
          <w:rFonts w:ascii="Verdana" w:hAnsi="Verdana"/>
          <w:i/>
          <w:iCs/>
          <w:color w:val="77328A"/>
          <w:sz w:val="16"/>
          <w:szCs w:val="16"/>
        </w:rPr>
        <w:t xml:space="preserve"> and Elizabeth Kamann v Land </w:t>
      </w:r>
      <w:proofErr w:type="spellStart"/>
      <w:r w:rsidR="00785C97" w:rsidRPr="00CC5F12">
        <w:rPr>
          <w:rFonts w:ascii="Verdana" w:hAnsi="Verdana"/>
          <w:i/>
          <w:iCs/>
          <w:color w:val="77328A"/>
          <w:sz w:val="16"/>
          <w:szCs w:val="16"/>
        </w:rPr>
        <w:t>Nordrhein</w:t>
      </w:r>
      <w:proofErr w:type="spellEnd"/>
      <w:r w:rsidR="00785C97" w:rsidRPr="00CC5F12">
        <w:rPr>
          <w:rFonts w:ascii="Verdana" w:hAnsi="Verdana"/>
          <w:i/>
          <w:iCs/>
          <w:color w:val="77328A"/>
          <w:sz w:val="16"/>
          <w:szCs w:val="16"/>
        </w:rPr>
        <w:t xml:space="preserve"> Westfalen</w:t>
      </w:r>
      <w:r w:rsidRPr="00CC5F12">
        <w:rPr>
          <w:rFonts w:ascii="Verdana" w:hAnsi="Verdana"/>
          <w:color w:val="77328A"/>
          <w:sz w:val="16"/>
          <w:szCs w:val="16"/>
        </w:rPr>
        <w:t xml:space="preserve">, </w:t>
      </w:r>
      <w:r w:rsidR="00785C97" w:rsidRPr="00CC5F12">
        <w:rPr>
          <w:rFonts w:ascii="Verdana" w:hAnsi="Verdana"/>
          <w:color w:val="77328A"/>
          <w:sz w:val="16"/>
          <w:szCs w:val="16"/>
        </w:rPr>
        <w:t>Case C-14/83, 10 April 1984,</w:t>
      </w:r>
      <w:r w:rsidRPr="00CC5F12">
        <w:rPr>
          <w:rFonts w:ascii="Verdana" w:hAnsi="Verdana"/>
          <w:color w:val="77328A"/>
          <w:sz w:val="16"/>
          <w:szCs w:val="16"/>
        </w:rPr>
        <w:t xml:space="preserve"> </w:t>
      </w:r>
      <w:r w:rsidR="00785C97" w:rsidRPr="00CC5F12">
        <w:rPr>
          <w:rFonts w:ascii="Verdana" w:hAnsi="Verdana"/>
          <w:color w:val="77328A"/>
          <w:sz w:val="16"/>
          <w:szCs w:val="16"/>
        </w:rPr>
        <w:t>at para 23</w:t>
      </w:r>
      <w:r w:rsidRPr="00CC5F12">
        <w:rPr>
          <w:rFonts w:ascii="Verdana" w:hAnsi="Verdana"/>
          <w:color w:val="77328A"/>
          <w:sz w:val="16"/>
          <w:szCs w:val="16"/>
        </w:rPr>
        <w:t>.</w:t>
      </w:r>
    </w:p>
  </w:footnote>
  <w:footnote w:id="64">
    <w:p w14:paraId="4A469CD6" w14:textId="050910BE" w:rsidR="000054DC" w:rsidRPr="00CC5F12" w:rsidRDefault="000054DC"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w:t>
      </w:r>
      <w:proofErr w:type="spellStart"/>
      <w:proofErr w:type="gramStart"/>
      <w:r w:rsidRPr="00CC5F12">
        <w:rPr>
          <w:rFonts w:ascii="Verdana" w:hAnsi="Verdana"/>
          <w:i/>
          <w:iCs/>
          <w:color w:val="77328A"/>
          <w:sz w:val="16"/>
          <w:szCs w:val="16"/>
        </w:rPr>
        <w:t>E</w:t>
      </w:r>
      <w:r w:rsidR="00785C97" w:rsidRPr="00CC5F12">
        <w:rPr>
          <w:rFonts w:ascii="Verdana" w:hAnsi="Verdana"/>
          <w:i/>
          <w:iCs/>
          <w:color w:val="77328A"/>
          <w:sz w:val="16"/>
          <w:szCs w:val="16"/>
        </w:rPr>
        <w:t>.On</w:t>
      </w:r>
      <w:proofErr w:type="spellEnd"/>
      <w:proofErr w:type="gramEnd"/>
      <w:r w:rsidR="00785C97" w:rsidRPr="00CC5F12">
        <w:rPr>
          <w:rFonts w:ascii="Verdana" w:hAnsi="Verdana"/>
          <w:i/>
          <w:iCs/>
          <w:color w:val="77328A"/>
          <w:sz w:val="16"/>
          <w:szCs w:val="16"/>
        </w:rPr>
        <w:t xml:space="preserve"> </w:t>
      </w:r>
      <w:proofErr w:type="spellStart"/>
      <w:r w:rsidRPr="00CC5F12">
        <w:rPr>
          <w:rFonts w:ascii="Verdana" w:hAnsi="Verdana"/>
          <w:i/>
          <w:iCs/>
          <w:color w:val="77328A"/>
          <w:sz w:val="16"/>
          <w:szCs w:val="16"/>
        </w:rPr>
        <w:t>F</w:t>
      </w:r>
      <w:r w:rsidR="00785C97" w:rsidRPr="00CC5F12">
        <w:rPr>
          <w:rFonts w:ascii="Verdana" w:hAnsi="Verdana"/>
          <w:i/>
          <w:iCs/>
          <w:color w:val="77328A"/>
          <w:sz w:val="16"/>
          <w:szCs w:val="16"/>
        </w:rPr>
        <w:t>ö</w:t>
      </w:r>
      <w:r w:rsidRPr="00CC5F12">
        <w:rPr>
          <w:rFonts w:ascii="Verdana" w:hAnsi="Verdana"/>
          <w:i/>
          <w:iCs/>
          <w:color w:val="77328A"/>
          <w:sz w:val="16"/>
          <w:szCs w:val="16"/>
        </w:rPr>
        <w:t>l</w:t>
      </w:r>
      <w:r w:rsidR="00785C97" w:rsidRPr="00CC5F12">
        <w:rPr>
          <w:rFonts w:ascii="Verdana" w:hAnsi="Verdana"/>
          <w:i/>
          <w:iCs/>
          <w:color w:val="77328A"/>
          <w:sz w:val="16"/>
          <w:szCs w:val="16"/>
        </w:rPr>
        <w:t>d</w:t>
      </w:r>
      <w:r w:rsidRPr="00CC5F12">
        <w:rPr>
          <w:rFonts w:ascii="Verdana" w:hAnsi="Verdana"/>
          <w:i/>
          <w:iCs/>
          <w:color w:val="77328A"/>
          <w:sz w:val="16"/>
          <w:szCs w:val="16"/>
        </w:rPr>
        <w:t>gaz</w:t>
      </w:r>
      <w:proofErr w:type="spellEnd"/>
      <w:r w:rsidR="00785C97" w:rsidRPr="00CC5F12">
        <w:rPr>
          <w:rFonts w:ascii="Verdana" w:hAnsi="Verdana"/>
          <w:i/>
          <w:iCs/>
          <w:color w:val="77328A"/>
          <w:sz w:val="16"/>
          <w:szCs w:val="16"/>
        </w:rPr>
        <w:t xml:space="preserve"> Trade </w:t>
      </w:r>
      <w:proofErr w:type="spellStart"/>
      <w:r w:rsidR="00785C97" w:rsidRPr="00CC5F12">
        <w:rPr>
          <w:rFonts w:ascii="Verdana" w:hAnsi="Verdana"/>
          <w:i/>
          <w:iCs/>
          <w:color w:val="77328A"/>
          <w:sz w:val="16"/>
          <w:szCs w:val="16"/>
        </w:rPr>
        <w:t>Zrt</w:t>
      </w:r>
      <w:proofErr w:type="spellEnd"/>
      <w:r w:rsidR="00785C97" w:rsidRPr="00CC5F12">
        <w:rPr>
          <w:rFonts w:ascii="Verdana" w:hAnsi="Verdana"/>
          <w:i/>
          <w:iCs/>
          <w:color w:val="77328A"/>
          <w:sz w:val="16"/>
          <w:szCs w:val="16"/>
        </w:rPr>
        <w:t xml:space="preserve"> v Magyar </w:t>
      </w:r>
      <w:proofErr w:type="spellStart"/>
      <w:r w:rsidR="00785C97" w:rsidRPr="00CC5F12">
        <w:rPr>
          <w:rFonts w:ascii="Verdana" w:hAnsi="Verdana"/>
          <w:i/>
          <w:iCs/>
          <w:color w:val="77328A"/>
          <w:sz w:val="16"/>
          <w:szCs w:val="16"/>
        </w:rPr>
        <w:t>Energetikai</w:t>
      </w:r>
      <w:proofErr w:type="spellEnd"/>
      <w:r w:rsidR="00785C97" w:rsidRPr="00CC5F12">
        <w:rPr>
          <w:rFonts w:ascii="Verdana" w:hAnsi="Verdana"/>
          <w:i/>
          <w:iCs/>
          <w:color w:val="77328A"/>
          <w:sz w:val="16"/>
          <w:szCs w:val="16"/>
        </w:rPr>
        <w:t xml:space="preserve"> </w:t>
      </w:r>
      <w:proofErr w:type="spellStart"/>
      <w:r w:rsidR="00785C97" w:rsidRPr="00CC5F12">
        <w:rPr>
          <w:rFonts w:ascii="Verdana" w:hAnsi="Verdana"/>
          <w:i/>
          <w:iCs/>
          <w:color w:val="77328A"/>
          <w:sz w:val="16"/>
          <w:szCs w:val="16"/>
        </w:rPr>
        <w:t>és</w:t>
      </w:r>
      <w:proofErr w:type="spellEnd"/>
      <w:r w:rsidR="00785C97" w:rsidRPr="00CC5F12">
        <w:rPr>
          <w:rFonts w:ascii="Verdana" w:hAnsi="Verdana"/>
          <w:i/>
          <w:iCs/>
          <w:color w:val="77328A"/>
          <w:sz w:val="16"/>
          <w:szCs w:val="16"/>
        </w:rPr>
        <w:t xml:space="preserve"> </w:t>
      </w:r>
      <w:proofErr w:type="spellStart"/>
      <w:r w:rsidR="00785C97" w:rsidRPr="00CC5F12">
        <w:rPr>
          <w:rFonts w:ascii="Verdana" w:hAnsi="Verdana"/>
          <w:i/>
          <w:iCs/>
          <w:color w:val="77328A"/>
          <w:sz w:val="16"/>
          <w:szCs w:val="16"/>
        </w:rPr>
        <w:t>Közmű-szabályozási</w:t>
      </w:r>
      <w:proofErr w:type="spellEnd"/>
      <w:r w:rsidR="00785C97" w:rsidRPr="00CC5F12">
        <w:rPr>
          <w:rFonts w:ascii="Verdana" w:hAnsi="Verdana"/>
          <w:i/>
          <w:iCs/>
          <w:color w:val="77328A"/>
          <w:sz w:val="16"/>
          <w:szCs w:val="16"/>
        </w:rPr>
        <w:t xml:space="preserve"> Hivatal</w:t>
      </w:r>
      <w:r w:rsidRPr="00CC5F12">
        <w:rPr>
          <w:rFonts w:ascii="Verdana" w:hAnsi="Verdana"/>
          <w:color w:val="77328A"/>
          <w:sz w:val="16"/>
          <w:szCs w:val="16"/>
        </w:rPr>
        <w:t xml:space="preserve">, </w:t>
      </w:r>
      <w:r w:rsidR="00785C97" w:rsidRPr="00CC5F12">
        <w:rPr>
          <w:rFonts w:ascii="Verdana" w:hAnsi="Verdana"/>
          <w:color w:val="77328A"/>
          <w:sz w:val="16"/>
          <w:szCs w:val="16"/>
        </w:rPr>
        <w:t xml:space="preserve">Case </w:t>
      </w:r>
      <w:r w:rsidRPr="00CC5F12">
        <w:rPr>
          <w:rFonts w:ascii="Verdana" w:hAnsi="Verdana"/>
          <w:color w:val="77328A"/>
          <w:sz w:val="16"/>
          <w:szCs w:val="16"/>
        </w:rPr>
        <w:t>C-510/13</w:t>
      </w:r>
      <w:r w:rsidR="00785C97" w:rsidRPr="00CC5F12">
        <w:rPr>
          <w:rFonts w:ascii="Verdana" w:hAnsi="Verdana"/>
          <w:color w:val="77328A"/>
          <w:sz w:val="16"/>
          <w:szCs w:val="16"/>
        </w:rPr>
        <w:t xml:space="preserve">, 19 March 2015, at paras </w:t>
      </w:r>
      <w:r w:rsidRPr="00CC5F12">
        <w:rPr>
          <w:rFonts w:ascii="Verdana" w:hAnsi="Verdana"/>
          <w:color w:val="77328A"/>
          <w:sz w:val="16"/>
          <w:szCs w:val="16"/>
        </w:rPr>
        <w:t>47-50.</w:t>
      </w:r>
    </w:p>
  </w:footnote>
  <w:footnote w:id="65">
    <w:p w14:paraId="11FB8C1F" w14:textId="08DD94D0" w:rsidR="000054DC" w:rsidRPr="00CC5F12" w:rsidRDefault="000054DC"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w:t>
      </w:r>
      <w:r w:rsidR="00785C97" w:rsidRPr="00CC5F12">
        <w:rPr>
          <w:rFonts w:ascii="Verdana" w:hAnsi="Verdana"/>
          <w:i/>
          <w:iCs/>
          <w:color w:val="77328A"/>
          <w:sz w:val="16"/>
          <w:szCs w:val="16"/>
        </w:rPr>
        <w:t xml:space="preserve">R v Secretary of State for Transport, ex </w:t>
      </w:r>
      <w:proofErr w:type="spellStart"/>
      <w:r w:rsidR="00785C97" w:rsidRPr="00CC5F12">
        <w:rPr>
          <w:rFonts w:ascii="Verdana" w:hAnsi="Verdana"/>
          <w:i/>
          <w:iCs/>
          <w:color w:val="77328A"/>
          <w:sz w:val="16"/>
          <w:szCs w:val="16"/>
        </w:rPr>
        <w:t>parte</w:t>
      </w:r>
      <w:proofErr w:type="spellEnd"/>
      <w:r w:rsidR="00785C97" w:rsidRPr="00CC5F12">
        <w:rPr>
          <w:rFonts w:ascii="Verdana" w:hAnsi="Verdana"/>
          <w:i/>
          <w:iCs/>
          <w:color w:val="77328A"/>
          <w:sz w:val="16"/>
          <w:szCs w:val="16"/>
        </w:rPr>
        <w:t xml:space="preserve"> Factortame Ltd</w:t>
      </w:r>
      <w:r w:rsidRPr="00CC5F12">
        <w:rPr>
          <w:rFonts w:ascii="Verdana" w:hAnsi="Verdana"/>
          <w:color w:val="77328A"/>
          <w:sz w:val="16"/>
          <w:szCs w:val="16"/>
        </w:rPr>
        <w:t xml:space="preserve">, </w:t>
      </w:r>
      <w:r w:rsidR="00785C97" w:rsidRPr="00CC5F12">
        <w:rPr>
          <w:rFonts w:ascii="Verdana" w:hAnsi="Verdana"/>
          <w:color w:val="77328A"/>
          <w:sz w:val="16"/>
          <w:szCs w:val="16"/>
        </w:rPr>
        <w:t xml:space="preserve">Case </w:t>
      </w:r>
      <w:r w:rsidRPr="00CC5F12">
        <w:rPr>
          <w:rFonts w:ascii="Verdana" w:hAnsi="Verdana"/>
          <w:color w:val="77328A"/>
          <w:sz w:val="16"/>
          <w:szCs w:val="16"/>
        </w:rPr>
        <w:t>C-213/89</w:t>
      </w:r>
      <w:r w:rsidR="00785C97" w:rsidRPr="00CC5F12">
        <w:rPr>
          <w:rFonts w:ascii="Verdana" w:hAnsi="Verdana"/>
          <w:color w:val="77328A"/>
          <w:sz w:val="16"/>
          <w:szCs w:val="16"/>
        </w:rPr>
        <w:t>, 19 June 1990 at paras 19-20.</w:t>
      </w:r>
    </w:p>
  </w:footnote>
  <w:footnote w:id="66">
    <w:p w14:paraId="7A3B3496" w14:textId="7635A565" w:rsidR="000054DC" w:rsidRPr="00CC5F12" w:rsidRDefault="000054DC"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w:t>
      </w:r>
      <w:proofErr w:type="spellStart"/>
      <w:r w:rsidRPr="00CC5F12">
        <w:rPr>
          <w:rFonts w:ascii="Verdana" w:hAnsi="Verdana"/>
          <w:i/>
          <w:iCs/>
          <w:color w:val="77328A"/>
          <w:sz w:val="16"/>
          <w:szCs w:val="16"/>
        </w:rPr>
        <w:t>WebMindLicenses</w:t>
      </w:r>
      <w:proofErr w:type="spellEnd"/>
      <w:r w:rsidR="00785C97" w:rsidRPr="00CC5F12">
        <w:rPr>
          <w:rFonts w:ascii="Verdana" w:hAnsi="Verdana"/>
          <w:i/>
          <w:iCs/>
          <w:color w:val="77328A"/>
          <w:sz w:val="16"/>
          <w:szCs w:val="16"/>
        </w:rPr>
        <w:t xml:space="preserve"> </w:t>
      </w:r>
      <w:proofErr w:type="spellStart"/>
      <w:r w:rsidR="00785C97" w:rsidRPr="00CC5F12">
        <w:rPr>
          <w:rFonts w:ascii="Verdana" w:hAnsi="Verdana"/>
          <w:i/>
          <w:iCs/>
          <w:color w:val="77328A"/>
          <w:sz w:val="16"/>
          <w:szCs w:val="16"/>
        </w:rPr>
        <w:t>kft</w:t>
      </w:r>
      <w:proofErr w:type="spellEnd"/>
      <w:r w:rsidR="00785C97" w:rsidRPr="00CC5F12">
        <w:rPr>
          <w:rFonts w:ascii="Verdana" w:hAnsi="Verdana"/>
          <w:i/>
          <w:iCs/>
          <w:color w:val="77328A"/>
          <w:sz w:val="16"/>
          <w:szCs w:val="16"/>
        </w:rPr>
        <w:t xml:space="preserve"> </w:t>
      </w:r>
      <w:r w:rsidR="00360E78" w:rsidRPr="00CC5F12">
        <w:rPr>
          <w:rFonts w:ascii="Verdana" w:hAnsi="Verdana"/>
          <w:i/>
          <w:iCs/>
          <w:color w:val="77328A"/>
          <w:sz w:val="16"/>
          <w:szCs w:val="16"/>
        </w:rPr>
        <w:t xml:space="preserve">v </w:t>
      </w:r>
      <w:proofErr w:type="spellStart"/>
      <w:r w:rsidR="00360E78" w:rsidRPr="00CC5F12">
        <w:rPr>
          <w:rFonts w:ascii="Verdana" w:hAnsi="Verdana"/>
          <w:i/>
          <w:iCs/>
          <w:color w:val="77328A"/>
          <w:sz w:val="16"/>
          <w:szCs w:val="16"/>
        </w:rPr>
        <w:t>v</w:t>
      </w:r>
      <w:proofErr w:type="spellEnd"/>
      <w:r w:rsidR="00360E78" w:rsidRPr="00CC5F12">
        <w:rPr>
          <w:rFonts w:ascii="Verdana" w:hAnsi="Verdana"/>
          <w:i/>
          <w:iCs/>
          <w:color w:val="77328A"/>
          <w:sz w:val="16"/>
          <w:szCs w:val="16"/>
        </w:rPr>
        <w:t xml:space="preserve"> </w:t>
      </w:r>
      <w:proofErr w:type="spellStart"/>
      <w:r w:rsidR="00360E78" w:rsidRPr="00CC5F12">
        <w:rPr>
          <w:rFonts w:ascii="Verdana" w:hAnsi="Verdana"/>
          <w:i/>
          <w:iCs/>
          <w:color w:val="77328A"/>
          <w:sz w:val="16"/>
          <w:szCs w:val="16"/>
        </w:rPr>
        <w:t>Nemzeti</w:t>
      </w:r>
      <w:proofErr w:type="spellEnd"/>
      <w:r w:rsidR="00360E78" w:rsidRPr="00CC5F12">
        <w:rPr>
          <w:rFonts w:ascii="Verdana" w:hAnsi="Verdana"/>
          <w:i/>
          <w:iCs/>
          <w:color w:val="77328A"/>
          <w:sz w:val="16"/>
          <w:szCs w:val="16"/>
        </w:rPr>
        <w:t xml:space="preserve"> </w:t>
      </w:r>
      <w:proofErr w:type="spellStart"/>
      <w:r w:rsidR="00360E78" w:rsidRPr="00CC5F12">
        <w:rPr>
          <w:rFonts w:ascii="Verdana" w:hAnsi="Verdana"/>
          <w:i/>
          <w:iCs/>
          <w:color w:val="77328A"/>
          <w:sz w:val="16"/>
          <w:szCs w:val="16"/>
        </w:rPr>
        <w:t>Adó</w:t>
      </w:r>
      <w:proofErr w:type="spellEnd"/>
      <w:r w:rsidR="00360E78" w:rsidRPr="00CC5F12">
        <w:rPr>
          <w:rFonts w:ascii="Verdana" w:hAnsi="Verdana"/>
          <w:i/>
          <w:iCs/>
          <w:color w:val="77328A"/>
          <w:sz w:val="16"/>
          <w:szCs w:val="16"/>
        </w:rPr>
        <w:t xml:space="preserve">- </w:t>
      </w:r>
      <w:proofErr w:type="spellStart"/>
      <w:r w:rsidR="00360E78" w:rsidRPr="00CC5F12">
        <w:rPr>
          <w:rFonts w:ascii="Verdana" w:hAnsi="Verdana"/>
          <w:i/>
          <w:iCs/>
          <w:color w:val="77328A"/>
          <w:sz w:val="16"/>
          <w:szCs w:val="16"/>
        </w:rPr>
        <w:t>és</w:t>
      </w:r>
      <w:proofErr w:type="spellEnd"/>
      <w:r w:rsidR="00360E78" w:rsidRPr="00CC5F12">
        <w:rPr>
          <w:rFonts w:ascii="Verdana" w:hAnsi="Verdana"/>
          <w:i/>
          <w:iCs/>
          <w:color w:val="77328A"/>
          <w:sz w:val="16"/>
          <w:szCs w:val="16"/>
        </w:rPr>
        <w:t xml:space="preserve"> </w:t>
      </w:r>
      <w:proofErr w:type="spellStart"/>
      <w:r w:rsidR="00360E78" w:rsidRPr="00CC5F12">
        <w:rPr>
          <w:rFonts w:ascii="Verdana" w:hAnsi="Verdana"/>
          <w:i/>
          <w:iCs/>
          <w:color w:val="77328A"/>
          <w:sz w:val="16"/>
          <w:szCs w:val="16"/>
        </w:rPr>
        <w:t>Vámhivatal</w:t>
      </w:r>
      <w:proofErr w:type="spellEnd"/>
      <w:r w:rsidR="00360E78" w:rsidRPr="00CC5F12">
        <w:rPr>
          <w:rFonts w:ascii="Verdana" w:hAnsi="Verdana"/>
          <w:i/>
          <w:iCs/>
          <w:color w:val="77328A"/>
          <w:sz w:val="16"/>
          <w:szCs w:val="16"/>
        </w:rPr>
        <w:t xml:space="preserve"> </w:t>
      </w:r>
      <w:proofErr w:type="spellStart"/>
      <w:r w:rsidR="00360E78" w:rsidRPr="00CC5F12">
        <w:rPr>
          <w:rFonts w:ascii="Verdana" w:hAnsi="Verdana"/>
          <w:i/>
          <w:iCs/>
          <w:color w:val="77328A"/>
          <w:sz w:val="16"/>
          <w:szCs w:val="16"/>
        </w:rPr>
        <w:t>Kiemelt</w:t>
      </w:r>
      <w:proofErr w:type="spellEnd"/>
      <w:r w:rsidR="00360E78" w:rsidRPr="00CC5F12">
        <w:rPr>
          <w:rFonts w:ascii="Verdana" w:hAnsi="Verdana"/>
          <w:i/>
          <w:iCs/>
          <w:color w:val="77328A"/>
          <w:sz w:val="16"/>
          <w:szCs w:val="16"/>
        </w:rPr>
        <w:t xml:space="preserve"> </w:t>
      </w:r>
      <w:proofErr w:type="spellStart"/>
      <w:r w:rsidR="00360E78" w:rsidRPr="00CC5F12">
        <w:rPr>
          <w:rFonts w:ascii="Verdana" w:hAnsi="Verdana"/>
          <w:i/>
          <w:iCs/>
          <w:color w:val="77328A"/>
          <w:sz w:val="16"/>
          <w:szCs w:val="16"/>
        </w:rPr>
        <w:t>Adó</w:t>
      </w:r>
      <w:proofErr w:type="spellEnd"/>
      <w:r w:rsidR="00360E78" w:rsidRPr="00CC5F12">
        <w:rPr>
          <w:rFonts w:ascii="Verdana" w:hAnsi="Verdana"/>
          <w:i/>
          <w:iCs/>
          <w:color w:val="77328A"/>
          <w:sz w:val="16"/>
          <w:szCs w:val="16"/>
        </w:rPr>
        <w:t xml:space="preserve">- </w:t>
      </w:r>
      <w:proofErr w:type="spellStart"/>
      <w:r w:rsidR="00360E78" w:rsidRPr="00CC5F12">
        <w:rPr>
          <w:rFonts w:ascii="Verdana" w:hAnsi="Verdana"/>
          <w:i/>
          <w:iCs/>
          <w:color w:val="77328A"/>
          <w:sz w:val="16"/>
          <w:szCs w:val="16"/>
        </w:rPr>
        <w:t>és</w:t>
      </w:r>
      <w:proofErr w:type="spellEnd"/>
      <w:r w:rsidR="00360E78" w:rsidRPr="00CC5F12">
        <w:rPr>
          <w:rFonts w:ascii="Verdana" w:hAnsi="Verdana"/>
          <w:i/>
          <w:iCs/>
          <w:color w:val="77328A"/>
          <w:sz w:val="16"/>
          <w:szCs w:val="16"/>
        </w:rPr>
        <w:t xml:space="preserve"> </w:t>
      </w:r>
      <w:proofErr w:type="spellStart"/>
      <w:r w:rsidR="00360E78" w:rsidRPr="00CC5F12">
        <w:rPr>
          <w:rFonts w:ascii="Verdana" w:hAnsi="Verdana"/>
          <w:i/>
          <w:iCs/>
          <w:color w:val="77328A"/>
          <w:sz w:val="16"/>
          <w:szCs w:val="16"/>
        </w:rPr>
        <w:t>Vám</w:t>
      </w:r>
      <w:proofErr w:type="spellEnd"/>
      <w:r w:rsidR="00360E78" w:rsidRPr="00CC5F12">
        <w:rPr>
          <w:rFonts w:ascii="Verdana" w:hAnsi="Verdana"/>
          <w:i/>
          <w:iCs/>
          <w:color w:val="77328A"/>
          <w:sz w:val="16"/>
          <w:szCs w:val="16"/>
        </w:rPr>
        <w:t xml:space="preserve"> </w:t>
      </w:r>
      <w:proofErr w:type="spellStart"/>
      <w:r w:rsidR="00360E78" w:rsidRPr="00CC5F12">
        <w:rPr>
          <w:rFonts w:ascii="Verdana" w:hAnsi="Verdana"/>
          <w:i/>
          <w:iCs/>
          <w:color w:val="77328A"/>
          <w:sz w:val="16"/>
          <w:szCs w:val="16"/>
        </w:rPr>
        <w:t>Főigazgatóság</w:t>
      </w:r>
      <w:proofErr w:type="spellEnd"/>
      <w:r w:rsidRPr="00CC5F12">
        <w:rPr>
          <w:rFonts w:ascii="Verdana" w:hAnsi="Verdana"/>
          <w:color w:val="77328A"/>
          <w:sz w:val="16"/>
          <w:szCs w:val="16"/>
        </w:rPr>
        <w:t xml:space="preserve">, </w:t>
      </w:r>
      <w:r w:rsidR="00360E78" w:rsidRPr="00CC5F12">
        <w:rPr>
          <w:rFonts w:ascii="Verdana" w:hAnsi="Verdana"/>
          <w:color w:val="77328A"/>
          <w:sz w:val="16"/>
          <w:szCs w:val="16"/>
        </w:rPr>
        <w:t xml:space="preserve">Case </w:t>
      </w:r>
      <w:r w:rsidRPr="00CC5F12">
        <w:rPr>
          <w:rFonts w:ascii="Verdana" w:hAnsi="Verdana"/>
          <w:color w:val="77328A"/>
          <w:sz w:val="16"/>
          <w:szCs w:val="16"/>
        </w:rPr>
        <w:t>C-419/14</w:t>
      </w:r>
      <w:r w:rsidR="00360E78" w:rsidRPr="00CC5F12">
        <w:rPr>
          <w:rFonts w:ascii="Verdana" w:hAnsi="Verdana"/>
          <w:color w:val="77328A"/>
          <w:sz w:val="16"/>
          <w:szCs w:val="16"/>
        </w:rPr>
        <w:t xml:space="preserve">, 17 December 2015 at paras </w:t>
      </w:r>
      <w:r w:rsidRPr="00CC5F12">
        <w:rPr>
          <w:rFonts w:ascii="Verdana" w:hAnsi="Verdana"/>
          <w:color w:val="77328A"/>
          <w:sz w:val="16"/>
          <w:szCs w:val="16"/>
        </w:rPr>
        <w:t>86-87.</w:t>
      </w:r>
    </w:p>
  </w:footnote>
  <w:footnote w:id="67">
    <w:p w14:paraId="4C5D4897" w14:textId="5189AE5D" w:rsidR="000054DC" w:rsidRPr="00CC5F12" w:rsidRDefault="000054DC"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w:t>
      </w:r>
      <w:r w:rsidRPr="00CC5F12">
        <w:rPr>
          <w:rFonts w:ascii="Verdana" w:hAnsi="Verdana"/>
          <w:i/>
          <w:iCs/>
          <w:color w:val="77328A"/>
          <w:sz w:val="16"/>
          <w:szCs w:val="16"/>
        </w:rPr>
        <w:t>Glencore</w:t>
      </w:r>
      <w:r w:rsidR="00360E78" w:rsidRPr="00CC5F12">
        <w:rPr>
          <w:rFonts w:ascii="Verdana" w:hAnsi="Verdana"/>
          <w:i/>
          <w:iCs/>
          <w:color w:val="77328A"/>
          <w:sz w:val="16"/>
          <w:szCs w:val="16"/>
        </w:rPr>
        <w:t xml:space="preserve"> Agriculture Hungary </w:t>
      </w:r>
      <w:proofErr w:type="spellStart"/>
      <w:r w:rsidR="00360E78" w:rsidRPr="00CC5F12">
        <w:rPr>
          <w:rFonts w:ascii="Verdana" w:hAnsi="Verdana"/>
          <w:i/>
          <w:iCs/>
          <w:color w:val="77328A"/>
          <w:sz w:val="16"/>
          <w:szCs w:val="16"/>
        </w:rPr>
        <w:t>Kft</w:t>
      </w:r>
      <w:proofErr w:type="spellEnd"/>
      <w:r w:rsidR="00360E78" w:rsidRPr="00CC5F12">
        <w:rPr>
          <w:rFonts w:ascii="Verdana" w:hAnsi="Verdana"/>
          <w:i/>
          <w:iCs/>
          <w:color w:val="77328A"/>
          <w:sz w:val="16"/>
          <w:szCs w:val="16"/>
        </w:rPr>
        <w:t xml:space="preserve">. v </w:t>
      </w:r>
      <w:proofErr w:type="spellStart"/>
      <w:r w:rsidR="00360E78" w:rsidRPr="00CC5F12">
        <w:rPr>
          <w:rFonts w:ascii="Verdana" w:hAnsi="Verdana"/>
          <w:i/>
          <w:iCs/>
          <w:color w:val="77328A"/>
          <w:sz w:val="16"/>
          <w:szCs w:val="16"/>
        </w:rPr>
        <w:t>Nemzeti</w:t>
      </w:r>
      <w:proofErr w:type="spellEnd"/>
      <w:r w:rsidR="00360E78" w:rsidRPr="00CC5F12">
        <w:rPr>
          <w:rFonts w:ascii="Verdana" w:hAnsi="Verdana"/>
          <w:i/>
          <w:iCs/>
          <w:color w:val="77328A"/>
          <w:sz w:val="16"/>
          <w:szCs w:val="16"/>
        </w:rPr>
        <w:t xml:space="preserve"> </w:t>
      </w:r>
      <w:proofErr w:type="spellStart"/>
      <w:r w:rsidR="00360E78" w:rsidRPr="00CC5F12">
        <w:rPr>
          <w:rFonts w:ascii="Verdana" w:hAnsi="Verdana"/>
          <w:i/>
          <w:iCs/>
          <w:color w:val="77328A"/>
          <w:sz w:val="16"/>
          <w:szCs w:val="16"/>
        </w:rPr>
        <w:t>Adó</w:t>
      </w:r>
      <w:proofErr w:type="spellEnd"/>
      <w:r w:rsidR="00360E78" w:rsidRPr="00CC5F12">
        <w:rPr>
          <w:rFonts w:ascii="Verdana" w:hAnsi="Verdana"/>
          <w:i/>
          <w:iCs/>
          <w:color w:val="77328A"/>
          <w:sz w:val="16"/>
          <w:szCs w:val="16"/>
        </w:rPr>
        <w:t xml:space="preserve">- </w:t>
      </w:r>
      <w:proofErr w:type="spellStart"/>
      <w:r w:rsidR="00360E78" w:rsidRPr="00CC5F12">
        <w:rPr>
          <w:rFonts w:ascii="Verdana" w:hAnsi="Verdana"/>
          <w:i/>
          <w:iCs/>
          <w:color w:val="77328A"/>
          <w:sz w:val="16"/>
          <w:szCs w:val="16"/>
        </w:rPr>
        <w:t>és</w:t>
      </w:r>
      <w:proofErr w:type="spellEnd"/>
      <w:r w:rsidR="00360E78" w:rsidRPr="00CC5F12">
        <w:rPr>
          <w:rFonts w:ascii="Verdana" w:hAnsi="Verdana"/>
          <w:i/>
          <w:iCs/>
          <w:color w:val="77328A"/>
          <w:sz w:val="16"/>
          <w:szCs w:val="16"/>
        </w:rPr>
        <w:t xml:space="preserve"> </w:t>
      </w:r>
      <w:proofErr w:type="spellStart"/>
      <w:r w:rsidR="00360E78" w:rsidRPr="00CC5F12">
        <w:rPr>
          <w:rFonts w:ascii="Verdana" w:hAnsi="Verdana"/>
          <w:i/>
          <w:iCs/>
          <w:color w:val="77328A"/>
          <w:sz w:val="16"/>
          <w:szCs w:val="16"/>
        </w:rPr>
        <w:t>Vámhivatal</w:t>
      </w:r>
      <w:proofErr w:type="spellEnd"/>
      <w:r w:rsidR="00360E78" w:rsidRPr="00CC5F12">
        <w:rPr>
          <w:rFonts w:ascii="Verdana" w:hAnsi="Verdana"/>
          <w:i/>
          <w:iCs/>
          <w:color w:val="77328A"/>
          <w:sz w:val="16"/>
          <w:szCs w:val="16"/>
        </w:rPr>
        <w:t xml:space="preserve"> </w:t>
      </w:r>
      <w:proofErr w:type="spellStart"/>
      <w:r w:rsidR="00360E78" w:rsidRPr="00CC5F12">
        <w:rPr>
          <w:rFonts w:ascii="Verdana" w:hAnsi="Verdana"/>
          <w:i/>
          <w:iCs/>
          <w:color w:val="77328A"/>
          <w:sz w:val="16"/>
          <w:szCs w:val="16"/>
        </w:rPr>
        <w:t>Fellebbviteli</w:t>
      </w:r>
      <w:proofErr w:type="spellEnd"/>
      <w:r w:rsidR="00360E78" w:rsidRPr="00CC5F12">
        <w:rPr>
          <w:rFonts w:ascii="Verdana" w:hAnsi="Verdana"/>
          <w:i/>
          <w:iCs/>
          <w:color w:val="77328A"/>
          <w:sz w:val="16"/>
          <w:szCs w:val="16"/>
        </w:rPr>
        <w:t xml:space="preserve"> </w:t>
      </w:r>
      <w:proofErr w:type="spellStart"/>
      <w:r w:rsidR="00360E78" w:rsidRPr="00CC5F12">
        <w:rPr>
          <w:rFonts w:ascii="Verdana" w:hAnsi="Verdana"/>
          <w:i/>
          <w:iCs/>
          <w:color w:val="77328A"/>
          <w:sz w:val="16"/>
          <w:szCs w:val="16"/>
        </w:rPr>
        <w:t>Igazgatósága</w:t>
      </w:r>
      <w:proofErr w:type="spellEnd"/>
      <w:r w:rsidRPr="00CC5F12">
        <w:rPr>
          <w:rFonts w:ascii="Verdana" w:hAnsi="Verdana"/>
          <w:color w:val="77328A"/>
          <w:sz w:val="16"/>
          <w:szCs w:val="16"/>
        </w:rPr>
        <w:t xml:space="preserve">, </w:t>
      </w:r>
      <w:r w:rsidR="00360E78" w:rsidRPr="00CC5F12">
        <w:rPr>
          <w:rFonts w:ascii="Verdana" w:hAnsi="Verdana"/>
          <w:color w:val="77328A"/>
          <w:sz w:val="16"/>
          <w:szCs w:val="16"/>
        </w:rPr>
        <w:t xml:space="preserve">Case </w:t>
      </w:r>
      <w:r w:rsidRPr="00CC5F12">
        <w:rPr>
          <w:rFonts w:ascii="Verdana" w:hAnsi="Verdana"/>
          <w:color w:val="77328A"/>
          <w:sz w:val="16"/>
          <w:szCs w:val="16"/>
        </w:rPr>
        <w:t>C-189/18</w:t>
      </w:r>
      <w:r w:rsidR="00360E78" w:rsidRPr="00CC5F12">
        <w:rPr>
          <w:rFonts w:ascii="Verdana" w:hAnsi="Verdana"/>
          <w:color w:val="77328A"/>
          <w:sz w:val="16"/>
          <w:szCs w:val="16"/>
        </w:rPr>
        <w:t>, 16 October 2019, at para 61</w:t>
      </w:r>
      <w:r w:rsidRPr="00CC5F12">
        <w:rPr>
          <w:rFonts w:ascii="Verdana" w:hAnsi="Verdana"/>
          <w:color w:val="77328A"/>
          <w:sz w:val="16"/>
          <w:szCs w:val="16"/>
        </w:rPr>
        <w:t>.</w:t>
      </w:r>
    </w:p>
  </w:footnote>
  <w:footnote w:id="68">
    <w:p w14:paraId="14B1AA40" w14:textId="225FD321" w:rsidR="001D3051" w:rsidRPr="00CC5F12" w:rsidRDefault="001D3051"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Tobias Lock, Eleni Frantziou and Anurag Deb, ‘the Interaction between the EU Charter of Fundamental Rights and the general principles of EU law with the Windsor Framework’ (NIHRC, </w:t>
      </w:r>
      <w:r w:rsidR="00217E95" w:rsidRPr="00CC5F12">
        <w:rPr>
          <w:rFonts w:ascii="Verdana" w:hAnsi="Verdana"/>
          <w:color w:val="77328A"/>
          <w:sz w:val="16"/>
          <w:szCs w:val="16"/>
        </w:rPr>
        <w:t>forthcoming</w:t>
      </w:r>
      <w:r w:rsidRPr="00CC5F12">
        <w:rPr>
          <w:rFonts w:ascii="Verdana" w:hAnsi="Verdana"/>
          <w:color w:val="77328A"/>
          <w:sz w:val="16"/>
          <w:szCs w:val="16"/>
        </w:rPr>
        <w:t>)</w:t>
      </w:r>
      <w:r w:rsidR="00200AA0" w:rsidRPr="00CC5F12">
        <w:rPr>
          <w:rFonts w:ascii="Verdana" w:hAnsi="Verdana"/>
          <w:color w:val="77328A"/>
          <w:sz w:val="16"/>
          <w:szCs w:val="16"/>
        </w:rPr>
        <w:t>, at 72</w:t>
      </w:r>
      <w:r w:rsidRPr="00CC5F12">
        <w:rPr>
          <w:rFonts w:ascii="Verdana" w:hAnsi="Verdana"/>
          <w:color w:val="77328A"/>
          <w:sz w:val="16"/>
          <w:szCs w:val="16"/>
        </w:rPr>
        <w:t>.</w:t>
      </w:r>
    </w:p>
  </w:footnote>
  <w:footnote w:id="69">
    <w:p w14:paraId="62939CFE" w14:textId="16004D12" w:rsidR="00605350" w:rsidRPr="00CC5F12" w:rsidRDefault="00605350"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See </w:t>
      </w:r>
      <w:proofErr w:type="spellStart"/>
      <w:r w:rsidRPr="00CC5F12">
        <w:rPr>
          <w:rFonts w:ascii="Verdana" w:hAnsi="Verdana"/>
          <w:i/>
          <w:iCs/>
          <w:color w:val="77328A"/>
          <w:sz w:val="16"/>
          <w:szCs w:val="16"/>
        </w:rPr>
        <w:t>Benkharbouche</w:t>
      </w:r>
      <w:proofErr w:type="spellEnd"/>
      <w:r w:rsidRPr="00CC5F12">
        <w:rPr>
          <w:rFonts w:ascii="Verdana" w:hAnsi="Verdana"/>
          <w:i/>
          <w:iCs/>
          <w:color w:val="77328A"/>
          <w:sz w:val="16"/>
          <w:szCs w:val="16"/>
        </w:rPr>
        <w:t xml:space="preserve"> v Secretary of State for Foreign and Commonwealth Affairs</w:t>
      </w:r>
      <w:r w:rsidRPr="00CC5F12">
        <w:rPr>
          <w:rFonts w:ascii="Verdana" w:hAnsi="Verdana"/>
          <w:color w:val="77328A"/>
          <w:sz w:val="16"/>
          <w:szCs w:val="16"/>
        </w:rPr>
        <w:t xml:space="preserve"> [2017] UKSC 62 and </w:t>
      </w:r>
      <w:proofErr w:type="spellStart"/>
      <w:r w:rsidRPr="00CC5F12">
        <w:rPr>
          <w:rFonts w:ascii="Verdana" w:hAnsi="Verdana"/>
          <w:i/>
          <w:iCs/>
          <w:color w:val="77328A"/>
          <w:sz w:val="16"/>
          <w:szCs w:val="16"/>
        </w:rPr>
        <w:t>Benkharbouche</w:t>
      </w:r>
      <w:proofErr w:type="spellEnd"/>
      <w:r w:rsidRPr="00CC5F12">
        <w:rPr>
          <w:rFonts w:ascii="Verdana" w:hAnsi="Verdana"/>
          <w:i/>
          <w:iCs/>
          <w:color w:val="77328A"/>
          <w:sz w:val="16"/>
          <w:szCs w:val="16"/>
        </w:rPr>
        <w:t xml:space="preserve"> and Janah v UK</w:t>
      </w:r>
      <w:r w:rsidRPr="00CC5F12">
        <w:rPr>
          <w:rFonts w:ascii="Verdana" w:hAnsi="Verdana"/>
          <w:color w:val="77328A"/>
          <w:sz w:val="16"/>
          <w:szCs w:val="16"/>
        </w:rPr>
        <w:t xml:space="preserve"> [2022] ECHR 296</w:t>
      </w:r>
      <w:r w:rsidR="001F3D74" w:rsidRPr="00CC5F12">
        <w:rPr>
          <w:rFonts w:ascii="Verdana" w:hAnsi="Verdana"/>
          <w:color w:val="77328A"/>
          <w:sz w:val="16"/>
          <w:szCs w:val="16"/>
        </w:rPr>
        <w:t>.</w:t>
      </w:r>
      <w:r w:rsidR="0097562C" w:rsidRPr="00CC5F12">
        <w:rPr>
          <w:rFonts w:ascii="Verdana" w:hAnsi="Verdana"/>
          <w:color w:val="77328A"/>
          <w:sz w:val="16"/>
          <w:szCs w:val="16"/>
        </w:rPr>
        <w:t xml:space="preserve">  Tobias Lock, Eleni Frantziou and Anurag Deb, ‘the Interaction between the EU Charter of Fundamental Rights and the general principles of EU law with the Windsor Framework’ (NIHRC, </w:t>
      </w:r>
      <w:r w:rsidR="003C0DAA" w:rsidRPr="00CC5F12">
        <w:rPr>
          <w:rFonts w:ascii="Verdana" w:hAnsi="Verdana"/>
          <w:color w:val="77328A"/>
          <w:sz w:val="16"/>
          <w:szCs w:val="16"/>
        </w:rPr>
        <w:t>forthcoming</w:t>
      </w:r>
      <w:r w:rsidR="0097562C" w:rsidRPr="00CC5F12">
        <w:rPr>
          <w:rFonts w:ascii="Verdana" w:hAnsi="Verdana"/>
          <w:color w:val="77328A"/>
          <w:sz w:val="16"/>
          <w:szCs w:val="16"/>
        </w:rPr>
        <w:t>), at 70.</w:t>
      </w:r>
      <w:r w:rsidRPr="00CC5F12">
        <w:rPr>
          <w:rFonts w:ascii="Verdana" w:hAnsi="Verdana"/>
          <w:color w:val="77328A"/>
          <w:sz w:val="16"/>
          <w:szCs w:val="16"/>
        </w:rPr>
        <w:t xml:space="preserve">  </w:t>
      </w:r>
    </w:p>
  </w:footnote>
  <w:footnote w:id="70">
    <w:p w14:paraId="4699959D" w14:textId="77777777" w:rsidR="003029F6" w:rsidRPr="00CC5F12" w:rsidRDefault="003029F6"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Sarah Craig, Anurag Deb, Eleni Frantziou, Alexander Horne, Colin Murray, Clare </w:t>
      </w:r>
      <w:proofErr w:type="gramStart"/>
      <w:r w:rsidRPr="00CC5F12">
        <w:rPr>
          <w:rFonts w:ascii="Verdana" w:hAnsi="Verdana"/>
          <w:color w:val="77328A"/>
          <w:sz w:val="16"/>
          <w:szCs w:val="16"/>
        </w:rPr>
        <w:t>Rice</w:t>
      </w:r>
      <w:proofErr w:type="gramEnd"/>
      <w:r w:rsidRPr="00CC5F12">
        <w:rPr>
          <w:rFonts w:ascii="Verdana" w:hAnsi="Verdana"/>
          <w:color w:val="77328A"/>
          <w:sz w:val="16"/>
          <w:szCs w:val="16"/>
        </w:rPr>
        <w:t xml:space="preserve"> and Jane Rooney, ‘EU Developments in Equality and Human Rights: The Impact of Brexit on the Divergence of Rights and Best Practice on the Island of Ireland’ (ECNI, NIHRC and IHREC, 2022), at 88.</w:t>
      </w:r>
    </w:p>
  </w:footnote>
  <w:footnote w:id="71">
    <w:p w14:paraId="0D0D8E8A" w14:textId="77777777" w:rsidR="003029F6" w:rsidRPr="00CC5F12" w:rsidRDefault="003029F6"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Sarah Craig, Anurag Deb, Eleni Frantziou, Alexander Horne, Colin Murray, Clare </w:t>
      </w:r>
      <w:proofErr w:type="gramStart"/>
      <w:r w:rsidRPr="00CC5F12">
        <w:rPr>
          <w:rFonts w:ascii="Verdana" w:hAnsi="Verdana"/>
          <w:color w:val="77328A"/>
          <w:sz w:val="16"/>
          <w:szCs w:val="16"/>
        </w:rPr>
        <w:t>Rice</w:t>
      </w:r>
      <w:proofErr w:type="gramEnd"/>
      <w:r w:rsidRPr="00CC5F12">
        <w:rPr>
          <w:rFonts w:ascii="Verdana" w:hAnsi="Verdana"/>
          <w:color w:val="77328A"/>
          <w:sz w:val="16"/>
          <w:szCs w:val="16"/>
        </w:rPr>
        <w:t xml:space="preserve"> and Jane Rooney, ‘EU Developments in Equality and Human Rights: The Impact of Brexit on the Divergence of Rights and Best Practice on the Island of Ireland’ (ECNI, NIHRC and IHREC, 2022), at 88.</w:t>
      </w:r>
    </w:p>
  </w:footnote>
  <w:footnote w:id="72">
    <w:p w14:paraId="2DB58CBF" w14:textId="77777777" w:rsidR="00217E95" w:rsidRPr="00CC5F12" w:rsidRDefault="00217E95"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Article 4(2), EU-UK Withdrawal Agreement.</w:t>
      </w:r>
    </w:p>
  </w:footnote>
  <w:footnote w:id="73">
    <w:p w14:paraId="3F84C149" w14:textId="77777777" w:rsidR="00217E95" w:rsidRPr="00CC5F12" w:rsidRDefault="00217E95"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w:t>
      </w:r>
      <w:r w:rsidRPr="00CC5F12">
        <w:rPr>
          <w:rFonts w:ascii="Verdana" w:hAnsi="Verdana"/>
          <w:i/>
          <w:iCs/>
          <w:color w:val="77328A"/>
          <w:sz w:val="16"/>
          <w:szCs w:val="16"/>
        </w:rPr>
        <w:t>AT v Secretary of State for Work and Pensions</w:t>
      </w:r>
      <w:r w:rsidRPr="00CC5F12">
        <w:rPr>
          <w:rFonts w:ascii="Verdana" w:hAnsi="Verdana"/>
          <w:color w:val="77328A"/>
          <w:sz w:val="16"/>
          <w:szCs w:val="16"/>
        </w:rPr>
        <w:t xml:space="preserve"> [2023] ECWA </w:t>
      </w:r>
      <w:proofErr w:type="spellStart"/>
      <w:r w:rsidRPr="00CC5F12">
        <w:rPr>
          <w:rFonts w:ascii="Verdana" w:hAnsi="Verdana"/>
          <w:color w:val="77328A"/>
          <w:sz w:val="16"/>
          <w:szCs w:val="16"/>
        </w:rPr>
        <w:t>Civ</w:t>
      </w:r>
      <w:proofErr w:type="spellEnd"/>
      <w:r w:rsidRPr="00CC5F12">
        <w:rPr>
          <w:rFonts w:ascii="Verdana" w:hAnsi="Verdana"/>
          <w:color w:val="77328A"/>
          <w:sz w:val="16"/>
          <w:szCs w:val="16"/>
        </w:rPr>
        <w:t xml:space="preserve"> 1307, at para 106.</w:t>
      </w:r>
    </w:p>
  </w:footnote>
  <w:footnote w:id="74">
    <w:p w14:paraId="2982C979" w14:textId="394C73BE" w:rsidR="000D3058" w:rsidRPr="00CC5F12" w:rsidRDefault="000D3058" w:rsidP="000D3058">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w:t>
      </w:r>
      <w:r w:rsidRPr="00CC5F12">
        <w:rPr>
          <w:rFonts w:ascii="Verdana" w:hAnsi="Verdana"/>
          <w:i/>
          <w:iCs/>
          <w:color w:val="77328A"/>
          <w:sz w:val="16"/>
          <w:szCs w:val="16"/>
        </w:rPr>
        <w:t xml:space="preserve">Re Dillon and others </w:t>
      </w:r>
      <w:r w:rsidRPr="00CC5F12">
        <w:rPr>
          <w:rFonts w:ascii="Verdana" w:hAnsi="Verdana"/>
          <w:color w:val="77328A"/>
          <w:sz w:val="16"/>
          <w:szCs w:val="16"/>
        </w:rPr>
        <w:t xml:space="preserve">[2024] NIKB 11 at para </w:t>
      </w:r>
      <w:r w:rsidR="00736DBD">
        <w:rPr>
          <w:rFonts w:ascii="Verdana" w:hAnsi="Verdana"/>
          <w:color w:val="77328A"/>
          <w:sz w:val="16"/>
          <w:szCs w:val="16"/>
        </w:rPr>
        <w:t>710</w:t>
      </w:r>
      <w:r w:rsidRPr="00CC5F12">
        <w:rPr>
          <w:rFonts w:ascii="Verdana" w:hAnsi="Verdana"/>
          <w:color w:val="77328A"/>
          <w:sz w:val="16"/>
          <w:szCs w:val="16"/>
        </w:rPr>
        <w:t>.</w:t>
      </w:r>
    </w:p>
  </w:footnote>
  <w:footnote w:id="75">
    <w:p w14:paraId="03F752C2" w14:textId="485246DB" w:rsidR="000D3058" w:rsidRPr="00CC5F12" w:rsidRDefault="000D3058" w:rsidP="000D3058">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w:t>
      </w:r>
      <w:r w:rsidRPr="00CC5F12">
        <w:rPr>
          <w:rFonts w:ascii="Verdana" w:hAnsi="Verdana"/>
          <w:i/>
          <w:iCs/>
          <w:color w:val="77328A"/>
          <w:sz w:val="16"/>
          <w:szCs w:val="16"/>
        </w:rPr>
        <w:t>Re NIHRC</w:t>
      </w:r>
      <w:r w:rsidRPr="00CC5F12">
        <w:rPr>
          <w:rFonts w:ascii="Verdana" w:hAnsi="Verdana"/>
          <w:color w:val="77328A"/>
          <w:sz w:val="16"/>
          <w:szCs w:val="16"/>
        </w:rPr>
        <w:t xml:space="preserve"> [2024] NIKB 35, at para 178.</w:t>
      </w:r>
    </w:p>
  </w:footnote>
  <w:footnote w:id="76">
    <w:p w14:paraId="6089565D" w14:textId="377E7B21" w:rsidR="004743D1" w:rsidRPr="00CC5F12" w:rsidRDefault="004743D1"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w:t>
      </w:r>
      <w:r w:rsidRPr="00CC5F12">
        <w:rPr>
          <w:rFonts w:ascii="Verdana" w:hAnsi="Verdana"/>
          <w:i/>
          <w:iCs/>
          <w:color w:val="77328A"/>
          <w:sz w:val="16"/>
          <w:szCs w:val="16"/>
        </w:rPr>
        <w:t>Re NIHRC</w:t>
      </w:r>
      <w:r w:rsidRPr="00CC5F12">
        <w:rPr>
          <w:rFonts w:ascii="Verdana" w:hAnsi="Verdana"/>
          <w:color w:val="77328A"/>
          <w:sz w:val="16"/>
          <w:szCs w:val="16"/>
        </w:rPr>
        <w:t xml:space="preserve"> [2024] NIKB 35, at para 175.</w:t>
      </w:r>
    </w:p>
  </w:footnote>
  <w:footnote w:id="77">
    <w:p w14:paraId="7DF26474" w14:textId="129BA5FC" w:rsidR="0031041F" w:rsidRPr="00CC5F12" w:rsidRDefault="0031041F"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w:t>
      </w:r>
      <w:r w:rsidRPr="00CC5F12">
        <w:rPr>
          <w:rFonts w:ascii="Verdana" w:hAnsi="Verdana"/>
          <w:i/>
          <w:iCs/>
          <w:color w:val="77328A"/>
          <w:sz w:val="16"/>
          <w:szCs w:val="16"/>
        </w:rPr>
        <w:t>Re NIHRC</w:t>
      </w:r>
      <w:r w:rsidRPr="00CC5F12">
        <w:rPr>
          <w:rFonts w:ascii="Verdana" w:hAnsi="Verdana"/>
          <w:color w:val="77328A"/>
          <w:sz w:val="16"/>
          <w:szCs w:val="16"/>
        </w:rPr>
        <w:t xml:space="preserve"> [2024] NIKB 35, at para </w:t>
      </w:r>
      <w:r w:rsidR="0013645C" w:rsidRPr="00CC5F12">
        <w:rPr>
          <w:rFonts w:ascii="Verdana" w:hAnsi="Verdana"/>
          <w:color w:val="77328A"/>
          <w:sz w:val="16"/>
          <w:szCs w:val="16"/>
        </w:rPr>
        <w:t xml:space="preserve">173-178; see also Colton J in </w:t>
      </w:r>
      <w:r w:rsidR="0013645C" w:rsidRPr="00CC5F12">
        <w:rPr>
          <w:rFonts w:ascii="Verdana" w:hAnsi="Verdana"/>
          <w:i/>
          <w:iCs/>
          <w:color w:val="77328A"/>
          <w:sz w:val="16"/>
          <w:szCs w:val="16"/>
        </w:rPr>
        <w:t xml:space="preserve">Re Dillon and others </w:t>
      </w:r>
      <w:r w:rsidR="0013645C" w:rsidRPr="00CC5F12">
        <w:rPr>
          <w:rFonts w:ascii="Verdana" w:hAnsi="Verdana"/>
          <w:color w:val="77328A"/>
          <w:sz w:val="16"/>
          <w:szCs w:val="16"/>
        </w:rPr>
        <w:t>[2024] NIKB 11 at para 527</w:t>
      </w:r>
      <w:r w:rsidRPr="00CC5F12">
        <w:rPr>
          <w:rFonts w:ascii="Verdana" w:hAnsi="Verdana"/>
          <w:color w:val="77328A"/>
          <w:sz w:val="16"/>
          <w:szCs w:val="16"/>
        </w:rPr>
        <w:t>.</w:t>
      </w:r>
    </w:p>
  </w:footnote>
  <w:footnote w:id="78">
    <w:p w14:paraId="04268E0C" w14:textId="521859CD" w:rsidR="001F3D74" w:rsidRPr="00CC5F12" w:rsidRDefault="001F3D74"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w:t>
      </w:r>
      <w:r w:rsidRPr="00CC5F12">
        <w:rPr>
          <w:rFonts w:ascii="Verdana" w:hAnsi="Verdana"/>
          <w:i/>
          <w:iCs/>
          <w:color w:val="77328A"/>
          <w:sz w:val="16"/>
          <w:szCs w:val="16"/>
        </w:rPr>
        <w:t xml:space="preserve">Andrea Francovich and Danila Bonifaci v Italy, </w:t>
      </w:r>
      <w:r w:rsidRPr="00CC5F12">
        <w:rPr>
          <w:rFonts w:ascii="Verdana" w:hAnsi="Verdana"/>
          <w:color w:val="77328A"/>
          <w:sz w:val="16"/>
          <w:szCs w:val="16"/>
        </w:rPr>
        <w:t>Case C6/90, 19 November 1991.</w:t>
      </w:r>
    </w:p>
  </w:footnote>
  <w:footnote w:id="79">
    <w:p w14:paraId="55AD52C4" w14:textId="61028401" w:rsidR="00103F6D" w:rsidRPr="00CC5F12" w:rsidRDefault="00103F6D"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w:t>
      </w:r>
      <w:r w:rsidR="00475D06" w:rsidRPr="00CC5F12">
        <w:rPr>
          <w:rFonts w:ascii="Verdana" w:hAnsi="Verdana"/>
          <w:i/>
          <w:iCs/>
          <w:color w:val="77328A"/>
          <w:sz w:val="16"/>
          <w:szCs w:val="16"/>
        </w:rPr>
        <w:t xml:space="preserve">Andrea </w:t>
      </w:r>
      <w:r w:rsidRPr="00CC5F12">
        <w:rPr>
          <w:rFonts w:ascii="Verdana" w:hAnsi="Verdana"/>
          <w:i/>
          <w:iCs/>
          <w:color w:val="77328A"/>
          <w:sz w:val="16"/>
          <w:szCs w:val="16"/>
        </w:rPr>
        <w:t xml:space="preserve">Francovich and </w:t>
      </w:r>
      <w:r w:rsidR="00475D06" w:rsidRPr="00CC5F12">
        <w:rPr>
          <w:rFonts w:ascii="Verdana" w:hAnsi="Verdana"/>
          <w:i/>
          <w:iCs/>
          <w:color w:val="77328A"/>
          <w:sz w:val="16"/>
          <w:szCs w:val="16"/>
        </w:rPr>
        <w:t xml:space="preserve">Danila </w:t>
      </w:r>
      <w:r w:rsidRPr="00CC5F12">
        <w:rPr>
          <w:rFonts w:ascii="Verdana" w:hAnsi="Verdana"/>
          <w:i/>
          <w:iCs/>
          <w:color w:val="77328A"/>
          <w:sz w:val="16"/>
          <w:szCs w:val="16"/>
        </w:rPr>
        <w:t>Bonifaci v Italy</w:t>
      </w:r>
      <w:r w:rsidR="00475D06" w:rsidRPr="00CC5F12">
        <w:rPr>
          <w:rFonts w:ascii="Verdana" w:hAnsi="Verdana"/>
          <w:i/>
          <w:iCs/>
          <w:color w:val="77328A"/>
          <w:sz w:val="16"/>
          <w:szCs w:val="16"/>
        </w:rPr>
        <w:t xml:space="preserve">, </w:t>
      </w:r>
      <w:r w:rsidR="00475D06" w:rsidRPr="00CC5F12">
        <w:rPr>
          <w:rFonts w:ascii="Verdana" w:hAnsi="Verdana"/>
          <w:color w:val="77328A"/>
          <w:sz w:val="16"/>
          <w:szCs w:val="16"/>
        </w:rPr>
        <w:t xml:space="preserve">Case C6/90, 19 November 1991, </w:t>
      </w:r>
      <w:r w:rsidRPr="00CC5F12">
        <w:rPr>
          <w:rFonts w:ascii="Verdana" w:hAnsi="Verdana"/>
          <w:color w:val="77328A"/>
          <w:sz w:val="16"/>
          <w:szCs w:val="16"/>
        </w:rPr>
        <w:t>at para 33.</w:t>
      </w:r>
    </w:p>
  </w:footnote>
  <w:footnote w:id="80">
    <w:p w14:paraId="04AB5C9C" w14:textId="38D709D9" w:rsidR="00BB3E5D" w:rsidRPr="00CC5F12" w:rsidRDefault="00BB3E5D"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w:t>
      </w:r>
      <w:r w:rsidRPr="00CC5F12">
        <w:rPr>
          <w:rFonts w:ascii="Verdana" w:hAnsi="Verdana"/>
          <w:i/>
          <w:iCs/>
          <w:color w:val="77328A"/>
          <w:sz w:val="16"/>
          <w:szCs w:val="16"/>
        </w:rPr>
        <w:t>Brasserie du P</w:t>
      </w:r>
      <w:r w:rsidRPr="00CC5F12">
        <w:rPr>
          <w:rFonts w:ascii="Verdana" w:hAnsi="Verdana" w:cstheme="minorHAnsi"/>
          <w:i/>
          <w:iCs/>
          <w:color w:val="77328A"/>
          <w:sz w:val="16"/>
          <w:szCs w:val="16"/>
        </w:rPr>
        <w:t>ê</w:t>
      </w:r>
      <w:r w:rsidRPr="00CC5F12">
        <w:rPr>
          <w:rFonts w:ascii="Verdana" w:hAnsi="Verdana"/>
          <w:i/>
          <w:iCs/>
          <w:color w:val="77328A"/>
          <w:sz w:val="16"/>
          <w:szCs w:val="16"/>
        </w:rPr>
        <w:t>cheur v Germany</w:t>
      </w:r>
      <w:r w:rsidRPr="00CC5F12">
        <w:rPr>
          <w:rFonts w:ascii="Verdana" w:hAnsi="Verdana"/>
          <w:color w:val="77328A"/>
          <w:sz w:val="16"/>
          <w:szCs w:val="16"/>
        </w:rPr>
        <w:t xml:space="preserve">, Case C-46/93, </w:t>
      </w:r>
      <w:r w:rsidR="00785C97" w:rsidRPr="00CC5F12">
        <w:rPr>
          <w:rFonts w:ascii="Verdana" w:hAnsi="Verdana"/>
          <w:color w:val="77328A"/>
          <w:sz w:val="16"/>
          <w:szCs w:val="16"/>
        </w:rPr>
        <w:t xml:space="preserve">5 March 1996; </w:t>
      </w:r>
      <w:r w:rsidR="00785C97" w:rsidRPr="00CC5F12">
        <w:rPr>
          <w:rFonts w:ascii="Verdana" w:hAnsi="Verdana"/>
          <w:i/>
          <w:iCs/>
          <w:color w:val="77328A"/>
          <w:sz w:val="16"/>
          <w:szCs w:val="16"/>
        </w:rPr>
        <w:t xml:space="preserve">Gerhard </w:t>
      </w:r>
      <w:proofErr w:type="spellStart"/>
      <w:r w:rsidR="00785C97" w:rsidRPr="00CC5F12">
        <w:rPr>
          <w:rFonts w:ascii="Verdana" w:hAnsi="Verdana"/>
          <w:i/>
          <w:iCs/>
          <w:color w:val="77328A"/>
          <w:sz w:val="16"/>
          <w:szCs w:val="16"/>
        </w:rPr>
        <w:t>K</w:t>
      </w:r>
      <w:r w:rsidR="00785C97" w:rsidRPr="00CC5F12">
        <w:rPr>
          <w:rFonts w:ascii="Verdana" w:hAnsi="Verdana" w:cstheme="minorHAnsi"/>
          <w:i/>
          <w:iCs/>
          <w:color w:val="77328A"/>
          <w:sz w:val="16"/>
          <w:szCs w:val="16"/>
        </w:rPr>
        <w:t>ö</w:t>
      </w:r>
      <w:r w:rsidR="00785C97" w:rsidRPr="00CC5F12">
        <w:rPr>
          <w:rFonts w:ascii="Verdana" w:hAnsi="Verdana"/>
          <w:i/>
          <w:iCs/>
          <w:color w:val="77328A"/>
          <w:sz w:val="16"/>
          <w:szCs w:val="16"/>
        </w:rPr>
        <w:t>bler</w:t>
      </w:r>
      <w:proofErr w:type="spellEnd"/>
      <w:r w:rsidR="00785C97" w:rsidRPr="00CC5F12">
        <w:rPr>
          <w:rFonts w:ascii="Verdana" w:hAnsi="Verdana"/>
          <w:i/>
          <w:iCs/>
          <w:color w:val="77328A"/>
          <w:sz w:val="16"/>
          <w:szCs w:val="16"/>
        </w:rPr>
        <w:t xml:space="preserve"> v </w:t>
      </w:r>
      <w:proofErr w:type="spellStart"/>
      <w:r w:rsidR="00785C97" w:rsidRPr="00CC5F12">
        <w:rPr>
          <w:rFonts w:ascii="Verdana" w:hAnsi="Verdana"/>
          <w:i/>
          <w:iCs/>
          <w:color w:val="77328A"/>
          <w:sz w:val="16"/>
          <w:szCs w:val="16"/>
        </w:rPr>
        <w:t>Republik</w:t>
      </w:r>
      <w:proofErr w:type="spellEnd"/>
      <w:r w:rsidR="00785C97" w:rsidRPr="00CC5F12">
        <w:rPr>
          <w:rFonts w:ascii="Verdana" w:hAnsi="Verdana"/>
          <w:i/>
          <w:iCs/>
          <w:color w:val="77328A"/>
          <w:sz w:val="16"/>
          <w:szCs w:val="16"/>
        </w:rPr>
        <w:t xml:space="preserve"> </w:t>
      </w:r>
      <w:r w:rsidR="00785C97" w:rsidRPr="00CC5F12">
        <w:rPr>
          <w:rFonts w:ascii="Verdana" w:hAnsi="Verdana" w:cstheme="minorHAnsi"/>
          <w:i/>
          <w:iCs/>
          <w:color w:val="77328A"/>
          <w:sz w:val="16"/>
          <w:szCs w:val="16"/>
        </w:rPr>
        <w:t>Österreich</w:t>
      </w:r>
      <w:r w:rsidR="00785C97" w:rsidRPr="00CC5F12">
        <w:rPr>
          <w:rFonts w:ascii="Verdana" w:hAnsi="Verdana" w:cstheme="minorHAnsi"/>
          <w:color w:val="77328A"/>
          <w:sz w:val="16"/>
          <w:szCs w:val="16"/>
        </w:rPr>
        <w:t xml:space="preserve">, Case C224/01, 30 September 2003; and </w:t>
      </w:r>
      <w:r w:rsidR="00785C97" w:rsidRPr="00CC5F12">
        <w:rPr>
          <w:rFonts w:ascii="Verdana" w:hAnsi="Verdana" w:cstheme="minorHAnsi"/>
          <w:i/>
          <w:iCs/>
          <w:color w:val="77328A"/>
          <w:sz w:val="16"/>
          <w:szCs w:val="16"/>
        </w:rPr>
        <w:t>Courage Limited v Crehan</w:t>
      </w:r>
      <w:r w:rsidR="00785C97" w:rsidRPr="00CC5F12">
        <w:rPr>
          <w:rFonts w:ascii="Verdana" w:hAnsi="Verdana" w:cstheme="minorHAnsi"/>
          <w:color w:val="77328A"/>
          <w:sz w:val="16"/>
          <w:szCs w:val="16"/>
        </w:rPr>
        <w:t xml:space="preserve">, Case C-453/99, 20 September 2001. </w:t>
      </w:r>
    </w:p>
  </w:footnote>
  <w:footnote w:id="81">
    <w:p w14:paraId="74E23CA6" w14:textId="77777777" w:rsidR="00B4487E" w:rsidRPr="00CC5F12" w:rsidRDefault="00B4487E"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Christopher McCrudden, ‘Human Rights and </w:t>
      </w:r>
      <w:proofErr w:type="gramStart"/>
      <w:r w:rsidRPr="00CC5F12">
        <w:rPr>
          <w:rFonts w:ascii="Verdana" w:hAnsi="Verdana"/>
          <w:color w:val="77328A"/>
          <w:sz w:val="16"/>
          <w:szCs w:val="16"/>
        </w:rPr>
        <w:t>Equality ’</w:t>
      </w:r>
      <w:proofErr w:type="gramEnd"/>
      <w:r w:rsidRPr="00CC5F12">
        <w:rPr>
          <w:rFonts w:ascii="Verdana" w:hAnsi="Verdana"/>
          <w:color w:val="77328A"/>
          <w:sz w:val="16"/>
          <w:szCs w:val="16"/>
        </w:rPr>
        <w:t>, in Christopher McCrudden (Ed), ‘The Law and Practice of the Ireland-Northern Ireland Protocol’ (CUP, 2022), at 127.</w:t>
      </w:r>
    </w:p>
  </w:footnote>
  <w:footnote w:id="82">
    <w:p w14:paraId="26E705B9" w14:textId="4603227D" w:rsidR="008554E1" w:rsidRPr="00CC5F12" w:rsidRDefault="008554E1"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w:t>
      </w:r>
      <w:r w:rsidR="00580309" w:rsidRPr="00CC5F12">
        <w:rPr>
          <w:rFonts w:ascii="Verdana" w:hAnsi="Verdana"/>
          <w:color w:val="77328A"/>
          <w:sz w:val="16"/>
          <w:szCs w:val="16"/>
        </w:rPr>
        <w:t xml:space="preserve">Ivan Hare KC, Catherine Donnelly SC, Joanna Bell (Eds), ‘De Smith’s Judicial Review’ (Sweet and Maxwell, 2023), at 14.166. See also partial quote by Colton J in </w:t>
      </w:r>
      <w:r w:rsidR="00580309" w:rsidRPr="00CC5F12">
        <w:rPr>
          <w:rFonts w:ascii="Verdana" w:hAnsi="Verdana"/>
          <w:i/>
          <w:iCs/>
          <w:color w:val="77328A"/>
          <w:sz w:val="16"/>
          <w:szCs w:val="16"/>
        </w:rPr>
        <w:t xml:space="preserve">Re Dillon and others </w:t>
      </w:r>
      <w:r w:rsidR="00580309" w:rsidRPr="00CC5F12">
        <w:rPr>
          <w:rFonts w:ascii="Verdana" w:hAnsi="Verdana"/>
          <w:color w:val="77328A"/>
          <w:sz w:val="16"/>
          <w:szCs w:val="16"/>
        </w:rPr>
        <w:t>[2024] NIKB 11 at para 586.</w:t>
      </w:r>
    </w:p>
  </w:footnote>
  <w:footnote w:id="83">
    <w:p w14:paraId="44E0000B" w14:textId="25D89109" w:rsidR="00AB75C0" w:rsidRPr="00CC5F12" w:rsidRDefault="00AB75C0"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w:t>
      </w:r>
      <w:r w:rsidRPr="00CC5F12">
        <w:rPr>
          <w:rFonts w:ascii="Verdana" w:hAnsi="Verdana"/>
          <w:i/>
          <w:iCs/>
          <w:color w:val="77328A"/>
          <w:sz w:val="16"/>
          <w:szCs w:val="16"/>
        </w:rPr>
        <w:t>Mangold v Helm</w:t>
      </w:r>
      <w:r w:rsidRPr="00CC5F12">
        <w:rPr>
          <w:rFonts w:ascii="Verdana" w:hAnsi="Verdana"/>
          <w:color w:val="77328A"/>
          <w:sz w:val="16"/>
          <w:szCs w:val="16"/>
        </w:rPr>
        <w:t xml:space="preserve">, Case C 144/04, 22 November 2005; </w:t>
      </w:r>
      <w:proofErr w:type="spellStart"/>
      <w:r w:rsidRPr="00CC5F12">
        <w:rPr>
          <w:rFonts w:ascii="Verdana" w:hAnsi="Verdana"/>
          <w:i/>
          <w:iCs/>
          <w:color w:val="77328A"/>
          <w:sz w:val="16"/>
          <w:szCs w:val="16"/>
        </w:rPr>
        <w:t>Kücükdeveci</w:t>
      </w:r>
      <w:proofErr w:type="spellEnd"/>
      <w:r w:rsidRPr="00CC5F12">
        <w:rPr>
          <w:rFonts w:ascii="Verdana" w:hAnsi="Verdana"/>
          <w:i/>
          <w:iCs/>
          <w:color w:val="77328A"/>
          <w:sz w:val="16"/>
          <w:szCs w:val="16"/>
        </w:rPr>
        <w:t xml:space="preserve"> v </w:t>
      </w:r>
      <w:proofErr w:type="spellStart"/>
      <w:r w:rsidRPr="00CC5F12">
        <w:rPr>
          <w:rFonts w:ascii="Verdana" w:hAnsi="Verdana"/>
          <w:i/>
          <w:iCs/>
          <w:color w:val="77328A"/>
          <w:sz w:val="16"/>
          <w:szCs w:val="16"/>
        </w:rPr>
        <w:t>Swedex</w:t>
      </w:r>
      <w:proofErr w:type="spellEnd"/>
      <w:r w:rsidRPr="00CC5F12">
        <w:rPr>
          <w:rFonts w:ascii="Verdana" w:hAnsi="Verdana"/>
          <w:color w:val="77328A"/>
          <w:sz w:val="16"/>
          <w:szCs w:val="16"/>
        </w:rPr>
        <w:t>, Case C-555/07, 19 January 2010.</w:t>
      </w:r>
    </w:p>
  </w:footnote>
  <w:footnote w:id="84">
    <w:p w14:paraId="5AC87C87" w14:textId="77777777" w:rsidR="006F569B" w:rsidRPr="00CC5F12" w:rsidRDefault="006F569B"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w:t>
      </w:r>
      <w:r w:rsidRPr="00CC5F12">
        <w:rPr>
          <w:rFonts w:ascii="Verdana" w:hAnsi="Verdana"/>
          <w:i/>
          <w:iCs/>
          <w:color w:val="77328A"/>
          <w:sz w:val="16"/>
          <w:szCs w:val="16"/>
        </w:rPr>
        <w:t xml:space="preserve">Stadt Wuppertal v Bauer </w:t>
      </w:r>
      <w:r w:rsidRPr="00CC5F12">
        <w:rPr>
          <w:rFonts w:ascii="Verdana" w:hAnsi="Verdana"/>
          <w:color w:val="77328A"/>
          <w:sz w:val="16"/>
          <w:szCs w:val="16"/>
        </w:rPr>
        <w:t>and</w:t>
      </w:r>
      <w:r w:rsidRPr="00CC5F12">
        <w:rPr>
          <w:rFonts w:ascii="Verdana" w:hAnsi="Verdana"/>
          <w:i/>
          <w:iCs/>
          <w:color w:val="77328A"/>
          <w:sz w:val="16"/>
          <w:szCs w:val="16"/>
        </w:rPr>
        <w:t xml:space="preserve"> </w:t>
      </w:r>
      <w:proofErr w:type="spellStart"/>
      <w:r w:rsidRPr="00CC5F12">
        <w:rPr>
          <w:rFonts w:ascii="Verdana" w:hAnsi="Verdana"/>
          <w:i/>
          <w:iCs/>
          <w:color w:val="77328A"/>
          <w:sz w:val="16"/>
          <w:szCs w:val="16"/>
        </w:rPr>
        <w:t>Willmeroth</w:t>
      </w:r>
      <w:proofErr w:type="spellEnd"/>
      <w:r w:rsidRPr="00CC5F12">
        <w:rPr>
          <w:rFonts w:ascii="Verdana" w:hAnsi="Verdana"/>
          <w:i/>
          <w:iCs/>
          <w:color w:val="77328A"/>
          <w:sz w:val="16"/>
          <w:szCs w:val="16"/>
        </w:rPr>
        <w:t xml:space="preserve"> v </w:t>
      </w:r>
      <w:proofErr w:type="spellStart"/>
      <w:r w:rsidRPr="00CC5F12">
        <w:rPr>
          <w:rFonts w:ascii="Verdana" w:hAnsi="Verdana"/>
          <w:i/>
          <w:iCs/>
          <w:color w:val="77328A"/>
          <w:sz w:val="16"/>
          <w:szCs w:val="16"/>
        </w:rPr>
        <w:t>Broßonn</w:t>
      </w:r>
      <w:proofErr w:type="spellEnd"/>
      <w:r w:rsidRPr="00CC5F12">
        <w:rPr>
          <w:rFonts w:ascii="Verdana" w:hAnsi="Verdana"/>
          <w:i/>
          <w:iCs/>
          <w:color w:val="77328A"/>
          <w:sz w:val="16"/>
          <w:szCs w:val="16"/>
        </w:rPr>
        <w:t xml:space="preserve">, </w:t>
      </w:r>
      <w:r w:rsidRPr="00CC5F12">
        <w:rPr>
          <w:rFonts w:ascii="Verdana" w:hAnsi="Verdana"/>
          <w:color w:val="77328A"/>
          <w:sz w:val="16"/>
          <w:szCs w:val="16"/>
        </w:rPr>
        <w:t>Cases C-569/16 and C-570/16, 6 November 2018.</w:t>
      </w:r>
    </w:p>
  </w:footnote>
  <w:footnote w:id="85">
    <w:p w14:paraId="1D93F346" w14:textId="77777777" w:rsidR="006F569B" w:rsidRPr="00CC5F12" w:rsidRDefault="006F569B"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Egenberger v </w:t>
      </w:r>
      <w:proofErr w:type="spellStart"/>
      <w:r w:rsidRPr="00CC5F12">
        <w:rPr>
          <w:rFonts w:ascii="Verdana" w:hAnsi="Verdana"/>
          <w:color w:val="77328A"/>
          <w:sz w:val="16"/>
          <w:szCs w:val="16"/>
        </w:rPr>
        <w:t>Evangelisches</w:t>
      </w:r>
      <w:proofErr w:type="spellEnd"/>
      <w:r w:rsidRPr="00CC5F12">
        <w:rPr>
          <w:rFonts w:ascii="Verdana" w:hAnsi="Verdana"/>
          <w:color w:val="77328A"/>
          <w:sz w:val="16"/>
          <w:szCs w:val="16"/>
        </w:rPr>
        <w:t xml:space="preserve"> Werk für </w:t>
      </w:r>
      <w:proofErr w:type="spellStart"/>
      <w:r w:rsidRPr="00CC5F12">
        <w:rPr>
          <w:rFonts w:ascii="Verdana" w:hAnsi="Verdana"/>
          <w:color w:val="77328A"/>
          <w:sz w:val="16"/>
          <w:szCs w:val="16"/>
        </w:rPr>
        <w:t>Diakonie</w:t>
      </w:r>
      <w:proofErr w:type="spellEnd"/>
      <w:r w:rsidRPr="00CC5F12">
        <w:rPr>
          <w:rFonts w:ascii="Verdana" w:hAnsi="Verdana"/>
          <w:color w:val="77328A"/>
          <w:sz w:val="16"/>
          <w:szCs w:val="16"/>
        </w:rPr>
        <w:t xml:space="preserve"> und </w:t>
      </w:r>
      <w:proofErr w:type="spellStart"/>
      <w:r w:rsidRPr="00CC5F12">
        <w:rPr>
          <w:rFonts w:ascii="Verdana" w:hAnsi="Verdana"/>
          <w:color w:val="77328A"/>
          <w:sz w:val="16"/>
          <w:szCs w:val="16"/>
        </w:rPr>
        <w:t>Entwicklung</w:t>
      </w:r>
      <w:proofErr w:type="spellEnd"/>
      <w:r w:rsidRPr="00CC5F12">
        <w:rPr>
          <w:rFonts w:ascii="Verdana" w:hAnsi="Verdana"/>
          <w:color w:val="77328A"/>
          <w:sz w:val="16"/>
          <w:szCs w:val="16"/>
        </w:rPr>
        <w:t>, Case C-414/16, 17 April 2018.</w:t>
      </w:r>
    </w:p>
  </w:footnote>
  <w:footnote w:id="86">
    <w:p w14:paraId="5CD507CB" w14:textId="767A8DCC" w:rsidR="006F569B" w:rsidRPr="00CC5F12" w:rsidRDefault="006F569B"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w:t>
      </w:r>
      <w:bookmarkStart w:id="7" w:name="_Hlk167110628"/>
      <w:r w:rsidRPr="00CC5F12">
        <w:rPr>
          <w:rFonts w:ascii="Verdana" w:hAnsi="Verdana"/>
          <w:color w:val="77328A"/>
          <w:sz w:val="16"/>
          <w:szCs w:val="16"/>
        </w:rPr>
        <w:t xml:space="preserve">Sarah Craig, Anurag Deb, Eleni Frantziou, Alexander Horne, Colin Murray, Clare </w:t>
      </w:r>
      <w:proofErr w:type="gramStart"/>
      <w:r w:rsidRPr="00CC5F12">
        <w:rPr>
          <w:rFonts w:ascii="Verdana" w:hAnsi="Verdana"/>
          <w:color w:val="77328A"/>
          <w:sz w:val="16"/>
          <w:szCs w:val="16"/>
        </w:rPr>
        <w:t>Rice</w:t>
      </w:r>
      <w:proofErr w:type="gramEnd"/>
      <w:r w:rsidRPr="00CC5F12">
        <w:rPr>
          <w:rFonts w:ascii="Verdana" w:hAnsi="Verdana"/>
          <w:color w:val="77328A"/>
          <w:sz w:val="16"/>
          <w:szCs w:val="16"/>
        </w:rPr>
        <w:t xml:space="preserve"> and Jane Rooney, ‘EU Developments in Equality and Human Rights: The Impact of Brexit on the Divergence of Rights and Best Practice on the Island of Ireland’ (ECNI, NIHRC and IHREC, 2022), at </w:t>
      </w:r>
      <w:r w:rsidR="009500E1" w:rsidRPr="00CC5F12">
        <w:rPr>
          <w:rFonts w:ascii="Verdana" w:hAnsi="Verdana"/>
          <w:color w:val="77328A"/>
          <w:sz w:val="16"/>
          <w:szCs w:val="16"/>
        </w:rPr>
        <w:t>91-92</w:t>
      </w:r>
      <w:bookmarkEnd w:id="7"/>
      <w:r w:rsidR="009500E1" w:rsidRPr="00CC5F12">
        <w:rPr>
          <w:rFonts w:ascii="Verdana" w:hAnsi="Verdana"/>
          <w:color w:val="77328A"/>
          <w:sz w:val="16"/>
          <w:szCs w:val="16"/>
        </w:rPr>
        <w:t xml:space="preserve">; </w:t>
      </w:r>
      <w:bookmarkStart w:id="8" w:name="_Hlk167110648"/>
      <w:r w:rsidR="009500E1" w:rsidRPr="00CC5F12">
        <w:rPr>
          <w:rFonts w:ascii="Verdana" w:hAnsi="Verdana"/>
          <w:color w:val="77328A"/>
          <w:sz w:val="16"/>
          <w:szCs w:val="16"/>
        </w:rPr>
        <w:t xml:space="preserve">relying on </w:t>
      </w:r>
      <w:proofErr w:type="spellStart"/>
      <w:r w:rsidR="009500E1" w:rsidRPr="00CC5F12">
        <w:rPr>
          <w:rFonts w:ascii="Verdana" w:hAnsi="Verdana"/>
          <w:i/>
          <w:iCs/>
          <w:color w:val="77328A"/>
          <w:sz w:val="16"/>
          <w:szCs w:val="16"/>
        </w:rPr>
        <w:t>Benkharbouche</w:t>
      </w:r>
      <w:proofErr w:type="spellEnd"/>
      <w:r w:rsidR="009500E1" w:rsidRPr="00CC5F12">
        <w:rPr>
          <w:rFonts w:ascii="Verdana" w:hAnsi="Verdana"/>
          <w:i/>
          <w:iCs/>
          <w:color w:val="77328A"/>
          <w:sz w:val="16"/>
          <w:szCs w:val="16"/>
        </w:rPr>
        <w:t xml:space="preserve"> v Secretary of State for Foreign and Commonwealth Affairs</w:t>
      </w:r>
      <w:r w:rsidR="009500E1" w:rsidRPr="00CC5F12">
        <w:rPr>
          <w:rFonts w:ascii="Verdana" w:hAnsi="Verdana"/>
          <w:color w:val="77328A"/>
          <w:sz w:val="16"/>
          <w:szCs w:val="16"/>
        </w:rPr>
        <w:t xml:space="preserve"> [2017] UKSC 62; and </w:t>
      </w:r>
      <w:r w:rsidR="009500E1" w:rsidRPr="00CC5F12">
        <w:rPr>
          <w:rFonts w:ascii="Verdana" w:hAnsi="Verdana"/>
          <w:i/>
          <w:iCs/>
          <w:color w:val="77328A"/>
          <w:sz w:val="16"/>
          <w:szCs w:val="16"/>
        </w:rPr>
        <w:t>Walker v Innospec</w:t>
      </w:r>
      <w:r w:rsidR="009500E1" w:rsidRPr="00CC5F12">
        <w:rPr>
          <w:rFonts w:ascii="Verdana" w:hAnsi="Verdana"/>
          <w:color w:val="77328A"/>
          <w:sz w:val="16"/>
          <w:szCs w:val="16"/>
        </w:rPr>
        <w:t xml:space="preserve"> [2017] UKSC 47</w:t>
      </w:r>
      <w:bookmarkEnd w:id="8"/>
      <w:r w:rsidR="009500E1" w:rsidRPr="00CC5F12">
        <w:rPr>
          <w:rFonts w:ascii="Verdana" w:hAnsi="Verdana"/>
          <w:color w:val="77328A"/>
          <w:sz w:val="16"/>
          <w:szCs w:val="16"/>
        </w:rPr>
        <w:t>.</w:t>
      </w:r>
    </w:p>
  </w:footnote>
  <w:footnote w:id="87">
    <w:p w14:paraId="26B9C7DE" w14:textId="78E0EDD5" w:rsidR="009500E1" w:rsidRPr="00CC5F12" w:rsidRDefault="009500E1" w:rsidP="00CC5F12">
      <w:pPr>
        <w:spacing w:line="240" w:lineRule="auto"/>
        <w:rPr>
          <w:color w:val="77328A"/>
          <w:sz w:val="16"/>
          <w:szCs w:val="16"/>
        </w:rPr>
      </w:pPr>
      <w:r w:rsidRPr="00CC5F12">
        <w:rPr>
          <w:rStyle w:val="FootnoteReference"/>
          <w:color w:val="77328A"/>
          <w:sz w:val="16"/>
          <w:szCs w:val="16"/>
        </w:rPr>
        <w:footnoteRef/>
      </w:r>
      <w:r w:rsidRPr="00CC5F12">
        <w:rPr>
          <w:color w:val="77328A"/>
          <w:sz w:val="16"/>
          <w:szCs w:val="16"/>
        </w:rPr>
        <w:t xml:space="preserve"> Sarah Craig, Anurag Deb, Eleni Frantziou, Alexander Horne, Colin Murray, Clare </w:t>
      </w:r>
      <w:proofErr w:type="gramStart"/>
      <w:r w:rsidRPr="00CC5F12">
        <w:rPr>
          <w:color w:val="77328A"/>
          <w:sz w:val="16"/>
          <w:szCs w:val="16"/>
        </w:rPr>
        <w:t>Rice</w:t>
      </w:r>
      <w:proofErr w:type="gramEnd"/>
      <w:r w:rsidRPr="00CC5F12">
        <w:rPr>
          <w:color w:val="77328A"/>
          <w:sz w:val="16"/>
          <w:szCs w:val="16"/>
        </w:rPr>
        <w:t xml:space="preserve"> and Jane Rooney, ‘EU Developments in Equality and Human Rights: The Impact of Brexit on the Divergence of Rights and Best Practice on the Island of Ireland’ (ECNI, NIHRC and IHREC, 2022), at 91-92; </w:t>
      </w:r>
      <w:bookmarkStart w:id="9" w:name="_Hlk167110688"/>
      <w:r w:rsidRPr="00CC5F12">
        <w:rPr>
          <w:color w:val="77328A"/>
          <w:sz w:val="16"/>
          <w:szCs w:val="16"/>
        </w:rPr>
        <w:t xml:space="preserve">relying on </w:t>
      </w:r>
      <w:r w:rsidRPr="00CC5F12">
        <w:rPr>
          <w:i/>
          <w:iCs/>
          <w:color w:val="77328A"/>
          <w:sz w:val="16"/>
          <w:szCs w:val="16"/>
        </w:rPr>
        <w:t>Mangold v Helm</w:t>
      </w:r>
      <w:r w:rsidRPr="00CC5F12">
        <w:rPr>
          <w:color w:val="77328A"/>
          <w:sz w:val="16"/>
          <w:szCs w:val="16"/>
        </w:rPr>
        <w:t>, Case C 144/04, 22 November 2005. See Eleni Frantziou, ‘The Horizontal Effect of Human Rights after Brexit: A Matter of Renewed Constitutional Significance’ (2021) 4 EHRLR 365.</w:t>
      </w:r>
    </w:p>
    <w:bookmarkEnd w:id="9"/>
  </w:footnote>
  <w:footnote w:id="88">
    <w:p w14:paraId="7C1C9478" w14:textId="01FA7536" w:rsidR="00605350" w:rsidRPr="00CC5F12" w:rsidRDefault="00605350"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Tobias Lock, Eleni Frantziou and Anurag Deb, ‘the Interaction between the EU Charter of Fundamental Rights and the general principles of EU law with the Windsor Framework’ (NIHRC, </w:t>
      </w:r>
      <w:r w:rsidR="00217E95" w:rsidRPr="00CC5F12">
        <w:rPr>
          <w:rFonts w:ascii="Verdana" w:hAnsi="Verdana"/>
          <w:color w:val="77328A"/>
          <w:sz w:val="16"/>
          <w:szCs w:val="16"/>
        </w:rPr>
        <w:t>forthcoming</w:t>
      </w:r>
      <w:r w:rsidRPr="00CC5F12">
        <w:rPr>
          <w:rFonts w:ascii="Verdana" w:hAnsi="Verdana"/>
          <w:color w:val="77328A"/>
          <w:sz w:val="16"/>
          <w:szCs w:val="16"/>
        </w:rPr>
        <w:t>)</w:t>
      </w:r>
      <w:r w:rsidR="00851719" w:rsidRPr="00CC5F12">
        <w:rPr>
          <w:rFonts w:ascii="Verdana" w:hAnsi="Verdana"/>
          <w:color w:val="77328A"/>
          <w:sz w:val="16"/>
          <w:szCs w:val="16"/>
        </w:rPr>
        <w:t>, at 26</w:t>
      </w:r>
      <w:r w:rsidRPr="00CC5F12">
        <w:rPr>
          <w:rFonts w:ascii="Verdana" w:hAnsi="Verdana"/>
          <w:color w:val="77328A"/>
          <w:sz w:val="16"/>
          <w:szCs w:val="16"/>
        </w:rPr>
        <w:t>.</w:t>
      </w:r>
    </w:p>
  </w:footnote>
  <w:footnote w:id="89">
    <w:p w14:paraId="2EC302CE" w14:textId="47D59142" w:rsidR="004668A0" w:rsidRPr="00CC5F12" w:rsidRDefault="004668A0"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Tobias Lock, Eleni Frantziou and Anurag Deb, ‘the Interaction between the EU Charter of Fundamental Rights and the general principles of EU law with the Windsor Framework’ (NIHRC,</w:t>
      </w:r>
      <w:r w:rsidR="00217E95" w:rsidRPr="00CC5F12">
        <w:rPr>
          <w:rFonts w:ascii="Verdana" w:hAnsi="Verdana"/>
          <w:color w:val="77328A"/>
          <w:sz w:val="16"/>
          <w:szCs w:val="16"/>
        </w:rPr>
        <w:t xml:space="preserve"> forthcoming</w:t>
      </w:r>
      <w:r w:rsidRPr="00CC5F12">
        <w:rPr>
          <w:rFonts w:ascii="Verdana" w:hAnsi="Verdana"/>
          <w:color w:val="77328A"/>
          <w:sz w:val="16"/>
          <w:szCs w:val="16"/>
        </w:rPr>
        <w:t>)</w:t>
      </w:r>
      <w:r w:rsidR="00851719" w:rsidRPr="00CC5F12">
        <w:rPr>
          <w:rFonts w:ascii="Verdana" w:hAnsi="Verdana"/>
          <w:color w:val="77328A"/>
          <w:sz w:val="16"/>
          <w:szCs w:val="16"/>
        </w:rPr>
        <w:t>, at 32</w:t>
      </w:r>
      <w:r w:rsidRPr="00CC5F12">
        <w:rPr>
          <w:rFonts w:ascii="Verdana" w:hAnsi="Verdana"/>
          <w:color w:val="77328A"/>
          <w:sz w:val="16"/>
          <w:szCs w:val="16"/>
        </w:rPr>
        <w:t>.</w:t>
      </w:r>
    </w:p>
  </w:footnote>
  <w:footnote w:id="90">
    <w:p w14:paraId="04C28FC5" w14:textId="77777777" w:rsidR="00E42398" w:rsidRPr="00CC5F12" w:rsidRDefault="00E42398"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Article 2(2), Windsor Framework. </w:t>
      </w:r>
    </w:p>
  </w:footnote>
  <w:footnote w:id="91">
    <w:p w14:paraId="424EEF72" w14:textId="043F6AFD" w:rsidR="00CC5F12" w:rsidRPr="00CC5F12" w:rsidRDefault="00CC5F12"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See</w:t>
      </w:r>
      <w:proofErr w:type="gramStart"/>
      <w:r w:rsidR="00D43C43">
        <w:rPr>
          <w:rFonts w:ascii="Verdana" w:hAnsi="Verdana"/>
          <w:color w:val="77328A"/>
          <w:sz w:val="16"/>
          <w:szCs w:val="16"/>
        </w:rPr>
        <w:t>,</w:t>
      </w:r>
      <w:r w:rsidRPr="00CC5F12">
        <w:rPr>
          <w:rFonts w:ascii="Verdana" w:hAnsi="Verdana"/>
          <w:color w:val="77328A"/>
          <w:sz w:val="16"/>
          <w:szCs w:val="16"/>
        </w:rPr>
        <w:t xml:space="preserve"> in particular, Sections</w:t>
      </w:r>
      <w:proofErr w:type="gramEnd"/>
      <w:r w:rsidRPr="00CC5F12">
        <w:rPr>
          <w:rFonts w:ascii="Verdana" w:hAnsi="Verdana"/>
          <w:color w:val="77328A"/>
          <w:sz w:val="16"/>
          <w:szCs w:val="16"/>
        </w:rPr>
        <w:t xml:space="preserve"> 78C and 78D, Northern Ireland Act 1998.</w:t>
      </w:r>
    </w:p>
  </w:footnote>
  <w:footnote w:id="92">
    <w:p w14:paraId="5FBF59BB" w14:textId="68283F75" w:rsidR="0013645C" w:rsidRPr="00CC5F12" w:rsidRDefault="0013645C" w:rsidP="00CC5F12">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Article 165, UK-EU Withdrawal Agreement provides for establishing the Specialised Committee on the implementation of the Windsor Framework.</w:t>
      </w:r>
      <w:r w:rsidR="00CC5F12" w:rsidRPr="00CC5F12">
        <w:rPr>
          <w:rFonts w:ascii="Verdana" w:hAnsi="Verdana"/>
          <w:color w:val="77328A"/>
          <w:sz w:val="16"/>
          <w:szCs w:val="16"/>
        </w:rPr>
        <w:t xml:space="preserve"> See Section 78</w:t>
      </w:r>
      <w:proofErr w:type="gramStart"/>
      <w:r w:rsidR="00CC5F12" w:rsidRPr="00CC5F12">
        <w:rPr>
          <w:rFonts w:ascii="Verdana" w:hAnsi="Verdana"/>
          <w:color w:val="77328A"/>
          <w:sz w:val="16"/>
          <w:szCs w:val="16"/>
        </w:rPr>
        <w:t>A(</w:t>
      </w:r>
      <w:proofErr w:type="gramEnd"/>
      <w:r w:rsidR="00CC5F12" w:rsidRPr="00CC5F12">
        <w:rPr>
          <w:rFonts w:ascii="Verdana" w:hAnsi="Verdana"/>
          <w:color w:val="77328A"/>
          <w:sz w:val="16"/>
          <w:szCs w:val="16"/>
        </w:rPr>
        <w:t>9), Northern Ireland Act 1998 in respect of the NI Human Rights Commission and Section 78B(9) in respect of the Equality Commission for NI.</w:t>
      </w:r>
    </w:p>
  </w:footnote>
  <w:footnote w:id="93">
    <w:p w14:paraId="64DAECFC" w14:textId="4706F85A" w:rsidR="00D43C43" w:rsidRPr="00CC5F12" w:rsidRDefault="00D43C43" w:rsidP="00D43C43">
      <w:pPr>
        <w:pStyle w:val="FootnoteText"/>
        <w:rPr>
          <w:rFonts w:ascii="Verdana" w:hAnsi="Verdana"/>
          <w:color w:val="77328A"/>
          <w:sz w:val="16"/>
          <w:szCs w:val="16"/>
        </w:rPr>
      </w:pPr>
      <w:r w:rsidRPr="00CC5F12">
        <w:rPr>
          <w:rStyle w:val="FootnoteReference"/>
          <w:rFonts w:ascii="Verdana" w:hAnsi="Verdana"/>
          <w:color w:val="77328A"/>
          <w:sz w:val="16"/>
          <w:szCs w:val="16"/>
        </w:rPr>
        <w:footnoteRef/>
      </w:r>
      <w:r w:rsidRPr="00CC5F12">
        <w:rPr>
          <w:rFonts w:ascii="Verdana" w:hAnsi="Verdana"/>
          <w:color w:val="77328A"/>
          <w:sz w:val="16"/>
          <w:szCs w:val="16"/>
        </w:rPr>
        <w:t xml:space="preserve"> See Section 78C, Northern Ireland Act 1998.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84948"/>
    <w:multiLevelType w:val="multilevel"/>
    <w:tmpl w:val="D82499DE"/>
    <w:lvl w:ilvl="0">
      <w:start w:val="2"/>
      <w:numFmt w:val="decimal"/>
      <w:lvlText w:val="%1.0"/>
      <w:lvlJc w:val="left"/>
      <w:pPr>
        <w:ind w:left="1080" w:hanging="720"/>
      </w:pPr>
      <w:rPr>
        <w:rFonts w:hint="default"/>
      </w:rPr>
    </w:lvl>
    <w:lvl w:ilvl="1">
      <w:start w:val="1"/>
      <w:numFmt w:val="decimal"/>
      <w:lvlText w:val="%1.%2"/>
      <w:lvlJc w:val="left"/>
      <w:pPr>
        <w:ind w:left="1800" w:hanging="720"/>
      </w:pPr>
      <w:rPr>
        <w:rFonts w:hint="default"/>
        <w:b w:val="0"/>
        <w:bCs/>
      </w:rPr>
    </w:lvl>
    <w:lvl w:ilvl="2">
      <w:start w:val="1"/>
      <w:numFmt w:val="decimal"/>
      <w:lvlText w:val="%1.%2.%3"/>
      <w:lvlJc w:val="left"/>
      <w:pPr>
        <w:ind w:left="2880" w:hanging="1080"/>
      </w:pPr>
      <w:rPr>
        <w:rFonts w:hint="default"/>
      </w:rPr>
    </w:lvl>
    <w:lvl w:ilvl="3">
      <w:start w:val="1"/>
      <w:numFmt w:val="decimal"/>
      <w:lvlText w:val="%1.%2.%3.%4"/>
      <w:lvlJc w:val="left"/>
      <w:pPr>
        <w:ind w:left="3960" w:hanging="1440"/>
      </w:pPr>
      <w:rPr>
        <w:rFonts w:hint="default"/>
      </w:rPr>
    </w:lvl>
    <w:lvl w:ilvl="4">
      <w:start w:val="1"/>
      <w:numFmt w:val="decimal"/>
      <w:lvlText w:val="%1.%2.%3.%4.%5"/>
      <w:lvlJc w:val="left"/>
      <w:pPr>
        <w:ind w:left="5040" w:hanging="1800"/>
      </w:pPr>
      <w:rPr>
        <w:rFonts w:hint="default"/>
      </w:rPr>
    </w:lvl>
    <w:lvl w:ilvl="5">
      <w:start w:val="1"/>
      <w:numFmt w:val="decimal"/>
      <w:lvlText w:val="%1.%2.%3.%4.%5.%6"/>
      <w:lvlJc w:val="left"/>
      <w:pPr>
        <w:ind w:left="6120" w:hanging="2160"/>
      </w:pPr>
      <w:rPr>
        <w:rFonts w:hint="default"/>
      </w:rPr>
    </w:lvl>
    <w:lvl w:ilvl="6">
      <w:start w:val="1"/>
      <w:numFmt w:val="decimal"/>
      <w:lvlText w:val="%1.%2.%3.%4.%5.%6.%7"/>
      <w:lvlJc w:val="left"/>
      <w:pPr>
        <w:ind w:left="7200" w:hanging="2520"/>
      </w:pPr>
      <w:rPr>
        <w:rFonts w:hint="default"/>
      </w:rPr>
    </w:lvl>
    <w:lvl w:ilvl="7">
      <w:start w:val="1"/>
      <w:numFmt w:val="decimal"/>
      <w:lvlText w:val="%1.%2.%3.%4.%5.%6.%7.%8"/>
      <w:lvlJc w:val="left"/>
      <w:pPr>
        <w:ind w:left="8280" w:hanging="2880"/>
      </w:pPr>
      <w:rPr>
        <w:rFonts w:hint="default"/>
      </w:rPr>
    </w:lvl>
    <w:lvl w:ilvl="8">
      <w:start w:val="1"/>
      <w:numFmt w:val="decimal"/>
      <w:lvlText w:val="%1.%2.%3.%4.%5.%6.%7.%8.%9"/>
      <w:lvlJc w:val="left"/>
      <w:pPr>
        <w:ind w:left="9360" w:hanging="3240"/>
      </w:pPr>
      <w:rPr>
        <w:rFonts w:hint="default"/>
      </w:rPr>
    </w:lvl>
  </w:abstractNum>
  <w:abstractNum w:abstractNumId="1" w15:restartNumberingAfterBreak="0">
    <w:nsid w:val="0E5753B5"/>
    <w:multiLevelType w:val="hybridMultilevel"/>
    <w:tmpl w:val="088893A0"/>
    <w:lvl w:ilvl="0" w:tplc="039E1FD4">
      <w:start w:val="1"/>
      <w:numFmt w:val="decimal"/>
      <w:lvlText w:val="%1.0"/>
      <w:lvlJc w:val="left"/>
      <w:pPr>
        <w:ind w:left="360" w:hanging="360"/>
      </w:pPr>
      <w:rPr>
        <w:rFonts w:hint="default"/>
        <w:color w:val="77328A"/>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EFC0E59"/>
    <w:multiLevelType w:val="hybridMultilevel"/>
    <w:tmpl w:val="45622584"/>
    <w:lvl w:ilvl="0" w:tplc="3D289F06">
      <w:start w:val="1"/>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AF33CA"/>
    <w:multiLevelType w:val="hybridMultilevel"/>
    <w:tmpl w:val="2084B2CC"/>
    <w:lvl w:ilvl="0" w:tplc="37D42462">
      <w:start w:val="1"/>
      <w:numFmt w:val="lowerLetter"/>
      <w:lvlText w:val="(%1)"/>
      <w:lvlJc w:val="left"/>
      <w:pPr>
        <w:ind w:left="2280" w:hanging="72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4" w15:restartNumberingAfterBreak="0">
    <w:nsid w:val="1DED4975"/>
    <w:multiLevelType w:val="hybridMultilevel"/>
    <w:tmpl w:val="446EAED6"/>
    <w:lvl w:ilvl="0" w:tplc="8B1AE1E8">
      <w:start w:val="12"/>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DA4045"/>
    <w:multiLevelType w:val="hybridMultilevel"/>
    <w:tmpl w:val="6552913A"/>
    <w:lvl w:ilvl="0" w:tplc="F8FA4CA2">
      <w:start w:val="19"/>
      <w:numFmt w:val="bullet"/>
      <w:lvlText w:val="-"/>
      <w:lvlJc w:val="left"/>
      <w:pPr>
        <w:ind w:left="720" w:hanging="360"/>
      </w:pPr>
      <w:rPr>
        <w:rFonts w:ascii="Verdana" w:eastAsiaTheme="minorHAnsi" w:hAnsi="Verdana"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4E0C73"/>
    <w:multiLevelType w:val="hybridMultilevel"/>
    <w:tmpl w:val="13924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936C80"/>
    <w:multiLevelType w:val="hybridMultilevel"/>
    <w:tmpl w:val="048A65D2"/>
    <w:lvl w:ilvl="0" w:tplc="59F0C5D8">
      <w:start w:val="1"/>
      <w:numFmt w:val="lowerRoman"/>
      <w:lvlText w:val="(%1)"/>
      <w:lvlJc w:val="left"/>
      <w:pPr>
        <w:ind w:left="1440" w:hanging="360"/>
      </w:pPr>
      <w:rPr>
        <w:rFonts w:cstheme="minorBidi" w:hint="default"/>
        <w:color w:val="auto"/>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472807EE"/>
    <w:multiLevelType w:val="hybridMultilevel"/>
    <w:tmpl w:val="AA6EAD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81E6884"/>
    <w:multiLevelType w:val="multilevel"/>
    <w:tmpl w:val="D9F29386"/>
    <w:lvl w:ilvl="0">
      <w:start w:val="3"/>
      <w:numFmt w:val="decimal"/>
      <w:lvlText w:val="%1.0"/>
      <w:lvlJc w:val="left"/>
      <w:pPr>
        <w:ind w:left="108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1080"/>
      </w:pPr>
      <w:rPr>
        <w:rFonts w:hint="default"/>
      </w:rPr>
    </w:lvl>
    <w:lvl w:ilvl="3">
      <w:start w:val="1"/>
      <w:numFmt w:val="decimal"/>
      <w:lvlText w:val="%1.%2.%3.%4"/>
      <w:lvlJc w:val="left"/>
      <w:pPr>
        <w:ind w:left="3960" w:hanging="1440"/>
      </w:pPr>
      <w:rPr>
        <w:rFonts w:hint="default"/>
      </w:rPr>
    </w:lvl>
    <w:lvl w:ilvl="4">
      <w:start w:val="1"/>
      <w:numFmt w:val="decimal"/>
      <w:lvlText w:val="%1.%2.%3.%4.%5"/>
      <w:lvlJc w:val="left"/>
      <w:pPr>
        <w:ind w:left="5040" w:hanging="1800"/>
      </w:pPr>
      <w:rPr>
        <w:rFonts w:hint="default"/>
      </w:rPr>
    </w:lvl>
    <w:lvl w:ilvl="5">
      <w:start w:val="1"/>
      <w:numFmt w:val="decimal"/>
      <w:lvlText w:val="%1.%2.%3.%4.%5.%6"/>
      <w:lvlJc w:val="left"/>
      <w:pPr>
        <w:ind w:left="6120" w:hanging="2160"/>
      </w:pPr>
      <w:rPr>
        <w:rFonts w:hint="default"/>
      </w:rPr>
    </w:lvl>
    <w:lvl w:ilvl="6">
      <w:start w:val="1"/>
      <w:numFmt w:val="decimal"/>
      <w:lvlText w:val="%1.%2.%3.%4.%5.%6.%7"/>
      <w:lvlJc w:val="left"/>
      <w:pPr>
        <w:ind w:left="7200" w:hanging="2520"/>
      </w:pPr>
      <w:rPr>
        <w:rFonts w:hint="default"/>
      </w:rPr>
    </w:lvl>
    <w:lvl w:ilvl="7">
      <w:start w:val="1"/>
      <w:numFmt w:val="decimal"/>
      <w:lvlText w:val="%1.%2.%3.%4.%5.%6.%7.%8"/>
      <w:lvlJc w:val="left"/>
      <w:pPr>
        <w:ind w:left="8280" w:hanging="2880"/>
      </w:pPr>
      <w:rPr>
        <w:rFonts w:hint="default"/>
      </w:rPr>
    </w:lvl>
    <w:lvl w:ilvl="8">
      <w:start w:val="1"/>
      <w:numFmt w:val="decimal"/>
      <w:lvlText w:val="%1.%2.%3.%4.%5.%6.%7.%8.%9"/>
      <w:lvlJc w:val="left"/>
      <w:pPr>
        <w:ind w:left="9360" w:hanging="3240"/>
      </w:pPr>
      <w:rPr>
        <w:rFonts w:hint="default"/>
      </w:rPr>
    </w:lvl>
  </w:abstractNum>
  <w:abstractNum w:abstractNumId="10" w15:restartNumberingAfterBreak="0">
    <w:nsid w:val="5B865C1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DB06A99"/>
    <w:multiLevelType w:val="hybridMultilevel"/>
    <w:tmpl w:val="566839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CA50DE"/>
    <w:multiLevelType w:val="hybridMultilevel"/>
    <w:tmpl w:val="B538C7FE"/>
    <w:lvl w:ilvl="0" w:tplc="39A4C5DA">
      <w:start w:val="18"/>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312F21"/>
    <w:multiLevelType w:val="hybridMultilevel"/>
    <w:tmpl w:val="FA66D3FA"/>
    <w:lvl w:ilvl="0" w:tplc="11402AC4">
      <w:start w:val="47"/>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076E71"/>
    <w:multiLevelType w:val="hybridMultilevel"/>
    <w:tmpl w:val="5002B2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477FEB"/>
    <w:multiLevelType w:val="hybridMultilevel"/>
    <w:tmpl w:val="45007B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4C87E68"/>
    <w:multiLevelType w:val="multilevel"/>
    <w:tmpl w:val="C4DE21B6"/>
    <w:lvl w:ilvl="0">
      <w:start w:val="1"/>
      <w:numFmt w:val="decimal"/>
      <w:lvlText w:val="%1"/>
      <w:lvlJc w:val="left"/>
      <w:pPr>
        <w:ind w:left="720" w:hanging="720"/>
      </w:pPr>
      <w:rPr>
        <w:rFonts w:hint="default"/>
      </w:rPr>
    </w:lvl>
    <w:lvl w:ilvl="1">
      <w:start w:val="1"/>
      <w:numFmt w:val="decimal"/>
      <w:pStyle w:val="ListParagraph"/>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782A463E"/>
    <w:multiLevelType w:val="hybridMultilevel"/>
    <w:tmpl w:val="038441AA"/>
    <w:lvl w:ilvl="0" w:tplc="932ECC6E">
      <w:numFmt w:val="bullet"/>
      <w:lvlText w:val=""/>
      <w:lvlJc w:val="left"/>
      <w:pPr>
        <w:ind w:left="820" w:hanging="360"/>
      </w:pPr>
      <w:rPr>
        <w:rFonts w:ascii="Symbol" w:eastAsia="Symbol" w:hAnsi="Symbol" w:cs="Symbol" w:hint="default"/>
        <w:w w:val="100"/>
        <w:sz w:val="24"/>
        <w:szCs w:val="24"/>
        <w:lang w:val="en-US" w:eastAsia="en-US" w:bidi="ar-SA"/>
      </w:rPr>
    </w:lvl>
    <w:lvl w:ilvl="1" w:tplc="0E86A83C">
      <w:numFmt w:val="bullet"/>
      <w:lvlText w:val="•"/>
      <w:lvlJc w:val="left"/>
      <w:pPr>
        <w:ind w:left="1743" w:hanging="360"/>
      </w:pPr>
      <w:rPr>
        <w:rFonts w:hint="default"/>
        <w:lang w:val="en-US" w:eastAsia="en-US" w:bidi="ar-SA"/>
      </w:rPr>
    </w:lvl>
    <w:lvl w:ilvl="2" w:tplc="976C94C8">
      <w:numFmt w:val="bullet"/>
      <w:lvlText w:val="•"/>
      <w:lvlJc w:val="left"/>
      <w:pPr>
        <w:ind w:left="2667" w:hanging="360"/>
      </w:pPr>
      <w:rPr>
        <w:rFonts w:hint="default"/>
        <w:lang w:val="en-US" w:eastAsia="en-US" w:bidi="ar-SA"/>
      </w:rPr>
    </w:lvl>
    <w:lvl w:ilvl="3" w:tplc="305ECB18">
      <w:numFmt w:val="bullet"/>
      <w:lvlText w:val="•"/>
      <w:lvlJc w:val="left"/>
      <w:pPr>
        <w:ind w:left="3591" w:hanging="360"/>
      </w:pPr>
      <w:rPr>
        <w:rFonts w:hint="default"/>
        <w:lang w:val="en-US" w:eastAsia="en-US" w:bidi="ar-SA"/>
      </w:rPr>
    </w:lvl>
    <w:lvl w:ilvl="4" w:tplc="D7102FAC">
      <w:numFmt w:val="bullet"/>
      <w:lvlText w:val="•"/>
      <w:lvlJc w:val="left"/>
      <w:pPr>
        <w:ind w:left="4515" w:hanging="360"/>
      </w:pPr>
      <w:rPr>
        <w:rFonts w:hint="default"/>
        <w:lang w:val="en-US" w:eastAsia="en-US" w:bidi="ar-SA"/>
      </w:rPr>
    </w:lvl>
    <w:lvl w:ilvl="5" w:tplc="27C4156C">
      <w:numFmt w:val="bullet"/>
      <w:lvlText w:val="•"/>
      <w:lvlJc w:val="left"/>
      <w:pPr>
        <w:ind w:left="5439" w:hanging="360"/>
      </w:pPr>
      <w:rPr>
        <w:rFonts w:hint="default"/>
        <w:lang w:val="en-US" w:eastAsia="en-US" w:bidi="ar-SA"/>
      </w:rPr>
    </w:lvl>
    <w:lvl w:ilvl="6" w:tplc="527A996E">
      <w:numFmt w:val="bullet"/>
      <w:lvlText w:val="•"/>
      <w:lvlJc w:val="left"/>
      <w:pPr>
        <w:ind w:left="6363" w:hanging="360"/>
      </w:pPr>
      <w:rPr>
        <w:rFonts w:hint="default"/>
        <w:lang w:val="en-US" w:eastAsia="en-US" w:bidi="ar-SA"/>
      </w:rPr>
    </w:lvl>
    <w:lvl w:ilvl="7" w:tplc="A6326256">
      <w:numFmt w:val="bullet"/>
      <w:lvlText w:val="•"/>
      <w:lvlJc w:val="left"/>
      <w:pPr>
        <w:ind w:left="7287" w:hanging="360"/>
      </w:pPr>
      <w:rPr>
        <w:rFonts w:hint="default"/>
        <w:lang w:val="en-US" w:eastAsia="en-US" w:bidi="ar-SA"/>
      </w:rPr>
    </w:lvl>
    <w:lvl w:ilvl="8" w:tplc="ED64A12A">
      <w:numFmt w:val="bullet"/>
      <w:lvlText w:val="•"/>
      <w:lvlJc w:val="left"/>
      <w:pPr>
        <w:ind w:left="8211" w:hanging="360"/>
      </w:pPr>
      <w:rPr>
        <w:rFonts w:hint="default"/>
        <w:lang w:val="en-US" w:eastAsia="en-US" w:bidi="ar-SA"/>
      </w:rPr>
    </w:lvl>
  </w:abstractNum>
  <w:num w:numId="1" w16cid:durableId="343290704">
    <w:abstractNumId w:val="4"/>
  </w:num>
  <w:num w:numId="2" w16cid:durableId="1997030213">
    <w:abstractNumId w:val="5"/>
  </w:num>
  <w:num w:numId="3" w16cid:durableId="1538742259">
    <w:abstractNumId w:val="0"/>
  </w:num>
  <w:num w:numId="4" w16cid:durableId="43912034">
    <w:abstractNumId w:val="9"/>
  </w:num>
  <w:num w:numId="5" w16cid:durableId="1913731479">
    <w:abstractNumId w:val="12"/>
  </w:num>
  <w:num w:numId="6" w16cid:durableId="1567378987">
    <w:abstractNumId w:val="11"/>
  </w:num>
  <w:num w:numId="7" w16cid:durableId="1872842675">
    <w:abstractNumId w:val="7"/>
  </w:num>
  <w:num w:numId="8" w16cid:durableId="488979454">
    <w:abstractNumId w:val="3"/>
  </w:num>
  <w:num w:numId="9" w16cid:durableId="1388914905">
    <w:abstractNumId w:val="1"/>
    <w:lvlOverride w:ilvl="0">
      <w:startOverride w:val="1"/>
    </w:lvlOverride>
  </w:num>
  <w:num w:numId="10" w16cid:durableId="1057775284">
    <w:abstractNumId w:val="16"/>
  </w:num>
  <w:num w:numId="11" w16cid:durableId="73170575">
    <w:abstractNumId w:val="1"/>
  </w:num>
  <w:num w:numId="12" w16cid:durableId="670257452">
    <w:abstractNumId w:val="6"/>
  </w:num>
  <w:num w:numId="13" w16cid:durableId="984621432">
    <w:abstractNumId w:val="2"/>
  </w:num>
  <w:num w:numId="14" w16cid:durableId="1910113568">
    <w:abstractNumId w:val="10"/>
  </w:num>
  <w:num w:numId="15" w16cid:durableId="1194465347">
    <w:abstractNumId w:val="13"/>
  </w:num>
  <w:num w:numId="16" w16cid:durableId="1862623893">
    <w:abstractNumId w:val="17"/>
  </w:num>
  <w:num w:numId="17" w16cid:durableId="973876112">
    <w:abstractNumId w:val="14"/>
  </w:num>
  <w:num w:numId="18" w16cid:durableId="768701111">
    <w:abstractNumId w:val="15"/>
  </w:num>
  <w:num w:numId="19" w16cid:durableId="232881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9D6"/>
    <w:rsid w:val="000054DC"/>
    <w:rsid w:val="000149F9"/>
    <w:rsid w:val="000156E0"/>
    <w:rsid w:val="00017FF1"/>
    <w:rsid w:val="00043800"/>
    <w:rsid w:val="00045947"/>
    <w:rsid w:val="00080B65"/>
    <w:rsid w:val="00084A9C"/>
    <w:rsid w:val="0009294F"/>
    <w:rsid w:val="000A0BBB"/>
    <w:rsid w:val="000B2696"/>
    <w:rsid w:val="000C7960"/>
    <w:rsid w:val="000D3058"/>
    <w:rsid w:val="000D6D8E"/>
    <w:rsid w:val="000F4232"/>
    <w:rsid w:val="00103F6D"/>
    <w:rsid w:val="0011799C"/>
    <w:rsid w:val="00122E60"/>
    <w:rsid w:val="001256BB"/>
    <w:rsid w:val="0013166F"/>
    <w:rsid w:val="001331E7"/>
    <w:rsid w:val="0013645C"/>
    <w:rsid w:val="0013728E"/>
    <w:rsid w:val="00151B96"/>
    <w:rsid w:val="0016176E"/>
    <w:rsid w:val="00166E22"/>
    <w:rsid w:val="00182B7F"/>
    <w:rsid w:val="00187055"/>
    <w:rsid w:val="00193B48"/>
    <w:rsid w:val="0019521F"/>
    <w:rsid w:val="001B1F38"/>
    <w:rsid w:val="001B61FD"/>
    <w:rsid w:val="001C634C"/>
    <w:rsid w:val="001D0F09"/>
    <w:rsid w:val="001D3051"/>
    <w:rsid w:val="001D60D9"/>
    <w:rsid w:val="001D78F9"/>
    <w:rsid w:val="001E0999"/>
    <w:rsid w:val="001E1F00"/>
    <w:rsid w:val="001F016C"/>
    <w:rsid w:val="001F179B"/>
    <w:rsid w:val="001F25E7"/>
    <w:rsid w:val="001F3D74"/>
    <w:rsid w:val="00200AA0"/>
    <w:rsid w:val="00217E95"/>
    <w:rsid w:val="002273E3"/>
    <w:rsid w:val="00227BB1"/>
    <w:rsid w:val="002575FB"/>
    <w:rsid w:val="00262B88"/>
    <w:rsid w:val="00263964"/>
    <w:rsid w:val="00271BA6"/>
    <w:rsid w:val="002762A2"/>
    <w:rsid w:val="00277F3A"/>
    <w:rsid w:val="00281EDE"/>
    <w:rsid w:val="002A5788"/>
    <w:rsid w:val="002C4568"/>
    <w:rsid w:val="002D0083"/>
    <w:rsid w:val="002D459C"/>
    <w:rsid w:val="002D6206"/>
    <w:rsid w:val="003029F6"/>
    <w:rsid w:val="0031041F"/>
    <w:rsid w:val="00313008"/>
    <w:rsid w:val="00336417"/>
    <w:rsid w:val="00341347"/>
    <w:rsid w:val="00360E78"/>
    <w:rsid w:val="003643F4"/>
    <w:rsid w:val="003678F2"/>
    <w:rsid w:val="0037328C"/>
    <w:rsid w:val="00375E7E"/>
    <w:rsid w:val="00382C54"/>
    <w:rsid w:val="003C0DAA"/>
    <w:rsid w:val="003D3C95"/>
    <w:rsid w:val="003D638F"/>
    <w:rsid w:val="003F1335"/>
    <w:rsid w:val="003F1C89"/>
    <w:rsid w:val="003F2075"/>
    <w:rsid w:val="003F2CA4"/>
    <w:rsid w:val="003F3624"/>
    <w:rsid w:val="0042555F"/>
    <w:rsid w:val="004564E5"/>
    <w:rsid w:val="00464E1B"/>
    <w:rsid w:val="004668A0"/>
    <w:rsid w:val="004743D1"/>
    <w:rsid w:val="00475D06"/>
    <w:rsid w:val="0048175D"/>
    <w:rsid w:val="0048354C"/>
    <w:rsid w:val="00487D2D"/>
    <w:rsid w:val="00487FB9"/>
    <w:rsid w:val="004915F8"/>
    <w:rsid w:val="00496463"/>
    <w:rsid w:val="004A6BAA"/>
    <w:rsid w:val="004B5894"/>
    <w:rsid w:val="004C6D46"/>
    <w:rsid w:val="004D3B82"/>
    <w:rsid w:val="004D456F"/>
    <w:rsid w:val="00502815"/>
    <w:rsid w:val="00503CD0"/>
    <w:rsid w:val="00503D44"/>
    <w:rsid w:val="00533AE5"/>
    <w:rsid w:val="00551051"/>
    <w:rsid w:val="00572D7D"/>
    <w:rsid w:val="0057391E"/>
    <w:rsid w:val="00575BAA"/>
    <w:rsid w:val="00580309"/>
    <w:rsid w:val="005863D2"/>
    <w:rsid w:val="00590249"/>
    <w:rsid w:val="005C12FF"/>
    <w:rsid w:val="005C456C"/>
    <w:rsid w:val="005C68B5"/>
    <w:rsid w:val="005F1671"/>
    <w:rsid w:val="005F342B"/>
    <w:rsid w:val="00600AC6"/>
    <w:rsid w:val="00602171"/>
    <w:rsid w:val="00602BEA"/>
    <w:rsid w:val="00605350"/>
    <w:rsid w:val="00615138"/>
    <w:rsid w:val="006244F1"/>
    <w:rsid w:val="006311D1"/>
    <w:rsid w:val="00651823"/>
    <w:rsid w:val="006566D2"/>
    <w:rsid w:val="0068363F"/>
    <w:rsid w:val="00684EA3"/>
    <w:rsid w:val="00697062"/>
    <w:rsid w:val="006A01D9"/>
    <w:rsid w:val="006C0A9E"/>
    <w:rsid w:val="006C365F"/>
    <w:rsid w:val="006C423D"/>
    <w:rsid w:val="006F02BE"/>
    <w:rsid w:val="006F0986"/>
    <w:rsid w:val="006F2D47"/>
    <w:rsid w:val="006F569B"/>
    <w:rsid w:val="00707D9B"/>
    <w:rsid w:val="00715F09"/>
    <w:rsid w:val="0072472C"/>
    <w:rsid w:val="00735910"/>
    <w:rsid w:val="00735D56"/>
    <w:rsid w:val="00736DBD"/>
    <w:rsid w:val="00737913"/>
    <w:rsid w:val="00741781"/>
    <w:rsid w:val="00746D98"/>
    <w:rsid w:val="00756B5A"/>
    <w:rsid w:val="00765ADB"/>
    <w:rsid w:val="00766ED1"/>
    <w:rsid w:val="0076792D"/>
    <w:rsid w:val="0077213A"/>
    <w:rsid w:val="00785C97"/>
    <w:rsid w:val="007976AF"/>
    <w:rsid w:val="007A7996"/>
    <w:rsid w:val="007F7B7B"/>
    <w:rsid w:val="00815CAA"/>
    <w:rsid w:val="0081656F"/>
    <w:rsid w:val="00837663"/>
    <w:rsid w:val="00840E50"/>
    <w:rsid w:val="00851339"/>
    <w:rsid w:val="00851719"/>
    <w:rsid w:val="008527A1"/>
    <w:rsid w:val="00853144"/>
    <w:rsid w:val="008554E1"/>
    <w:rsid w:val="008561E0"/>
    <w:rsid w:val="00860965"/>
    <w:rsid w:val="0088131B"/>
    <w:rsid w:val="00895519"/>
    <w:rsid w:val="008A1CB5"/>
    <w:rsid w:val="008A4677"/>
    <w:rsid w:val="008B30D1"/>
    <w:rsid w:val="008B404B"/>
    <w:rsid w:val="008C5EF3"/>
    <w:rsid w:val="008E18D5"/>
    <w:rsid w:val="008E6F9C"/>
    <w:rsid w:val="008F4E21"/>
    <w:rsid w:val="008F6A30"/>
    <w:rsid w:val="00906579"/>
    <w:rsid w:val="009278FD"/>
    <w:rsid w:val="009500E1"/>
    <w:rsid w:val="0095438B"/>
    <w:rsid w:val="00966FAC"/>
    <w:rsid w:val="0097562C"/>
    <w:rsid w:val="00977817"/>
    <w:rsid w:val="00993FE9"/>
    <w:rsid w:val="00996812"/>
    <w:rsid w:val="009B0E66"/>
    <w:rsid w:val="009C29D6"/>
    <w:rsid w:val="009C2F7E"/>
    <w:rsid w:val="009D650D"/>
    <w:rsid w:val="009E32E2"/>
    <w:rsid w:val="009F06AA"/>
    <w:rsid w:val="009F32DA"/>
    <w:rsid w:val="00A01B0A"/>
    <w:rsid w:val="00A01F7D"/>
    <w:rsid w:val="00A94875"/>
    <w:rsid w:val="00A97FA1"/>
    <w:rsid w:val="00AA377F"/>
    <w:rsid w:val="00AA782B"/>
    <w:rsid w:val="00AB12AB"/>
    <w:rsid w:val="00AB666C"/>
    <w:rsid w:val="00AB75C0"/>
    <w:rsid w:val="00AC4DE3"/>
    <w:rsid w:val="00B05407"/>
    <w:rsid w:val="00B32B1A"/>
    <w:rsid w:val="00B350BD"/>
    <w:rsid w:val="00B360CD"/>
    <w:rsid w:val="00B4185E"/>
    <w:rsid w:val="00B4487E"/>
    <w:rsid w:val="00B46A0A"/>
    <w:rsid w:val="00B747AC"/>
    <w:rsid w:val="00B76227"/>
    <w:rsid w:val="00B90616"/>
    <w:rsid w:val="00B941EE"/>
    <w:rsid w:val="00B959D6"/>
    <w:rsid w:val="00BB3E5D"/>
    <w:rsid w:val="00BC3E75"/>
    <w:rsid w:val="00BC4949"/>
    <w:rsid w:val="00BD03A6"/>
    <w:rsid w:val="00BD6C8E"/>
    <w:rsid w:val="00BE733F"/>
    <w:rsid w:val="00BF771F"/>
    <w:rsid w:val="00C0186B"/>
    <w:rsid w:val="00C2201C"/>
    <w:rsid w:val="00C25AF1"/>
    <w:rsid w:val="00C37501"/>
    <w:rsid w:val="00C5101E"/>
    <w:rsid w:val="00C71A2A"/>
    <w:rsid w:val="00C8333C"/>
    <w:rsid w:val="00C92669"/>
    <w:rsid w:val="00C93E20"/>
    <w:rsid w:val="00CB0F0D"/>
    <w:rsid w:val="00CC4E44"/>
    <w:rsid w:val="00CC5F12"/>
    <w:rsid w:val="00CD68D0"/>
    <w:rsid w:val="00CE14C6"/>
    <w:rsid w:val="00CE4F0F"/>
    <w:rsid w:val="00CE721A"/>
    <w:rsid w:val="00D04309"/>
    <w:rsid w:val="00D11AFA"/>
    <w:rsid w:val="00D3239F"/>
    <w:rsid w:val="00D3625D"/>
    <w:rsid w:val="00D43C43"/>
    <w:rsid w:val="00D46387"/>
    <w:rsid w:val="00D561FF"/>
    <w:rsid w:val="00D6124F"/>
    <w:rsid w:val="00D74B57"/>
    <w:rsid w:val="00D76B67"/>
    <w:rsid w:val="00D76EBD"/>
    <w:rsid w:val="00D82B85"/>
    <w:rsid w:val="00D86D21"/>
    <w:rsid w:val="00D91870"/>
    <w:rsid w:val="00D94CBC"/>
    <w:rsid w:val="00DA12BB"/>
    <w:rsid w:val="00DB6ED7"/>
    <w:rsid w:val="00DC05E8"/>
    <w:rsid w:val="00DD3B2D"/>
    <w:rsid w:val="00DE038A"/>
    <w:rsid w:val="00DE18D3"/>
    <w:rsid w:val="00E01411"/>
    <w:rsid w:val="00E2318D"/>
    <w:rsid w:val="00E32F99"/>
    <w:rsid w:val="00E34D33"/>
    <w:rsid w:val="00E42398"/>
    <w:rsid w:val="00E43010"/>
    <w:rsid w:val="00E54B5E"/>
    <w:rsid w:val="00E57161"/>
    <w:rsid w:val="00E6127F"/>
    <w:rsid w:val="00E77FA8"/>
    <w:rsid w:val="00E8357B"/>
    <w:rsid w:val="00ED0BF2"/>
    <w:rsid w:val="00ED0E80"/>
    <w:rsid w:val="00EE021C"/>
    <w:rsid w:val="00EE12F7"/>
    <w:rsid w:val="00EE75E8"/>
    <w:rsid w:val="00EF2340"/>
    <w:rsid w:val="00EF3DCB"/>
    <w:rsid w:val="00EF7309"/>
    <w:rsid w:val="00EF7469"/>
    <w:rsid w:val="00F04266"/>
    <w:rsid w:val="00F066F1"/>
    <w:rsid w:val="00F10B46"/>
    <w:rsid w:val="00F32F4C"/>
    <w:rsid w:val="00F415D9"/>
    <w:rsid w:val="00F51452"/>
    <w:rsid w:val="00F543B5"/>
    <w:rsid w:val="00F55075"/>
    <w:rsid w:val="00F57421"/>
    <w:rsid w:val="00F668FA"/>
    <w:rsid w:val="00F707EE"/>
    <w:rsid w:val="00F76939"/>
    <w:rsid w:val="00F91D52"/>
    <w:rsid w:val="00F92423"/>
    <w:rsid w:val="00F951B6"/>
    <w:rsid w:val="00F968C0"/>
    <w:rsid w:val="00FB395B"/>
    <w:rsid w:val="00FE784B"/>
    <w:rsid w:val="00FE7FD9"/>
    <w:rsid w:val="00FF4B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B2B2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kern w:val="2"/>
        <w:sz w:val="24"/>
        <w:szCs w:val="24"/>
        <w:lang w:val="en-GB" w:eastAsia="en-US" w:bidi="ar-SA"/>
        <w14:ligatures w14:val="standardContextual"/>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7817"/>
    <w:pPr>
      <w:keepNext/>
      <w:keepLines/>
      <w:spacing w:before="240" w:line="259" w:lineRule="auto"/>
      <w:ind w:left="426" w:hanging="426"/>
      <w:outlineLvl w:val="0"/>
    </w:pPr>
    <w:rPr>
      <w:rFonts w:eastAsiaTheme="majorEastAsia" w:cstheme="majorBidi"/>
      <w:b/>
      <w:color w:val="77328A"/>
      <w:kern w:val="0"/>
      <w:sz w:val="30"/>
      <w:szCs w:val="32"/>
      <w14:ligatures w14:val="none"/>
    </w:rPr>
  </w:style>
  <w:style w:type="paragraph" w:styleId="Heading2">
    <w:name w:val="heading 2"/>
    <w:basedOn w:val="Normal"/>
    <w:next w:val="Normal"/>
    <w:link w:val="Heading2Char"/>
    <w:uiPriority w:val="9"/>
    <w:unhideWhenUsed/>
    <w:qFormat/>
    <w:rsid w:val="000054DC"/>
    <w:pPr>
      <w:outlineLvl w:val="1"/>
    </w:pPr>
    <w:rPr>
      <w:b/>
      <w:bCs/>
    </w:rPr>
  </w:style>
  <w:style w:type="paragraph" w:styleId="Heading3">
    <w:name w:val="heading 3"/>
    <w:basedOn w:val="Heading2"/>
    <w:next w:val="Normal"/>
    <w:link w:val="Heading3Char"/>
    <w:uiPriority w:val="9"/>
    <w:unhideWhenUsed/>
    <w:qFormat/>
    <w:rsid w:val="00B941EE"/>
    <w:pPr>
      <w:ind w:firstLine="720"/>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C29D6"/>
    <w:pPr>
      <w:widowControl w:val="0"/>
      <w:autoSpaceDE w:val="0"/>
      <w:autoSpaceDN w:val="0"/>
      <w:spacing w:line="240" w:lineRule="auto"/>
    </w:pPr>
    <w:rPr>
      <w:rFonts w:eastAsia="Verdana" w:cs="Verdana"/>
      <w:kern w:val="0"/>
      <w:lang w:val="en-US"/>
    </w:rPr>
  </w:style>
  <w:style w:type="character" w:customStyle="1" w:styleId="BodyTextChar">
    <w:name w:val="Body Text Char"/>
    <w:basedOn w:val="DefaultParagraphFont"/>
    <w:link w:val="BodyText"/>
    <w:uiPriority w:val="1"/>
    <w:rsid w:val="009C29D6"/>
    <w:rPr>
      <w:rFonts w:eastAsia="Verdana" w:cs="Verdana"/>
      <w:kern w:val="0"/>
      <w:lang w:val="en-US"/>
    </w:rPr>
  </w:style>
  <w:style w:type="paragraph" w:styleId="ListParagraph">
    <w:name w:val="List Paragraph"/>
    <w:aliases w:val="Dot pt,No Spacing1,List Paragraph Char Char Char,Indicator Text,Numbered Para 1,List Paragraph1,Bullet 1,Bullet Points,MAIN CONTENT,Bullet Style,List Paragraph2,OBC Bullet,List Paragraph11,List Paragraph12,F5 List Paragraph,Maire,L"/>
    <w:basedOn w:val="BodyText"/>
    <w:link w:val="ListParagraphChar"/>
    <w:uiPriority w:val="34"/>
    <w:qFormat/>
    <w:rsid w:val="00AA377F"/>
    <w:pPr>
      <w:numPr>
        <w:ilvl w:val="1"/>
        <w:numId w:val="10"/>
      </w:numPr>
      <w:spacing w:line="288" w:lineRule="auto"/>
      <w:ind w:right="102"/>
    </w:pPr>
    <w:rPr>
      <w:rFonts w:eastAsia="MS Mincho" w:cs="Arial"/>
      <w:color w:val="232120"/>
    </w:r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 Char,Char,Footnote Quot,f"/>
    <w:basedOn w:val="Normal"/>
    <w:link w:val="FootnoteTextChar"/>
    <w:uiPriority w:val="99"/>
    <w:unhideWhenUsed/>
    <w:qFormat/>
    <w:rsid w:val="00DE038A"/>
    <w:pPr>
      <w:spacing w:line="240" w:lineRule="auto"/>
    </w:pPr>
    <w:rPr>
      <w:rFonts w:asciiTheme="minorHAnsi" w:hAnsiTheme="minorHAnsi"/>
      <w:kern w:val="0"/>
      <w:sz w:val="20"/>
      <w:szCs w:val="20"/>
      <w14:ligatures w14:val="none"/>
    </w:rPr>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 Char Char,Char Char,f Char"/>
    <w:basedOn w:val="DefaultParagraphFont"/>
    <w:link w:val="FootnoteText"/>
    <w:uiPriority w:val="99"/>
    <w:rsid w:val="00DE038A"/>
    <w:rPr>
      <w:rFonts w:asciiTheme="minorHAnsi" w:hAnsiTheme="minorHAnsi"/>
      <w:kern w:val="0"/>
      <w:sz w:val="20"/>
      <w:szCs w:val="20"/>
      <w14:ligatures w14:val="none"/>
    </w:rPr>
  </w:style>
  <w:style w:type="character" w:styleId="FootnoteReference">
    <w:name w:val="footnote reference"/>
    <w:aliases w:val="(NECG) Footnote Reference,Appel note de bas de p,Appel note de bas de p + (Asian) Batang,Black,Footnote Reference Number,Footnote Refernece,Footnote Refernece + (Latein) Arial,Footnote symbol,Footnotes refss,Nota,Odwołanie przypisu,FR"/>
    <w:basedOn w:val="DefaultParagraphFont"/>
    <w:link w:val="4GChar"/>
    <w:uiPriority w:val="99"/>
    <w:unhideWhenUsed/>
    <w:qFormat/>
    <w:rsid w:val="00DE038A"/>
    <w:rPr>
      <w:vertAlign w:val="superscript"/>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
    <w:basedOn w:val="Normal"/>
    <w:link w:val="FootnoteReference"/>
    <w:uiPriority w:val="99"/>
    <w:rsid w:val="00E01411"/>
    <w:pPr>
      <w:spacing w:after="160" w:line="240" w:lineRule="exact"/>
      <w:jc w:val="both"/>
    </w:pPr>
    <w:rPr>
      <w:vertAlign w:val="superscript"/>
    </w:rPr>
  </w:style>
  <w:style w:type="character" w:customStyle="1" w:styleId="normaltextrun">
    <w:name w:val="normaltextrun"/>
    <w:basedOn w:val="DefaultParagraphFont"/>
    <w:rsid w:val="00E01411"/>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Bullet Style Char,List Paragraph2 Char,OBC Bullet Char"/>
    <w:basedOn w:val="DefaultParagraphFont"/>
    <w:link w:val="ListParagraph"/>
    <w:uiPriority w:val="34"/>
    <w:qFormat/>
    <w:rsid w:val="00AA377F"/>
    <w:rPr>
      <w:rFonts w:eastAsia="MS Mincho" w:cs="Arial"/>
      <w:color w:val="232120"/>
      <w:kern w:val="0"/>
      <w:lang w:val="en-US"/>
    </w:rPr>
  </w:style>
  <w:style w:type="character" w:styleId="Hyperlink">
    <w:name w:val="Hyperlink"/>
    <w:basedOn w:val="DefaultParagraphFont"/>
    <w:uiPriority w:val="99"/>
    <w:unhideWhenUsed/>
    <w:rsid w:val="00E01411"/>
    <w:rPr>
      <w:color w:val="0563C1" w:themeColor="hyperlink"/>
      <w:u w:val="single"/>
    </w:rPr>
  </w:style>
  <w:style w:type="paragraph" w:customStyle="1" w:styleId="Default">
    <w:name w:val="Default"/>
    <w:qFormat/>
    <w:rsid w:val="00D76EBD"/>
    <w:pPr>
      <w:widowControl w:val="0"/>
      <w:autoSpaceDE w:val="0"/>
      <w:autoSpaceDN w:val="0"/>
      <w:adjustRightInd w:val="0"/>
      <w:spacing w:line="240" w:lineRule="auto"/>
    </w:pPr>
    <w:rPr>
      <w:rFonts w:eastAsiaTheme="minorEastAsia" w:cs="Verdana"/>
      <w:color w:val="000000"/>
      <w:kern w:val="0"/>
      <w:lang w:val="en-US"/>
      <w14:ligatures w14:val="none"/>
    </w:rPr>
  </w:style>
  <w:style w:type="paragraph" w:customStyle="1" w:styleId="BasicParagraph">
    <w:name w:val="[Basic Paragraph]"/>
    <w:basedOn w:val="Normal"/>
    <w:uiPriority w:val="99"/>
    <w:rsid w:val="00D76EBD"/>
    <w:pPr>
      <w:widowControl w:val="0"/>
      <w:autoSpaceDE w:val="0"/>
      <w:autoSpaceDN w:val="0"/>
      <w:adjustRightInd w:val="0"/>
      <w:textAlignment w:val="center"/>
    </w:pPr>
    <w:rPr>
      <w:rFonts w:ascii="MinionPro-Regular" w:eastAsiaTheme="minorEastAsia" w:hAnsi="MinionPro-Regular" w:cs="MinionPro-Regular"/>
      <w:color w:val="000000"/>
      <w:kern w:val="0"/>
      <w14:ligatures w14:val="none"/>
    </w:rPr>
  </w:style>
  <w:style w:type="character" w:customStyle="1" w:styleId="xxnormaltextrun">
    <w:name w:val="x_xnormaltextrun"/>
    <w:basedOn w:val="DefaultParagraphFont"/>
    <w:rsid w:val="00D76EBD"/>
  </w:style>
  <w:style w:type="character" w:customStyle="1" w:styleId="Heading1Char">
    <w:name w:val="Heading 1 Char"/>
    <w:basedOn w:val="DefaultParagraphFont"/>
    <w:link w:val="Heading1"/>
    <w:uiPriority w:val="9"/>
    <w:rsid w:val="00977817"/>
    <w:rPr>
      <w:rFonts w:eastAsiaTheme="majorEastAsia" w:cstheme="majorBidi"/>
      <w:b/>
      <w:color w:val="77328A"/>
      <w:kern w:val="0"/>
      <w:sz w:val="30"/>
      <w:szCs w:val="32"/>
      <w14:ligatures w14:val="none"/>
    </w:rPr>
  </w:style>
  <w:style w:type="paragraph" w:styleId="Title">
    <w:name w:val="Title"/>
    <w:basedOn w:val="BasicParagraph"/>
    <w:next w:val="Normal"/>
    <w:link w:val="TitleChar"/>
    <w:uiPriority w:val="10"/>
    <w:qFormat/>
    <w:rsid w:val="00D76EBD"/>
    <w:pPr>
      <w:suppressAutoHyphens/>
      <w:jc w:val="center"/>
    </w:pPr>
    <w:rPr>
      <w:rFonts w:ascii="Verdana" w:hAnsi="Verdana" w:cs="Arial"/>
      <w:b/>
      <w:bCs/>
      <w:color w:val="77328A"/>
      <w:sz w:val="36"/>
      <w:szCs w:val="36"/>
    </w:rPr>
  </w:style>
  <w:style w:type="character" w:customStyle="1" w:styleId="TitleChar">
    <w:name w:val="Title Char"/>
    <w:basedOn w:val="DefaultParagraphFont"/>
    <w:link w:val="Title"/>
    <w:uiPriority w:val="10"/>
    <w:rsid w:val="00D76EBD"/>
    <w:rPr>
      <w:rFonts w:eastAsiaTheme="minorEastAsia" w:cs="Arial"/>
      <w:b/>
      <w:bCs/>
      <w:color w:val="77328A"/>
      <w:kern w:val="0"/>
      <w:sz w:val="36"/>
      <w:szCs w:val="36"/>
      <w14:ligatures w14:val="none"/>
    </w:rPr>
  </w:style>
  <w:style w:type="paragraph" w:styleId="Header">
    <w:name w:val="header"/>
    <w:basedOn w:val="Normal"/>
    <w:link w:val="HeaderChar"/>
    <w:uiPriority w:val="99"/>
    <w:unhideWhenUsed/>
    <w:rsid w:val="0042555F"/>
    <w:pPr>
      <w:tabs>
        <w:tab w:val="center" w:pos="4513"/>
        <w:tab w:val="right" w:pos="9026"/>
      </w:tabs>
      <w:spacing w:line="240" w:lineRule="auto"/>
    </w:pPr>
  </w:style>
  <w:style w:type="character" w:customStyle="1" w:styleId="HeaderChar">
    <w:name w:val="Header Char"/>
    <w:basedOn w:val="DefaultParagraphFont"/>
    <w:link w:val="Header"/>
    <w:uiPriority w:val="99"/>
    <w:rsid w:val="0042555F"/>
  </w:style>
  <w:style w:type="paragraph" w:styleId="Footer">
    <w:name w:val="footer"/>
    <w:basedOn w:val="Normal"/>
    <w:link w:val="FooterChar"/>
    <w:uiPriority w:val="99"/>
    <w:unhideWhenUsed/>
    <w:rsid w:val="0042555F"/>
    <w:pPr>
      <w:tabs>
        <w:tab w:val="center" w:pos="4513"/>
        <w:tab w:val="right" w:pos="9026"/>
      </w:tabs>
      <w:spacing w:line="240" w:lineRule="auto"/>
    </w:pPr>
  </w:style>
  <w:style w:type="character" w:customStyle="1" w:styleId="FooterChar">
    <w:name w:val="Footer Char"/>
    <w:basedOn w:val="DefaultParagraphFont"/>
    <w:link w:val="Footer"/>
    <w:uiPriority w:val="99"/>
    <w:rsid w:val="0042555F"/>
  </w:style>
  <w:style w:type="paragraph" w:styleId="Quote">
    <w:name w:val="Quote"/>
    <w:basedOn w:val="Normal"/>
    <w:next w:val="Normal"/>
    <w:link w:val="QuoteChar"/>
    <w:uiPriority w:val="29"/>
    <w:qFormat/>
    <w:rsid w:val="0081656F"/>
    <w:pPr>
      <w:ind w:left="1134" w:right="862"/>
    </w:pPr>
    <w:rPr>
      <w:iCs/>
    </w:rPr>
  </w:style>
  <w:style w:type="character" w:customStyle="1" w:styleId="QuoteChar">
    <w:name w:val="Quote Char"/>
    <w:basedOn w:val="DefaultParagraphFont"/>
    <w:link w:val="Quote"/>
    <w:uiPriority w:val="29"/>
    <w:rsid w:val="0081656F"/>
    <w:rPr>
      <w:iCs/>
    </w:rPr>
  </w:style>
  <w:style w:type="character" w:customStyle="1" w:styleId="Heading2Char">
    <w:name w:val="Heading 2 Char"/>
    <w:basedOn w:val="DefaultParagraphFont"/>
    <w:link w:val="Heading2"/>
    <w:uiPriority w:val="9"/>
    <w:rsid w:val="000054DC"/>
    <w:rPr>
      <w:b/>
      <w:bCs/>
    </w:rPr>
  </w:style>
  <w:style w:type="paragraph" w:styleId="Revision">
    <w:name w:val="Revision"/>
    <w:hidden/>
    <w:uiPriority w:val="99"/>
    <w:semiHidden/>
    <w:rsid w:val="0076792D"/>
    <w:pPr>
      <w:spacing w:line="240" w:lineRule="auto"/>
    </w:pPr>
  </w:style>
  <w:style w:type="character" w:styleId="CommentReference">
    <w:name w:val="annotation reference"/>
    <w:basedOn w:val="DefaultParagraphFont"/>
    <w:uiPriority w:val="99"/>
    <w:semiHidden/>
    <w:unhideWhenUsed/>
    <w:rsid w:val="0076792D"/>
    <w:rPr>
      <w:sz w:val="16"/>
      <w:szCs w:val="16"/>
    </w:rPr>
  </w:style>
  <w:style w:type="paragraph" w:styleId="CommentText">
    <w:name w:val="annotation text"/>
    <w:basedOn w:val="Normal"/>
    <w:link w:val="CommentTextChar"/>
    <w:uiPriority w:val="99"/>
    <w:unhideWhenUsed/>
    <w:rsid w:val="0076792D"/>
    <w:pPr>
      <w:spacing w:line="240" w:lineRule="auto"/>
    </w:pPr>
    <w:rPr>
      <w:sz w:val="20"/>
      <w:szCs w:val="20"/>
    </w:rPr>
  </w:style>
  <w:style w:type="character" w:customStyle="1" w:styleId="CommentTextChar">
    <w:name w:val="Comment Text Char"/>
    <w:basedOn w:val="DefaultParagraphFont"/>
    <w:link w:val="CommentText"/>
    <w:uiPriority w:val="99"/>
    <w:rsid w:val="0076792D"/>
    <w:rPr>
      <w:sz w:val="20"/>
      <w:szCs w:val="20"/>
    </w:rPr>
  </w:style>
  <w:style w:type="paragraph" w:styleId="CommentSubject">
    <w:name w:val="annotation subject"/>
    <w:basedOn w:val="CommentText"/>
    <w:next w:val="CommentText"/>
    <w:link w:val="CommentSubjectChar"/>
    <w:uiPriority w:val="99"/>
    <w:semiHidden/>
    <w:unhideWhenUsed/>
    <w:rsid w:val="0076792D"/>
    <w:rPr>
      <w:b/>
      <w:bCs/>
    </w:rPr>
  </w:style>
  <w:style w:type="character" w:customStyle="1" w:styleId="CommentSubjectChar">
    <w:name w:val="Comment Subject Char"/>
    <w:basedOn w:val="CommentTextChar"/>
    <w:link w:val="CommentSubject"/>
    <w:uiPriority w:val="99"/>
    <w:semiHidden/>
    <w:rsid w:val="0076792D"/>
    <w:rPr>
      <w:b/>
      <w:bCs/>
      <w:sz w:val="20"/>
      <w:szCs w:val="20"/>
    </w:rPr>
  </w:style>
  <w:style w:type="character" w:customStyle="1" w:styleId="Heading3Char">
    <w:name w:val="Heading 3 Char"/>
    <w:basedOn w:val="DefaultParagraphFont"/>
    <w:link w:val="Heading3"/>
    <w:uiPriority w:val="9"/>
    <w:rsid w:val="00B941EE"/>
    <w:rPr>
      <w:b/>
      <w:bCs/>
      <w:i/>
      <w:iCs/>
    </w:rPr>
  </w:style>
  <w:style w:type="character" w:styleId="UnresolvedMention">
    <w:name w:val="Unresolved Mention"/>
    <w:basedOn w:val="DefaultParagraphFont"/>
    <w:uiPriority w:val="99"/>
    <w:semiHidden/>
    <w:unhideWhenUsed/>
    <w:rsid w:val="00D94C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ilis.Haughey@NIHRC.or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protocol-on-irelandnorthern-ireland-article-2" TargetMode="External"/><Relationship Id="rId3" Type="http://schemas.openxmlformats.org/officeDocument/2006/relationships/hyperlink" Target="https://www.gov.uk/government/publications/protocol-on-irelandnorthern-ireland-article-2" TargetMode="External"/><Relationship Id="rId7" Type="http://schemas.openxmlformats.org/officeDocument/2006/relationships/hyperlink" Target="https://committees.parliament.uk/writtenevidence/10145/default/" TargetMode="External"/><Relationship Id="rId12" Type="http://schemas.openxmlformats.org/officeDocument/2006/relationships/hyperlink" Target="https://www.judiciaryni.uk/judicial-decisions/2022-niqb-9-0" TargetMode="External"/><Relationship Id="rId2" Type="http://schemas.openxmlformats.org/officeDocument/2006/relationships/hyperlink" Target="https://assets.publishing.service.gov.uk/government/uploads/system/uploads/attachment_data/file/1145694/Decision_of_the_Withdrawal_Agreement_Joint_Committee_on_laying_down_arrangements_relating_to_the_Windsor_Framework.pdf" TargetMode="External"/><Relationship Id="rId1" Type="http://schemas.openxmlformats.org/officeDocument/2006/relationships/hyperlink" Target="https://assets.publishing.service.gov.uk/government/uploads/system/uploads/attachment_data/file/1139420/Political_Declaration_by_the_European_Commission_and_the_Government_of_the_United_Kingdom.pdf" TargetMode="External"/><Relationship Id="rId6" Type="http://schemas.openxmlformats.org/officeDocument/2006/relationships/hyperlink" Target="https://questions-statements.parliament.uk/written-questions/detail/2020-01-14/hl404" TargetMode="External"/><Relationship Id="rId11" Type="http://schemas.openxmlformats.org/officeDocument/2006/relationships/hyperlink" Target="https://www.legislation.gov.uk/ukpga/2018/16/contents/enacted" TargetMode="External"/><Relationship Id="rId5" Type="http://schemas.openxmlformats.org/officeDocument/2006/relationships/hyperlink" Target="https://www.gov.uk/government/publications/protocol-on-irelandnorthern-ireland-article-2" TargetMode="External"/><Relationship Id="rId10" Type="http://schemas.openxmlformats.org/officeDocument/2006/relationships/hyperlink" Target="https://www.judiciaryni.uk/judicial-decisions/2022-niqb-9-0" TargetMode="External"/><Relationship Id="rId4" Type="http://schemas.openxmlformats.org/officeDocument/2006/relationships/hyperlink" Target="https://www.gov.uk/government/publications/protocol-on-irelandnorthern-ireland-article-2" TargetMode="External"/><Relationship Id="rId9" Type="http://schemas.openxmlformats.org/officeDocument/2006/relationships/hyperlink" Target="https://questions-statements.parliament.uk/written-questions/detail/2020-01-14/hl4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9DB9C-C3B2-414D-AD39-560F4890C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5426</Words>
  <Characters>30931</Characters>
  <Application>Microsoft Office Word</Application>
  <DocSecurity>4</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2024-07-10T08:11:00Z</dcterms:created>
  <dcterms:modified xsi:type="dcterms:W3CDTF">2024-07-10T08:11:00Z</dcterms:modified>
</cp:coreProperties>
</file>