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6A70" w14:textId="77777777" w:rsidR="002C2BDB" w:rsidRDefault="002C2BDB" w:rsidP="002C2BDB">
      <w:pPr>
        <w:spacing w:after="991"/>
        <w:jc w:val="center"/>
        <w:rPr>
          <w:rFonts w:ascii="Calibri" w:eastAsia="Calibri" w:hAnsi="Calibri" w:cs="Calibri"/>
          <w:color w:val="000000"/>
          <w:lang w:eastAsia="en-GB"/>
        </w:rPr>
      </w:pPr>
      <w:r>
        <w:rPr>
          <w:rFonts w:ascii="Verdana" w:hAnsi="Verdana" w:cs="Arial"/>
          <w:b/>
          <w:noProof/>
          <w:color w:val="734791"/>
          <w:sz w:val="36"/>
          <w:szCs w:val="36"/>
          <w:lang w:eastAsia="en-GB"/>
        </w:rPr>
        <w:drawing>
          <wp:inline distT="0" distB="0" distL="0" distR="0" wp14:anchorId="7C89914B" wp14:editId="4497D757">
            <wp:extent cx="2876643" cy="3848100"/>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5592" cy="3860072"/>
                    </a:xfrm>
                    <a:prstGeom prst="rect">
                      <a:avLst/>
                    </a:prstGeom>
                    <a:noFill/>
                    <a:ln>
                      <a:noFill/>
                    </a:ln>
                  </pic:spPr>
                </pic:pic>
              </a:graphicData>
            </a:graphic>
          </wp:inline>
        </w:drawing>
      </w:r>
    </w:p>
    <w:p w14:paraId="17C50390" w14:textId="77777777" w:rsidR="002C2BDB" w:rsidRDefault="002C2BDB" w:rsidP="002C2BDB">
      <w:pPr>
        <w:spacing w:after="24"/>
        <w:ind w:left="567"/>
        <w:jc w:val="center"/>
        <w:rPr>
          <w:rFonts w:ascii="Verdana" w:eastAsia="Verdana" w:hAnsi="Verdana" w:cs="Verdana"/>
          <w:color w:val="000000"/>
          <w:sz w:val="24"/>
          <w:lang w:eastAsia="en-GB"/>
        </w:rPr>
      </w:pPr>
      <w:r>
        <w:rPr>
          <w:rFonts w:ascii="Verdana" w:eastAsia="Verdana" w:hAnsi="Verdana" w:cs="Arial"/>
          <w:b/>
          <w:color w:val="7030A0"/>
          <w:sz w:val="36"/>
          <w:szCs w:val="36"/>
          <w:lang w:eastAsia="en-GB"/>
        </w:rPr>
        <w:t>NIHRC Data Protection Policy and Procedures</w:t>
      </w:r>
    </w:p>
    <w:tbl>
      <w:tblPr>
        <w:tblStyle w:val="TableGrid"/>
        <w:tblW w:w="7920" w:type="dxa"/>
        <w:tblInd w:w="576" w:type="dxa"/>
        <w:tblCellMar>
          <w:top w:w="41" w:type="dxa"/>
          <w:left w:w="42" w:type="dxa"/>
          <w:right w:w="115" w:type="dxa"/>
        </w:tblCellMar>
        <w:tblLook w:val="04A0" w:firstRow="1" w:lastRow="0" w:firstColumn="1" w:lastColumn="0" w:noHBand="0" w:noVBand="1"/>
      </w:tblPr>
      <w:tblGrid>
        <w:gridCol w:w="2959"/>
        <w:gridCol w:w="4961"/>
      </w:tblGrid>
      <w:tr w:rsidR="002C2BDB" w14:paraId="15AB9119" w14:textId="77777777" w:rsidTr="00750EED">
        <w:trPr>
          <w:trHeight w:val="300"/>
        </w:trPr>
        <w:tc>
          <w:tcPr>
            <w:tcW w:w="2959" w:type="dxa"/>
            <w:tcBorders>
              <w:top w:val="single" w:sz="6" w:space="0" w:color="000000"/>
              <w:left w:val="single" w:sz="8" w:space="0" w:color="000000"/>
              <w:bottom w:val="single" w:sz="6" w:space="0" w:color="000000"/>
              <w:right w:val="single" w:sz="8" w:space="0" w:color="000000"/>
            </w:tcBorders>
            <w:hideMark/>
          </w:tcPr>
          <w:p w14:paraId="7C26599D" w14:textId="77777777" w:rsidR="002C2BDB" w:rsidRDefault="002C2BDB" w:rsidP="00750EED">
            <w:pPr>
              <w:spacing w:line="288" w:lineRule="auto"/>
              <w:rPr>
                <w:rFonts w:ascii="Verdana" w:eastAsia="Verdana" w:hAnsi="Verdana" w:cs="Arial"/>
                <w:b/>
                <w:sz w:val="24"/>
                <w:szCs w:val="24"/>
                <w:lang w:eastAsia="en-GB"/>
              </w:rPr>
            </w:pPr>
            <w:r>
              <w:rPr>
                <w:rFonts w:ascii="Verdana" w:eastAsia="Arial" w:hAnsi="Verdana" w:cs="Arial"/>
                <w:b/>
                <w:sz w:val="24"/>
                <w:szCs w:val="24"/>
                <w:lang w:eastAsia="en-GB"/>
              </w:rPr>
              <w:t>Version No:</w:t>
            </w:r>
          </w:p>
        </w:tc>
        <w:tc>
          <w:tcPr>
            <w:tcW w:w="4961" w:type="dxa"/>
            <w:tcBorders>
              <w:top w:val="single" w:sz="6" w:space="0" w:color="000000"/>
              <w:left w:val="single" w:sz="8" w:space="0" w:color="000000"/>
              <w:bottom w:val="single" w:sz="6" w:space="0" w:color="000000"/>
              <w:right w:val="single" w:sz="8" w:space="0" w:color="000000"/>
            </w:tcBorders>
            <w:hideMark/>
          </w:tcPr>
          <w:p w14:paraId="6648E5FA" w14:textId="3E8ADAF2" w:rsidR="002C2BDB" w:rsidRDefault="002C2BDB" w:rsidP="00750EED">
            <w:pPr>
              <w:spacing w:line="288" w:lineRule="auto"/>
              <w:ind w:left="1"/>
              <w:rPr>
                <w:rFonts w:ascii="Verdana" w:eastAsia="Verdana" w:hAnsi="Verdana" w:cs="Arial"/>
                <w:color w:val="000000"/>
                <w:sz w:val="24"/>
                <w:szCs w:val="24"/>
                <w:lang w:eastAsia="en-GB"/>
              </w:rPr>
            </w:pPr>
            <w:r>
              <w:rPr>
                <w:rFonts w:ascii="Verdana" w:eastAsia="Calibri" w:hAnsi="Verdana" w:cs="Arial"/>
                <w:color w:val="000000"/>
                <w:sz w:val="24"/>
                <w:szCs w:val="24"/>
                <w:lang w:eastAsia="en-GB"/>
              </w:rPr>
              <w:t>1</w:t>
            </w:r>
            <w:r w:rsidR="008C1826">
              <w:rPr>
                <w:rFonts w:ascii="Verdana" w:eastAsia="Calibri" w:hAnsi="Verdana" w:cs="Arial"/>
                <w:color w:val="000000"/>
                <w:sz w:val="24"/>
                <w:szCs w:val="24"/>
                <w:lang w:eastAsia="en-GB"/>
              </w:rPr>
              <w:t xml:space="preserve"> (</w:t>
            </w:r>
            <w:r w:rsidR="001A0594">
              <w:rPr>
                <w:rFonts w:ascii="Verdana" w:eastAsia="Calibri" w:hAnsi="Verdana" w:cs="Arial"/>
                <w:color w:val="000000"/>
                <w:sz w:val="24"/>
                <w:szCs w:val="24"/>
                <w:lang w:eastAsia="en-GB"/>
              </w:rPr>
              <w:t>c</w:t>
            </w:r>
            <w:r w:rsidR="008C1826">
              <w:rPr>
                <w:rFonts w:ascii="Verdana" w:eastAsia="Calibri" w:hAnsi="Verdana" w:cs="Arial"/>
                <w:color w:val="000000"/>
                <w:sz w:val="24"/>
                <w:szCs w:val="24"/>
                <w:lang w:eastAsia="en-GB"/>
              </w:rPr>
              <w:t>)</w:t>
            </w:r>
          </w:p>
        </w:tc>
      </w:tr>
      <w:tr w:rsidR="002C2BDB" w14:paraId="318655BF" w14:textId="77777777" w:rsidTr="00750EED">
        <w:trPr>
          <w:trHeight w:val="300"/>
        </w:trPr>
        <w:tc>
          <w:tcPr>
            <w:tcW w:w="2959" w:type="dxa"/>
            <w:tcBorders>
              <w:top w:val="single" w:sz="6" w:space="0" w:color="000000"/>
              <w:left w:val="single" w:sz="8" w:space="0" w:color="000000"/>
              <w:bottom w:val="single" w:sz="6" w:space="0" w:color="000000"/>
              <w:right w:val="single" w:sz="8" w:space="0" w:color="000000"/>
            </w:tcBorders>
            <w:hideMark/>
          </w:tcPr>
          <w:p w14:paraId="71EA276C" w14:textId="77777777" w:rsidR="002C2BDB" w:rsidRDefault="002C2BDB" w:rsidP="00750EED">
            <w:pPr>
              <w:spacing w:line="288" w:lineRule="auto"/>
              <w:rPr>
                <w:rFonts w:ascii="Verdana" w:eastAsia="Verdana" w:hAnsi="Verdana" w:cs="Arial"/>
                <w:b/>
                <w:sz w:val="24"/>
                <w:szCs w:val="24"/>
                <w:lang w:eastAsia="en-GB"/>
              </w:rPr>
            </w:pPr>
            <w:r>
              <w:rPr>
                <w:rFonts w:ascii="Verdana" w:eastAsia="Arial" w:hAnsi="Verdana" w:cs="Arial"/>
                <w:b/>
                <w:sz w:val="24"/>
                <w:szCs w:val="24"/>
                <w:lang w:eastAsia="en-GB"/>
              </w:rPr>
              <w:t>Version Issue Date:</w:t>
            </w:r>
          </w:p>
        </w:tc>
        <w:tc>
          <w:tcPr>
            <w:tcW w:w="4961" w:type="dxa"/>
            <w:tcBorders>
              <w:top w:val="single" w:sz="6" w:space="0" w:color="000000"/>
              <w:left w:val="single" w:sz="8" w:space="0" w:color="000000"/>
              <w:bottom w:val="single" w:sz="6" w:space="0" w:color="000000"/>
              <w:right w:val="single" w:sz="8" w:space="0" w:color="000000"/>
            </w:tcBorders>
            <w:hideMark/>
          </w:tcPr>
          <w:p w14:paraId="3EF7550B" w14:textId="0BB23922" w:rsidR="002C2BDB" w:rsidRDefault="00ED7054" w:rsidP="00750EED">
            <w:pPr>
              <w:spacing w:line="288" w:lineRule="auto"/>
              <w:ind w:left="1"/>
              <w:rPr>
                <w:rFonts w:ascii="Verdana" w:eastAsia="Verdana" w:hAnsi="Verdana" w:cs="Arial"/>
                <w:color w:val="000000"/>
                <w:sz w:val="24"/>
                <w:szCs w:val="24"/>
                <w:lang w:eastAsia="en-GB"/>
              </w:rPr>
            </w:pPr>
            <w:r>
              <w:rPr>
                <w:rFonts w:ascii="Verdana" w:eastAsia="Verdana" w:hAnsi="Verdana" w:cs="Arial"/>
                <w:color w:val="000000"/>
                <w:sz w:val="24"/>
                <w:szCs w:val="24"/>
                <w:lang w:eastAsia="en-GB"/>
              </w:rPr>
              <w:t>10 September 2025</w:t>
            </w:r>
          </w:p>
        </w:tc>
      </w:tr>
      <w:tr w:rsidR="002C2BDB" w14:paraId="39B7F1C5" w14:textId="77777777" w:rsidTr="00750EED">
        <w:trPr>
          <w:trHeight w:val="300"/>
        </w:trPr>
        <w:tc>
          <w:tcPr>
            <w:tcW w:w="2959" w:type="dxa"/>
            <w:tcBorders>
              <w:top w:val="single" w:sz="6" w:space="0" w:color="000000"/>
              <w:left w:val="single" w:sz="8" w:space="0" w:color="000000"/>
              <w:bottom w:val="single" w:sz="6" w:space="0" w:color="000000"/>
              <w:right w:val="single" w:sz="8" w:space="0" w:color="000000"/>
            </w:tcBorders>
            <w:hideMark/>
          </w:tcPr>
          <w:p w14:paraId="0994568F" w14:textId="77777777" w:rsidR="002C2BDB" w:rsidRDefault="002C2BDB" w:rsidP="00750EED">
            <w:pPr>
              <w:spacing w:line="288" w:lineRule="auto"/>
              <w:rPr>
                <w:rFonts w:ascii="Verdana" w:eastAsia="Verdana" w:hAnsi="Verdana" w:cs="Arial"/>
                <w:b/>
                <w:sz w:val="24"/>
                <w:szCs w:val="24"/>
                <w:lang w:eastAsia="en-GB"/>
              </w:rPr>
            </w:pPr>
            <w:r>
              <w:rPr>
                <w:rFonts w:ascii="Verdana" w:eastAsia="Arial" w:hAnsi="Verdana" w:cs="Arial"/>
                <w:b/>
                <w:sz w:val="24"/>
                <w:szCs w:val="24"/>
                <w:lang w:eastAsia="en-GB"/>
              </w:rPr>
              <w:t>Supersedes Version:</w:t>
            </w:r>
          </w:p>
        </w:tc>
        <w:tc>
          <w:tcPr>
            <w:tcW w:w="4961" w:type="dxa"/>
            <w:tcBorders>
              <w:top w:val="single" w:sz="6" w:space="0" w:color="000000"/>
              <w:left w:val="single" w:sz="8" w:space="0" w:color="000000"/>
              <w:bottom w:val="single" w:sz="6" w:space="0" w:color="000000"/>
              <w:right w:val="single" w:sz="8" w:space="0" w:color="000000"/>
            </w:tcBorders>
            <w:hideMark/>
          </w:tcPr>
          <w:p w14:paraId="1AC95B15" w14:textId="273FD738" w:rsidR="002C2BDB" w:rsidRDefault="008C1826" w:rsidP="00750EED">
            <w:pPr>
              <w:spacing w:line="288" w:lineRule="auto"/>
              <w:ind w:left="1"/>
              <w:rPr>
                <w:rFonts w:ascii="Verdana" w:eastAsia="Verdana" w:hAnsi="Verdana" w:cs="Arial"/>
                <w:i/>
                <w:color w:val="000000"/>
                <w:sz w:val="24"/>
                <w:szCs w:val="24"/>
                <w:lang w:eastAsia="en-GB"/>
              </w:rPr>
            </w:pPr>
            <w:r>
              <w:rPr>
                <w:rFonts w:ascii="Verdana" w:eastAsia="Arial" w:hAnsi="Verdana" w:cs="Arial"/>
                <w:i/>
                <w:color w:val="000000"/>
                <w:sz w:val="24"/>
                <w:szCs w:val="24"/>
                <w:lang w:eastAsia="en-GB"/>
              </w:rPr>
              <w:t xml:space="preserve">1 </w:t>
            </w:r>
            <w:r w:rsidR="001A0594">
              <w:rPr>
                <w:rFonts w:ascii="Verdana" w:eastAsia="Arial" w:hAnsi="Verdana" w:cs="Arial"/>
                <w:i/>
                <w:color w:val="000000"/>
                <w:sz w:val="24"/>
                <w:szCs w:val="24"/>
                <w:lang w:eastAsia="en-GB"/>
              </w:rPr>
              <w:t>(b)</w:t>
            </w:r>
          </w:p>
        </w:tc>
      </w:tr>
      <w:tr w:rsidR="002C2BDB" w14:paraId="5FCF4648" w14:textId="77777777" w:rsidTr="00750EED">
        <w:trPr>
          <w:trHeight w:val="300"/>
        </w:trPr>
        <w:tc>
          <w:tcPr>
            <w:tcW w:w="2959" w:type="dxa"/>
            <w:tcBorders>
              <w:top w:val="single" w:sz="6" w:space="0" w:color="000000"/>
              <w:left w:val="single" w:sz="8" w:space="0" w:color="000000"/>
              <w:bottom w:val="single" w:sz="6" w:space="0" w:color="000000"/>
              <w:right w:val="single" w:sz="8" w:space="0" w:color="000000"/>
            </w:tcBorders>
            <w:hideMark/>
          </w:tcPr>
          <w:p w14:paraId="60C2F4CC" w14:textId="77777777" w:rsidR="002C2BDB" w:rsidRDefault="002C2BDB" w:rsidP="00750EED">
            <w:pPr>
              <w:spacing w:line="288" w:lineRule="auto"/>
              <w:rPr>
                <w:rFonts w:ascii="Verdana" w:eastAsia="Verdana" w:hAnsi="Verdana" w:cs="Arial"/>
                <w:b/>
                <w:sz w:val="24"/>
                <w:szCs w:val="24"/>
                <w:lang w:eastAsia="en-GB"/>
              </w:rPr>
            </w:pPr>
            <w:r>
              <w:rPr>
                <w:rFonts w:ascii="Verdana" w:eastAsia="Arial" w:hAnsi="Verdana" w:cs="Arial"/>
                <w:b/>
                <w:sz w:val="24"/>
                <w:szCs w:val="24"/>
                <w:lang w:eastAsia="en-GB"/>
              </w:rPr>
              <w:t>Approved by</w:t>
            </w:r>
          </w:p>
        </w:tc>
        <w:tc>
          <w:tcPr>
            <w:tcW w:w="4961" w:type="dxa"/>
            <w:tcBorders>
              <w:top w:val="single" w:sz="6" w:space="0" w:color="000000"/>
              <w:left w:val="single" w:sz="8" w:space="0" w:color="000000"/>
              <w:bottom w:val="single" w:sz="6" w:space="0" w:color="000000"/>
              <w:right w:val="single" w:sz="8" w:space="0" w:color="000000"/>
            </w:tcBorders>
            <w:hideMark/>
          </w:tcPr>
          <w:p w14:paraId="323614F8" w14:textId="77777777" w:rsidR="002C2BDB" w:rsidRDefault="002C2BDB" w:rsidP="00750EED">
            <w:pPr>
              <w:spacing w:line="288" w:lineRule="auto"/>
              <w:ind w:left="1"/>
              <w:rPr>
                <w:rFonts w:ascii="Verdana" w:eastAsia="Verdana" w:hAnsi="Verdana" w:cs="Arial"/>
                <w:color w:val="000000"/>
                <w:sz w:val="24"/>
                <w:szCs w:val="24"/>
                <w:lang w:eastAsia="en-GB"/>
              </w:rPr>
            </w:pPr>
            <w:r>
              <w:rPr>
                <w:rFonts w:ascii="Verdana" w:hAnsi="Verdana" w:cs="Arial"/>
                <w:sz w:val="24"/>
                <w:szCs w:val="24"/>
                <w:lang w:eastAsia="en-GB"/>
              </w:rPr>
              <w:t>Director (Finance, Personnel and Corporate Affairs)</w:t>
            </w:r>
          </w:p>
        </w:tc>
      </w:tr>
      <w:tr w:rsidR="002C2BDB" w14:paraId="5ADA76CE" w14:textId="77777777" w:rsidTr="00750EED">
        <w:trPr>
          <w:trHeight w:val="341"/>
        </w:trPr>
        <w:tc>
          <w:tcPr>
            <w:tcW w:w="2959" w:type="dxa"/>
            <w:tcBorders>
              <w:top w:val="single" w:sz="6" w:space="0" w:color="000000"/>
              <w:left w:val="single" w:sz="8" w:space="0" w:color="000000"/>
              <w:bottom w:val="single" w:sz="6" w:space="0" w:color="000000"/>
              <w:right w:val="single" w:sz="8" w:space="0" w:color="000000"/>
            </w:tcBorders>
            <w:hideMark/>
          </w:tcPr>
          <w:p w14:paraId="2DC83058" w14:textId="77777777" w:rsidR="002C2BDB" w:rsidRDefault="002C2BDB" w:rsidP="00750EED">
            <w:pPr>
              <w:spacing w:line="288" w:lineRule="auto"/>
              <w:rPr>
                <w:rFonts w:ascii="Verdana" w:eastAsia="Arial" w:hAnsi="Verdana" w:cs="Arial"/>
                <w:b/>
                <w:sz w:val="24"/>
                <w:szCs w:val="24"/>
                <w:lang w:eastAsia="en-GB"/>
              </w:rPr>
            </w:pPr>
            <w:r>
              <w:rPr>
                <w:rFonts w:ascii="Verdana" w:eastAsia="Arial" w:hAnsi="Verdana" w:cs="Arial"/>
                <w:b/>
                <w:sz w:val="24"/>
                <w:szCs w:val="24"/>
                <w:lang w:eastAsia="en-GB"/>
              </w:rPr>
              <w:t>Created Date</w:t>
            </w:r>
          </w:p>
        </w:tc>
        <w:tc>
          <w:tcPr>
            <w:tcW w:w="4961" w:type="dxa"/>
            <w:tcBorders>
              <w:top w:val="single" w:sz="6" w:space="0" w:color="000000"/>
              <w:left w:val="single" w:sz="8" w:space="0" w:color="000000"/>
              <w:bottom w:val="single" w:sz="6" w:space="0" w:color="000000"/>
              <w:right w:val="single" w:sz="8" w:space="0" w:color="000000"/>
            </w:tcBorders>
            <w:hideMark/>
          </w:tcPr>
          <w:p w14:paraId="73F360EE" w14:textId="2CD7E6A9" w:rsidR="002C2BDB" w:rsidRDefault="008C1826" w:rsidP="00750EED">
            <w:pPr>
              <w:spacing w:line="288" w:lineRule="auto"/>
              <w:ind w:left="1"/>
              <w:rPr>
                <w:rFonts w:ascii="Verdana" w:eastAsia="Arial" w:hAnsi="Verdana" w:cs="Arial"/>
                <w:sz w:val="24"/>
                <w:szCs w:val="24"/>
                <w:lang w:eastAsia="en-GB"/>
              </w:rPr>
            </w:pPr>
            <w:r>
              <w:rPr>
                <w:rFonts w:ascii="Verdana" w:eastAsia="Arial" w:hAnsi="Verdana" w:cs="Arial"/>
                <w:sz w:val="24"/>
                <w:szCs w:val="24"/>
                <w:lang w:eastAsia="en-GB"/>
              </w:rPr>
              <w:t>April 2024</w:t>
            </w:r>
          </w:p>
        </w:tc>
      </w:tr>
      <w:tr w:rsidR="002C2BDB" w14:paraId="0D728EF9" w14:textId="77777777" w:rsidTr="00750EED">
        <w:trPr>
          <w:trHeight w:val="341"/>
        </w:trPr>
        <w:tc>
          <w:tcPr>
            <w:tcW w:w="2959" w:type="dxa"/>
            <w:tcBorders>
              <w:top w:val="single" w:sz="6" w:space="0" w:color="000000"/>
              <w:left w:val="single" w:sz="8" w:space="0" w:color="000000"/>
              <w:bottom w:val="single" w:sz="6" w:space="0" w:color="000000"/>
              <w:right w:val="single" w:sz="8" w:space="0" w:color="000000"/>
            </w:tcBorders>
            <w:hideMark/>
          </w:tcPr>
          <w:p w14:paraId="0A0CAFDB" w14:textId="77777777" w:rsidR="002C2BDB" w:rsidRDefault="002C2BDB" w:rsidP="00750EED">
            <w:pPr>
              <w:spacing w:line="288" w:lineRule="auto"/>
              <w:rPr>
                <w:rFonts w:ascii="Verdana" w:hAnsi="Verdana" w:cs="Arial"/>
                <w:b/>
                <w:sz w:val="24"/>
                <w:szCs w:val="24"/>
                <w:lang w:eastAsia="en-GB"/>
              </w:rPr>
            </w:pPr>
            <w:r>
              <w:rPr>
                <w:rFonts w:ascii="Verdana" w:eastAsia="Arial" w:hAnsi="Verdana" w:cs="Arial"/>
                <w:b/>
                <w:sz w:val="24"/>
                <w:szCs w:val="24"/>
                <w:lang w:eastAsia="en-GB"/>
              </w:rPr>
              <w:t>Last Review</w:t>
            </w:r>
          </w:p>
        </w:tc>
        <w:tc>
          <w:tcPr>
            <w:tcW w:w="4961" w:type="dxa"/>
            <w:tcBorders>
              <w:top w:val="single" w:sz="6" w:space="0" w:color="000000"/>
              <w:left w:val="single" w:sz="8" w:space="0" w:color="000000"/>
              <w:bottom w:val="single" w:sz="6" w:space="0" w:color="000000"/>
              <w:right w:val="single" w:sz="8" w:space="0" w:color="000000"/>
            </w:tcBorders>
            <w:hideMark/>
          </w:tcPr>
          <w:p w14:paraId="23C31111" w14:textId="65A4C744" w:rsidR="002C2BDB" w:rsidRPr="00ED7054" w:rsidRDefault="00ED7054" w:rsidP="00750EED">
            <w:pPr>
              <w:spacing w:line="288" w:lineRule="auto"/>
              <w:ind w:left="1"/>
              <w:rPr>
                <w:rFonts w:ascii="Verdana" w:hAnsi="Verdana" w:cs="Arial"/>
                <w:iCs/>
                <w:sz w:val="24"/>
                <w:szCs w:val="24"/>
                <w:lang w:eastAsia="en-GB"/>
              </w:rPr>
            </w:pPr>
            <w:r w:rsidRPr="00ED7054">
              <w:rPr>
                <w:rFonts w:ascii="Verdana" w:hAnsi="Verdana" w:cs="Arial"/>
                <w:iCs/>
                <w:sz w:val="24"/>
                <w:szCs w:val="24"/>
                <w:lang w:eastAsia="en-GB"/>
              </w:rPr>
              <w:t>August 2025</w:t>
            </w:r>
          </w:p>
        </w:tc>
      </w:tr>
      <w:tr w:rsidR="002C2BDB" w14:paraId="46784FCE" w14:textId="77777777" w:rsidTr="00750EED">
        <w:trPr>
          <w:trHeight w:val="341"/>
        </w:trPr>
        <w:tc>
          <w:tcPr>
            <w:tcW w:w="2959" w:type="dxa"/>
            <w:tcBorders>
              <w:top w:val="single" w:sz="6" w:space="0" w:color="000000"/>
              <w:left w:val="single" w:sz="8" w:space="0" w:color="000000"/>
              <w:bottom w:val="single" w:sz="6" w:space="0" w:color="000000"/>
              <w:right w:val="single" w:sz="8" w:space="0" w:color="000000"/>
            </w:tcBorders>
            <w:hideMark/>
          </w:tcPr>
          <w:p w14:paraId="7EE3991B" w14:textId="77777777" w:rsidR="002C2BDB" w:rsidRDefault="002C2BDB" w:rsidP="00750EED">
            <w:pPr>
              <w:spacing w:line="288" w:lineRule="auto"/>
              <w:rPr>
                <w:rFonts w:ascii="Verdana" w:eastAsia="Arial" w:hAnsi="Verdana" w:cs="Arial"/>
                <w:b/>
                <w:sz w:val="24"/>
                <w:szCs w:val="24"/>
                <w:lang w:eastAsia="en-GB"/>
              </w:rPr>
            </w:pPr>
            <w:r>
              <w:rPr>
                <w:rFonts w:ascii="Verdana" w:eastAsia="Arial" w:hAnsi="Verdana" w:cs="Arial"/>
                <w:b/>
                <w:sz w:val="24"/>
                <w:szCs w:val="24"/>
                <w:lang w:eastAsia="en-GB"/>
              </w:rPr>
              <w:t>Next Review</w:t>
            </w:r>
          </w:p>
        </w:tc>
        <w:tc>
          <w:tcPr>
            <w:tcW w:w="4961" w:type="dxa"/>
            <w:tcBorders>
              <w:top w:val="single" w:sz="6" w:space="0" w:color="000000"/>
              <w:left w:val="single" w:sz="8" w:space="0" w:color="000000"/>
              <w:bottom w:val="single" w:sz="6" w:space="0" w:color="000000"/>
              <w:right w:val="single" w:sz="8" w:space="0" w:color="000000"/>
            </w:tcBorders>
            <w:hideMark/>
          </w:tcPr>
          <w:p w14:paraId="7C7598EA" w14:textId="1A45CD8E" w:rsidR="002C2BDB" w:rsidRDefault="00ED7054" w:rsidP="00750EED">
            <w:pPr>
              <w:spacing w:line="288" w:lineRule="auto"/>
              <w:ind w:left="1"/>
              <w:rPr>
                <w:rFonts w:ascii="Verdana" w:hAnsi="Verdana" w:cs="Arial"/>
                <w:sz w:val="24"/>
                <w:szCs w:val="24"/>
                <w:lang w:eastAsia="en-GB"/>
              </w:rPr>
            </w:pPr>
            <w:r>
              <w:rPr>
                <w:rFonts w:ascii="Verdana" w:hAnsi="Verdana" w:cs="Arial"/>
                <w:sz w:val="24"/>
                <w:szCs w:val="24"/>
                <w:lang w:eastAsia="en-GB"/>
              </w:rPr>
              <w:t>August 2026</w:t>
            </w:r>
          </w:p>
        </w:tc>
      </w:tr>
      <w:tr w:rsidR="002C2BDB" w14:paraId="1FBCD564" w14:textId="77777777" w:rsidTr="00750EED">
        <w:trPr>
          <w:trHeight w:val="341"/>
        </w:trPr>
        <w:tc>
          <w:tcPr>
            <w:tcW w:w="2959" w:type="dxa"/>
            <w:tcBorders>
              <w:top w:val="single" w:sz="6" w:space="0" w:color="000000"/>
              <w:left w:val="single" w:sz="8" w:space="0" w:color="000000"/>
              <w:bottom w:val="single" w:sz="12" w:space="0" w:color="000000"/>
              <w:right w:val="single" w:sz="8" w:space="0" w:color="000000"/>
            </w:tcBorders>
            <w:hideMark/>
          </w:tcPr>
          <w:p w14:paraId="109A62FD" w14:textId="77777777" w:rsidR="002C2BDB" w:rsidRDefault="002C2BDB" w:rsidP="00750EED">
            <w:pPr>
              <w:spacing w:line="288" w:lineRule="auto"/>
              <w:rPr>
                <w:rFonts w:ascii="Verdana" w:eastAsia="Arial" w:hAnsi="Verdana" w:cs="Arial"/>
                <w:b/>
                <w:sz w:val="24"/>
                <w:szCs w:val="24"/>
                <w:lang w:eastAsia="en-GB"/>
              </w:rPr>
            </w:pPr>
            <w:r>
              <w:rPr>
                <w:rFonts w:ascii="Verdana" w:eastAsia="Arial" w:hAnsi="Verdana" w:cs="Arial"/>
                <w:b/>
                <w:sz w:val="24"/>
                <w:szCs w:val="24"/>
                <w:lang w:eastAsia="en-GB"/>
              </w:rPr>
              <w:t>Plan Owner</w:t>
            </w:r>
          </w:p>
        </w:tc>
        <w:tc>
          <w:tcPr>
            <w:tcW w:w="4961" w:type="dxa"/>
            <w:tcBorders>
              <w:top w:val="single" w:sz="6" w:space="0" w:color="000000"/>
              <w:left w:val="single" w:sz="8" w:space="0" w:color="000000"/>
              <w:bottom w:val="single" w:sz="12" w:space="0" w:color="000000"/>
              <w:right w:val="single" w:sz="8" w:space="0" w:color="000000"/>
            </w:tcBorders>
            <w:hideMark/>
          </w:tcPr>
          <w:p w14:paraId="0DD42C86" w14:textId="77777777" w:rsidR="002C2BDB" w:rsidRDefault="002C2BDB" w:rsidP="00750EED">
            <w:pPr>
              <w:spacing w:line="288" w:lineRule="auto"/>
              <w:ind w:left="1"/>
              <w:rPr>
                <w:rFonts w:ascii="Verdana" w:hAnsi="Verdana" w:cs="Arial"/>
                <w:sz w:val="24"/>
                <w:szCs w:val="24"/>
                <w:lang w:eastAsia="en-GB"/>
              </w:rPr>
            </w:pPr>
            <w:r>
              <w:rPr>
                <w:rFonts w:ascii="Verdana" w:hAnsi="Verdana" w:cs="Arial"/>
                <w:sz w:val="24"/>
                <w:szCs w:val="24"/>
                <w:lang w:eastAsia="en-GB"/>
              </w:rPr>
              <w:t>NIHRC</w:t>
            </w:r>
          </w:p>
        </w:tc>
      </w:tr>
    </w:tbl>
    <w:p w14:paraId="2A532676" w14:textId="77777777" w:rsidR="00E16C41" w:rsidRDefault="00E16C41"/>
    <w:p w14:paraId="3452F737" w14:textId="77777777" w:rsidR="00DB2996" w:rsidRDefault="00DB2996"/>
    <w:p w14:paraId="2F013385" w14:textId="77777777" w:rsidR="00DB2996" w:rsidRDefault="00DB2996"/>
    <w:p w14:paraId="26AEB7F8" w14:textId="77777777" w:rsidR="00DB2996" w:rsidRDefault="00DB2996"/>
    <w:p w14:paraId="56363EC2" w14:textId="77777777" w:rsidR="008C1826" w:rsidRDefault="008C1826"/>
    <w:tbl>
      <w:tblPr>
        <w:tblStyle w:val="TableGrid"/>
        <w:tblW w:w="7920" w:type="dxa"/>
        <w:tblInd w:w="576" w:type="dxa"/>
        <w:tblLook w:val="04A0" w:firstRow="1" w:lastRow="0" w:firstColumn="1" w:lastColumn="0" w:noHBand="0" w:noVBand="1"/>
      </w:tblPr>
      <w:tblGrid>
        <w:gridCol w:w="3243"/>
        <w:gridCol w:w="4677"/>
      </w:tblGrid>
      <w:tr w:rsidR="00DB2996" w:rsidRPr="00526815" w14:paraId="2C3483F4"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5520A418" w14:textId="77777777" w:rsidR="00DB2996" w:rsidRPr="00DB2996" w:rsidRDefault="00DB2996" w:rsidP="00BC45A7">
            <w:pPr>
              <w:spacing w:line="240" w:lineRule="auto"/>
              <w:ind w:left="221" w:right="51"/>
              <w:rPr>
                <w:rFonts w:ascii="Verdana" w:eastAsia="Arial" w:hAnsi="Verdana" w:cs="Arial"/>
                <w:b/>
                <w:sz w:val="24"/>
                <w:szCs w:val="24"/>
              </w:rPr>
            </w:pPr>
          </w:p>
          <w:p w14:paraId="60440B20" w14:textId="77777777" w:rsidR="00DB2996" w:rsidRPr="00DB2996" w:rsidRDefault="00DB2996" w:rsidP="00BC45A7">
            <w:pPr>
              <w:spacing w:line="240" w:lineRule="auto"/>
              <w:ind w:left="221" w:right="51"/>
              <w:rPr>
                <w:rFonts w:ascii="Verdana" w:eastAsia="Arial" w:hAnsi="Verdana" w:cs="Arial"/>
                <w:b/>
                <w:sz w:val="24"/>
                <w:szCs w:val="24"/>
              </w:rPr>
            </w:pPr>
            <w:r w:rsidRPr="00DB2996">
              <w:rPr>
                <w:rFonts w:ascii="Verdana" w:eastAsia="Arial" w:hAnsi="Verdana" w:cs="Arial"/>
                <w:b/>
                <w:sz w:val="24"/>
                <w:szCs w:val="24"/>
              </w:rPr>
              <w:t>Version Control</w:t>
            </w:r>
          </w:p>
          <w:p w14:paraId="2D6BC5BC" w14:textId="77777777" w:rsidR="00DB2996" w:rsidRPr="00DB2996" w:rsidRDefault="00DB2996" w:rsidP="00BC45A7">
            <w:pPr>
              <w:spacing w:line="240" w:lineRule="auto"/>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A8D817C" w14:textId="77777777" w:rsidR="00DB2996" w:rsidRPr="00DB2996" w:rsidRDefault="00DB2996" w:rsidP="00BC45A7">
            <w:pPr>
              <w:spacing w:line="240" w:lineRule="auto"/>
              <w:ind w:left="1" w:right="51" w:hanging="11"/>
              <w:rPr>
                <w:rFonts w:ascii="Verdana" w:hAnsi="Verdana" w:cs="Arial"/>
                <w:sz w:val="24"/>
                <w:szCs w:val="24"/>
              </w:rPr>
            </w:pPr>
          </w:p>
          <w:p w14:paraId="41AD30C3" w14:textId="77777777" w:rsidR="00DB2996" w:rsidRPr="00DB2996" w:rsidRDefault="00DB2996" w:rsidP="00BC45A7">
            <w:pPr>
              <w:spacing w:line="240" w:lineRule="auto"/>
              <w:ind w:left="1" w:right="51" w:hanging="11"/>
              <w:rPr>
                <w:rFonts w:ascii="Verdana" w:hAnsi="Verdana" w:cs="Arial"/>
                <w:sz w:val="24"/>
                <w:szCs w:val="24"/>
              </w:rPr>
            </w:pPr>
            <w:r w:rsidRPr="00DB2996">
              <w:rPr>
                <w:rFonts w:ascii="Verdana" w:hAnsi="Verdana" w:cs="Arial"/>
                <w:sz w:val="24"/>
                <w:szCs w:val="24"/>
              </w:rPr>
              <w:t>Date and details of change</w:t>
            </w:r>
          </w:p>
        </w:tc>
      </w:tr>
      <w:tr w:rsidR="00DB2996" w:rsidRPr="00526815" w14:paraId="4EC70C98"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75B6FCAE" w14:textId="77777777" w:rsidR="00DB2996" w:rsidRPr="00DB2996" w:rsidRDefault="00DB2996" w:rsidP="00BC45A7">
            <w:pPr>
              <w:spacing w:line="240" w:lineRule="auto"/>
              <w:ind w:left="221" w:right="51"/>
              <w:rPr>
                <w:rFonts w:ascii="Verdana" w:hAnsi="Verdana" w:cs="Arial"/>
                <w:b/>
                <w:sz w:val="24"/>
                <w:szCs w:val="24"/>
              </w:rPr>
            </w:pPr>
            <w:r w:rsidRPr="00DB2996">
              <w:rPr>
                <w:rFonts w:ascii="Verdana" w:eastAsia="Arial" w:hAnsi="Verdana" w:cs="Arial"/>
                <w:b/>
                <w:sz w:val="24"/>
                <w:szCs w:val="24"/>
              </w:rPr>
              <w:t>Version 1</w:t>
            </w:r>
          </w:p>
        </w:tc>
        <w:tc>
          <w:tcPr>
            <w:tcW w:w="4677" w:type="dxa"/>
            <w:tcBorders>
              <w:top w:val="single" w:sz="4" w:space="0" w:color="auto"/>
              <w:left w:val="single" w:sz="4" w:space="0" w:color="auto"/>
              <w:bottom w:val="single" w:sz="4" w:space="0" w:color="auto"/>
              <w:right w:val="single" w:sz="4" w:space="0" w:color="auto"/>
            </w:tcBorders>
          </w:tcPr>
          <w:p w14:paraId="0808A5A3" w14:textId="77777777" w:rsidR="00DB2996" w:rsidRPr="00DB2996" w:rsidRDefault="00DB2996" w:rsidP="00BC45A7">
            <w:pPr>
              <w:spacing w:line="240" w:lineRule="auto"/>
              <w:ind w:right="51"/>
              <w:rPr>
                <w:rFonts w:ascii="Verdana" w:hAnsi="Verdana" w:cs="Arial"/>
                <w:iCs/>
                <w:sz w:val="24"/>
                <w:szCs w:val="24"/>
              </w:rPr>
            </w:pPr>
            <w:r w:rsidRPr="00DB2996">
              <w:rPr>
                <w:rFonts w:ascii="Verdana" w:hAnsi="Verdana" w:cs="Arial"/>
                <w:iCs/>
                <w:sz w:val="24"/>
                <w:szCs w:val="24"/>
              </w:rPr>
              <w:t>Approved by Director (Finance, Personnel and Corporate Affairs)</w:t>
            </w:r>
          </w:p>
        </w:tc>
      </w:tr>
      <w:tr w:rsidR="00DB2996" w:rsidRPr="00526815" w14:paraId="66808E44"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453B0DC4" w14:textId="08666B3E" w:rsidR="00DB2996" w:rsidRPr="00DB2996" w:rsidRDefault="00F277A0" w:rsidP="00BC45A7">
            <w:pPr>
              <w:spacing w:line="240" w:lineRule="auto"/>
              <w:ind w:left="221" w:right="51"/>
              <w:rPr>
                <w:rFonts w:ascii="Verdana" w:eastAsia="Arial" w:hAnsi="Verdana" w:cs="Arial"/>
                <w:b/>
                <w:sz w:val="24"/>
                <w:szCs w:val="24"/>
              </w:rPr>
            </w:pPr>
            <w:r>
              <w:rPr>
                <w:rFonts w:ascii="Verdana" w:eastAsia="Arial" w:hAnsi="Verdana" w:cs="Arial"/>
                <w:b/>
                <w:sz w:val="24"/>
                <w:szCs w:val="24"/>
              </w:rPr>
              <w:t>Reviewed April 2023</w:t>
            </w:r>
          </w:p>
        </w:tc>
        <w:tc>
          <w:tcPr>
            <w:tcW w:w="4677" w:type="dxa"/>
            <w:tcBorders>
              <w:top w:val="single" w:sz="4" w:space="0" w:color="auto"/>
              <w:left w:val="single" w:sz="4" w:space="0" w:color="auto"/>
              <w:bottom w:val="single" w:sz="4" w:space="0" w:color="auto"/>
              <w:right w:val="single" w:sz="4" w:space="0" w:color="auto"/>
            </w:tcBorders>
          </w:tcPr>
          <w:p w14:paraId="058BFD49" w14:textId="21B0185E" w:rsidR="00DB2996" w:rsidRPr="00DB2996" w:rsidRDefault="005D6414" w:rsidP="00BC45A7">
            <w:pPr>
              <w:spacing w:line="240" w:lineRule="auto"/>
              <w:ind w:left="1" w:right="51" w:hanging="11"/>
              <w:rPr>
                <w:rFonts w:ascii="Verdana" w:hAnsi="Verdana" w:cs="Arial"/>
                <w:sz w:val="24"/>
                <w:szCs w:val="24"/>
              </w:rPr>
            </w:pPr>
            <w:r>
              <w:rPr>
                <w:rFonts w:ascii="Verdana" w:hAnsi="Verdana" w:cs="Arial"/>
                <w:sz w:val="24"/>
                <w:szCs w:val="24"/>
              </w:rPr>
              <w:t>April 2023 – amends made to include missing Appendix</w:t>
            </w:r>
            <w:r w:rsidR="00F16D76">
              <w:rPr>
                <w:rFonts w:ascii="Verdana" w:hAnsi="Verdana" w:cs="Arial"/>
                <w:sz w:val="24"/>
                <w:szCs w:val="24"/>
              </w:rPr>
              <w:t xml:space="preserve"> 4 – complying with a Subject Access Request</w:t>
            </w:r>
          </w:p>
        </w:tc>
      </w:tr>
      <w:tr w:rsidR="00F277A0" w:rsidRPr="00526815" w14:paraId="16D9C56E"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41C08565" w14:textId="71C63664" w:rsidR="00F277A0" w:rsidRDefault="00F277A0" w:rsidP="00BC45A7">
            <w:pPr>
              <w:spacing w:line="240" w:lineRule="auto"/>
              <w:ind w:left="221" w:right="51"/>
              <w:rPr>
                <w:rFonts w:ascii="Verdana" w:eastAsia="Arial" w:hAnsi="Verdana" w:cs="Arial"/>
                <w:b/>
                <w:sz w:val="24"/>
                <w:szCs w:val="24"/>
              </w:rPr>
            </w:pPr>
            <w:r>
              <w:rPr>
                <w:rFonts w:ascii="Verdana" w:eastAsia="Arial" w:hAnsi="Verdana" w:cs="Arial"/>
                <w:b/>
                <w:sz w:val="24"/>
                <w:szCs w:val="24"/>
              </w:rPr>
              <w:t>Version 1 (a)</w:t>
            </w:r>
          </w:p>
        </w:tc>
        <w:tc>
          <w:tcPr>
            <w:tcW w:w="4677" w:type="dxa"/>
            <w:tcBorders>
              <w:top w:val="single" w:sz="4" w:space="0" w:color="auto"/>
              <w:left w:val="single" w:sz="4" w:space="0" w:color="auto"/>
              <w:bottom w:val="single" w:sz="4" w:space="0" w:color="auto"/>
              <w:right w:val="single" w:sz="4" w:space="0" w:color="auto"/>
            </w:tcBorders>
          </w:tcPr>
          <w:p w14:paraId="11CA3ED9" w14:textId="29B7E865" w:rsidR="00F277A0" w:rsidRPr="00DB2996" w:rsidRDefault="000027DE" w:rsidP="00BC45A7">
            <w:pPr>
              <w:spacing w:line="240" w:lineRule="auto"/>
              <w:ind w:left="1" w:right="51" w:hanging="11"/>
              <w:rPr>
                <w:rFonts w:ascii="Verdana" w:hAnsi="Verdana" w:cs="Arial"/>
                <w:sz w:val="24"/>
                <w:szCs w:val="24"/>
              </w:rPr>
            </w:pPr>
            <w:r>
              <w:rPr>
                <w:rFonts w:ascii="Verdana" w:hAnsi="Verdana" w:cs="Arial"/>
                <w:sz w:val="24"/>
                <w:szCs w:val="24"/>
              </w:rPr>
              <w:t>Appendix 4 added.</w:t>
            </w:r>
          </w:p>
        </w:tc>
      </w:tr>
      <w:tr w:rsidR="00DB2996" w:rsidRPr="00526815" w14:paraId="2715882E"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6CDEC21C" w14:textId="2A8B7C7C" w:rsidR="00DB2996" w:rsidRPr="00DB2996" w:rsidRDefault="00F277A0" w:rsidP="00BC45A7">
            <w:pPr>
              <w:spacing w:line="240" w:lineRule="auto"/>
              <w:ind w:left="221" w:right="51"/>
              <w:rPr>
                <w:rFonts w:ascii="Verdana" w:eastAsia="Arial" w:hAnsi="Verdana" w:cs="Arial"/>
                <w:b/>
                <w:sz w:val="24"/>
                <w:szCs w:val="24"/>
              </w:rPr>
            </w:pPr>
            <w:r>
              <w:rPr>
                <w:rFonts w:ascii="Verdana" w:eastAsia="Arial" w:hAnsi="Verdana" w:cs="Arial"/>
                <w:b/>
                <w:sz w:val="24"/>
                <w:szCs w:val="24"/>
              </w:rPr>
              <w:t>Reviewed April 2024</w:t>
            </w:r>
          </w:p>
        </w:tc>
        <w:tc>
          <w:tcPr>
            <w:tcW w:w="4677" w:type="dxa"/>
            <w:tcBorders>
              <w:top w:val="single" w:sz="4" w:space="0" w:color="auto"/>
              <w:left w:val="single" w:sz="4" w:space="0" w:color="auto"/>
              <w:bottom w:val="single" w:sz="4" w:space="0" w:color="auto"/>
              <w:right w:val="single" w:sz="4" w:space="0" w:color="auto"/>
            </w:tcBorders>
          </w:tcPr>
          <w:p w14:paraId="38C98C3B" w14:textId="17ADC517" w:rsidR="00DB2996" w:rsidRPr="00DB2996" w:rsidRDefault="00DB2996" w:rsidP="00BC45A7">
            <w:pPr>
              <w:spacing w:line="240" w:lineRule="auto"/>
              <w:ind w:left="1" w:right="51" w:hanging="11"/>
              <w:rPr>
                <w:rFonts w:ascii="Verdana" w:hAnsi="Verdana" w:cs="Arial"/>
                <w:sz w:val="24"/>
                <w:szCs w:val="24"/>
              </w:rPr>
            </w:pPr>
            <w:r w:rsidRPr="00DB2996">
              <w:rPr>
                <w:rFonts w:ascii="Verdana" w:hAnsi="Verdana" w:cs="Arial"/>
                <w:sz w:val="24"/>
                <w:szCs w:val="24"/>
              </w:rPr>
              <w:t xml:space="preserve">April </w:t>
            </w:r>
            <w:r w:rsidR="00F16D76">
              <w:rPr>
                <w:rFonts w:ascii="Verdana" w:hAnsi="Verdana" w:cs="Arial"/>
                <w:sz w:val="24"/>
                <w:szCs w:val="24"/>
              </w:rPr>
              <w:t>2024 – amend made to remove reference to Appendix 5 as</w:t>
            </w:r>
            <w:r w:rsidR="00F277A0">
              <w:rPr>
                <w:rFonts w:ascii="Verdana" w:hAnsi="Verdana" w:cs="Arial"/>
                <w:sz w:val="24"/>
                <w:szCs w:val="24"/>
              </w:rPr>
              <w:t xml:space="preserve"> not required.</w:t>
            </w:r>
          </w:p>
        </w:tc>
      </w:tr>
      <w:tr w:rsidR="00DB2996" w:rsidRPr="00526815" w14:paraId="4864602E"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001610E6" w14:textId="53961758" w:rsidR="00DB2996" w:rsidRPr="00DB2996" w:rsidRDefault="000027DE" w:rsidP="00BC45A7">
            <w:pPr>
              <w:spacing w:line="240" w:lineRule="auto"/>
              <w:ind w:left="221" w:right="51"/>
              <w:rPr>
                <w:rFonts w:ascii="Verdana" w:hAnsi="Verdana" w:cs="Arial"/>
                <w:b/>
                <w:sz w:val="24"/>
                <w:szCs w:val="24"/>
              </w:rPr>
            </w:pPr>
            <w:r>
              <w:rPr>
                <w:rFonts w:ascii="Verdana" w:eastAsia="Arial" w:hAnsi="Verdana" w:cs="Arial"/>
                <w:b/>
                <w:sz w:val="24"/>
                <w:szCs w:val="24"/>
              </w:rPr>
              <w:t>Version 1 (b)</w:t>
            </w:r>
          </w:p>
        </w:tc>
        <w:tc>
          <w:tcPr>
            <w:tcW w:w="4677" w:type="dxa"/>
            <w:tcBorders>
              <w:top w:val="single" w:sz="4" w:space="0" w:color="auto"/>
              <w:left w:val="single" w:sz="4" w:space="0" w:color="auto"/>
              <w:bottom w:val="single" w:sz="4" w:space="0" w:color="auto"/>
              <w:right w:val="single" w:sz="4" w:space="0" w:color="auto"/>
            </w:tcBorders>
          </w:tcPr>
          <w:p w14:paraId="69930644" w14:textId="0E028654" w:rsidR="00DB2996" w:rsidRPr="00DB2996" w:rsidRDefault="000027DE" w:rsidP="00BC45A7">
            <w:pPr>
              <w:spacing w:line="240" w:lineRule="auto"/>
              <w:ind w:left="1" w:right="51" w:hanging="11"/>
              <w:rPr>
                <w:rFonts w:ascii="Verdana" w:hAnsi="Verdana" w:cs="Arial"/>
                <w:sz w:val="24"/>
                <w:szCs w:val="24"/>
              </w:rPr>
            </w:pPr>
            <w:r>
              <w:rPr>
                <w:rFonts w:ascii="Verdana" w:hAnsi="Verdana" w:cs="Arial"/>
                <w:sz w:val="24"/>
                <w:szCs w:val="24"/>
              </w:rPr>
              <w:t>Reference to Appendix 5 removed.</w:t>
            </w:r>
          </w:p>
        </w:tc>
      </w:tr>
      <w:tr w:rsidR="003022C7" w:rsidRPr="00526815" w14:paraId="7604A8D0"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1B23650F" w14:textId="76D52DCE" w:rsidR="003022C7" w:rsidRDefault="003022C7" w:rsidP="00BC45A7">
            <w:pPr>
              <w:spacing w:line="240" w:lineRule="auto"/>
              <w:ind w:left="221" w:right="51"/>
              <w:rPr>
                <w:rFonts w:ascii="Verdana" w:eastAsia="Arial" w:hAnsi="Verdana" w:cs="Arial"/>
                <w:b/>
                <w:sz w:val="24"/>
                <w:szCs w:val="24"/>
              </w:rPr>
            </w:pPr>
            <w:r>
              <w:rPr>
                <w:rFonts w:ascii="Verdana" w:eastAsia="Arial" w:hAnsi="Verdana" w:cs="Arial"/>
                <w:b/>
                <w:sz w:val="24"/>
                <w:szCs w:val="24"/>
              </w:rPr>
              <w:t>Reviewed August 2025</w:t>
            </w:r>
          </w:p>
        </w:tc>
        <w:tc>
          <w:tcPr>
            <w:tcW w:w="4677" w:type="dxa"/>
            <w:tcBorders>
              <w:top w:val="single" w:sz="4" w:space="0" w:color="auto"/>
              <w:left w:val="single" w:sz="4" w:space="0" w:color="auto"/>
              <w:bottom w:val="single" w:sz="4" w:space="0" w:color="auto"/>
              <w:right w:val="single" w:sz="4" w:space="0" w:color="auto"/>
            </w:tcBorders>
          </w:tcPr>
          <w:p w14:paraId="37E8B8C1" w14:textId="03AD8628" w:rsidR="003022C7" w:rsidRDefault="003022C7" w:rsidP="00BC45A7">
            <w:pPr>
              <w:spacing w:line="240" w:lineRule="auto"/>
              <w:ind w:left="1" w:right="51" w:hanging="11"/>
              <w:rPr>
                <w:rFonts w:ascii="Verdana" w:hAnsi="Verdana" w:cs="Arial"/>
                <w:sz w:val="24"/>
                <w:szCs w:val="24"/>
              </w:rPr>
            </w:pPr>
            <w:r>
              <w:rPr>
                <w:rFonts w:ascii="Verdana" w:hAnsi="Verdana" w:cs="Arial"/>
                <w:sz w:val="24"/>
                <w:szCs w:val="24"/>
              </w:rPr>
              <w:t>August 2025 – amended to reflect changes in privacy notice</w:t>
            </w:r>
          </w:p>
        </w:tc>
      </w:tr>
      <w:tr w:rsidR="00DB2996" w:rsidRPr="00526815" w14:paraId="61A0F1AD"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4DCAA764" w14:textId="07A7B08A" w:rsidR="00DB2996" w:rsidRPr="00DB2996" w:rsidRDefault="00ED7054" w:rsidP="00BC45A7">
            <w:pPr>
              <w:spacing w:line="240" w:lineRule="auto"/>
              <w:ind w:left="221" w:right="51"/>
              <w:rPr>
                <w:rFonts w:ascii="Verdana" w:eastAsia="Arial" w:hAnsi="Verdana" w:cs="Arial"/>
                <w:b/>
                <w:sz w:val="24"/>
                <w:szCs w:val="24"/>
              </w:rPr>
            </w:pPr>
            <w:r>
              <w:rPr>
                <w:rFonts w:ascii="Verdana" w:eastAsia="Arial" w:hAnsi="Verdana" w:cs="Arial"/>
                <w:b/>
                <w:sz w:val="24"/>
                <w:szCs w:val="24"/>
              </w:rPr>
              <w:t>Version 1 (c)</w:t>
            </w:r>
          </w:p>
        </w:tc>
        <w:tc>
          <w:tcPr>
            <w:tcW w:w="4677" w:type="dxa"/>
            <w:tcBorders>
              <w:top w:val="single" w:sz="4" w:space="0" w:color="auto"/>
              <w:left w:val="single" w:sz="4" w:space="0" w:color="auto"/>
              <w:bottom w:val="single" w:sz="4" w:space="0" w:color="auto"/>
              <w:right w:val="single" w:sz="4" w:space="0" w:color="auto"/>
            </w:tcBorders>
          </w:tcPr>
          <w:p w14:paraId="728489A2" w14:textId="04113FFE" w:rsidR="00DB2996" w:rsidRPr="00DB2996" w:rsidRDefault="00E15C24" w:rsidP="00BC45A7">
            <w:pPr>
              <w:spacing w:line="240" w:lineRule="auto"/>
              <w:ind w:left="1" w:right="51" w:hanging="11"/>
              <w:rPr>
                <w:rFonts w:ascii="Verdana" w:hAnsi="Verdana" w:cs="Arial"/>
                <w:sz w:val="24"/>
                <w:szCs w:val="24"/>
              </w:rPr>
            </w:pPr>
            <w:r>
              <w:rPr>
                <w:rFonts w:ascii="Verdana" w:hAnsi="Verdana" w:cs="Arial"/>
                <w:sz w:val="24"/>
                <w:szCs w:val="24"/>
              </w:rPr>
              <w:t>Privacy not</w:t>
            </w:r>
            <w:r w:rsidR="000F1D90">
              <w:rPr>
                <w:rFonts w:ascii="Verdana" w:hAnsi="Verdana" w:cs="Arial"/>
                <w:sz w:val="24"/>
                <w:szCs w:val="24"/>
              </w:rPr>
              <w:t>ice</w:t>
            </w:r>
            <w:r>
              <w:rPr>
                <w:rFonts w:ascii="Verdana" w:hAnsi="Verdana" w:cs="Arial"/>
                <w:sz w:val="24"/>
                <w:szCs w:val="24"/>
              </w:rPr>
              <w:t xml:space="preserve"> updated to reflect amend</w:t>
            </w:r>
            <w:r w:rsidR="000F1D90">
              <w:rPr>
                <w:rFonts w:ascii="Verdana" w:hAnsi="Verdana" w:cs="Arial"/>
                <w:sz w:val="24"/>
                <w:szCs w:val="24"/>
              </w:rPr>
              <w:t>s</w:t>
            </w:r>
          </w:p>
        </w:tc>
      </w:tr>
      <w:tr w:rsidR="00DB2996" w:rsidRPr="00526815" w14:paraId="0C9F8A8B" w14:textId="77777777" w:rsidTr="00BC45A7">
        <w:trPr>
          <w:trHeight w:val="300"/>
        </w:trPr>
        <w:tc>
          <w:tcPr>
            <w:tcW w:w="3243" w:type="dxa"/>
            <w:tcBorders>
              <w:top w:val="single" w:sz="4" w:space="0" w:color="auto"/>
              <w:left w:val="single" w:sz="4" w:space="0" w:color="auto"/>
              <w:bottom w:val="single" w:sz="4" w:space="0" w:color="auto"/>
              <w:right w:val="single" w:sz="4" w:space="0" w:color="auto"/>
            </w:tcBorders>
          </w:tcPr>
          <w:p w14:paraId="7664745A" w14:textId="77777777" w:rsidR="00DB2996" w:rsidRPr="00DB2996" w:rsidRDefault="00DB2996" w:rsidP="00BC45A7">
            <w:pPr>
              <w:spacing w:line="240" w:lineRule="auto"/>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6D0A03A" w14:textId="77777777" w:rsidR="00DB2996" w:rsidRPr="00DB2996" w:rsidRDefault="00DB2996" w:rsidP="00BC45A7">
            <w:pPr>
              <w:spacing w:line="240" w:lineRule="auto"/>
              <w:ind w:left="1" w:right="51" w:hanging="11"/>
              <w:rPr>
                <w:rFonts w:ascii="Verdana" w:hAnsi="Verdana" w:cs="Arial"/>
                <w:sz w:val="24"/>
                <w:szCs w:val="24"/>
              </w:rPr>
            </w:pPr>
          </w:p>
        </w:tc>
      </w:tr>
      <w:tr w:rsidR="00DB2996" w:rsidRPr="00526815" w14:paraId="0C15428F" w14:textId="77777777" w:rsidTr="00BC45A7">
        <w:trPr>
          <w:trHeight w:val="341"/>
        </w:trPr>
        <w:tc>
          <w:tcPr>
            <w:tcW w:w="3243" w:type="dxa"/>
            <w:tcBorders>
              <w:top w:val="single" w:sz="4" w:space="0" w:color="auto"/>
              <w:left w:val="single" w:sz="4" w:space="0" w:color="auto"/>
              <w:bottom w:val="single" w:sz="4" w:space="0" w:color="auto"/>
              <w:right w:val="single" w:sz="4" w:space="0" w:color="auto"/>
            </w:tcBorders>
          </w:tcPr>
          <w:p w14:paraId="5F92B62F" w14:textId="77777777" w:rsidR="00DB2996" w:rsidRPr="00DB2996" w:rsidRDefault="00DB2996" w:rsidP="00BC45A7">
            <w:pPr>
              <w:spacing w:line="240" w:lineRule="auto"/>
              <w:ind w:left="221" w:right="51"/>
              <w:rPr>
                <w:rFonts w:ascii="Verdana" w:eastAsia="Arial"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A64120D" w14:textId="77777777" w:rsidR="00DB2996" w:rsidRPr="00DB2996" w:rsidRDefault="00DB2996" w:rsidP="00BC45A7">
            <w:pPr>
              <w:spacing w:line="240" w:lineRule="auto"/>
              <w:ind w:left="1" w:right="51" w:hanging="11"/>
              <w:rPr>
                <w:rFonts w:ascii="Verdana" w:eastAsia="Arial" w:hAnsi="Verdana" w:cs="Arial"/>
                <w:sz w:val="24"/>
                <w:szCs w:val="24"/>
              </w:rPr>
            </w:pPr>
          </w:p>
        </w:tc>
      </w:tr>
      <w:tr w:rsidR="00DB2996" w:rsidRPr="00EE6336" w14:paraId="6650C646" w14:textId="77777777" w:rsidTr="00BC45A7">
        <w:trPr>
          <w:trHeight w:val="341"/>
        </w:trPr>
        <w:tc>
          <w:tcPr>
            <w:tcW w:w="3243" w:type="dxa"/>
            <w:tcBorders>
              <w:top w:val="single" w:sz="4" w:space="0" w:color="auto"/>
              <w:left w:val="single" w:sz="4" w:space="0" w:color="auto"/>
              <w:bottom w:val="single" w:sz="4" w:space="0" w:color="auto"/>
              <w:right w:val="single" w:sz="4" w:space="0" w:color="auto"/>
            </w:tcBorders>
          </w:tcPr>
          <w:p w14:paraId="26A72684" w14:textId="77777777" w:rsidR="00DB2996" w:rsidRPr="00DB2996" w:rsidRDefault="00DB2996" w:rsidP="00BC45A7">
            <w:pPr>
              <w:spacing w:line="240" w:lineRule="auto"/>
              <w:ind w:left="221" w:right="51"/>
              <w:rPr>
                <w:rFonts w:ascii="Verdana" w:hAnsi="Verdana" w:cs="Arial"/>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57D6320" w14:textId="77777777" w:rsidR="00DB2996" w:rsidRPr="00DB2996" w:rsidRDefault="00DB2996" w:rsidP="00BC45A7">
            <w:pPr>
              <w:spacing w:line="240" w:lineRule="auto"/>
              <w:ind w:left="1" w:right="51" w:hanging="11"/>
              <w:rPr>
                <w:rFonts w:ascii="Verdana" w:hAnsi="Verdana" w:cs="Arial"/>
                <w:i/>
                <w:sz w:val="24"/>
                <w:szCs w:val="24"/>
              </w:rPr>
            </w:pPr>
          </w:p>
        </w:tc>
      </w:tr>
      <w:tr w:rsidR="00DB2996" w:rsidRPr="001427F8" w14:paraId="78AF7CF5" w14:textId="77777777" w:rsidTr="00BC45A7">
        <w:trPr>
          <w:trHeight w:val="341"/>
        </w:trPr>
        <w:tc>
          <w:tcPr>
            <w:tcW w:w="3243" w:type="dxa"/>
            <w:tcBorders>
              <w:top w:val="single" w:sz="4" w:space="0" w:color="auto"/>
              <w:left w:val="single" w:sz="4" w:space="0" w:color="auto"/>
              <w:bottom w:val="single" w:sz="4" w:space="0" w:color="auto"/>
              <w:right w:val="single" w:sz="4" w:space="0" w:color="auto"/>
            </w:tcBorders>
          </w:tcPr>
          <w:p w14:paraId="43D34AD0" w14:textId="77777777" w:rsidR="00DB2996" w:rsidRPr="00EE6336" w:rsidRDefault="00DB2996" w:rsidP="00BC45A7">
            <w:pPr>
              <w:spacing w:line="240" w:lineRule="auto"/>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1BE9F02C" w14:textId="77777777" w:rsidR="00DB2996" w:rsidRPr="001427F8" w:rsidRDefault="00DB2996" w:rsidP="00BC45A7">
            <w:pPr>
              <w:spacing w:line="240" w:lineRule="auto"/>
              <w:ind w:left="1" w:right="51" w:hanging="11"/>
              <w:rPr>
                <w:rFonts w:cs="Arial"/>
                <w:szCs w:val="24"/>
              </w:rPr>
            </w:pPr>
          </w:p>
        </w:tc>
      </w:tr>
      <w:tr w:rsidR="00DB2996" w:rsidRPr="001427F8" w14:paraId="564CD8C7" w14:textId="77777777" w:rsidTr="00BC45A7">
        <w:trPr>
          <w:trHeight w:val="341"/>
        </w:trPr>
        <w:tc>
          <w:tcPr>
            <w:tcW w:w="3243" w:type="dxa"/>
            <w:tcBorders>
              <w:top w:val="single" w:sz="4" w:space="0" w:color="auto"/>
              <w:left w:val="single" w:sz="4" w:space="0" w:color="auto"/>
              <w:bottom w:val="single" w:sz="4" w:space="0" w:color="auto"/>
              <w:right w:val="single" w:sz="4" w:space="0" w:color="auto"/>
            </w:tcBorders>
          </w:tcPr>
          <w:p w14:paraId="7F59ACF3" w14:textId="77777777" w:rsidR="00DB2996" w:rsidRPr="00EE6336" w:rsidRDefault="00DB2996" w:rsidP="00BC45A7">
            <w:pPr>
              <w:spacing w:line="240" w:lineRule="auto"/>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2E4CE07D" w14:textId="77777777" w:rsidR="00DB2996" w:rsidRPr="001427F8" w:rsidRDefault="00DB2996" w:rsidP="00BC45A7">
            <w:pPr>
              <w:spacing w:line="240" w:lineRule="auto"/>
              <w:ind w:left="1" w:right="51" w:hanging="11"/>
              <w:rPr>
                <w:rFonts w:cs="Arial"/>
                <w:szCs w:val="24"/>
              </w:rPr>
            </w:pPr>
          </w:p>
        </w:tc>
      </w:tr>
    </w:tbl>
    <w:p w14:paraId="52F73B22" w14:textId="77777777" w:rsidR="00393BA5" w:rsidRDefault="00393BA5"/>
    <w:p w14:paraId="71A45F04" w14:textId="77777777" w:rsidR="00393BA5" w:rsidRDefault="00393BA5"/>
    <w:p w14:paraId="49DE0A39" w14:textId="77777777" w:rsidR="00393BA5" w:rsidRDefault="00393BA5"/>
    <w:p w14:paraId="663B0A97" w14:textId="77777777" w:rsidR="00393BA5" w:rsidRDefault="00393BA5"/>
    <w:p w14:paraId="0212338D" w14:textId="77777777" w:rsidR="00393BA5" w:rsidRDefault="00393BA5"/>
    <w:p w14:paraId="334D815B" w14:textId="77777777" w:rsidR="008C1826" w:rsidRDefault="008C1826">
      <w:pPr>
        <w:spacing w:line="259" w:lineRule="auto"/>
        <w:rPr>
          <w:rFonts w:ascii="Verdana" w:hAnsi="Verdana"/>
          <w:sz w:val="24"/>
          <w:szCs w:val="24"/>
        </w:rPr>
      </w:pPr>
      <w:r>
        <w:rPr>
          <w:rFonts w:ascii="Verdana" w:hAnsi="Verdana"/>
          <w:sz w:val="24"/>
          <w:szCs w:val="24"/>
        </w:rPr>
        <w:br w:type="page"/>
      </w:r>
    </w:p>
    <w:p w14:paraId="0F5062E5" w14:textId="7A12838C" w:rsidR="00393BA5" w:rsidRPr="00393BA5" w:rsidRDefault="00393BA5" w:rsidP="00393BA5">
      <w:pPr>
        <w:rPr>
          <w:rFonts w:ascii="Verdana" w:hAnsi="Verdana"/>
          <w:sz w:val="24"/>
          <w:szCs w:val="24"/>
        </w:rPr>
      </w:pPr>
      <w:r>
        <w:rPr>
          <w:rFonts w:ascii="Verdana" w:hAnsi="Verdana"/>
          <w:sz w:val="24"/>
          <w:szCs w:val="24"/>
        </w:rPr>
        <w:lastRenderedPageBreak/>
        <w:t>Northern Ireland Human Rights Commission Data Protection Policy and Procedures</w:t>
      </w:r>
    </w:p>
    <w:p w14:paraId="19EEA74A" w14:textId="77777777" w:rsidR="00393BA5" w:rsidRDefault="00393BA5">
      <w:bookmarkStart w:id="0" w:name="_Hlk212814299"/>
    </w:p>
    <w:tbl>
      <w:tblPr>
        <w:tblStyle w:val="TableGrid0"/>
        <w:tblW w:w="0" w:type="auto"/>
        <w:tblLook w:val="04A0" w:firstRow="1" w:lastRow="0" w:firstColumn="1" w:lastColumn="0" w:noHBand="0" w:noVBand="1"/>
      </w:tblPr>
      <w:tblGrid>
        <w:gridCol w:w="1980"/>
        <w:gridCol w:w="6095"/>
        <w:gridCol w:w="941"/>
      </w:tblGrid>
      <w:tr w:rsidR="00F152E7" w14:paraId="6FA272DB" w14:textId="77777777" w:rsidTr="008D3A99">
        <w:tc>
          <w:tcPr>
            <w:tcW w:w="1980" w:type="dxa"/>
          </w:tcPr>
          <w:p w14:paraId="73947FEC" w14:textId="363A6911" w:rsidR="00F152E7" w:rsidRPr="008D3A99" w:rsidRDefault="00F152E7" w:rsidP="00F152E7">
            <w:pPr>
              <w:rPr>
                <w:rFonts w:ascii="Verdana" w:hAnsi="Verdana"/>
                <w:b/>
              </w:rPr>
            </w:pPr>
            <w:r w:rsidRPr="008D3A99">
              <w:rPr>
                <w:rFonts w:ascii="Verdana" w:hAnsi="Verdana"/>
                <w:b/>
              </w:rPr>
              <w:t>Section</w:t>
            </w:r>
          </w:p>
        </w:tc>
        <w:tc>
          <w:tcPr>
            <w:tcW w:w="6095" w:type="dxa"/>
          </w:tcPr>
          <w:p w14:paraId="22FC69DC" w14:textId="44197F64" w:rsidR="00F152E7" w:rsidRPr="008D3A99" w:rsidRDefault="00F152E7" w:rsidP="00F152E7">
            <w:pPr>
              <w:rPr>
                <w:rFonts w:ascii="Verdana" w:hAnsi="Verdana"/>
                <w:b/>
              </w:rPr>
            </w:pPr>
            <w:r w:rsidRPr="008D3A99">
              <w:rPr>
                <w:rFonts w:ascii="Verdana" w:hAnsi="Verdana"/>
                <w:b/>
              </w:rPr>
              <w:t>Title</w:t>
            </w:r>
          </w:p>
        </w:tc>
        <w:tc>
          <w:tcPr>
            <w:tcW w:w="941" w:type="dxa"/>
          </w:tcPr>
          <w:p w14:paraId="4875F0C4" w14:textId="2228F361" w:rsidR="00F152E7" w:rsidRPr="008D3A99" w:rsidRDefault="00F152E7" w:rsidP="00F152E7">
            <w:pPr>
              <w:rPr>
                <w:rFonts w:ascii="Verdana" w:hAnsi="Verdana"/>
                <w:b/>
              </w:rPr>
            </w:pPr>
            <w:r w:rsidRPr="008D3A99">
              <w:rPr>
                <w:rFonts w:ascii="Verdana" w:hAnsi="Verdana"/>
                <w:b/>
              </w:rPr>
              <w:t>Page</w:t>
            </w:r>
          </w:p>
        </w:tc>
      </w:tr>
      <w:tr w:rsidR="00F152E7" w14:paraId="1DA41CE9" w14:textId="77777777" w:rsidTr="008D3A99">
        <w:tc>
          <w:tcPr>
            <w:tcW w:w="1980" w:type="dxa"/>
          </w:tcPr>
          <w:p w14:paraId="461D2BBA" w14:textId="5EB89925" w:rsidR="00F152E7" w:rsidRDefault="00F152E7" w:rsidP="00F152E7">
            <w:pPr>
              <w:rPr>
                <w:rFonts w:ascii="Verdana" w:hAnsi="Verdana"/>
              </w:rPr>
            </w:pPr>
            <w:r>
              <w:rPr>
                <w:rFonts w:ascii="Verdana" w:hAnsi="Verdana"/>
              </w:rPr>
              <w:t>1</w:t>
            </w:r>
          </w:p>
        </w:tc>
        <w:tc>
          <w:tcPr>
            <w:tcW w:w="6095" w:type="dxa"/>
          </w:tcPr>
          <w:p w14:paraId="68235543" w14:textId="7B7E2441" w:rsidR="00F152E7" w:rsidRDefault="00F152E7" w:rsidP="00F152E7">
            <w:pPr>
              <w:rPr>
                <w:rFonts w:ascii="Verdana" w:hAnsi="Verdana"/>
              </w:rPr>
            </w:pPr>
            <w:r>
              <w:rPr>
                <w:rFonts w:ascii="Verdana" w:hAnsi="Verdana"/>
              </w:rPr>
              <w:t>Foreword</w:t>
            </w:r>
          </w:p>
        </w:tc>
        <w:tc>
          <w:tcPr>
            <w:tcW w:w="941" w:type="dxa"/>
          </w:tcPr>
          <w:p w14:paraId="2E8ACB40" w14:textId="45548E16" w:rsidR="00F152E7" w:rsidRDefault="00F152E7" w:rsidP="00F152E7">
            <w:pPr>
              <w:rPr>
                <w:rFonts w:ascii="Verdana" w:hAnsi="Verdana"/>
              </w:rPr>
            </w:pPr>
            <w:r>
              <w:rPr>
                <w:rFonts w:ascii="Verdana" w:hAnsi="Verdana"/>
              </w:rPr>
              <w:t>4</w:t>
            </w:r>
          </w:p>
        </w:tc>
      </w:tr>
      <w:tr w:rsidR="00F152E7" w14:paraId="78417402" w14:textId="77777777" w:rsidTr="008D3A99">
        <w:tc>
          <w:tcPr>
            <w:tcW w:w="1980" w:type="dxa"/>
          </w:tcPr>
          <w:p w14:paraId="3BF5D523" w14:textId="23E14AA1" w:rsidR="00F152E7" w:rsidRDefault="00F152E7" w:rsidP="00F152E7">
            <w:pPr>
              <w:rPr>
                <w:rFonts w:ascii="Verdana" w:hAnsi="Verdana"/>
              </w:rPr>
            </w:pPr>
            <w:r>
              <w:rPr>
                <w:rFonts w:ascii="Verdana" w:hAnsi="Verdana"/>
              </w:rPr>
              <w:t>2</w:t>
            </w:r>
          </w:p>
        </w:tc>
        <w:tc>
          <w:tcPr>
            <w:tcW w:w="6095" w:type="dxa"/>
          </w:tcPr>
          <w:p w14:paraId="60FE65EC" w14:textId="290CC0FE" w:rsidR="00F152E7" w:rsidRDefault="00F152E7" w:rsidP="00F152E7">
            <w:pPr>
              <w:rPr>
                <w:rFonts w:ascii="Verdana" w:hAnsi="Verdana"/>
              </w:rPr>
            </w:pPr>
            <w:r>
              <w:rPr>
                <w:rFonts w:ascii="Verdana" w:hAnsi="Verdana"/>
              </w:rPr>
              <w:t>Statement of Policy</w:t>
            </w:r>
          </w:p>
        </w:tc>
        <w:tc>
          <w:tcPr>
            <w:tcW w:w="941" w:type="dxa"/>
          </w:tcPr>
          <w:p w14:paraId="1A98F025" w14:textId="6DE4252A" w:rsidR="00F152E7" w:rsidRDefault="00F152E7" w:rsidP="00F152E7">
            <w:pPr>
              <w:rPr>
                <w:rFonts w:ascii="Verdana" w:hAnsi="Verdana"/>
              </w:rPr>
            </w:pPr>
            <w:r>
              <w:rPr>
                <w:rFonts w:ascii="Verdana" w:hAnsi="Verdana"/>
              </w:rPr>
              <w:t>5</w:t>
            </w:r>
          </w:p>
        </w:tc>
      </w:tr>
      <w:tr w:rsidR="00F152E7" w14:paraId="1B86896F" w14:textId="77777777" w:rsidTr="008D3A99">
        <w:tc>
          <w:tcPr>
            <w:tcW w:w="1980" w:type="dxa"/>
          </w:tcPr>
          <w:p w14:paraId="020C7641" w14:textId="1F19BF09" w:rsidR="00F152E7" w:rsidRDefault="00F152E7" w:rsidP="00F152E7">
            <w:pPr>
              <w:rPr>
                <w:rFonts w:ascii="Verdana" w:hAnsi="Verdana"/>
              </w:rPr>
            </w:pPr>
            <w:r>
              <w:rPr>
                <w:rFonts w:ascii="Verdana" w:hAnsi="Verdana"/>
              </w:rPr>
              <w:t>3</w:t>
            </w:r>
          </w:p>
        </w:tc>
        <w:tc>
          <w:tcPr>
            <w:tcW w:w="6095" w:type="dxa"/>
          </w:tcPr>
          <w:p w14:paraId="3321431A" w14:textId="75484CE8" w:rsidR="00F152E7" w:rsidRDefault="00F152E7" w:rsidP="00F152E7">
            <w:pPr>
              <w:rPr>
                <w:rFonts w:ascii="Verdana" w:hAnsi="Verdana"/>
              </w:rPr>
            </w:pPr>
            <w:r>
              <w:rPr>
                <w:rFonts w:ascii="Verdana" w:hAnsi="Verdana"/>
              </w:rPr>
              <w:t>Background</w:t>
            </w:r>
          </w:p>
        </w:tc>
        <w:tc>
          <w:tcPr>
            <w:tcW w:w="941" w:type="dxa"/>
          </w:tcPr>
          <w:p w14:paraId="1E180BB9" w14:textId="3B0FB6A0" w:rsidR="00F152E7" w:rsidRDefault="00F152E7" w:rsidP="00F152E7">
            <w:pPr>
              <w:rPr>
                <w:rFonts w:ascii="Verdana" w:hAnsi="Verdana"/>
              </w:rPr>
            </w:pPr>
            <w:r>
              <w:rPr>
                <w:rFonts w:ascii="Verdana" w:hAnsi="Verdana"/>
              </w:rPr>
              <w:t>6</w:t>
            </w:r>
          </w:p>
        </w:tc>
      </w:tr>
      <w:tr w:rsidR="00F152E7" w14:paraId="2B339F23" w14:textId="77777777" w:rsidTr="008D3A99">
        <w:tc>
          <w:tcPr>
            <w:tcW w:w="1980" w:type="dxa"/>
          </w:tcPr>
          <w:p w14:paraId="135316E8" w14:textId="32C354F4" w:rsidR="00F152E7" w:rsidRDefault="00F152E7" w:rsidP="00F152E7">
            <w:pPr>
              <w:rPr>
                <w:rFonts w:ascii="Verdana" w:hAnsi="Verdana"/>
              </w:rPr>
            </w:pPr>
            <w:r>
              <w:rPr>
                <w:rFonts w:ascii="Verdana" w:hAnsi="Verdana"/>
              </w:rPr>
              <w:t>4</w:t>
            </w:r>
          </w:p>
        </w:tc>
        <w:tc>
          <w:tcPr>
            <w:tcW w:w="6095" w:type="dxa"/>
          </w:tcPr>
          <w:p w14:paraId="75A282DE" w14:textId="0D218284" w:rsidR="00F152E7" w:rsidRDefault="00F152E7" w:rsidP="00F152E7">
            <w:pPr>
              <w:rPr>
                <w:rFonts w:ascii="Verdana" w:hAnsi="Verdana"/>
              </w:rPr>
            </w:pPr>
            <w:r>
              <w:rPr>
                <w:rFonts w:ascii="Verdana" w:hAnsi="Verdana"/>
              </w:rPr>
              <w:t>Data Protection Principles</w:t>
            </w:r>
          </w:p>
        </w:tc>
        <w:tc>
          <w:tcPr>
            <w:tcW w:w="941" w:type="dxa"/>
          </w:tcPr>
          <w:p w14:paraId="76836E83" w14:textId="52F388F1" w:rsidR="00F152E7" w:rsidRDefault="00F152E7" w:rsidP="00F152E7">
            <w:pPr>
              <w:rPr>
                <w:rFonts w:ascii="Verdana" w:hAnsi="Verdana"/>
              </w:rPr>
            </w:pPr>
            <w:r>
              <w:rPr>
                <w:rFonts w:ascii="Verdana" w:hAnsi="Verdana"/>
              </w:rPr>
              <w:t>7</w:t>
            </w:r>
          </w:p>
        </w:tc>
      </w:tr>
      <w:tr w:rsidR="00F152E7" w14:paraId="1B44AACC" w14:textId="77777777" w:rsidTr="008D3A99">
        <w:tc>
          <w:tcPr>
            <w:tcW w:w="1980" w:type="dxa"/>
          </w:tcPr>
          <w:p w14:paraId="766CCBD1" w14:textId="26AE7FAC" w:rsidR="00F152E7" w:rsidRDefault="00F152E7" w:rsidP="00F152E7">
            <w:pPr>
              <w:rPr>
                <w:rFonts w:ascii="Verdana" w:hAnsi="Verdana"/>
              </w:rPr>
            </w:pPr>
            <w:r>
              <w:rPr>
                <w:rFonts w:ascii="Verdana" w:hAnsi="Verdana"/>
              </w:rPr>
              <w:t>5</w:t>
            </w:r>
          </w:p>
        </w:tc>
        <w:tc>
          <w:tcPr>
            <w:tcW w:w="6095" w:type="dxa"/>
          </w:tcPr>
          <w:p w14:paraId="46D4036B" w14:textId="255033BA" w:rsidR="00F152E7" w:rsidRDefault="00F152E7" w:rsidP="00F152E7">
            <w:pPr>
              <w:rPr>
                <w:rFonts w:ascii="Verdana" w:hAnsi="Verdana"/>
              </w:rPr>
            </w:pPr>
            <w:r>
              <w:rPr>
                <w:rFonts w:ascii="Verdana" w:hAnsi="Verdana"/>
              </w:rPr>
              <w:t>Data Security and Risk Management</w:t>
            </w:r>
          </w:p>
        </w:tc>
        <w:tc>
          <w:tcPr>
            <w:tcW w:w="941" w:type="dxa"/>
          </w:tcPr>
          <w:p w14:paraId="4E93E854" w14:textId="0F25BA0D" w:rsidR="00F152E7" w:rsidRDefault="00F152E7" w:rsidP="00F152E7">
            <w:pPr>
              <w:rPr>
                <w:rFonts w:ascii="Verdana" w:hAnsi="Verdana"/>
              </w:rPr>
            </w:pPr>
            <w:r>
              <w:rPr>
                <w:rFonts w:ascii="Verdana" w:hAnsi="Verdana"/>
              </w:rPr>
              <w:t>8</w:t>
            </w:r>
          </w:p>
        </w:tc>
      </w:tr>
      <w:tr w:rsidR="00F152E7" w14:paraId="1AC32835" w14:textId="77777777" w:rsidTr="008D3A99">
        <w:tc>
          <w:tcPr>
            <w:tcW w:w="1980" w:type="dxa"/>
          </w:tcPr>
          <w:p w14:paraId="34590424" w14:textId="1F69604F" w:rsidR="00F152E7" w:rsidRDefault="00F152E7" w:rsidP="00F152E7">
            <w:pPr>
              <w:rPr>
                <w:rFonts w:ascii="Verdana" w:hAnsi="Verdana"/>
              </w:rPr>
            </w:pPr>
            <w:r>
              <w:rPr>
                <w:rFonts w:ascii="Verdana" w:hAnsi="Verdana"/>
              </w:rPr>
              <w:t>6</w:t>
            </w:r>
          </w:p>
        </w:tc>
        <w:tc>
          <w:tcPr>
            <w:tcW w:w="6095" w:type="dxa"/>
          </w:tcPr>
          <w:p w14:paraId="56009D1D" w14:textId="2D3E5036" w:rsidR="00F152E7" w:rsidRDefault="00F152E7" w:rsidP="00F152E7">
            <w:pPr>
              <w:rPr>
                <w:rFonts w:ascii="Verdana" w:hAnsi="Verdana"/>
              </w:rPr>
            </w:pPr>
            <w:r>
              <w:rPr>
                <w:rFonts w:ascii="Verdana" w:hAnsi="Verdana"/>
              </w:rPr>
              <w:t>Lawful Basis for Processing</w:t>
            </w:r>
          </w:p>
        </w:tc>
        <w:tc>
          <w:tcPr>
            <w:tcW w:w="941" w:type="dxa"/>
          </w:tcPr>
          <w:p w14:paraId="709838AD" w14:textId="4185D951" w:rsidR="00F152E7" w:rsidRDefault="00F152E7" w:rsidP="00F152E7">
            <w:pPr>
              <w:rPr>
                <w:rFonts w:ascii="Verdana" w:hAnsi="Verdana"/>
              </w:rPr>
            </w:pPr>
            <w:r>
              <w:rPr>
                <w:rFonts w:ascii="Verdana" w:hAnsi="Verdana"/>
              </w:rPr>
              <w:t>9</w:t>
            </w:r>
          </w:p>
        </w:tc>
      </w:tr>
      <w:tr w:rsidR="00F152E7" w14:paraId="795CA4BA" w14:textId="77777777" w:rsidTr="008D3A99">
        <w:tc>
          <w:tcPr>
            <w:tcW w:w="1980" w:type="dxa"/>
          </w:tcPr>
          <w:p w14:paraId="4BEA2756" w14:textId="5504F55B" w:rsidR="00F152E7" w:rsidRDefault="00F152E7" w:rsidP="00F152E7">
            <w:pPr>
              <w:rPr>
                <w:rFonts w:ascii="Verdana" w:hAnsi="Verdana"/>
              </w:rPr>
            </w:pPr>
            <w:r>
              <w:rPr>
                <w:rFonts w:ascii="Verdana" w:hAnsi="Verdana"/>
              </w:rPr>
              <w:t>7</w:t>
            </w:r>
          </w:p>
        </w:tc>
        <w:tc>
          <w:tcPr>
            <w:tcW w:w="6095" w:type="dxa"/>
          </w:tcPr>
          <w:p w14:paraId="70F3DCEA" w14:textId="16383B06" w:rsidR="00F152E7" w:rsidRDefault="00F152E7" w:rsidP="00F152E7">
            <w:pPr>
              <w:rPr>
                <w:rFonts w:ascii="Verdana" w:hAnsi="Verdana"/>
              </w:rPr>
            </w:pPr>
            <w:r>
              <w:rPr>
                <w:rFonts w:ascii="Verdana" w:hAnsi="Verdana"/>
              </w:rPr>
              <w:t>Right to be informed</w:t>
            </w:r>
          </w:p>
        </w:tc>
        <w:tc>
          <w:tcPr>
            <w:tcW w:w="941" w:type="dxa"/>
          </w:tcPr>
          <w:p w14:paraId="566EF292" w14:textId="7031134D" w:rsidR="00F152E7" w:rsidRDefault="00F152E7" w:rsidP="00F152E7">
            <w:pPr>
              <w:rPr>
                <w:rFonts w:ascii="Verdana" w:hAnsi="Verdana"/>
              </w:rPr>
            </w:pPr>
            <w:r>
              <w:rPr>
                <w:rFonts w:ascii="Verdana" w:hAnsi="Verdana"/>
              </w:rPr>
              <w:t>10</w:t>
            </w:r>
          </w:p>
        </w:tc>
      </w:tr>
      <w:tr w:rsidR="00F152E7" w14:paraId="12AEA286" w14:textId="77777777" w:rsidTr="008D3A99">
        <w:tc>
          <w:tcPr>
            <w:tcW w:w="1980" w:type="dxa"/>
          </w:tcPr>
          <w:p w14:paraId="72285DAB" w14:textId="1550A560" w:rsidR="00F152E7" w:rsidRDefault="00F152E7" w:rsidP="00F152E7">
            <w:pPr>
              <w:rPr>
                <w:rFonts w:ascii="Verdana" w:hAnsi="Verdana"/>
              </w:rPr>
            </w:pPr>
            <w:r>
              <w:rPr>
                <w:rFonts w:ascii="Verdana" w:hAnsi="Verdana"/>
              </w:rPr>
              <w:t>8</w:t>
            </w:r>
          </w:p>
        </w:tc>
        <w:tc>
          <w:tcPr>
            <w:tcW w:w="6095" w:type="dxa"/>
          </w:tcPr>
          <w:p w14:paraId="119E4AC1" w14:textId="5A99F664" w:rsidR="00F152E7" w:rsidRDefault="00F152E7" w:rsidP="00F152E7">
            <w:pPr>
              <w:rPr>
                <w:rFonts w:ascii="Verdana" w:hAnsi="Verdana"/>
              </w:rPr>
            </w:pPr>
            <w:r>
              <w:rPr>
                <w:rFonts w:ascii="Verdana" w:hAnsi="Verdana"/>
              </w:rPr>
              <w:t>Data Protection Officer</w:t>
            </w:r>
          </w:p>
        </w:tc>
        <w:tc>
          <w:tcPr>
            <w:tcW w:w="941" w:type="dxa"/>
          </w:tcPr>
          <w:p w14:paraId="00A69BAB" w14:textId="706DE505" w:rsidR="00F152E7" w:rsidRDefault="00F152E7" w:rsidP="00F152E7">
            <w:pPr>
              <w:rPr>
                <w:rFonts w:ascii="Verdana" w:hAnsi="Verdana"/>
              </w:rPr>
            </w:pPr>
            <w:r>
              <w:rPr>
                <w:rFonts w:ascii="Verdana" w:hAnsi="Verdana"/>
              </w:rPr>
              <w:t>11</w:t>
            </w:r>
          </w:p>
        </w:tc>
      </w:tr>
      <w:tr w:rsidR="00F152E7" w14:paraId="3488D385" w14:textId="77777777" w:rsidTr="008D3A99">
        <w:tc>
          <w:tcPr>
            <w:tcW w:w="1980" w:type="dxa"/>
          </w:tcPr>
          <w:p w14:paraId="509DB962" w14:textId="3A25DE53" w:rsidR="00F152E7" w:rsidRDefault="00F152E7" w:rsidP="00F152E7">
            <w:pPr>
              <w:rPr>
                <w:rFonts w:ascii="Verdana" w:hAnsi="Verdana"/>
              </w:rPr>
            </w:pPr>
            <w:r>
              <w:rPr>
                <w:rFonts w:ascii="Verdana" w:hAnsi="Verdana"/>
              </w:rPr>
              <w:t>9</w:t>
            </w:r>
          </w:p>
        </w:tc>
        <w:tc>
          <w:tcPr>
            <w:tcW w:w="6095" w:type="dxa"/>
          </w:tcPr>
          <w:p w14:paraId="4DDDCD9D" w14:textId="70F3EACC" w:rsidR="00F152E7" w:rsidRDefault="00F152E7" w:rsidP="00F152E7">
            <w:pPr>
              <w:rPr>
                <w:rFonts w:ascii="Verdana" w:hAnsi="Verdana"/>
              </w:rPr>
            </w:pPr>
            <w:r>
              <w:rPr>
                <w:rFonts w:ascii="Verdana" w:hAnsi="Verdana"/>
              </w:rPr>
              <w:t xml:space="preserve">Disclosure and sharing of Personal Information </w:t>
            </w:r>
          </w:p>
        </w:tc>
        <w:tc>
          <w:tcPr>
            <w:tcW w:w="941" w:type="dxa"/>
          </w:tcPr>
          <w:p w14:paraId="5125DC7F" w14:textId="4BAF694B" w:rsidR="00F152E7" w:rsidRDefault="00F152E7" w:rsidP="00F152E7">
            <w:pPr>
              <w:rPr>
                <w:rFonts w:ascii="Verdana" w:hAnsi="Verdana"/>
              </w:rPr>
            </w:pPr>
            <w:r>
              <w:rPr>
                <w:rFonts w:ascii="Verdana" w:hAnsi="Verdana"/>
              </w:rPr>
              <w:t>12</w:t>
            </w:r>
          </w:p>
        </w:tc>
      </w:tr>
      <w:tr w:rsidR="00F152E7" w14:paraId="25A25D7B" w14:textId="77777777" w:rsidTr="008D3A99">
        <w:tc>
          <w:tcPr>
            <w:tcW w:w="1980" w:type="dxa"/>
          </w:tcPr>
          <w:p w14:paraId="002777ED" w14:textId="4B507FF7" w:rsidR="00F152E7" w:rsidRDefault="00F152E7" w:rsidP="00F152E7">
            <w:pPr>
              <w:rPr>
                <w:rFonts w:ascii="Verdana" w:hAnsi="Verdana"/>
              </w:rPr>
            </w:pPr>
            <w:r>
              <w:rPr>
                <w:rFonts w:ascii="Verdana" w:hAnsi="Verdana"/>
              </w:rPr>
              <w:t>10</w:t>
            </w:r>
          </w:p>
        </w:tc>
        <w:tc>
          <w:tcPr>
            <w:tcW w:w="6095" w:type="dxa"/>
          </w:tcPr>
          <w:p w14:paraId="05307413" w14:textId="33A0173D" w:rsidR="00F152E7" w:rsidRDefault="00F152E7" w:rsidP="00F152E7">
            <w:pPr>
              <w:rPr>
                <w:rFonts w:ascii="Verdana" w:hAnsi="Verdana"/>
              </w:rPr>
            </w:pPr>
            <w:r>
              <w:rPr>
                <w:rFonts w:ascii="Verdana" w:hAnsi="Verdana"/>
              </w:rPr>
              <w:t>Retention of Data</w:t>
            </w:r>
          </w:p>
        </w:tc>
        <w:tc>
          <w:tcPr>
            <w:tcW w:w="941" w:type="dxa"/>
          </w:tcPr>
          <w:p w14:paraId="2EE1C07E" w14:textId="718E5BD2" w:rsidR="00F152E7" w:rsidRDefault="00F152E7" w:rsidP="00F152E7">
            <w:pPr>
              <w:rPr>
                <w:rFonts w:ascii="Verdana" w:hAnsi="Verdana"/>
              </w:rPr>
            </w:pPr>
            <w:r>
              <w:rPr>
                <w:rFonts w:ascii="Verdana" w:hAnsi="Verdana"/>
              </w:rPr>
              <w:t>1</w:t>
            </w:r>
            <w:r w:rsidR="003022C7">
              <w:rPr>
                <w:rFonts w:ascii="Verdana" w:hAnsi="Verdana"/>
              </w:rPr>
              <w:t>4</w:t>
            </w:r>
          </w:p>
        </w:tc>
      </w:tr>
      <w:tr w:rsidR="00F152E7" w14:paraId="51D0D535" w14:textId="77777777" w:rsidTr="008D3A99">
        <w:tc>
          <w:tcPr>
            <w:tcW w:w="1980" w:type="dxa"/>
          </w:tcPr>
          <w:p w14:paraId="60E8F1B7" w14:textId="2B8A8E72" w:rsidR="00F152E7" w:rsidRDefault="00F152E7" w:rsidP="00F152E7">
            <w:pPr>
              <w:rPr>
                <w:rFonts w:ascii="Verdana" w:hAnsi="Verdana"/>
              </w:rPr>
            </w:pPr>
            <w:r>
              <w:rPr>
                <w:rFonts w:ascii="Verdana" w:hAnsi="Verdana"/>
              </w:rPr>
              <w:t>11</w:t>
            </w:r>
          </w:p>
        </w:tc>
        <w:tc>
          <w:tcPr>
            <w:tcW w:w="6095" w:type="dxa"/>
          </w:tcPr>
          <w:p w14:paraId="638DDA40" w14:textId="500AA313" w:rsidR="00F152E7" w:rsidRDefault="00F152E7" w:rsidP="00F152E7">
            <w:pPr>
              <w:rPr>
                <w:rFonts w:ascii="Verdana" w:hAnsi="Verdana"/>
              </w:rPr>
            </w:pPr>
            <w:r>
              <w:rPr>
                <w:rFonts w:ascii="Verdana" w:hAnsi="Verdana"/>
              </w:rPr>
              <w:t>Subject Access Request</w:t>
            </w:r>
          </w:p>
        </w:tc>
        <w:tc>
          <w:tcPr>
            <w:tcW w:w="941" w:type="dxa"/>
          </w:tcPr>
          <w:p w14:paraId="53FAA676" w14:textId="13533733" w:rsidR="00F152E7" w:rsidRDefault="00F152E7" w:rsidP="00F152E7">
            <w:pPr>
              <w:rPr>
                <w:rFonts w:ascii="Verdana" w:hAnsi="Verdana"/>
              </w:rPr>
            </w:pPr>
            <w:r>
              <w:rPr>
                <w:rFonts w:ascii="Verdana" w:hAnsi="Verdana"/>
              </w:rPr>
              <w:t>14</w:t>
            </w:r>
          </w:p>
        </w:tc>
      </w:tr>
      <w:tr w:rsidR="00F152E7" w14:paraId="16C59817" w14:textId="77777777" w:rsidTr="008D3A99">
        <w:tc>
          <w:tcPr>
            <w:tcW w:w="1980" w:type="dxa"/>
          </w:tcPr>
          <w:p w14:paraId="53903203" w14:textId="1CB4108E" w:rsidR="00F152E7" w:rsidRDefault="00F152E7" w:rsidP="00F152E7">
            <w:pPr>
              <w:rPr>
                <w:rFonts w:ascii="Verdana" w:hAnsi="Verdana"/>
              </w:rPr>
            </w:pPr>
            <w:r>
              <w:rPr>
                <w:rFonts w:ascii="Verdana" w:hAnsi="Verdana"/>
              </w:rPr>
              <w:t>12</w:t>
            </w:r>
          </w:p>
        </w:tc>
        <w:tc>
          <w:tcPr>
            <w:tcW w:w="6095" w:type="dxa"/>
          </w:tcPr>
          <w:p w14:paraId="5DDB7C2C" w14:textId="6AA07912" w:rsidR="00F152E7" w:rsidRDefault="00F152E7" w:rsidP="00F152E7">
            <w:pPr>
              <w:rPr>
                <w:rFonts w:ascii="Verdana" w:hAnsi="Verdana"/>
              </w:rPr>
            </w:pPr>
            <w:r>
              <w:rPr>
                <w:rFonts w:ascii="Verdana" w:hAnsi="Verdana"/>
              </w:rPr>
              <w:t>Providing access to Individual Rights</w:t>
            </w:r>
          </w:p>
        </w:tc>
        <w:tc>
          <w:tcPr>
            <w:tcW w:w="941" w:type="dxa"/>
          </w:tcPr>
          <w:p w14:paraId="48379114" w14:textId="37A66EDC" w:rsidR="00F152E7" w:rsidRDefault="00F152E7" w:rsidP="00F152E7">
            <w:pPr>
              <w:rPr>
                <w:rFonts w:ascii="Verdana" w:hAnsi="Verdana"/>
              </w:rPr>
            </w:pPr>
            <w:r>
              <w:rPr>
                <w:rFonts w:ascii="Verdana" w:hAnsi="Verdana"/>
              </w:rPr>
              <w:t>14</w:t>
            </w:r>
          </w:p>
        </w:tc>
      </w:tr>
      <w:tr w:rsidR="00F152E7" w14:paraId="4035904D" w14:textId="77777777" w:rsidTr="008D3A99">
        <w:tc>
          <w:tcPr>
            <w:tcW w:w="1980" w:type="dxa"/>
          </w:tcPr>
          <w:p w14:paraId="35686C71" w14:textId="67A978B0" w:rsidR="00F152E7" w:rsidRDefault="00F152E7" w:rsidP="00F152E7">
            <w:pPr>
              <w:rPr>
                <w:rFonts w:ascii="Verdana" w:hAnsi="Verdana"/>
              </w:rPr>
            </w:pPr>
            <w:r>
              <w:rPr>
                <w:rFonts w:ascii="Verdana" w:hAnsi="Verdana"/>
              </w:rPr>
              <w:t>13</w:t>
            </w:r>
          </w:p>
        </w:tc>
        <w:tc>
          <w:tcPr>
            <w:tcW w:w="6095" w:type="dxa"/>
          </w:tcPr>
          <w:p w14:paraId="02150CD6" w14:textId="55B84341" w:rsidR="00F152E7" w:rsidRDefault="00F152E7" w:rsidP="00F152E7">
            <w:pPr>
              <w:rPr>
                <w:rFonts w:ascii="Verdana" w:hAnsi="Verdana"/>
              </w:rPr>
            </w:pPr>
            <w:r>
              <w:rPr>
                <w:rFonts w:ascii="Verdana" w:hAnsi="Verdana"/>
              </w:rPr>
              <w:t>Data Breach</w:t>
            </w:r>
          </w:p>
        </w:tc>
        <w:tc>
          <w:tcPr>
            <w:tcW w:w="941" w:type="dxa"/>
          </w:tcPr>
          <w:p w14:paraId="7C9A22CA" w14:textId="245601FB" w:rsidR="00F152E7" w:rsidRDefault="00F152E7" w:rsidP="00F152E7">
            <w:pPr>
              <w:rPr>
                <w:rFonts w:ascii="Verdana" w:hAnsi="Verdana"/>
              </w:rPr>
            </w:pPr>
            <w:r>
              <w:rPr>
                <w:rFonts w:ascii="Verdana" w:hAnsi="Verdana"/>
              </w:rPr>
              <w:t>17</w:t>
            </w:r>
          </w:p>
        </w:tc>
      </w:tr>
      <w:tr w:rsidR="00F152E7" w14:paraId="19698136" w14:textId="77777777" w:rsidTr="008D3A99">
        <w:tc>
          <w:tcPr>
            <w:tcW w:w="1980" w:type="dxa"/>
          </w:tcPr>
          <w:p w14:paraId="61EDC08C" w14:textId="3EC10251" w:rsidR="00F152E7" w:rsidRDefault="00F152E7" w:rsidP="00F152E7">
            <w:pPr>
              <w:rPr>
                <w:rFonts w:ascii="Verdana" w:hAnsi="Verdana"/>
              </w:rPr>
            </w:pPr>
            <w:r>
              <w:rPr>
                <w:rFonts w:ascii="Verdana" w:hAnsi="Verdana"/>
              </w:rPr>
              <w:t>14</w:t>
            </w:r>
          </w:p>
        </w:tc>
        <w:tc>
          <w:tcPr>
            <w:tcW w:w="6095" w:type="dxa"/>
          </w:tcPr>
          <w:p w14:paraId="7900AE3F" w14:textId="6CCE6594" w:rsidR="00F152E7" w:rsidRDefault="00F152E7" w:rsidP="00F152E7">
            <w:pPr>
              <w:rPr>
                <w:rFonts w:ascii="Verdana" w:hAnsi="Verdana"/>
              </w:rPr>
            </w:pPr>
            <w:r>
              <w:rPr>
                <w:rFonts w:ascii="Verdana" w:hAnsi="Verdana"/>
              </w:rPr>
              <w:t>The Role of the Information Commissioner’s Office</w:t>
            </w:r>
          </w:p>
        </w:tc>
        <w:tc>
          <w:tcPr>
            <w:tcW w:w="941" w:type="dxa"/>
          </w:tcPr>
          <w:p w14:paraId="2A299C9A" w14:textId="54CD9550" w:rsidR="00F152E7" w:rsidRDefault="00F152E7" w:rsidP="00F152E7">
            <w:pPr>
              <w:rPr>
                <w:rFonts w:ascii="Verdana" w:hAnsi="Verdana"/>
              </w:rPr>
            </w:pPr>
            <w:r>
              <w:rPr>
                <w:rFonts w:ascii="Verdana" w:hAnsi="Verdana"/>
              </w:rPr>
              <w:t>19</w:t>
            </w:r>
          </w:p>
        </w:tc>
      </w:tr>
      <w:tr w:rsidR="00F152E7" w14:paraId="53F9A9A2" w14:textId="77777777" w:rsidTr="008D3A99">
        <w:tc>
          <w:tcPr>
            <w:tcW w:w="1980" w:type="dxa"/>
          </w:tcPr>
          <w:p w14:paraId="7F8EB01B" w14:textId="29F40FA3" w:rsidR="00F152E7" w:rsidRDefault="00F152E7" w:rsidP="00F152E7">
            <w:pPr>
              <w:rPr>
                <w:rFonts w:ascii="Verdana" w:hAnsi="Verdana"/>
              </w:rPr>
            </w:pPr>
            <w:r>
              <w:rPr>
                <w:rFonts w:ascii="Verdana" w:hAnsi="Verdana"/>
              </w:rPr>
              <w:t>Appendix 1</w:t>
            </w:r>
          </w:p>
        </w:tc>
        <w:tc>
          <w:tcPr>
            <w:tcW w:w="6095" w:type="dxa"/>
          </w:tcPr>
          <w:p w14:paraId="2007048E" w14:textId="4C1F3313" w:rsidR="00F152E7" w:rsidRDefault="00F152E7" w:rsidP="00F152E7">
            <w:pPr>
              <w:rPr>
                <w:rFonts w:ascii="Verdana" w:hAnsi="Verdana"/>
              </w:rPr>
            </w:pPr>
            <w:r>
              <w:rPr>
                <w:rFonts w:ascii="Verdana" w:hAnsi="Verdana"/>
              </w:rPr>
              <w:t>Glossary</w:t>
            </w:r>
          </w:p>
        </w:tc>
        <w:tc>
          <w:tcPr>
            <w:tcW w:w="941" w:type="dxa"/>
          </w:tcPr>
          <w:p w14:paraId="48468218" w14:textId="1F0A38B7" w:rsidR="00F152E7" w:rsidRDefault="00F152E7" w:rsidP="00F152E7">
            <w:pPr>
              <w:rPr>
                <w:rFonts w:ascii="Verdana" w:hAnsi="Verdana"/>
              </w:rPr>
            </w:pPr>
            <w:r>
              <w:rPr>
                <w:rFonts w:ascii="Verdana" w:hAnsi="Verdana"/>
              </w:rPr>
              <w:t>20</w:t>
            </w:r>
          </w:p>
        </w:tc>
      </w:tr>
      <w:tr w:rsidR="00F152E7" w14:paraId="6276E90D" w14:textId="77777777" w:rsidTr="008D3A99">
        <w:tc>
          <w:tcPr>
            <w:tcW w:w="1980" w:type="dxa"/>
          </w:tcPr>
          <w:p w14:paraId="2BEDA0AB" w14:textId="20D0B743" w:rsidR="00F152E7" w:rsidRDefault="00F152E7" w:rsidP="00F152E7">
            <w:pPr>
              <w:rPr>
                <w:rFonts w:ascii="Verdana" w:hAnsi="Verdana"/>
              </w:rPr>
            </w:pPr>
            <w:r>
              <w:rPr>
                <w:rFonts w:ascii="Verdana" w:hAnsi="Verdana"/>
              </w:rPr>
              <w:t>Appendix 2</w:t>
            </w:r>
          </w:p>
        </w:tc>
        <w:tc>
          <w:tcPr>
            <w:tcW w:w="6095" w:type="dxa"/>
          </w:tcPr>
          <w:p w14:paraId="56397A6A" w14:textId="3A5A0EDA" w:rsidR="00F152E7" w:rsidRDefault="00F152E7" w:rsidP="00F152E7">
            <w:pPr>
              <w:rPr>
                <w:rFonts w:ascii="Verdana" w:hAnsi="Verdana"/>
              </w:rPr>
            </w:pPr>
            <w:r>
              <w:rPr>
                <w:rFonts w:ascii="Verdana" w:hAnsi="Verdana"/>
              </w:rPr>
              <w:t>Privacy Notice</w:t>
            </w:r>
          </w:p>
        </w:tc>
        <w:tc>
          <w:tcPr>
            <w:tcW w:w="941" w:type="dxa"/>
          </w:tcPr>
          <w:p w14:paraId="761A1A7B" w14:textId="7A581CD7" w:rsidR="00F152E7" w:rsidRDefault="00F152E7" w:rsidP="00F152E7">
            <w:pPr>
              <w:rPr>
                <w:rFonts w:ascii="Verdana" w:hAnsi="Verdana"/>
              </w:rPr>
            </w:pPr>
            <w:r>
              <w:rPr>
                <w:rFonts w:ascii="Verdana" w:hAnsi="Verdana"/>
              </w:rPr>
              <w:t>23</w:t>
            </w:r>
          </w:p>
        </w:tc>
      </w:tr>
      <w:tr w:rsidR="00F152E7" w14:paraId="0038F03F" w14:textId="77777777" w:rsidTr="008D3A99">
        <w:tc>
          <w:tcPr>
            <w:tcW w:w="1980" w:type="dxa"/>
          </w:tcPr>
          <w:p w14:paraId="06D7880B" w14:textId="2E96748E" w:rsidR="00F152E7" w:rsidRDefault="00F152E7" w:rsidP="00F152E7">
            <w:pPr>
              <w:rPr>
                <w:rFonts w:ascii="Verdana" w:hAnsi="Verdana"/>
              </w:rPr>
            </w:pPr>
            <w:r>
              <w:rPr>
                <w:rFonts w:ascii="Verdana" w:hAnsi="Verdana"/>
              </w:rPr>
              <w:t>Appendix 3</w:t>
            </w:r>
          </w:p>
        </w:tc>
        <w:tc>
          <w:tcPr>
            <w:tcW w:w="6095" w:type="dxa"/>
          </w:tcPr>
          <w:p w14:paraId="158ACC31" w14:textId="3B9E533A" w:rsidR="00F152E7" w:rsidRDefault="00F152E7" w:rsidP="00F152E7">
            <w:pPr>
              <w:rPr>
                <w:rFonts w:ascii="Verdana" w:hAnsi="Verdana"/>
              </w:rPr>
            </w:pPr>
            <w:r>
              <w:rPr>
                <w:rFonts w:ascii="Verdana" w:hAnsi="Verdana"/>
              </w:rPr>
              <w:t>Data Breach Report Form</w:t>
            </w:r>
          </w:p>
        </w:tc>
        <w:tc>
          <w:tcPr>
            <w:tcW w:w="941" w:type="dxa"/>
          </w:tcPr>
          <w:p w14:paraId="08C81E24" w14:textId="42ECF6A3" w:rsidR="00F152E7" w:rsidRDefault="00F152E7" w:rsidP="00F152E7">
            <w:pPr>
              <w:rPr>
                <w:rFonts w:ascii="Verdana" w:hAnsi="Verdana"/>
              </w:rPr>
            </w:pPr>
            <w:r>
              <w:rPr>
                <w:rFonts w:ascii="Verdana" w:hAnsi="Verdana"/>
              </w:rPr>
              <w:t>29</w:t>
            </w:r>
          </w:p>
        </w:tc>
      </w:tr>
      <w:tr w:rsidR="00F152E7" w14:paraId="050B4A7E" w14:textId="77777777" w:rsidTr="008D3A99">
        <w:tc>
          <w:tcPr>
            <w:tcW w:w="1980" w:type="dxa"/>
          </w:tcPr>
          <w:p w14:paraId="3A1345AD" w14:textId="081C7845" w:rsidR="00F152E7" w:rsidRDefault="00F152E7" w:rsidP="00F152E7">
            <w:pPr>
              <w:rPr>
                <w:rFonts w:ascii="Verdana" w:hAnsi="Verdana"/>
              </w:rPr>
            </w:pPr>
            <w:r>
              <w:rPr>
                <w:rFonts w:ascii="Verdana" w:hAnsi="Verdana"/>
              </w:rPr>
              <w:t>Appendix 4</w:t>
            </w:r>
          </w:p>
        </w:tc>
        <w:tc>
          <w:tcPr>
            <w:tcW w:w="6095" w:type="dxa"/>
          </w:tcPr>
          <w:p w14:paraId="1064C435" w14:textId="496FDA59" w:rsidR="00F152E7" w:rsidRDefault="00F152E7" w:rsidP="00F152E7">
            <w:pPr>
              <w:rPr>
                <w:rFonts w:ascii="Verdana" w:hAnsi="Verdana"/>
              </w:rPr>
            </w:pPr>
            <w:r>
              <w:rPr>
                <w:rFonts w:ascii="Verdana" w:hAnsi="Verdana"/>
              </w:rPr>
              <w:t>Complying with a Subject Access Request</w:t>
            </w:r>
          </w:p>
        </w:tc>
        <w:tc>
          <w:tcPr>
            <w:tcW w:w="941" w:type="dxa"/>
          </w:tcPr>
          <w:p w14:paraId="04C7EE3D" w14:textId="3A5E1971" w:rsidR="00F152E7" w:rsidRDefault="00F152E7" w:rsidP="00F152E7">
            <w:pPr>
              <w:rPr>
                <w:rFonts w:ascii="Verdana" w:hAnsi="Verdana"/>
              </w:rPr>
            </w:pPr>
            <w:r>
              <w:rPr>
                <w:rFonts w:ascii="Verdana" w:hAnsi="Verdana"/>
              </w:rPr>
              <w:t>31</w:t>
            </w:r>
          </w:p>
        </w:tc>
      </w:tr>
      <w:bookmarkEnd w:id="0"/>
    </w:tbl>
    <w:p w14:paraId="236557F6" w14:textId="77777777" w:rsidR="0051082E" w:rsidRDefault="0051082E">
      <w:pPr>
        <w:rPr>
          <w:rFonts w:ascii="Verdana" w:hAnsi="Verdana"/>
        </w:rPr>
      </w:pPr>
    </w:p>
    <w:p w14:paraId="01EC3F41" w14:textId="77777777" w:rsidR="00F11143" w:rsidRDefault="00F11143" w:rsidP="00F11143">
      <w:pPr>
        <w:ind w:left="644"/>
        <w:rPr>
          <w:rFonts w:ascii="Verdana" w:hAnsi="Verdana"/>
          <w:b/>
          <w:color w:val="7030A0"/>
        </w:rPr>
      </w:pPr>
    </w:p>
    <w:p w14:paraId="5F435C08" w14:textId="77777777" w:rsidR="00F11143" w:rsidRDefault="00F11143" w:rsidP="00F11143">
      <w:pPr>
        <w:ind w:left="644"/>
        <w:rPr>
          <w:rFonts w:ascii="Verdana" w:hAnsi="Verdana"/>
          <w:b/>
          <w:color w:val="7030A0"/>
        </w:rPr>
      </w:pPr>
    </w:p>
    <w:p w14:paraId="362E7A52" w14:textId="77777777" w:rsidR="00F11143" w:rsidRDefault="00F11143" w:rsidP="00F11143">
      <w:pPr>
        <w:ind w:left="644"/>
        <w:rPr>
          <w:rFonts w:ascii="Verdana" w:hAnsi="Verdana"/>
          <w:b/>
          <w:color w:val="7030A0"/>
        </w:rPr>
      </w:pPr>
    </w:p>
    <w:p w14:paraId="30177D59" w14:textId="77777777" w:rsidR="00F11143" w:rsidRDefault="00F11143" w:rsidP="00F11143">
      <w:pPr>
        <w:ind w:left="644"/>
        <w:rPr>
          <w:rFonts w:ascii="Verdana" w:hAnsi="Verdana"/>
          <w:b/>
          <w:color w:val="7030A0"/>
        </w:rPr>
      </w:pPr>
    </w:p>
    <w:p w14:paraId="103085D8" w14:textId="77777777" w:rsidR="00F11143" w:rsidRDefault="00F11143" w:rsidP="00F11143">
      <w:pPr>
        <w:ind w:left="644"/>
        <w:rPr>
          <w:rFonts w:ascii="Verdana" w:hAnsi="Verdana"/>
          <w:b/>
          <w:color w:val="7030A0"/>
        </w:rPr>
      </w:pPr>
    </w:p>
    <w:p w14:paraId="308B6006" w14:textId="77777777" w:rsidR="00F11143" w:rsidRDefault="00F11143" w:rsidP="00F11143">
      <w:pPr>
        <w:ind w:left="644"/>
        <w:rPr>
          <w:rFonts w:ascii="Verdana" w:hAnsi="Verdana"/>
          <w:b/>
          <w:color w:val="7030A0"/>
        </w:rPr>
      </w:pPr>
    </w:p>
    <w:p w14:paraId="6DEF94A1" w14:textId="77777777" w:rsidR="00F11143" w:rsidRDefault="00F11143" w:rsidP="00F11143">
      <w:pPr>
        <w:ind w:left="644"/>
        <w:rPr>
          <w:rFonts w:ascii="Verdana" w:hAnsi="Verdana"/>
          <w:b/>
          <w:color w:val="7030A0"/>
        </w:rPr>
      </w:pPr>
    </w:p>
    <w:p w14:paraId="1B25C526" w14:textId="77777777" w:rsidR="00F11143" w:rsidRDefault="00F11143" w:rsidP="00F11143">
      <w:pPr>
        <w:ind w:left="644"/>
        <w:rPr>
          <w:rFonts w:ascii="Verdana" w:hAnsi="Verdana"/>
          <w:b/>
          <w:color w:val="7030A0"/>
        </w:rPr>
      </w:pPr>
    </w:p>
    <w:p w14:paraId="13090292" w14:textId="77777777" w:rsidR="00F11143" w:rsidRDefault="00F11143" w:rsidP="00F11143">
      <w:pPr>
        <w:ind w:left="644"/>
        <w:rPr>
          <w:rFonts w:ascii="Verdana" w:hAnsi="Verdana"/>
          <w:b/>
          <w:color w:val="7030A0"/>
        </w:rPr>
      </w:pPr>
    </w:p>
    <w:p w14:paraId="5BB4649E" w14:textId="77777777" w:rsidR="00F11143" w:rsidRDefault="00F11143" w:rsidP="00F11143">
      <w:pPr>
        <w:ind w:left="644"/>
        <w:rPr>
          <w:rFonts w:ascii="Verdana" w:hAnsi="Verdana"/>
          <w:b/>
          <w:color w:val="7030A0"/>
        </w:rPr>
      </w:pPr>
    </w:p>
    <w:p w14:paraId="3284E97A" w14:textId="77777777" w:rsidR="00F11143" w:rsidRDefault="00F11143" w:rsidP="00F11143">
      <w:pPr>
        <w:ind w:left="644"/>
        <w:rPr>
          <w:rFonts w:ascii="Verdana" w:hAnsi="Verdana"/>
          <w:b/>
          <w:color w:val="7030A0"/>
        </w:rPr>
      </w:pPr>
    </w:p>
    <w:p w14:paraId="2FFDAC43" w14:textId="77777777" w:rsidR="00F11143" w:rsidRDefault="00F11143" w:rsidP="00F11143">
      <w:pPr>
        <w:ind w:left="644"/>
        <w:rPr>
          <w:rFonts w:ascii="Verdana" w:hAnsi="Verdana"/>
          <w:b/>
          <w:color w:val="7030A0"/>
        </w:rPr>
      </w:pPr>
    </w:p>
    <w:p w14:paraId="31C64FFF" w14:textId="77777777" w:rsidR="00F11143" w:rsidRDefault="00F11143" w:rsidP="00F11143">
      <w:pPr>
        <w:ind w:left="644"/>
        <w:rPr>
          <w:rFonts w:ascii="Verdana" w:hAnsi="Verdana"/>
          <w:b/>
          <w:color w:val="7030A0"/>
        </w:rPr>
      </w:pPr>
    </w:p>
    <w:p w14:paraId="1FF7B252" w14:textId="77777777" w:rsidR="00F11143" w:rsidRDefault="00F11143" w:rsidP="00F11143">
      <w:pPr>
        <w:ind w:left="644"/>
        <w:rPr>
          <w:rFonts w:ascii="Verdana" w:hAnsi="Verdana"/>
          <w:b/>
          <w:color w:val="7030A0"/>
        </w:rPr>
      </w:pPr>
    </w:p>
    <w:p w14:paraId="7C80AE9B" w14:textId="77777777" w:rsidR="00F11143" w:rsidRDefault="00F11143" w:rsidP="00F11143">
      <w:pPr>
        <w:ind w:left="644" w:hanging="644"/>
        <w:rPr>
          <w:rFonts w:ascii="Verdana" w:hAnsi="Verdana"/>
          <w:b/>
          <w:color w:val="7030A0"/>
        </w:rPr>
      </w:pPr>
    </w:p>
    <w:p w14:paraId="6FB760B3" w14:textId="77777777" w:rsidR="0051082E" w:rsidRPr="003022C7" w:rsidRDefault="0051082E" w:rsidP="00F11143">
      <w:pPr>
        <w:pStyle w:val="ListParagraph"/>
        <w:ind w:left="0"/>
        <w:rPr>
          <w:rFonts w:ascii="Verdana" w:hAnsi="Verdana"/>
          <w:sz w:val="24"/>
          <w:szCs w:val="24"/>
        </w:rPr>
      </w:pPr>
      <w:r w:rsidRPr="003022C7">
        <w:rPr>
          <w:rFonts w:ascii="Verdana" w:hAnsi="Verdana"/>
          <w:b/>
          <w:color w:val="7030A0"/>
          <w:sz w:val="24"/>
          <w:szCs w:val="24"/>
        </w:rPr>
        <w:lastRenderedPageBreak/>
        <w:t>Foreword</w:t>
      </w:r>
    </w:p>
    <w:p w14:paraId="69059E8C" w14:textId="77777777" w:rsidR="0051082E" w:rsidRPr="003022C7" w:rsidRDefault="0051082E" w:rsidP="0051082E">
      <w:pPr>
        <w:pStyle w:val="ListParagraph"/>
        <w:ind w:left="567"/>
        <w:rPr>
          <w:rFonts w:ascii="Verdana" w:hAnsi="Verdana"/>
          <w:b/>
          <w:color w:val="7030A0"/>
          <w:sz w:val="24"/>
          <w:szCs w:val="24"/>
        </w:rPr>
      </w:pPr>
    </w:p>
    <w:p w14:paraId="17A053E1" w14:textId="64828FAE" w:rsidR="0051082E" w:rsidRPr="003022C7" w:rsidRDefault="0051082E" w:rsidP="0051082E">
      <w:pPr>
        <w:pStyle w:val="ListParagraph"/>
        <w:ind w:left="0"/>
        <w:rPr>
          <w:rFonts w:ascii="Verdana" w:hAnsi="Verdana"/>
          <w:color w:val="000000" w:themeColor="text1"/>
          <w:sz w:val="24"/>
          <w:szCs w:val="24"/>
        </w:rPr>
      </w:pPr>
      <w:r w:rsidRPr="003022C7">
        <w:rPr>
          <w:rFonts w:ascii="Verdana" w:hAnsi="Verdana"/>
          <w:color w:val="000000" w:themeColor="text1"/>
          <w:sz w:val="24"/>
          <w:szCs w:val="24"/>
        </w:rPr>
        <w:t>This policy and supporting procedures will inform Northern Ireland Human Rights Commission</w:t>
      </w:r>
      <w:r w:rsidR="00092CF3" w:rsidRPr="003022C7">
        <w:rPr>
          <w:rFonts w:ascii="Verdana" w:hAnsi="Verdana"/>
          <w:color w:val="000000" w:themeColor="text1"/>
          <w:sz w:val="24"/>
          <w:szCs w:val="24"/>
        </w:rPr>
        <w:t xml:space="preserve"> (NIHRC)</w:t>
      </w:r>
      <w:r w:rsidRPr="003022C7">
        <w:rPr>
          <w:rFonts w:ascii="Verdana" w:hAnsi="Verdana"/>
          <w:color w:val="000000" w:themeColor="text1"/>
          <w:sz w:val="24"/>
          <w:szCs w:val="24"/>
        </w:rPr>
        <w:t xml:space="preserve"> employees and Commissioners about the key data protection issues, including General Data Protection Regulation (GDPR).  It sets out information needed to ensure that the </w:t>
      </w:r>
      <w:r w:rsidR="00092CF3" w:rsidRPr="003022C7">
        <w:rPr>
          <w:rFonts w:ascii="Verdana" w:hAnsi="Verdana"/>
          <w:color w:val="000000" w:themeColor="text1"/>
          <w:sz w:val="24"/>
          <w:szCs w:val="24"/>
        </w:rPr>
        <w:t>NIHRC</w:t>
      </w:r>
      <w:r w:rsidRPr="003022C7">
        <w:rPr>
          <w:rFonts w:ascii="Verdana" w:hAnsi="Verdana"/>
          <w:color w:val="000000" w:themeColor="text1"/>
          <w:sz w:val="24"/>
          <w:szCs w:val="24"/>
        </w:rPr>
        <w:t xml:space="preserve"> complies with its data obligations and reference further guidance should that be necessary.</w:t>
      </w:r>
    </w:p>
    <w:p w14:paraId="7CBE8B3E" w14:textId="77777777" w:rsidR="0051082E" w:rsidRPr="003022C7" w:rsidRDefault="0051082E" w:rsidP="0051082E">
      <w:pPr>
        <w:pStyle w:val="ListParagraph"/>
        <w:ind w:left="0"/>
        <w:rPr>
          <w:rFonts w:ascii="Verdana" w:hAnsi="Verdana"/>
          <w:color w:val="000000" w:themeColor="text1"/>
          <w:sz w:val="24"/>
          <w:szCs w:val="24"/>
        </w:rPr>
      </w:pPr>
    </w:p>
    <w:p w14:paraId="34F0C5AE" w14:textId="7FCF013D" w:rsidR="0051082E" w:rsidRPr="003022C7" w:rsidRDefault="0051082E" w:rsidP="0051082E">
      <w:pPr>
        <w:pStyle w:val="ListParagraph"/>
        <w:ind w:left="0"/>
        <w:rPr>
          <w:rFonts w:ascii="Verdana" w:hAnsi="Verdana"/>
          <w:color w:val="000000" w:themeColor="text1"/>
          <w:sz w:val="24"/>
          <w:szCs w:val="24"/>
        </w:rPr>
      </w:pPr>
      <w:r w:rsidRPr="003022C7">
        <w:rPr>
          <w:rFonts w:ascii="Verdana" w:hAnsi="Verdana"/>
          <w:color w:val="000000" w:themeColor="text1"/>
          <w:sz w:val="24"/>
          <w:szCs w:val="24"/>
        </w:rPr>
        <w:t xml:space="preserve">This policy and supporting procedures aim to ensure that all staff, stakeholders and third parties are aware of both their Data Protection rights and responsibilities including those arising from GDPR and to minimise the risk to the </w:t>
      </w:r>
      <w:r w:rsidR="00092CF3" w:rsidRPr="003022C7">
        <w:rPr>
          <w:rFonts w:ascii="Verdana" w:hAnsi="Verdana"/>
          <w:color w:val="000000" w:themeColor="text1"/>
          <w:sz w:val="24"/>
          <w:szCs w:val="24"/>
        </w:rPr>
        <w:t>NIHRC</w:t>
      </w:r>
      <w:r w:rsidRPr="003022C7">
        <w:rPr>
          <w:rFonts w:ascii="Verdana" w:hAnsi="Verdana"/>
          <w:color w:val="000000" w:themeColor="text1"/>
          <w:sz w:val="24"/>
          <w:szCs w:val="24"/>
        </w:rPr>
        <w:t xml:space="preserve"> of any Data Protection potential breaches.</w:t>
      </w:r>
    </w:p>
    <w:p w14:paraId="13DC7D4E" w14:textId="77777777" w:rsidR="0051082E" w:rsidRPr="003022C7" w:rsidRDefault="0051082E" w:rsidP="0051082E">
      <w:pPr>
        <w:pStyle w:val="ListParagraph"/>
        <w:ind w:left="0"/>
        <w:rPr>
          <w:rFonts w:ascii="Verdana" w:hAnsi="Verdana"/>
          <w:color w:val="000000" w:themeColor="text1"/>
          <w:sz w:val="24"/>
          <w:szCs w:val="24"/>
        </w:rPr>
      </w:pPr>
    </w:p>
    <w:p w14:paraId="0CBFCBB1" w14:textId="77777777" w:rsidR="0051082E" w:rsidRPr="003022C7" w:rsidRDefault="0051082E" w:rsidP="0051082E">
      <w:pPr>
        <w:pStyle w:val="ListParagraph"/>
        <w:ind w:left="0"/>
        <w:rPr>
          <w:rFonts w:ascii="Verdana" w:hAnsi="Verdana"/>
          <w:color w:val="000000" w:themeColor="text1"/>
          <w:sz w:val="24"/>
          <w:szCs w:val="24"/>
        </w:rPr>
      </w:pPr>
      <w:r w:rsidRPr="003022C7">
        <w:rPr>
          <w:rFonts w:ascii="Verdana" w:hAnsi="Verdana"/>
          <w:color w:val="000000" w:themeColor="text1"/>
          <w:sz w:val="24"/>
          <w:szCs w:val="24"/>
        </w:rPr>
        <w:t>All staff have a part to play in managing personal information safely, so are required to read this policy.  The Data Protection Officer is also available to provide further advice to ensure that NIHRC complies with the GDPR.</w:t>
      </w:r>
    </w:p>
    <w:p w14:paraId="34F5FB2D" w14:textId="77777777" w:rsidR="0051082E" w:rsidRPr="003022C7" w:rsidRDefault="0051082E" w:rsidP="0051082E">
      <w:pPr>
        <w:pStyle w:val="ListParagraph"/>
        <w:ind w:left="0"/>
        <w:rPr>
          <w:rFonts w:ascii="Verdana" w:hAnsi="Verdana"/>
          <w:color w:val="000000" w:themeColor="text1"/>
          <w:sz w:val="24"/>
          <w:szCs w:val="24"/>
        </w:rPr>
      </w:pPr>
    </w:p>
    <w:p w14:paraId="5BB1B7D3" w14:textId="77777777" w:rsidR="0051082E" w:rsidRPr="003022C7" w:rsidRDefault="0051082E" w:rsidP="0051082E">
      <w:pPr>
        <w:pStyle w:val="ListParagraph"/>
        <w:ind w:left="0"/>
        <w:rPr>
          <w:rFonts w:ascii="Verdana" w:hAnsi="Verdana"/>
          <w:color w:val="000000" w:themeColor="text1"/>
          <w:sz w:val="24"/>
          <w:szCs w:val="24"/>
        </w:rPr>
      </w:pPr>
    </w:p>
    <w:p w14:paraId="4BE6089F" w14:textId="77777777" w:rsidR="0051082E" w:rsidRPr="003022C7" w:rsidRDefault="0051082E" w:rsidP="0051082E">
      <w:pPr>
        <w:pStyle w:val="ListParagraph"/>
        <w:ind w:left="0"/>
        <w:rPr>
          <w:rFonts w:ascii="Verdana" w:hAnsi="Verdana"/>
          <w:color w:val="000000" w:themeColor="text1"/>
          <w:sz w:val="24"/>
          <w:szCs w:val="24"/>
        </w:rPr>
      </w:pPr>
    </w:p>
    <w:p w14:paraId="52E595F9" w14:textId="77777777" w:rsidR="0051082E" w:rsidRPr="003022C7" w:rsidRDefault="0051082E" w:rsidP="0051082E">
      <w:pPr>
        <w:pStyle w:val="ListParagraph"/>
        <w:ind w:left="0"/>
        <w:rPr>
          <w:rFonts w:ascii="Verdana" w:hAnsi="Verdana"/>
          <w:color w:val="000000" w:themeColor="text1"/>
          <w:sz w:val="24"/>
          <w:szCs w:val="24"/>
        </w:rPr>
      </w:pPr>
      <w:r w:rsidRPr="003022C7">
        <w:rPr>
          <w:rFonts w:ascii="Verdana" w:hAnsi="Verdana"/>
          <w:color w:val="000000" w:themeColor="text1"/>
          <w:sz w:val="24"/>
          <w:szCs w:val="24"/>
        </w:rPr>
        <w:t xml:space="preserve">Thank you.  </w:t>
      </w:r>
    </w:p>
    <w:p w14:paraId="4CB765F8" w14:textId="77777777" w:rsidR="00E33DB3" w:rsidRDefault="00E33DB3" w:rsidP="0051082E">
      <w:pPr>
        <w:pStyle w:val="ListParagraph"/>
        <w:ind w:left="0"/>
        <w:rPr>
          <w:rFonts w:ascii="Verdana" w:hAnsi="Verdana"/>
          <w:color w:val="000000" w:themeColor="text1"/>
        </w:rPr>
      </w:pPr>
    </w:p>
    <w:p w14:paraId="32CFC63E" w14:textId="77777777" w:rsidR="00E33DB3" w:rsidRDefault="00E33DB3" w:rsidP="0051082E">
      <w:pPr>
        <w:pStyle w:val="ListParagraph"/>
        <w:ind w:left="0"/>
        <w:rPr>
          <w:rFonts w:ascii="Verdana" w:hAnsi="Verdana"/>
          <w:color w:val="000000" w:themeColor="text1"/>
        </w:rPr>
      </w:pPr>
    </w:p>
    <w:p w14:paraId="67F5089F" w14:textId="77777777" w:rsidR="00E33DB3" w:rsidRDefault="00E33DB3" w:rsidP="0051082E">
      <w:pPr>
        <w:pStyle w:val="ListParagraph"/>
        <w:ind w:left="0"/>
        <w:rPr>
          <w:rFonts w:ascii="Verdana" w:hAnsi="Verdana"/>
          <w:color w:val="000000" w:themeColor="text1"/>
        </w:rPr>
      </w:pPr>
    </w:p>
    <w:p w14:paraId="3E589C45" w14:textId="77777777" w:rsidR="00E33DB3" w:rsidRDefault="00E33DB3" w:rsidP="0051082E">
      <w:pPr>
        <w:pStyle w:val="ListParagraph"/>
        <w:ind w:left="0"/>
        <w:rPr>
          <w:rFonts w:ascii="Verdana" w:hAnsi="Verdana"/>
          <w:color w:val="000000" w:themeColor="text1"/>
        </w:rPr>
      </w:pPr>
    </w:p>
    <w:p w14:paraId="686FDB1B" w14:textId="77777777" w:rsidR="00E33DB3" w:rsidRDefault="00E33DB3" w:rsidP="0051082E">
      <w:pPr>
        <w:pStyle w:val="ListParagraph"/>
        <w:ind w:left="0"/>
        <w:rPr>
          <w:rFonts w:ascii="Verdana" w:hAnsi="Verdana"/>
          <w:color w:val="000000" w:themeColor="text1"/>
        </w:rPr>
      </w:pPr>
    </w:p>
    <w:p w14:paraId="2635850F" w14:textId="77777777" w:rsidR="00E33DB3" w:rsidRDefault="00E33DB3" w:rsidP="0051082E">
      <w:pPr>
        <w:pStyle w:val="ListParagraph"/>
        <w:ind w:left="0"/>
        <w:rPr>
          <w:rFonts w:ascii="Verdana" w:hAnsi="Verdana"/>
          <w:color w:val="000000" w:themeColor="text1"/>
        </w:rPr>
      </w:pPr>
    </w:p>
    <w:p w14:paraId="6E3E59A7" w14:textId="77777777" w:rsidR="00E33DB3" w:rsidRDefault="00E33DB3" w:rsidP="0051082E">
      <w:pPr>
        <w:pStyle w:val="ListParagraph"/>
        <w:ind w:left="0"/>
        <w:rPr>
          <w:rFonts w:ascii="Verdana" w:hAnsi="Verdana"/>
          <w:color w:val="000000" w:themeColor="text1"/>
        </w:rPr>
      </w:pPr>
    </w:p>
    <w:p w14:paraId="69024743" w14:textId="77777777" w:rsidR="00E33DB3" w:rsidRDefault="00E33DB3" w:rsidP="0051082E">
      <w:pPr>
        <w:pStyle w:val="ListParagraph"/>
        <w:ind w:left="0"/>
        <w:rPr>
          <w:rFonts w:ascii="Verdana" w:hAnsi="Verdana"/>
          <w:color w:val="000000" w:themeColor="text1"/>
        </w:rPr>
      </w:pPr>
    </w:p>
    <w:p w14:paraId="1774CF40" w14:textId="77777777" w:rsidR="00E33DB3" w:rsidRDefault="00E33DB3" w:rsidP="0051082E">
      <w:pPr>
        <w:pStyle w:val="ListParagraph"/>
        <w:ind w:left="0"/>
        <w:rPr>
          <w:rFonts w:ascii="Verdana" w:hAnsi="Verdana"/>
          <w:color w:val="000000" w:themeColor="text1"/>
        </w:rPr>
      </w:pPr>
    </w:p>
    <w:p w14:paraId="773F9207" w14:textId="77777777" w:rsidR="00E33DB3" w:rsidRDefault="00E33DB3" w:rsidP="0051082E">
      <w:pPr>
        <w:pStyle w:val="ListParagraph"/>
        <w:ind w:left="0"/>
        <w:rPr>
          <w:rFonts w:ascii="Verdana" w:hAnsi="Verdana"/>
          <w:color w:val="000000" w:themeColor="text1"/>
        </w:rPr>
      </w:pPr>
    </w:p>
    <w:p w14:paraId="5CD21732" w14:textId="77777777" w:rsidR="00E33DB3" w:rsidRDefault="00E33DB3" w:rsidP="0051082E">
      <w:pPr>
        <w:pStyle w:val="ListParagraph"/>
        <w:ind w:left="0"/>
        <w:rPr>
          <w:rFonts w:ascii="Verdana" w:hAnsi="Verdana"/>
          <w:color w:val="000000" w:themeColor="text1"/>
        </w:rPr>
      </w:pPr>
    </w:p>
    <w:p w14:paraId="02D0AE5D" w14:textId="77777777" w:rsidR="00E33DB3" w:rsidRDefault="00E33DB3" w:rsidP="0051082E">
      <w:pPr>
        <w:pStyle w:val="ListParagraph"/>
        <w:ind w:left="0"/>
        <w:rPr>
          <w:rFonts w:ascii="Verdana" w:hAnsi="Verdana"/>
          <w:color w:val="000000" w:themeColor="text1"/>
        </w:rPr>
      </w:pPr>
    </w:p>
    <w:p w14:paraId="1ABDC70E" w14:textId="77777777" w:rsidR="00E33DB3" w:rsidRDefault="00E33DB3" w:rsidP="0051082E">
      <w:pPr>
        <w:pStyle w:val="ListParagraph"/>
        <w:ind w:left="0"/>
        <w:rPr>
          <w:rFonts w:ascii="Verdana" w:hAnsi="Verdana"/>
          <w:color w:val="000000" w:themeColor="text1"/>
        </w:rPr>
      </w:pPr>
    </w:p>
    <w:p w14:paraId="7D8A3070" w14:textId="77777777" w:rsidR="00E33DB3" w:rsidRDefault="00E33DB3" w:rsidP="0051082E">
      <w:pPr>
        <w:pStyle w:val="ListParagraph"/>
        <w:ind w:left="0"/>
        <w:rPr>
          <w:rFonts w:ascii="Verdana" w:hAnsi="Verdana"/>
          <w:color w:val="000000" w:themeColor="text1"/>
        </w:rPr>
      </w:pPr>
    </w:p>
    <w:p w14:paraId="39712D0D" w14:textId="77777777" w:rsidR="00E33DB3" w:rsidRDefault="00E33DB3" w:rsidP="0051082E">
      <w:pPr>
        <w:pStyle w:val="ListParagraph"/>
        <w:ind w:left="0"/>
        <w:rPr>
          <w:rFonts w:ascii="Verdana" w:hAnsi="Verdana"/>
          <w:color w:val="000000" w:themeColor="text1"/>
        </w:rPr>
      </w:pPr>
    </w:p>
    <w:p w14:paraId="45DA2902" w14:textId="77777777" w:rsidR="00E33DB3" w:rsidRDefault="00E33DB3" w:rsidP="0051082E">
      <w:pPr>
        <w:pStyle w:val="ListParagraph"/>
        <w:ind w:left="0"/>
        <w:rPr>
          <w:rFonts w:ascii="Verdana" w:hAnsi="Verdana"/>
          <w:color w:val="000000" w:themeColor="text1"/>
        </w:rPr>
      </w:pPr>
    </w:p>
    <w:p w14:paraId="5D641109" w14:textId="77777777" w:rsidR="00E33DB3" w:rsidRDefault="00E33DB3" w:rsidP="0051082E">
      <w:pPr>
        <w:pStyle w:val="ListParagraph"/>
        <w:ind w:left="0"/>
        <w:rPr>
          <w:rFonts w:ascii="Verdana" w:hAnsi="Verdana"/>
          <w:color w:val="000000" w:themeColor="text1"/>
        </w:rPr>
      </w:pPr>
    </w:p>
    <w:p w14:paraId="62EE61E8" w14:textId="77777777" w:rsidR="00E33DB3" w:rsidRDefault="00E33DB3" w:rsidP="0051082E">
      <w:pPr>
        <w:pStyle w:val="ListParagraph"/>
        <w:ind w:left="0"/>
        <w:rPr>
          <w:rFonts w:ascii="Verdana" w:hAnsi="Verdana"/>
          <w:color w:val="000000" w:themeColor="text1"/>
        </w:rPr>
      </w:pPr>
    </w:p>
    <w:p w14:paraId="6E2EE0BD" w14:textId="77777777" w:rsidR="00E33DB3" w:rsidRDefault="00E33DB3" w:rsidP="0051082E">
      <w:pPr>
        <w:pStyle w:val="ListParagraph"/>
        <w:ind w:left="0"/>
        <w:rPr>
          <w:rFonts w:ascii="Verdana" w:hAnsi="Verdana"/>
          <w:color w:val="000000" w:themeColor="text1"/>
        </w:rPr>
      </w:pPr>
    </w:p>
    <w:p w14:paraId="17709C3D" w14:textId="77777777" w:rsidR="00E33DB3" w:rsidRDefault="00E33DB3" w:rsidP="0051082E">
      <w:pPr>
        <w:pStyle w:val="ListParagraph"/>
        <w:ind w:left="0"/>
        <w:rPr>
          <w:rFonts w:ascii="Verdana" w:hAnsi="Verdana"/>
          <w:color w:val="000000" w:themeColor="text1"/>
        </w:rPr>
      </w:pPr>
    </w:p>
    <w:p w14:paraId="56268116" w14:textId="77777777" w:rsidR="00E33DB3" w:rsidRDefault="00E33DB3" w:rsidP="0051082E">
      <w:pPr>
        <w:pStyle w:val="ListParagraph"/>
        <w:ind w:left="0"/>
        <w:rPr>
          <w:rFonts w:ascii="Verdana" w:hAnsi="Verdana"/>
          <w:color w:val="000000" w:themeColor="text1"/>
        </w:rPr>
      </w:pPr>
    </w:p>
    <w:p w14:paraId="1E331A49" w14:textId="77777777" w:rsidR="00E33DB3" w:rsidRDefault="00E33DB3" w:rsidP="0051082E">
      <w:pPr>
        <w:pStyle w:val="ListParagraph"/>
        <w:ind w:left="0"/>
        <w:rPr>
          <w:rFonts w:ascii="Verdana" w:hAnsi="Verdana"/>
          <w:color w:val="000000" w:themeColor="text1"/>
        </w:rPr>
      </w:pPr>
    </w:p>
    <w:p w14:paraId="29842E93" w14:textId="77777777" w:rsidR="00E33DB3" w:rsidRDefault="00E33DB3" w:rsidP="0051082E">
      <w:pPr>
        <w:pStyle w:val="ListParagraph"/>
        <w:ind w:left="0"/>
        <w:rPr>
          <w:rFonts w:ascii="Verdana" w:hAnsi="Verdana"/>
          <w:color w:val="000000" w:themeColor="text1"/>
        </w:rPr>
      </w:pPr>
    </w:p>
    <w:p w14:paraId="4EFB7EE4" w14:textId="77777777" w:rsidR="00E33DB3" w:rsidRDefault="00E33DB3" w:rsidP="0051082E">
      <w:pPr>
        <w:pStyle w:val="ListParagraph"/>
        <w:ind w:left="0"/>
        <w:rPr>
          <w:rFonts w:ascii="Verdana" w:hAnsi="Verdana"/>
          <w:color w:val="000000" w:themeColor="text1"/>
        </w:rPr>
      </w:pPr>
    </w:p>
    <w:p w14:paraId="213FC13A" w14:textId="77777777" w:rsidR="00E33DB3" w:rsidRDefault="00E33DB3" w:rsidP="0051082E">
      <w:pPr>
        <w:pStyle w:val="ListParagraph"/>
        <w:ind w:left="0"/>
        <w:rPr>
          <w:rFonts w:ascii="Verdana" w:hAnsi="Verdana"/>
          <w:color w:val="000000" w:themeColor="text1"/>
        </w:rPr>
      </w:pPr>
    </w:p>
    <w:p w14:paraId="42234F64" w14:textId="77777777" w:rsidR="00E33DB3" w:rsidRDefault="00E33DB3" w:rsidP="00E33DB3">
      <w:pPr>
        <w:pStyle w:val="ListParagraph"/>
        <w:numPr>
          <w:ilvl w:val="0"/>
          <w:numId w:val="1"/>
        </w:numPr>
        <w:ind w:left="567" w:hanging="567"/>
        <w:rPr>
          <w:rFonts w:ascii="Verdana" w:hAnsi="Verdana"/>
          <w:b/>
          <w:color w:val="7030A0"/>
        </w:rPr>
      </w:pPr>
      <w:r>
        <w:rPr>
          <w:rFonts w:ascii="Verdana" w:hAnsi="Verdana"/>
          <w:b/>
          <w:color w:val="7030A0"/>
        </w:rPr>
        <w:lastRenderedPageBreak/>
        <w:t>The Northern Ireland Human Rights Commission Data Protection Policy</w:t>
      </w:r>
    </w:p>
    <w:p w14:paraId="5FA990CF" w14:textId="77777777" w:rsidR="00E33DB3" w:rsidRDefault="00E33DB3" w:rsidP="00E33DB3">
      <w:pPr>
        <w:rPr>
          <w:rFonts w:ascii="Verdana" w:hAnsi="Verdana"/>
          <w:b/>
          <w:color w:val="7030A0"/>
        </w:rPr>
      </w:pPr>
      <w:r>
        <w:rPr>
          <w:rFonts w:ascii="Verdana" w:hAnsi="Verdana"/>
          <w:b/>
          <w:color w:val="7030A0"/>
        </w:rPr>
        <w:t>Statement of Policy</w:t>
      </w:r>
    </w:p>
    <w:p w14:paraId="07253B1B" w14:textId="5CB7F080" w:rsidR="00E33DB3" w:rsidRDefault="00E33DB3" w:rsidP="00E33DB3">
      <w:pPr>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DE66D3">
        <w:rPr>
          <w:rFonts w:ascii="Verdana" w:hAnsi="Verdana"/>
          <w:color w:val="000000" w:themeColor="text1"/>
        </w:rPr>
        <w:t xml:space="preserve"> (the </w:t>
      </w:r>
      <w:r w:rsidR="00092CF3">
        <w:rPr>
          <w:rFonts w:ascii="Verdana" w:hAnsi="Verdana"/>
          <w:color w:val="000000" w:themeColor="text1"/>
        </w:rPr>
        <w:t>NIHRC</w:t>
      </w:r>
      <w:r w:rsidR="00DE66D3">
        <w:rPr>
          <w:rFonts w:ascii="Verdana" w:hAnsi="Verdana"/>
          <w:color w:val="000000" w:themeColor="text1"/>
        </w:rPr>
        <w:t>)</w:t>
      </w:r>
      <w:r>
        <w:rPr>
          <w:rFonts w:ascii="Verdana" w:hAnsi="Verdana"/>
          <w:color w:val="000000" w:themeColor="text1"/>
        </w:rPr>
        <w:t xml:space="preserve"> is fully committed to ensuring personal data is managed in accordance with the provisions of the General Data Protection Regulation (GDPR).</w:t>
      </w:r>
    </w:p>
    <w:p w14:paraId="3A592F7C" w14:textId="179245C1" w:rsidR="00E33DB3" w:rsidRDefault="00E33DB3" w:rsidP="00E33DB3">
      <w:pPr>
        <w:rPr>
          <w:rFonts w:ascii="Verdana" w:hAnsi="Verdana"/>
          <w:color w:val="000000" w:themeColor="text1"/>
        </w:rPr>
      </w:pPr>
      <w:r>
        <w:rPr>
          <w:rFonts w:ascii="Verdana" w:hAnsi="Verdana"/>
          <w:color w:val="000000" w:themeColor="text1"/>
        </w:rPr>
        <w:t xml:space="preserve">This policy relates to all personal data held by the </w:t>
      </w:r>
      <w:proofErr w:type="spellStart"/>
      <w:r w:rsidR="00DE66D3">
        <w:rPr>
          <w:rFonts w:ascii="Verdana" w:hAnsi="Verdana"/>
          <w:color w:val="000000" w:themeColor="text1"/>
        </w:rPr>
        <w:t>the</w:t>
      </w:r>
      <w:proofErr w:type="spellEnd"/>
      <w:r>
        <w:rPr>
          <w:rFonts w:ascii="Verdana" w:hAnsi="Verdana"/>
          <w:color w:val="000000" w:themeColor="text1"/>
        </w:rPr>
        <w:t xml:space="preserve"> </w:t>
      </w:r>
      <w:r w:rsidR="00092CF3">
        <w:rPr>
          <w:rFonts w:ascii="Verdana" w:hAnsi="Verdana"/>
          <w:color w:val="000000" w:themeColor="text1"/>
        </w:rPr>
        <w:t>NIHRC</w:t>
      </w:r>
      <w:r>
        <w:rPr>
          <w:rFonts w:ascii="Verdana" w:hAnsi="Verdana"/>
          <w:color w:val="000000" w:themeColor="text1"/>
        </w:rPr>
        <w:t xml:space="preserve">.  The types of personal data that NIHRC may be required to handle include information about </w:t>
      </w:r>
    </w:p>
    <w:p w14:paraId="0A7F7620" w14:textId="77777777" w:rsidR="00E33DB3" w:rsidRDefault="00E33DB3" w:rsidP="00E33DB3">
      <w:pPr>
        <w:pStyle w:val="ListParagraph"/>
        <w:numPr>
          <w:ilvl w:val="0"/>
          <w:numId w:val="2"/>
        </w:numPr>
        <w:rPr>
          <w:rFonts w:ascii="Verdana" w:hAnsi="Verdana"/>
          <w:color w:val="000000" w:themeColor="text1"/>
        </w:rPr>
      </w:pPr>
      <w:r>
        <w:rPr>
          <w:rFonts w:ascii="Verdana" w:hAnsi="Verdana"/>
          <w:color w:val="000000" w:themeColor="text1"/>
        </w:rPr>
        <w:t>Past and present employees;</w:t>
      </w:r>
    </w:p>
    <w:p w14:paraId="56E36771" w14:textId="77777777" w:rsidR="00E33DB3" w:rsidRDefault="00E33DB3" w:rsidP="00E33DB3">
      <w:pPr>
        <w:pStyle w:val="ListParagraph"/>
        <w:numPr>
          <w:ilvl w:val="0"/>
          <w:numId w:val="2"/>
        </w:numPr>
        <w:rPr>
          <w:rFonts w:ascii="Verdana" w:hAnsi="Verdana"/>
          <w:color w:val="000000" w:themeColor="text1"/>
        </w:rPr>
      </w:pPr>
      <w:r>
        <w:rPr>
          <w:rFonts w:ascii="Verdana" w:hAnsi="Verdana"/>
          <w:color w:val="000000" w:themeColor="text1"/>
        </w:rPr>
        <w:t>Past and present Commissioners;</w:t>
      </w:r>
    </w:p>
    <w:p w14:paraId="6D042E45" w14:textId="77777777" w:rsidR="00E33DB3" w:rsidRDefault="00E33DB3" w:rsidP="00E33DB3">
      <w:pPr>
        <w:pStyle w:val="ListParagraph"/>
        <w:numPr>
          <w:ilvl w:val="0"/>
          <w:numId w:val="2"/>
        </w:numPr>
        <w:rPr>
          <w:rFonts w:ascii="Verdana" w:hAnsi="Verdana"/>
          <w:color w:val="000000" w:themeColor="text1"/>
        </w:rPr>
      </w:pPr>
      <w:r>
        <w:rPr>
          <w:rFonts w:ascii="Verdana" w:hAnsi="Verdana"/>
          <w:color w:val="000000" w:themeColor="text1"/>
        </w:rPr>
        <w:t>Employees of funded groups;</w:t>
      </w:r>
    </w:p>
    <w:p w14:paraId="546FED33" w14:textId="77777777" w:rsidR="00E33DB3" w:rsidRDefault="00E33DB3" w:rsidP="00E33DB3">
      <w:pPr>
        <w:pStyle w:val="ListParagraph"/>
        <w:numPr>
          <w:ilvl w:val="0"/>
          <w:numId w:val="2"/>
        </w:numPr>
        <w:rPr>
          <w:rFonts w:ascii="Verdana" w:hAnsi="Verdana"/>
          <w:color w:val="000000" w:themeColor="text1"/>
        </w:rPr>
      </w:pPr>
      <w:r>
        <w:rPr>
          <w:rFonts w:ascii="Verdana" w:hAnsi="Verdana"/>
          <w:color w:val="000000" w:themeColor="text1"/>
        </w:rPr>
        <w:t>Suppliers;</w:t>
      </w:r>
    </w:p>
    <w:p w14:paraId="64EB992A" w14:textId="77777777" w:rsidR="00E33DB3" w:rsidRDefault="00E33DB3" w:rsidP="00E33DB3">
      <w:pPr>
        <w:pStyle w:val="ListParagraph"/>
        <w:numPr>
          <w:ilvl w:val="0"/>
          <w:numId w:val="2"/>
        </w:numPr>
        <w:rPr>
          <w:rFonts w:ascii="Verdana" w:hAnsi="Verdana"/>
          <w:color w:val="000000" w:themeColor="text1"/>
        </w:rPr>
      </w:pPr>
      <w:r>
        <w:rPr>
          <w:rFonts w:ascii="Verdana" w:hAnsi="Verdana"/>
          <w:color w:val="000000" w:themeColor="text1"/>
        </w:rPr>
        <w:t>Others we work with, advise or support.</w:t>
      </w:r>
    </w:p>
    <w:p w14:paraId="3D5FBFB8" w14:textId="22600E9D" w:rsidR="00E33DB3" w:rsidRDefault="00E33DB3" w:rsidP="00E33DB3">
      <w:pPr>
        <w:rPr>
          <w:rFonts w:ascii="Verdana" w:hAnsi="Verdana"/>
          <w:color w:val="000000" w:themeColor="text1"/>
        </w:rPr>
      </w:pPr>
      <w:r>
        <w:rPr>
          <w:rFonts w:ascii="Verdana" w:hAnsi="Verdana"/>
          <w:color w:val="000000" w:themeColor="text1"/>
        </w:rPr>
        <w:t xml:space="preserve">All personal data, held by the </w:t>
      </w:r>
      <w:r w:rsidR="00092CF3">
        <w:rPr>
          <w:rFonts w:ascii="Verdana" w:hAnsi="Verdana"/>
          <w:color w:val="000000" w:themeColor="text1"/>
        </w:rPr>
        <w:t>NIHRC</w:t>
      </w:r>
      <w:r>
        <w:rPr>
          <w:rFonts w:ascii="Verdana" w:hAnsi="Verdana"/>
          <w:color w:val="000000" w:themeColor="text1"/>
        </w:rPr>
        <w:t xml:space="preserve">, whether as computerised records or as manual filing systems, is subject to the safeguards set out in the GDPR.  This policy sets out how the </w:t>
      </w:r>
      <w:r w:rsidR="00092CF3">
        <w:rPr>
          <w:rFonts w:ascii="Verdana" w:hAnsi="Verdana"/>
          <w:color w:val="000000" w:themeColor="text1"/>
        </w:rPr>
        <w:t>NIHRC</w:t>
      </w:r>
      <w:r>
        <w:rPr>
          <w:rFonts w:ascii="Verdana" w:hAnsi="Verdana"/>
          <w:color w:val="000000" w:themeColor="text1"/>
        </w:rPr>
        <w:t xml:space="preserve"> will process that personal information to enable </w:t>
      </w:r>
      <w:r w:rsidR="00F57DA5">
        <w:rPr>
          <w:rFonts w:ascii="Verdana" w:hAnsi="Verdana"/>
          <w:color w:val="000000" w:themeColor="text1"/>
        </w:rPr>
        <w:t>it</w:t>
      </w:r>
      <w:r>
        <w:rPr>
          <w:rFonts w:ascii="Verdana" w:hAnsi="Verdana"/>
          <w:color w:val="000000" w:themeColor="text1"/>
        </w:rPr>
        <w:t xml:space="preserve"> to perform its functions in accordance with the GDPR.</w:t>
      </w:r>
    </w:p>
    <w:p w14:paraId="1D4AB90F" w14:textId="3435E5C7" w:rsidR="00E33DB3" w:rsidRDefault="00E33DB3" w:rsidP="00E33DB3">
      <w:pPr>
        <w:rPr>
          <w:rFonts w:ascii="Verdana" w:hAnsi="Verdana"/>
          <w:color w:val="000000" w:themeColor="text1"/>
        </w:rPr>
      </w:pPr>
      <w:r>
        <w:rPr>
          <w:rFonts w:ascii="Verdana" w:hAnsi="Verdana"/>
          <w:color w:val="000000" w:themeColor="text1"/>
        </w:rPr>
        <w:t xml:space="preserve">Privacy by Design, Data Minimisation and Pseudonymisation are key to </w:t>
      </w:r>
      <w:r w:rsidR="00F57DA5">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’s approach to data protection.  </w:t>
      </w:r>
      <w:proofErr w:type="gramStart"/>
      <w:r>
        <w:rPr>
          <w:rFonts w:ascii="Verdana" w:hAnsi="Verdana"/>
          <w:color w:val="000000" w:themeColor="text1"/>
        </w:rPr>
        <w:t>In order to</w:t>
      </w:r>
      <w:proofErr w:type="gramEnd"/>
      <w:r>
        <w:rPr>
          <w:rFonts w:ascii="Verdana" w:hAnsi="Verdana"/>
          <w:color w:val="000000" w:themeColor="text1"/>
        </w:rPr>
        <w:t xml:space="preserve"> demonstrate best practice and compliance with the GDPR, the ICO advises that privacy and data protection is a key consideration in the early stages of policy development and then throughout its lifecycle.  Adhering to the concepts of Privacy by Design, Data Minimisation and Pseudonymisation will help the </w:t>
      </w:r>
      <w:r w:rsidR="00092CF3">
        <w:rPr>
          <w:rFonts w:ascii="Verdana" w:hAnsi="Verdana"/>
          <w:color w:val="000000" w:themeColor="text1"/>
        </w:rPr>
        <w:t>NIHRC</w:t>
      </w:r>
      <w:r>
        <w:rPr>
          <w:rFonts w:ascii="Verdana" w:hAnsi="Verdana"/>
          <w:color w:val="000000" w:themeColor="text1"/>
        </w:rPr>
        <w:t xml:space="preserve"> comply with its obligations under legislation.</w:t>
      </w:r>
    </w:p>
    <w:p w14:paraId="5865E54B" w14:textId="77777777" w:rsidR="00E33DB3" w:rsidRDefault="00E33DB3" w:rsidP="00E33DB3">
      <w:pPr>
        <w:rPr>
          <w:rFonts w:ascii="Verdana" w:hAnsi="Verdana"/>
          <w:b/>
          <w:color w:val="7030A0"/>
        </w:rPr>
      </w:pPr>
      <w:r>
        <w:rPr>
          <w:rFonts w:ascii="Verdana" w:hAnsi="Verdana"/>
          <w:b/>
          <w:color w:val="7030A0"/>
        </w:rPr>
        <w:t>Policy Awareness</w:t>
      </w:r>
    </w:p>
    <w:p w14:paraId="581A64C8" w14:textId="12BCC9CE" w:rsidR="00E33DB3" w:rsidRDefault="00784FFF" w:rsidP="00E33DB3">
      <w:pPr>
        <w:rPr>
          <w:rFonts w:ascii="Verdana" w:hAnsi="Verdana"/>
          <w:color w:val="000000" w:themeColor="text1"/>
        </w:rPr>
      </w:pPr>
      <w:r>
        <w:rPr>
          <w:rFonts w:ascii="Verdana" w:hAnsi="Verdana"/>
          <w:color w:val="000000" w:themeColor="text1"/>
        </w:rPr>
        <w:t xml:space="preserve">All employees will be made aware of the </w:t>
      </w:r>
      <w:r w:rsidR="00092CF3">
        <w:rPr>
          <w:rFonts w:ascii="Verdana" w:hAnsi="Verdana"/>
          <w:color w:val="000000" w:themeColor="text1"/>
        </w:rPr>
        <w:t>NIHRC</w:t>
      </w:r>
      <w:r>
        <w:rPr>
          <w:rFonts w:ascii="Verdana" w:hAnsi="Verdana"/>
          <w:color w:val="000000" w:themeColor="text1"/>
        </w:rPr>
        <w:t xml:space="preserve">’s Data Protection Policy Statement and Procedure by their line </w:t>
      </w:r>
      <w:proofErr w:type="gramStart"/>
      <w:r>
        <w:rPr>
          <w:rFonts w:ascii="Verdana" w:hAnsi="Verdana"/>
          <w:color w:val="000000" w:themeColor="text1"/>
        </w:rPr>
        <w:t>managers, and</w:t>
      </w:r>
      <w:proofErr w:type="gramEnd"/>
      <w:r>
        <w:rPr>
          <w:rFonts w:ascii="Verdana" w:hAnsi="Verdana"/>
          <w:color w:val="000000" w:themeColor="text1"/>
        </w:rPr>
        <w:t xml:space="preserve"> are expected to read and understand this policy and if they require clarification contact the Data Protection Officer for advice. This policy will be made available in written format, electronic format and published on our website. </w:t>
      </w:r>
    </w:p>
    <w:p w14:paraId="07993423" w14:textId="7EC78EC6" w:rsidR="00784FFF" w:rsidRDefault="00784FFF" w:rsidP="00E33DB3">
      <w:pPr>
        <w:rPr>
          <w:rFonts w:ascii="Verdana" w:hAnsi="Verdana"/>
          <w:color w:val="000000" w:themeColor="text1"/>
        </w:rPr>
      </w:pPr>
      <w:r>
        <w:rPr>
          <w:rFonts w:ascii="Verdana" w:hAnsi="Verdana"/>
          <w:color w:val="000000" w:themeColor="text1"/>
        </w:rPr>
        <w:t xml:space="preserve">This policy applies to all employees of </w:t>
      </w:r>
      <w:r w:rsidR="009E38D6">
        <w:rPr>
          <w:rFonts w:ascii="Verdana" w:hAnsi="Verdana"/>
          <w:color w:val="000000" w:themeColor="text1"/>
        </w:rPr>
        <w:t xml:space="preserve">the </w:t>
      </w:r>
      <w:r w:rsidR="00092CF3">
        <w:rPr>
          <w:rFonts w:ascii="Verdana" w:hAnsi="Verdana"/>
          <w:color w:val="000000" w:themeColor="text1"/>
        </w:rPr>
        <w:t>NIHRC</w:t>
      </w:r>
      <w:r w:rsidR="009E38D6">
        <w:rPr>
          <w:rFonts w:ascii="Verdana" w:hAnsi="Verdana"/>
          <w:color w:val="000000" w:themeColor="text1"/>
        </w:rPr>
        <w:t>,</w:t>
      </w:r>
      <w:r>
        <w:rPr>
          <w:rFonts w:ascii="Verdana" w:hAnsi="Verdana"/>
          <w:color w:val="000000" w:themeColor="text1"/>
        </w:rPr>
        <w:t xml:space="preserve"> whether permanent or temporary workers, casual staff, agency staff and volunteers when working in for the </w:t>
      </w:r>
      <w:r w:rsidR="00092CF3">
        <w:rPr>
          <w:rFonts w:ascii="Verdana" w:hAnsi="Verdana"/>
          <w:color w:val="000000" w:themeColor="text1"/>
        </w:rPr>
        <w:t>NIHRC</w:t>
      </w:r>
      <w:r>
        <w:rPr>
          <w:rFonts w:ascii="Verdana" w:hAnsi="Verdana"/>
          <w:color w:val="000000" w:themeColor="text1"/>
        </w:rPr>
        <w:t xml:space="preserve">. It also includes the Commissioners when acting in that capacity. </w:t>
      </w:r>
    </w:p>
    <w:p w14:paraId="3CC60776" w14:textId="08FE05D3" w:rsidR="00E86390" w:rsidRPr="00CF7052" w:rsidRDefault="00784FFF" w:rsidP="00E33DB3">
      <w:pPr>
        <w:rPr>
          <w:rFonts w:ascii="Verdana" w:hAnsi="Verdana"/>
          <w:color w:val="000000" w:themeColor="text1"/>
        </w:rPr>
      </w:pPr>
      <w:r>
        <w:rPr>
          <w:rFonts w:ascii="Verdana" w:hAnsi="Verdana"/>
          <w:color w:val="000000" w:themeColor="text1"/>
        </w:rPr>
        <w:t>All managers and employees have responsibilities for complying with the requirements of the GDPR by ensuring they process personal data in line with the data protection principles set out in Section 4.</w:t>
      </w:r>
    </w:p>
    <w:p w14:paraId="292C38FC" w14:textId="69806542" w:rsidR="00784FFF" w:rsidRDefault="00784FFF" w:rsidP="00E33DB3">
      <w:pPr>
        <w:rPr>
          <w:rFonts w:ascii="Verdana" w:hAnsi="Verdana"/>
          <w:b/>
          <w:color w:val="7030A0"/>
        </w:rPr>
      </w:pPr>
      <w:r>
        <w:rPr>
          <w:rFonts w:ascii="Verdana" w:hAnsi="Verdana"/>
          <w:b/>
          <w:color w:val="7030A0"/>
        </w:rPr>
        <w:t>Responsibilities</w:t>
      </w:r>
    </w:p>
    <w:p w14:paraId="2092F2B1" w14:textId="372BCC32" w:rsidR="00784FFF" w:rsidRDefault="00784FFF" w:rsidP="00E33DB3">
      <w:pPr>
        <w:rPr>
          <w:rFonts w:ascii="Verdana" w:hAnsi="Verdana"/>
          <w:color w:val="000000" w:themeColor="text1"/>
        </w:rPr>
      </w:pPr>
      <w:r>
        <w:rPr>
          <w:rFonts w:ascii="Verdana" w:hAnsi="Verdana"/>
          <w:color w:val="000000" w:themeColor="text1"/>
        </w:rPr>
        <w:t xml:space="preserve">The Chief Executive, as the Accounting Officer, has overall responsibility for the Data Protection Policy.  The Director </w:t>
      </w:r>
      <w:r w:rsidR="00E86390">
        <w:rPr>
          <w:rFonts w:ascii="Verdana" w:hAnsi="Verdana"/>
          <w:color w:val="000000" w:themeColor="text1"/>
        </w:rPr>
        <w:t>(</w:t>
      </w:r>
      <w:r>
        <w:rPr>
          <w:rFonts w:ascii="Verdana" w:hAnsi="Verdana"/>
          <w:color w:val="000000" w:themeColor="text1"/>
        </w:rPr>
        <w:t>Finance, Personnel</w:t>
      </w:r>
      <w:r w:rsidR="00E86390">
        <w:rPr>
          <w:rFonts w:ascii="Verdana" w:hAnsi="Verdana"/>
          <w:color w:val="000000" w:themeColor="text1"/>
        </w:rPr>
        <w:t xml:space="preserve"> and Corporate Affairs)</w:t>
      </w:r>
      <w:r>
        <w:rPr>
          <w:rFonts w:ascii="Verdana" w:hAnsi="Verdana"/>
          <w:color w:val="000000" w:themeColor="text1"/>
        </w:rPr>
        <w:t xml:space="preserve"> in the role of the Data Protection Officer is responsible for developing and enforcing information and records management practices.  The Audit and Risk </w:t>
      </w:r>
      <w:r w:rsidR="00C90137">
        <w:rPr>
          <w:rFonts w:ascii="Verdana" w:hAnsi="Verdana"/>
          <w:color w:val="000000" w:themeColor="text1"/>
        </w:rPr>
        <w:t xml:space="preserve">Management </w:t>
      </w:r>
      <w:r>
        <w:rPr>
          <w:rFonts w:ascii="Verdana" w:hAnsi="Verdana"/>
          <w:color w:val="000000" w:themeColor="text1"/>
        </w:rPr>
        <w:t>Committee provides oversight on behalf of the Board.</w:t>
      </w:r>
    </w:p>
    <w:p w14:paraId="40752D4B" w14:textId="77777777" w:rsidR="00784FFF" w:rsidRDefault="00784FFF" w:rsidP="00E33DB3">
      <w:pPr>
        <w:rPr>
          <w:rFonts w:ascii="Verdana" w:hAnsi="Verdana"/>
          <w:b/>
          <w:color w:val="7030A0"/>
        </w:rPr>
      </w:pPr>
      <w:r>
        <w:rPr>
          <w:rFonts w:ascii="Verdana" w:hAnsi="Verdana"/>
          <w:b/>
          <w:color w:val="7030A0"/>
        </w:rPr>
        <w:lastRenderedPageBreak/>
        <w:t>Changes to the Policy</w:t>
      </w:r>
    </w:p>
    <w:p w14:paraId="6A576A8A" w14:textId="48BD4906" w:rsidR="00784FFF" w:rsidRDefault="00784FFF" w:rsidP="00E33DB3">
      <w:pPr>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reserves the right to change this policy at any time. </w:t>
      </w:r>
    </w:p>
    <w:p w14:paraId="369F173C" w14:textId="77777777" w:rsidR="00784FFF" w:rsidRDefault="00784FFF" w:rsidP="00784FFF">
      <w:pPr>
        <w:pStyle w:val="ListParagraph"/>
        <w:numPr>
          <w:ilvl w:val="0"/>
          <w:numId w:val="1"/>
        </w:numPr>
        <w:ind w:left="567" w:hanging="567"/>
        <w:rPr>
          <w:rFonts w:ascii="Verdana" w:hAnsi="Verdana"/>
          <w:b/>
          <w:color w:val="7030A0"/>
        </w:rPr>
      </w:pPr>
      <w:r>
        <w:rPr>
          <w:rFonts w:ascii="Verdana" w:hAnsi="Verdana"/>
          <w:b/>
          <w:color w:val="7030A0"/>
        </w:rPr>
        <w:t>Background</w:t>
      </w:r>
    </w:p>
    <w:p w14:paraId="104B303E" w14:textId="77777777" w:rsidR="00784FFF" w:rsidRDefault="00784FFF" w:rsidP="00784FFF">
      <w:pPr>
        <w:pStyle w:val="ListParagraph"/>
        <w:ind w:left="567"/>
        <w:rPr>
          <w:rFonts w:ascii="Verdana" w:hAnsi="Verdana"/>
          <w:b/>
          <w:color w:val="7030A0"/>
        </w:rPr>
      </w:pPr>
    </w:p>
    <w:p w14:paraId="2F866D07" w14:textId="77777777" w:rsidR="0011397E" w:rsidRDefault="00784FFF" w:rsidP="00784FFF">
      <w:pPr>
        <w:pStyle w:val="ListParagraph"/>
        <w:ind w:left="0"/>
        <w:rPr>
          <w:rFonts w:ascii="Verdana" w:hAnsi="Verdana"/>
          <w:color w:val="000000" w:themeColor="text1"/>
        </w:rPr>
      </w:pPr>
      <w:r>
        <w:rPr>
          <w:rFonts w:ascii="Verdana" w:hAnsi="Verdana"/>
          <w:color w:val="000000" w:themeColor="text1"/>
        </w:rPr>
        <w:t>The GDPR aims to protect privacy and prevent data breaches.  Personal data means any information that relates to an identifiable living person.  It may include an individual’s name, address, phone number, date of birth, place of work, dietary preferences, opinions</w:t>
      </w:r>
      <w:r w:rsidR="0011397E">
        <w:rPr>
          <w:rFonts w:ascii="Verdana" w:hAnsi="Verdana"/>
          <w:color w:val="000000" w:themeColor="text1"/>
        </w:rPr>
        <w:t>, opinions about them, whether they are members of a trade union, their political beliefs, ethnicity, religion or sexuality.</w:t>
      </w:r>
    </w:p>
    <w:p w14:paraId="5311695A" w14:textId="77777777" w:rsidR="0011397E" w:rsidRDefault="0011397E" w:rsidP="00784FFF">
      <w:pPr>
        <w:pStyle w:val="ListParagraph"/>
        <w:ind w:left="0"/>
        <w:rPr>
          <w:rFonts w:ascii="Verdana" w:hAnsi="Verdana"/>
          <w:color w:val="000000" w:themeColor="text1"/>
        </w:rPr>
      </w:pPr>
    </w:p>
    <w:p w14:paraId="5E038A4B" w14:textId="77777777" w:rsidR="0011397E" w:rsidRDefault="0011397E" w:rsidP="00784FFF">
      <w:pPr>
        <w:pStyle w:val="ListParagraph"/>
        <w:ind w:left="0"/>
        <w:rPr>
          <w:rFonts w:ascii="Verdana" w:hAnsi="Verdana"/>
          <w:color w:val="000000" w:themeColor="text1"/>
        </w:rPr>
      </w:pPr>
      <w:r>
        <w:rPr>
          <w:rFonts w:ascii="Verdana" w:hAnsi="Verdana"/>
          <w:color w:val="000000" w:themeColor="text1"/>
        </w:rPr>
        <w:t>It can also include an individual’s email address or job title if that sufficiently picks them out so they can be identified (in isolation or with other information held).  The above is not exhaustive and any information that relates to an individual can be personal data.</w:t>
      </w:r>
    </w:p>
    <w:p w14:paraId="48DD4EF7" w14:textId="77777777" w:rsidR="0011397E" w:rsidRDefault="0011397E" w:rsidP="00784FFF">
      <w:pPr>
        <w:pStyle w:val="ListParagraph"/>
        <w:ind w:left="0"/>
        <w:rPr>
          <w:rFonts w:ascii="Verdana" w:hAnsi="Verdana"/>
          <w:color w:val="000000" w:themeColor="text1"/>
        </w:rPr>
      </w:pPr>
    </w:p>
    <w:p w14:paraId="6D2B2CE6" w14:textId="77777777" w:rsidR="0011397E" w:rsidRDefault="0011397E" w:rsidP="00784FFF">
      <w:pPr>
        <w:pStyle w:val="ListParagraph"/>
        <w:ind w:left="0"/>
        <w:rPr>
          <w:rFonts w:ascii="Verdana" w:hAnsi="Verdana"/>
          <w:color w:val="000000" w:themeColor="text1"/>
        </w:rPr>
      </w:pPr>
      <w:r>
        <w:rPr>
          <w:rFonts w:ascii="Verdana" w:hAnsi="Verdana"/>
          <w:color w:val="000000" w:themeColor="text1"/>
        </w:rPr>
        <w:t>The GDPR gives protection for personal data and imposes obligations on those who process personal data.</w:t>
      </w:r>
    </w:p>
    <w:p w14:paraId="2C666539" w14:textId="77777777" w:rsidR="0011397E" w:rsidRDefault="0011397E" w:rsidP="00784FFF">
      <w:pPr>
        <w:pStyle w:val="ListParagraph"/>
        <w:ind w:left="0"/>
        <w:rPr>
          <w:rFonts w:ascii="Verdana" w:hAnsi="Verdana"/>
          <w:color w:val="000000" w:themeColor="text1"/>
        </w:rPr>
      </w:pPr>
    </w:p>
    <w:p w14:paraId="6F46044F" w14:textId="77777777" w:rsidR="006F54E2" w:rsidRDefault="006F54E2" w:rsidP="00784FFF">
      <w:pPr>
        <w:pStyle w:val="ListParagraph"/>
        <w:ind w:left="0"/>
        <w:rPr>
          <w:rFonts w:ascii="Verdana" w:hAnsi="Verdana"/>
          <w:b/>
          <w:color w:val="7030A0"/>
        </w:rPr>
      </w:pPr>
      <w:r>
        <w:rPr>
          <w:rFonts w:ascii="Verdana" w:hAnsi="Verdana"/>
          <w:b/>
          <w:color w:val="7030A0"/>
        </w:rPr>
        <w:t>Controllers and Processors</w:t>
      </w:r>
    </w:p>
    <w:p w14:paraId="6C204B46" w14:textId="77777777" w:rsidR="00C20D66" w:rsidRDefault="00C20D66" w:rsidP="00784FFF">
      <w:pPr>
        <w:pStyle w:val="ListParagraph"/>
        <w:ind w:left="0"/>
        <w:rPr>
          <w:rFonts w:ascii="Verdana" w:hAnsi="Verdana"/>
          <w:b/>
          <w:color w:val="7030A0"/>
        </w:rPr>
      </w:pPr>
    </w:p>
    <w:p w14:paraId="2DF4B0F2" w14:textId="77777777" w:rsidR="00C20D66" w:rsidRPr="00C20D66" w:rsidRDefault="00C20D66" w:rsidP="00C20D66">
      <w:pPr>
        <w:pStyle w:val="ListParagraph"/>
        <w:numPr>
          <w:ilvl w:val="0"/>
          <w:numId w:val="3"/>
        </w:numPr>
        <w:ind w:left="567" w:hanging="567"/>
        <w:rPr>
          <w:rFonts w:ascii="Verdana" w:hAnsi="Verdana"/>
          <w:color w:val="7030A0"/>
        </w:rPr>
      </w:pPr>
      <w:r>
        <w:rPr>
          <w:rFonts w:ascii="Verdana" w:hAnsi="Verdana"/>
          <w:color w:val="000000" w:themeColor="text1"/>
        </w:rPr>
        <w:t xml:space="preserve">“Data controller” is defined as a person or organisation who (either alone or jointly or in common with other persons) determines the purposes for which and the </w:t>
      </w:r>
      <w:proofErr w:type="gramStart"/>
      <w:r>
        <w:rPr>
          <w:rFonts w:ascii="Verdana" w:hAnsi="Verdana"/>
          <w:color w:val="000000" w:themeColor="text1"/>
        </w:rPr>
        <w:t>manner in which</w:t>
      </w:r>
      <w:proofErr w:type="gramEnd"/>
      <w:r>
        <w:rPr>
          <w:rFonts w:ascii="Verdana" w:hAnsi="Verdana"/>
          <w:color w:val="000000" w:themeColor="text1"/>
        </w:rPr>
        <w:t xml:space="preserve"> any personal data </w:t>
      </w:r>
      <w:proofErr w:type="gramStart"/>
      <w:r>
        <w:rPr>
          <w:rFonts w:ascii="Verdana" w:hAnsi="Verdana"/>
          <w:color w:val="000000" w:themeColor="text1"/>
        </w:rPr>
        <w:t>are, or</w:t>
      </w:r>
      <w:proofErr w:type="gramEnd"/>
      <w:r>
        <w:rPr>
          <w:rFonts w:ascii="Verdana" w:hAnsi="Verdana"/>
          <w:color w:val="000000" w:themeColor="text1"/>
        </w:rPr>
        <w:t xml:space="preserve"> are to be processed.</w:t>
      </w:r>
    </w:p>
    <w:p w14:paraId="1F34F8C7" w14:textId="77777777" w:rsidR="00C20D66" w:rsidRPr="00C20D66" w:rsidRDefault="00C20D66" w:rsidP="00C20D66">
      <w:pPr>
        <w:pStyle w:val="ListParagraph"/>
        <w:numPr>
          <w:ilvl w:val="0"/>
          <w:numId w:val="3"/>
        </w:numPr>
        <w:ind w:left="567" w:hanging="567"/>
        <w:rPr>
          <w:rFonts w:ascii="Verdana" w:hAnsi="Verdana"/>
          <w:color w:val="7030A0"/>
        </w:rPr>
      </w:pPr>
      <w:r>
        <w:rPr>
          <w:rFonts w:ascii="Verdana" w:hAnsi="Verdana"/>
          <w:color w:val="000000" w:themeColor="text1"/>
        </w:rPr>
        <w:t>“Data processor”, in relation to personal data, is defined as a person or organisation (other than an employee of the data controller) who processes the data on behalf of the data controller.</w:t>
      </w:r>
    </w:p>
    <w:p w14:paraId="4E389AFF" w14:textId="77777777" w:rsidR="00C20D66" w:rsidRPr="00C20D66" w:rsidRDefault="00C20D66" w:rsidP="00C20D66">
      <w:pPr>
        <w:pStyle w:val="ListParagraph"/>
        <w:numPr>
          <w:ilvl w:val="0"/>
          <w:numId w:val="3"/>
        </w:numPr>
        <w:ind w:left="567" w:hanging="567"/>
        <w:rPr>
          <w:rFonts w:ascii="Verdana" w:hAnsi="Verdana"/>
          <w:color w:val="7030A0"/>
        </w:rPr>
      </w:pPr>
      <w:r>
        <w:rPr>
          <w:rFonts w:ascii="Verdana" w:hAnsi="Verdana"/>
          <w:color w:val="000000" w:themeColor="text1"/>
        </w:rPr>
        <w:t xml:space="preserve">“Processing”, in relation to information or data means obtaining, recording or holding the information or data or carrying out any operation or set of operations on the information or data.  What this means is that even storing and holding information is categorised as “processing” under the GDPR.  Both Data Controllers and Data Processors carry out Processing. </w:t>
      </w:r>
    </w:p>
    <w:p w14:paraId="6C9F0505" w14:textId="77777777" w:rsidR="00FF5392" w:rsidRDefault="00FF5392" w:rsidP="00FF5392">
      <w:pPr>
        <w:pStyle w:val="ListParagraph"/>
        <w:ind w:left="0"/>
        <w:rPr>
          <w:rFonts w:ascii="Verdana" w:hAnsi="Verdana"/>
          <w:color w:val="000000" w:themeColor="text1"/>
        </w:rPr>
      </w:pPr>
    </w:p>
    <w:p w14:paraId="2B908F99" w14:textId="77777777" w:rsidR="00FF5392" w:rsidRDefault="00FF5392" w:rsidP="00FF5392">
      <w:pPr>
        <w:pStyle w:val="ListParagraph"/>
        <w:ind w:left="0"/>
        <w:rPr>
          <w:rFonts w:ascii="Verdana" w:hAnsi="Verdana"/>
          <w:color w:val="000000" w:themeColor="text1"/>
        </w:rPr>
      </w:pPr>
      <w:r>
        <w:rPr>
          <w:rFonts w:ascii="Verdana" w:hAnsi="Verdana"/>
          <w:color w:val="000000" w:themeColor="text1"/>
        </w:rPr>
        <w:t>The definition of ‘processing’ suggests that a data processor’s activities must be limited to the more ‘technical’ aspects of an operation, such as data storage, retrieval or erasure.  Activities such as interpretation, the exercise of professional judgement or significant decision – making in relation to personal data must be carried out by a data controller.</w:t>
      </w:r>
    </w:p>
    <w:p w14:paraId="63E1A0F2" w14:textId="77777777" w:rsidR="00FF5392" w:rsidRDefault="00FF5392" w:rsidP="00FF5392">
      <w:pPr>
        <w:pStyle w:val="ListParagraph"/>
        <w:ind w:left="0"/>
        <w:rPr>
          <w:rFonts w:ascii="Verdana" w:hAnsi="Verdana"/>
          <w:color w:val="000000" w:themeColor="text1"/>
        </w:rPr>
      </w:pPr>
    </w:p>
    <w:p w14:paraId="61E83EE0" w14:textId="4EEF8161" w:rsidR="00FF5392" w:rsidRDefault="00FF5392" w:rsidP="00FF5392">
      <w:pPr>
        <w:pStyle w:val="ListParagraph"/>
        <w:ind w:left="0"/>
        <w:rPr>
          <w:rFonts w:ascii="Verdana" w:hAnsi="Verdana"/>
          <w:color w:val="000000" w:themeColor="text1"/>
        </w:rPr>
      </w:pPr>
      <w:r>
        <w:rPr>
          <w:rFonts w:ascii="Verdana" w:hAnsi="Verdana"/>
          <w:color w:val="000000" w:themeColor="text1"/>
        </w:rPr>
        <w:t xml:space="preserve">In most present cases where the </w:t>
      </w:r>
      <w:r w:rsidR="00092CF3">
        <w:rPr>
          <w:rFonts w:ascii="Verdana" w:hAnsi="Verdana"/>
          <w:color w:val="000000" w:themeColor="text1"/>
        </w:rPr>
        <w:t>NIHRC</w:t>
      </w:r>
      <w:r>
        <w:rPr>
          <w:rFonts w:ascii="Verdana" w:hAnsi="Verdana"/>
          <w:color w:val="000000" w:themeColor="text1"/>
        </w:rPr>
        <w:t xml:space="preserve"> processes personal information, the </w:t>
      </w:r>
      <w:r w:rsidR="00092CF3">
        <w:rPr>
          <w:rFonts w:ascii="Verdana" w:hAnsi="Verdana"/>
          <w:color w:val="000000" w:themeColor="text1"/>
        </w:rPr>
        <w:t>NIHRC</w:t>
      </w:r>
      <w:r>
        <w:rPr>
          <w:rFonts w:ascii="Verdana" w:hAnsi="Verdana"/>
          <w:color w:val="000000" w:themeColor="text1"/>
        </w:rPr>
        <w:t xml:space="preserve"> will be the Controller. </w:t>
      </w:r>
    </w:p>
    <w:p w14:paraId="25C104D9" w14:textId="77777777" w:rsidR="00FF5392" w:rsidRDefault="00FF5392" w:rsidP="00FF5392">
      <w:pPr>
        <w:pStyle w:val="ListParagraph"/>
        <w:ind w:left="0"/>
        <w:rPr>
          <w:rFonts w:ascii="Verdana" w:hAnsi="Verdana"/>
          <w:color w:val="000000" w:themeColor="text1"/>
        </w:rPr>
      </w:pPr>
    </w:p>
    <w:p w14:paraId="78E3BAC4" w14:textId="77777777" w:rsidR="00FF5392" w:rsidRDefault="00FF5392" w:rsidP="00FF5392">
      <w:pPr>
        <w:pStyle w:val="ListParagraph"/>
        <w:ind w:left="0"/>
        <w:rPr>
          <w:rFonts w:ascii="Verdana" w:hAnsi="Verdana"/>
          <w:color w:val="000000" w:themeColor="text1"/>
        </w:rPr>
      </w:pPr>
      <w:r>
        <w:rPr>
          <w:rFonts w:ascii="Verdana" w:hAnsi="Verdana"/>
          <w:color w:val="000000" w:themeColor="text1"/>
        </w:rPr>
        <w:t>The GDPR provides the following rights for individuals:</w:t>
      </w:r>
    </w:p>
    <w:p w14:paraId="5380EB69" w14:textId="77777777" w:rsidR="00C20D66" w:rsidRDefault="00C20D66" w:rsidP="00FF5392">
      <w:pPr>
        <w:pStyle w:val="ListParagraph"/>
        <w:rPr>
          <w:rFonts w:ascii="Verdana" w:hAnsi="Verdana"/>
          <w:color w:val="7030A0"/>
        </w:rPr>
      </w:pPr>
    </w:p>
    <w:p w14:paraId="13D3FEE1" w14:textId="77777777" w:rsidR="00FF5392" w:rsidRPr="00FF5392" w:rsidRDefault="00FF5392" w:rsidP="00FF5392">
      <w:pPr>
        <w:pStyle w:val="ListParagraph"/>
        <w:numPr>
          <w:ilvl w:val="0"/>
          <w:numId w:val="4"/>
        </w:numPr>
        <w:rPr>
          <w:rFonts w:ascii="Verdana" w:hAnsi="Verdana"/>
          <w:color w:val="7030A0"/>
        </w:rPr>
      </w:pPr>
      <w:r w:rsidRPr="00FF5392">
        <w:rPr>
          <w:rFonts w:ascii="Verdana" w:hAnsi="Verdana"/>
          <w:color w:val="000000" w:themeColor="text1"/>
        </w:rPr>
        <w:t>The right to be informed</w:t>
      </w:r>
      <w:r>
        <w:rPr>
          <w:rFonts w:ascii="Verdana" w:hAnsi="Verdana"/>
          <w:color w:val="000000" w:themeColor="text1"/>
        </w:rPr>
        <w:t>.</w:t>
      </w:r>
    </w:p>
    <w:p w14:paraId="46E5A826"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The right of access.</w:t>
      </w:r>
    </w:p>
    <w:p w14:paraId="73708C4C"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The right to rectification.</w:t>
      </w:r>
    </w:p>
    <w:p w14:paraId="3FC33F4A"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lastRenderedPageBreak/>
        <w:t>The right to erasure.</w:t>
      </w:r>
    </w:p>
    <w:p w14:paraId="405FC124"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The right to restrict processing.</w:t>
      </w:r>
    </w:p>
    <w:p w14:paraId="348151F4"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The right to data portability.</w:t>
      </w:r>
    </w:p>
    <w:p w14:paraId="6031C93E"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The right to object.</w:t>
      </w:r>
    </w:p>
    <w:p w14:paraId="710233ED" w14:textId="77777777" w:rsidR="00FF5392" w:rsidRPr="00FF5392" w:rsidRDefault="00FF5392" w:rsidP="00FF5392">
      <w:pPr>
        <w:pStyle w:val="ListParagraph"/>
        <w:numPr>
          <w:ilvl w:val="0"/>
          <w:numId w:val="4"/>
        </w:numPr>
        <w:rPr>
          <w:rFonts w:ascii="Verdana" w:hAnsi="Verdana"/>
          <w:color w:val="000000" w:themeColor="text1"/>
        </w:rPr>
      </w:pPr>
      <w:r w:rsidRPr="00FF5392">
        <w:rPr>
          <w:rFonts w:ascii="Verdana" w:hAnsi="Verdana"/>
          <w:color w:val="000000" w:themeColor="text1"/>
        </w:rPr>
        <w:t xml:space="preserve">Rights in relation to automated decision making and profiling. </w:t>
      </w:r>
    </w:p>
    <w:p w14:paraId="7C8EF438" w14:textId="77777777" w:rsidR="006F54E2" w:rsidRDefault="006F54E2" w:rsidP="00784FFF">
      <w:pPr>
        <w:pStyle w:val="ListParagraph"/>
        <w:ind w:left="0"/>
        <w:rPr>
          <w:rFonts w:ascii="Verdana" w:hAnsi="Verdana"/>
          <w:b/>
          <w:color w:val="7030A0"/>
        </w:rPr>
      </w:pPr>
    </w:p>
    <w:p w14:paraId="133C028E" w14:textId="554352CF" w:rsidR="00FF5392" w:rsidRDefault="00FF5392" w:rsidP="00784FFF">
      <w:pPr>
        <w:pStyle w:val="ListParagraph"/>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develops its policies and procedures to ensure that the above rights granted to in</w:t>
      </w:r>
      <w:r w:rsidR="00FE0955">
        <w:rPr>
          <w:rFonts w:ascii="Verdana" w:hAnsi="Verdana"/>
          <w:color w:val="000000" w:themeColor="text1"/>
        </w:rPr>
        <w:t>dividuals by GDPR are protected.</w:t>
      </w:r>
    </w:p>
    <w:p w14:paraId="003ABEF5" w14:textId="77777777" w:rsidR="00FE0955" w:rsidRDefault="00FE0955" w:rsidP="00784FFF">
      <w:pPr>
        <w:pStyle w:val="ListParagraph"/>
        <w:ind w:left="0"/>
        <w:rPr>
          <w:rFonts w:ascii="Verdana" w:hAnsi="Verdana"/>
          <w:color w:val="000000" w:themeColor="text1"/>
        </w:rPr>
      </w:pPr>
    </w:p>
    <w:p w14:paraId="68BC6769" w14:textId="77777777" w:rsidR="00FE0955" w:rsidRDefault="00FE0955" w:rsidP="00FE0955">
      <w:pPr>
        <w:pStyle w:val="ListParagraph"/>
        <w:numPr>
          <w:ilvl w:val="0"/>
          <w:numId w:val="1"/>
        </w:numPr>
        <w:ind w:left="567" w:hanging="567"/>
        <w:rPr>
          <w:rFonts w:ascii="Verdana" w:hAnsi="Verdana"/>
          <w:b/>
          <w:color w:val="7030A0"/>
        </w:rPr>
      </w:pPr>
      <w:r>
        <w:rPr>
          <w:rFonts w:ascii="Verdana" w:hAnsi="Verdana"/>
          <w:b/>
          <w:color w:val="7030A0"/>
        </w:rPr>
        <w:t>Data Protection Principles</w:t>
      </w:r>
    </w:p>
    <w:p w14:paraId="1ED82002" w14:textId="77777777" w:rsidR="003E0FE8" w:rsidRDefault="003E0FE8" w:rsidP="00FE0955">
      <w:pPr>
        <w:pStyle w:val="ListParagraph"/>
        <w:ind w:left="0"/>
        <w:rPr>
          <w:rFonts w:ascii="Verdana" w:hAnsi="Verdana"/>
          <w:color w:val="000000" w:themeColor="text1"/>
        </w:rPr>
      </w:pPr>
    </w:p>
    <w:p w14:paraId="6450AE10" w14:textId="77777777" w:rsidR="00FE0955" w:rsidRDefault="00FE0955" w:rsidP="00FE0955">
      <w:pPr>
        <w:pStyle w:val="ListParagraph"/>
        <w:ind w:left="0"/>
        <w:rPr>
          <w:rFonts w:ascii="Verdana" w:hAnsi="Verdana"/>
          <w:color w:val="000000" w:themeColor="text1"/>
        </w:rPr>
      </w:pPr>
      <w:r>
        <w:rPr>
          <w:rFonts w:ascii="Verdana" w:hAnsi="Verdana"/>
          <w:color w:val="000000" w:themeColor="text1"/>
        </w:rPr>
        <w:t>The GDPR is underpinned by a set of six data protection principles that require personal data to be processed in such a way as to embed the concept of privacy by design.</w:t>
      </w:r>
    </w:p>
    <w:p w14:paraId="063284A4" w14:textId="77777777" w:rsidR="00FE0955" w:rsidRDefault="00FE0955" w:rsidP="00FE0955">
      <w:pPr>
        <w:pStyle w:val="ListParagraph"/>
        <w:ind w:left="0"/>
        <w:rPr>
          <w:rFonts w:ascii="Verdana" w:hAnsi="Verdana"/>
          <w:color w:val="000000" w:themeColor="text1"/>
        </w:rPr>
      </w:pPr>
    </w:p>
    <w:p w14:paraId="5B173F79"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Lawful, fair and transparent</w:t>
      </w:r>
    </w:p>
    <w:p w14:paraId="25EAF221" w14:textId="77777777" w:rsidR="00FE0955" w:rsidRDefault="00FE0955" w:rsidP="00FE0955">
      <w:pPr>
        <w:pStyle w:val="ListParagraph"/>
        <w:ind w:left="567"/>
        <w:rPr>
          <w:rFonts w:ascii="Verdana" w:hAnsi="Verdana"/>
          <w:b/>
          <w:color w:val="000000" w:themeColor="text1"/>
        </w:rPr>
      </w:pPr>
    </w:p>
    <w:p w14:paraId="4157A86A" w14:textId="77777777" w:rsidR="00FE0955" w:rsidRDefault="00FE0955" w:rsidP="00FE0955">
      <w:pPr>
        <w:pStyle w:val="ListParagraph"/>
        <w:ind w:left="0"/>
        <w:rPr>
          <w:rFonts w:ascii="Verdana" w:hAnsi="Verdana"/>
          <w:color w:val="000000" w:themeColor="text1"/>
        </w:rPr>
      </w:pPr>
      <w:r>
        <w:rPr>
          <w:rFonts w:ascii="Verdana" w:hAnsi="Verdana"/>
          <w:color w:val="000000" w:themeColor="text1"/>
        </w:rPr>
        <w:t xml:space="preserve">There </w:t>
      </w:r>
      <w:proofErr w:type="gramStart"/>
      <w:r>
        <w:rPr>
          <w:rFonts w:ascii="Verdana" w:hAnsi="Verdana"/>
          <w:color w:val="000000" w:themeColor="text1"/>
        </w:rPr>
        <w:t>has to</w:t>
      </w:r>
      <w:proofErr w:type="gramEnd"/>
      <w:r>
        <w:rPr>
          <w:rFonts w:ascii="Verdana" w:hAnsi="Verdana"/>
          <w:color w:val="000000" w:themeColor="text1"/>
        </w:rPr>
        <w:t xml:space="preserve"> be legitimate grounds for collecting the data and it must not have a negative effect on the data subject or be used in a way they wouldn’t expect. </w:t>
      </w:r>
    </w:p>
    <w:p w14:paraId="5AE4CED6" w14:textId="77777777" w:rsidR="00FE0955" w:rsidRDefault="00FE0955" w:rsidP="00FE0955">
      <w:pPr>
        <w:pStyle w:val="ListParagraph"/>
        <w:ind w:left="0"/>
        <w:rPr>
          <w:rFonts w:ascii="Verdana" w:hAnsi="Verdana"/>
          <w:color w:val="000000" w:themeColor="text1"/>
        </w:rPr>
      </w:pPr>
    </w:p>
    <w:p w14:paraId="16DFC9E7"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Limited for its purpose</w:t>
      </w:r>
    </w:p>
    <w:p w14:paraId="22515473" w14:textId="77777777" w:rsidR="00FE0955" w:rsidRDefault="00FE0955" w:rsidP="00FE0955">
      <w:pPr>
        <w:pStyle w:val="ListParagraph"/>
        <w:ind w:left="567"/>
        <w:rPr>
          <w:rFonts w:ascii="Verdana" w:hAnsi="Verdana"/>
          <w:b/>
          <w:color w:val="000000" w:themeColor="text1"/>
        </w:rPr>
      </w:pPr>
    </w:p>
    <w:p w14:paraId="252175BA" w14:textId="77777777" w:rsidR="00FE0955" w:rsidRDefault="00FE0955" w:rsidP="00FE0955">
      <w:pPr>
        <w:pStyle w:val="ListParagraph"/>
        <w:ind w:left="0"/>
        <w:rPr>
          <w:rFonts w:ascii="Verdana" w:hAnsi="Verdana"/>
          <w:color w:val="000000" w:themeColor="text1"/>
        </w:rPr>
      </w:pPr>
      <w:r>
        <w:rPr>
          <w:rFonts w:ascii="Verdana" w:hAnsi="Verdana"/>
          <w:color w:val="000000" w:themeColor="text1"/>
        </w:rPr>
        <w:t>Data should be collected for specified and explicit purposes and not used in a way someone wouldn’t expect.</w:t>
      </w:r>
    </w:p>
    <w:p w14:paraId="0FAE3205" w14:textId="77777777" w:rsidR="00FE0955" w:rsidRDefault="00FE0955" w:rsidP="00FE0955">
      <w:pPr>
        <w:pStyle w:val="ListParagraph"/>
        <w:ind w:left="0"/>
        <w:rPr>
          <w:rFonts w:ascii="Verdana" w:hAnsi="Verdana"/>
          <w:color w:val="000000" w:themeColor="text1"/>
        </w:rPr>
      </w:pPr>
    </w:p>
    <w:p w14:paraId="28C1AE4D"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Adequate and necessary</w:t>
      </w:r>
    </w:p>
    <w:p w14:paraId="29489A90" w14:textId="77777777" w:rsidR="00FE0955" w:rsidRDefault="00FE0955" w:rsidP="00FE0955">
      <w:pPr>
        <w:pStyle w:val="ListParagraph"/>
        <w:ind w:left="0"/>
        <w:rPr>
          <w:rFonts w:ascii="Verdana" w:hAnsi="Verdana"/>
          <w:color w:val="000000" w:themeColor="text1"/>
        </w:rPr>
      </w:pPr>
    </w:p>
    <w:p w14:paraId="615E50F0" w14:textId="77777777" w:rsidR="00FE0955" w:rsidRDefault="00FE0955" w:rsidP="00FE0955">
      <w:pPr>
        <w:pStyle w:val="ListParagraph"/>
        <w:ind w:left="0"/>
        <w:rPr>
          <w:rFonts w:ascii="Verdana" w:hAnsi="Verdana"/>
          <w:color w:val="000000" w:themeColor="text1"/>
        </w:rPr>
      </w:pPr>
      <w:r>
        <w:rPr>
          <w:rFonts w:ascii="Verdana" w:hAnsi="Verdana"/>
          <w:color w:val="000000" w:themeColor="text1"/>
        </w:rPr>
        <w:t xml:space="preserve">It must be clear why the data is being collected and what will be done with it.  Unnecessary </w:t>
      </w:r>
      <w:r w:rsidR="0026787D">
        <w:rPr>
          <w:rFonts w:ascii="Verdana" w:hAnsi="Verdana"/>
          <w:color w:val="000000" w:themeColor="text1"/>
        </w:rPr>
        <w:t>data or information without any purpose should not be collected.  NIHRC will only collect personal data to the extent that it is required for the specific purpose notified to the data subject.</w:t>
      </w:r>
    </w:p>
    <w:p w14:paraId="7A540417" w14:textId="77777777" w:rsidR="0026787D" w:rsidRPr="00FE0955" w:rsidRDefault="0026787D" w:rsidP="00FE0955">
      <w:pPr>
        <w:pStyle w:val="ListParagraph"/>
        <w:ind w:left="0"/>
        <w:rPr>
          <w:rFonts w:ascii="Verdana" w:hAnsi="Verdana"/>
          <w:color w:val="000000" w:themeColor="text1"/>
        </w:rPr>
      </w:pPr>
    </w:p>
    <w:p w14:paraId="042DDEB2"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Accurate and up to date</w:t>
      </w:r>
    </w:p>
    <w:p w14:paraId="6EC4FB59" w14:textId="77777777" w:rsidR="0026787D" w:rsidRDefault="0026787D" w:rsidP="0026787D">
      <w:pPr>
        <w:pStyle w:val="ListParagraph"/>
        <w:ind w:left="567"/>
        <w:rPr>
          <w:rFonts w:ascii="Verdana" w:hAnsi="Verdana"/>
          <w:b/>
          <w:color w:val="000000" w:themeColor="text1"/>
        </w:rPr>
      </w:pPr>
    </w:p>
    <w:p w14:paraId="51971CD8" w14:textId="79B6427C" w:rsidR="003E0FE8" w:rsidRPr="009179E1" w:rsidRDefault="0026787D" w:rsidP="009179E1">
      <w:pPr>
        <w:pStyle w:val="ListParagraph"/>
        <w:ind w:left="0"/>
        <w:rPr>
          <w:rFonts w:ascii="Verdana" w:hAnsi="Verdana"/>
          <w:color w:val="000000" w:themeColor="text1"/>
        </w:rPr>
      </w:pPr>
      <w:r>
        <w:rPr>
          <w:rFonts w:ascii="Verdana" w:hAnsi="Verdana"/>
          <w:color w:val="000000" w:themeColor="text1"/>
        </w:rPr>
        <w:t>Reasonable steps must be taken to keep the information up to date and change it if it is inaccurate.</w:t>
      </w:r>
      <w:r w:rsidR="009179E1">
        <w:rPr>
          <w:rFonts w:ascii="Verdana" w:hAnsi="Verdana"/>
          <w:color w:val="000000" w:themeColor="text1"/>
        </w:rPr>
        <w:br/>
      </w:r>
    </w:p>
    <w:p w14:paraId="2D3A7CBC"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Not kept longer than needed</w:t>
      </w:r>
    </w:p>
    <w:p w14:paraId="37D01236" w14:textId="77777777" w:rsidR="0026787D" w:rsidRDefault="0026787D" w:rsidP="0026787D">
      <w:pPr>
        <w:pStyle w:val="ListParagraph"/>
        <w:ind w:left="567"/>
        <w:rPr>
          <w:rFonts w:ascii="Verdana" w:hAnsi="Verdana"/>
          <w:b/>
          <w:color w:val="000000" w:themeColor="text1"/>
        </w:rPr>
      </w:pPr>
    </w:p>
    <w:p w14:paraId="44577A42" w14:textId="77777777" w:rsidR="0026787D" w:rsidRDefault="0026787D" w:rsidP="0026787D">
      <w:pPr>
        <w:pStyle w:val="ListParagraph"/>
        <w:ind w:left="0"/>
        <w:rPr>
          <w:rFonts w:ascii="Verdana" w:hAnsi="Verdana"/>
          <w:color w:val="000000" w:themeColor="text1"/>
        </w:rPr>
      </w:pPr>
      <w:r>
        <w:rPr>
          <w:rFonts w:ascii="Verdana" w:hAnsi="Verdana"/>
          <w:color w:val="000000" w:themeColor="text1"/>
        </w:rPr>
        <w:t>Data should not be kept for longer than is needed, and it must be properly destroyed or deleted when it is no longer used or goes out of date.</w:t>
      </w:r>
    </w:p>
    <w:p w14:paraId="6AFA0B3E" w14:textId="77777777" w:rsidR="0026787D" w:rsidRPr="0026787D" w:rsidRDefault="0026787D" w:rsidP="0026787D">
      <w:pPr>
        <w:pStyle w:val="ListParagraph"/>
        <w:ind w:left="0"/>
        <w:rPr>
          <w:rFonts w:ascii="Verdana" w:hAnsi="Verdana"/>
          <w:color w:val="000000" w:themeColor="text1"/>
        </w:rPr>
      </w:pPr>
    </w:p>
    <w:p w14:paraId="158E3E7D" w14:textId="77777777" w:rsidR="00FE0955" w:rsidRDefault="00FE0955" w:rsidP="00FE0955">
      <w:pPr>
        <w:pStyle w:val="ListParagraph"/>
        <w:numPr>
          <w:ilvl w:val="0"/>
          <w:numId w:val="8"/>
        </w:numPr>
        <w:ind w:left="567" w:hanging="567"/>
        <w:rPr>
          <w:rFonts w:ascii="Verdana" w:hAnsi="Verdana"/>
          <w:b/>
          <w:color w:val="000000" w:themeColor="text1"/>
        </w:rPr>
      </w:pPr>
      <w:r>
        <w:rPr>
          <w:rFonts w:ascii="Verdana" w:hAnsi="Verdana"/>
          <w:b/>
          <w:color w:val="000000" w:themeColor="text1"/>
        </w:rPr>
        <w:t>Integrity and Security</w:t>
      </w:r>
    </w:p>
    <w:p w14:paraId="0D0009B8" w14:textId="733A4D04" w:rsidR="0026787D" w:rsidRDefault="0026787D" w:rsidP="0026787D">
      <w:pPr>
        <w:rPr>
          <w:rFonts w:ascii="Verdana" w:hAnsi="Verdana"/>
          <w:color w:val="000000" w:themeColor="text1"/>
        </w:rPr>
      </w:pPr>
      <w:r>
        <w:rPr>
          <w:rFonts w:ascii="Verdana" w:hAnsi="Verdana"/>
          <w:color w:val="000000" w:themeColor="text1"/>
        </w:rPr>
        <w:t>Data should be processed in a way that ensures appropriate security, including protection against unauthorised or unlawful processing, loss, damage or destruction and kept safe and secure.</w:t>
      </w:r>
      <w:r w:rsidR="003022C7">
        <w:rPr>
          <w:rFonts w:ascii="Verdana" w:hAnsi="Verdana"/>
          <w:color w:val="000000" w:themeColor="text1"/>
        </w:rPr>
        <w:br/>
      </w:r>
    </w:p>
    <w:p w14:paraId="676B67B5" w14:textId="77777777" w:rsidR="0026787D" w:rsidRPr="009530DC" w:rsidRDefault="0026787D" w:rsidP="009530DC">
      <w:pPr>
        <w:pStyle w:val="ListParagraph"/>
        <w:numPr>
          <w:ilvl w:val="0"/>
          <w:numId w:val="1"/>
        </w:numPr>
        <w:ind w:left="567" w:hanging="567"/>
        <w:rPr>
          <w:rFonts w:ascii="Verdana" w:hAnsi="Verdana"/>
          <w:b/>
          <w:color w:val="7030A0"/>
        </w:rPr>
      </w:pPr>
      <w:r w:rsidRPr="009530DC">
        <w:rPr>
          <w:rFonts w:ascii="Verdana" w:hAnsi="Verdana"/>
          <w:b/>
          <w:color w:val="7030A0"/>
        </w:rPr>
        <w:lastRenderedPageBreak/>
        <w:t>Data Security and Risk Management</w:t>
      </w:r>
    </w:p>
    <w:p w14:paraId="1E767468" w14:textId="12CCB09C" w:rsidR="0026787D" w:rsidRDefault="0026787D" w:rsidP="0026787D">
      <w:pPr>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process all personal data it holds in accordance </w:t>
      </w:r>
      <w:r w:rsidR="00A619AE">
        <w:rPr>
          <w:rFonts w:ascii="Verdana" w:hAnsi="Verdana"/>
          <w:color w:val="000000" w:themeColor="text1"/>
        </w:rPr>
        <w:t>with its Information Security Policy.</w:t>
      </w:r>
    </w:p>
    <w:p w14:paraId="415C719A" w14:textId="3095FD47" w:rsidR="00A619AE" w:rsidRDefault="00A619AE" w:rsidP="0026787D">
      <w:pPr>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8278C8">
        <w:rPr>
          <w:rFonts w:ascii="Verdana" w:hAnsi="Verdana"/>
          <w:color w:val="000000" w:themeColor="text1"/>
        </w:rPr>
        <w:t xml:space="preserve"> </w:t>
      </w:r>
      <w:r w:rsidR="001D5AFA">
        <w:rPr>
          <w:rFonts w:ascii="Verdana" w:hAnsi="Verdana"/>
          <w:color w:val="000000" w:themeColor="text1"/>
        </w:rPr>
        <w:t xml:space="preserve">is the data controller for the data it requests and processes from the data subjects.  Sometimes the </w:t>
      </w:r>
      <w:r w:rsidR="00092CF3">
        <w:rPr>
          <w:rFonts w:ascii="Verdana" w:hAnsi="Verdana"/>
          <w:color w:val="000000" w:themeColor="text1"/>
        </w:rPr>
        <w:t>NIHRC</w:t>
      </w:r>
      <w:r w:rsidR="001D5AFA">
        <w:rPr>
          <w:rFonts w:ascii="Verdana" w:hAnsi="Verdana"/>
          <w:color w:val="000000" w:themeColor="text1"/>
        </w:rPr>
        <w:t xml:space="preserve"> asks other </w:t>
      </w:r>
      <w:r w:rsidR="00B7742B">
        <w:rPr>
          <w:rFonts w:ascii="Verdana" w:hAnsi="Verdana"/>
          <w:color w:val="000000" w:themeColor="text1"/>
        </w:rPr>
        <w:t xml:space="preserve">organisations to process the data on its behalf; these organisations are the data processors for the </w:t>
      </w:r>
      <w:r w:rsidR="00092CF3">
        <w:rPr>
          <w:rFonts w:ascii="Verdana" w:hAnsi="Verdana"/>
          <w:color w:val="000000" w:themeColor="text1"/>
        </w:rPr>
        <w:t>NIHRC</w:t>
      </w:r>
      <w:r w:rsidR="00B7742B">
        <w:rPr>
          <w:rFonts w:ascii="Verdana" w:hAnsi="Verdana"/>
          <w:color w:val="000000" w:themeColor="text1"/>
        </w:rPr>
        <w:t>.</w:t>
      </w:r>
    </w:p>
    <w:p w14:paraId="127F0727" w14:textId="77777777" w:rsidR="00B7742B" w:rsidRDefault="00B7742B" w:rsidP="0026787D">
      <w:pPr>
        <w:rPr>
          <w:rFonts w:ascii="Verdana" w:hAnsi="Verdana"/>
          <w:b/>
          <w:color w:val="7030A0"/>
        </w:rPr>
      </w:pPr>
      <w:r>
        <w:rPr>
          <w:rFonts w:ascii="Verdana" w:hAnsi="Verdana"/>
          <w:b/>
          <w:color w:val="7030A0"/>
        </w:rPr>
        <w:t>Data Privacy Impact Assessment (DPIA)</w:t>
      </w:r>
    </w:p>
    <w:p w14:paraId="2E420D5B" w14:textId="101C30D1" w:rsidR="00B7742B" w:rsidRDefault="00B7742B" w:rsidP="0026787D">
      <w:pPr>
        <w:rPr>
          <w:rFonts w:ascii="Verdana" w:hAnsi="Verdana"/>
          <w:color w:val="000000" w:themeColor="text1"/>
        </w:rPr>
      </w:pPr>
      <w:r>
        <w:rPr>
          <w:rFonts w:ascii="Verdana" w:hAnsi="Verdana"/>
          <w:color w:val="000000" w:themeColor="text1"/>
        </w:rPr>
        <w:t xml:space="preserve">Data Privacy Impact Assessments (DPIA’s) are an integral part of how the </w:t>
      </w:r>
      <w:r w:rsidR="00092CF3">
        <w:rPr>
          <w:rFonts w:ascii="Verdana" w:hAnsi="Verdana"/>
          <w:color w:val="000000" w:themeColor="text1"/>
        </w:rPr>
        <w:t>NIHRC</w:t>
      </w:r>
      <w:r>
        <w:rPr>
          <w:rFonts w:ascii="Verdana" w:hAnsi="Verdana"/>
          <w:color w:val="000000" w:themeColor="text1"/>
        </w:rPr>
        <w:t xml:space="preserve"> delivers Privacy by Design</w:t>
      </w:r>
      <w:r w:rsidR="00D03392">
        <w:rPr>
          <w:rFonts w:ascii="Verdana" w:hAnsi="Verdana"/>
          <w:color w:val="000000" w:themeColor="text1"/>
        </w:rPr>
        <w:t>, Data Minimisation and Anonymiz</w:t>
      </w:r>
      <w:r>
        <w:rPr>
          <w:rFonts w:ascii="Verdana" w:hAnsi="Verdana"/>
          <w:color w:val="000000" w:themeColor="text1"/>
        </w:rPr>
        <w:t xml:space="preserve">ation, together with other GDPR obligations are </w:t>
      </w:r>
      <w:r w:rsidR="00D03392">
        <w:rPr>
          <w:rFonts w:ascii="Verdana" w:hAnsi="Verdana"/>
          <w:color w:val="000000" w:themeColor="text1"/>
        </w:rPr>
        <w:t xml:space="preserve">embedded in the </w:t>
      </w:r>
      <w:r w:rsidR="00092CF3">
        <w:rPr>
          <w:rFonts w:ascii="Verdana" w:hAnsi="Verdana"/>
          <w:color w:val="000000" w:themeColor="text1"/>
        </w:rPr>
        <w:t>NIHRC</w:t>
      </w:r>
      <w:r w:rsidR="00D03392">
        <w:rPr>
          <w:rFonts w:ascii="Verdana" w:hAnsi="Verdana"/>
          <w:color w:val="000000" w:themeColor="text1"/>
        </w:rPr>
        <w:t>’s approach to policy and procedure development.</w:t>
      </w:r>
    </w:p>
    <w:p w14:paraId="370719A7" w14:textId="49135A76" w:rsidR="00D03392" w:rsidRDefault="00D03392" w:rsidP="0026787D">
      <w:pPr>
        <w:rPr>
          <w:rFonts w:ascii="Verdana" w:hAnsi="Verdana"/>
          <w:color w:val="000000" w:themeColor="text1"/>
        </w:rPr>
      </w:pPr>
      <w:r>
        <w:rPr>
          <w:rFonts w:ascii="Verdana" w:hAnsi="Verdana"/>
          <w:color w:val="000000" w:themeColor="text1"/>
        </w:rPr>
        <w:t xml:space="preserve">Data protection risk is unique in that </w:t>
      </w:r>
      <w:r w:rsidR="00992D23">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must manage its own corporate risk as well as risk to the data subjects. </w:t>
      </w:r>
      <w:r w:rsidR="003D08A8">
        <w:rPr>
          <w:rFonts w:ascii="Verdana" w:hAnsi="Verdana"/>
          <w:color w:val="000000" w:themeColor="text1"/>
        </w:rPr>
        <w:t xml:space="preserve">DPIAs are a tool that is used to identify and mitigate privacy risks of projects as well as corporate risk.  DPIAs can help design more efficient and effective processes for handling personal data and thus reduce the risk to </w:t>
      </w:r>
      <w:r w:rsidR="00992D23">
        <w:rPr>
          <w:rFonts w:ascii="Verdana" w:hAnsi="Verdana"/>
          <w:color w:val="000000" w:themeColor="text1"/>
        </w:rPr>
        <w:t xml:space="preserve">the </w:t>
      </w:r>
      <w:r w:rsidR="00092CF3">
        <w:rPr>
          <w:rFonts w:ascii="Verdana" w:hAnsi="Verdana"/>
          <w:color w:val="000000" w:themeColor="text1"/>
        </w:rPr>
        <w:t>NIHRC</w:t>
      </w:r>
      <w:r w:rsidR="003D08A8">
        <w:rPr>
          <w:rFonts w:ascii="Verdana" w:hAnsi="Verdana"/>
          <w:color w:val="000000" w:themeColor="text1"/>
        </w:rPr>
        <w:t xml:space="preserve"> as an organisation and the data subject.</w:t>
      </w:r>
    </w:p>
    <w:p w14:paraId="266FDAFC" w14:textId="77777777" w:rsidR="003D08A8" w:rsidRDefault="003D08A8" w:rsidP="0026787D">
      <w:pPr>
        <w:rPr>
          <w:rFonts w:ascii="Verdana" w:hAnsi="Verdana"/>
          <w:color w:val="000000" w:themeColor="text1"/>
        </w:rPr>
      </w:pPr>
      <w:r>
        <w:rPr>
          <w:rFonts w:ascii="Verdana" w:hAnsi="Verdana"/>
          <w:color w:val="000000" w:themeColor="text1"/>
        </w:rPr>
        <w:t xml:space="preserve">Conducting a DPIA is the most effective way to demonstrate that personal data processing complies with the GDPR.  A DPIA can also reduce the ongoing costs of a project by minimising the amount of information being collected or used, where this is possible and devising more straightforward processes for staff. </w:t>
      </w:r>
    </w:p>
    <w:p w14:paraId="2C30BBAE" w14:textId="57C0FD85" w:rsidR="003D08A8" w:rsidRDefault="003D08A8" w:rsidP="0026787D">
      <w:pPr>
        <w:rPr>
          <w:rFonts w:ascii="Verdana" w:hAnsi="Verdana"/>
          <w:color w:val="000000" w:themeColor="text1"/>
        </w:rPr>
      </w:pPr>
      <w:r>
        <w:rPr>
          <w:rFonts w:ascii="Verdana" w:hAnsi="Verdana"/>
          <w:color w:val="000000" w:themeColor="text1"/>
        </w:rPr>
        <w:t xml:space="preserve">A DPIA must be completed before beginning a new project, drafting a new or revising an existing procedure or policy, when preparing a business case or </w:t>
      </w:r>
      <w:r w:rsidR="00BE215B">
        <w:rPr>
          <w:rFonts w:ascii="Verdana" w:hAnsi="Verdana"/>
          <w:color w:val="000000" w:themeColor="text1"/>
        </w:rPr>
        <w:t>issuing an invitation to tender.  Each DPIA must be reviewed and approved by the DPO before progressing the associated work any further.  Should expenditure expected to be less than £5k bu</w:t>
      </w:r>
      <w:r w:rsidR="00752F68">
        <w:rPr>
          <w:rFonts w:ascii="Verdana" w:hAnsi="Verdana"/>
          <w:color w:val="000000" w:themeColor="text1"/>
        </w:rPr>
        <w:t>t</w:t>
      </w:r>
      <w:r w:rsidR="00BE215B">
        <w:rPr>
          <w:rFonts w:ascii="Verdana" w:hAnsi="Verdana"/>
          <w:color w:val="000000" w:themeColor="text1"/>
        </w:rPr>
        <w:t xml:space="preserve"> will involve personal data, the project must be reviewed and approved by the DPO, who may make relevant recommendations.</w:t>
      </w:r>
    </w:p>
    <w:p w14:paraId="649CDCA6" w14:textId="06822D4C" w:rsidR="00BE215B" w:rsidRPr="00B7742B" w:rsidRDefault="00BE215B" w:rsidP="0026787D">
      <w:pPr>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FB6B3F">
        <w:rPr>
          <w:rFonts w:ascii="Verdana" w:hAnsi="Verdana"/>
          <w:color w:val="000000" w:themeColor="text1"/>
        </w:rPr>
        <w:t>’s</w:t>
      </w:r>
      <w:r>
        <w:rPr>
          <w:rFonts w:ascii="Verdana" w:hAnsi="Verdana"/>
          <w:color w:val="000000" w:themeColor="text1"/>
        </w:rPr>
        <w:t xml:space="preserve"> Data Privacy Impact Assessments template is included in Appendix 6.</w:t>
      </w:r>
    </w:p>
    <w:p w14:paraId="70C9AF5B" w14:textId="77777777" w:rsidR="00B7742B" w:rsidRDefault="00301FB8" w:rsidP="0026787D">
      <w:pPr>
        <w:rPr>
          <w:rFonts w:ascii="Verdana" w:hAnsi="Verdana"/>
          <w:b/>
          <w:color w:val="7030A0"/>
        </w:rPr>
      </w:pPr>
      <w:r>
        <w:rPr>
          <w:rFonts w:ascii="Verdana" w:hAnsi="Verdana"/>
          <w:b/>
          <w:color w:val="7030A0"/>
        </w:rPr>
        <w:t>An Overview of Data Privacy Risk</w:t>
      </w:r>
    </w:p>
    <w:p w14:paraId="04593B36" w14:textId="4B107A93" w:rsidR="00301FB8" w:rsidRDefault="00301FB8" w:rsidP="0026787D">
      <w:pPr>
        <w:rPr>
          <w:rFonts w:ascii="Verdana" w:hAnsi="Verdana"/>
          <w:color w:val="000000" w:themeColor="text1"/>
        </w:rPr>
      </w:pPr>
      <w:r>
        <w:rPr>
          <w:rFonts w:ascii="Verdana" w:hAnsi="Verdana"/>
          <w:color w:val="000000" w:themeColor="text1"/>
        </w:rPr>
        <w:t xml:space="preserve">Examples of Data Protection risks to </w:t>
      </w:r>
      <w:r w:rsidR="00FB6B3F">
        <w:rPr>
          <w:rFonts w:ascii="Verdana" w:hAnsi="Verdana"/>
          <w:color w:val="000000" w:themeColor="text1"/>
        </w:rPr>
        <w:t>the</w:t>
      </w:r>
      <w:r>
        <w:rPr>
          <w:rFonts w:ascii="Verdana" w:hAnsi="Verdana"/>
          <w:color w:val="000000" w:themeColor="text1"/>
        </w:rPr>
        <w:t xml:space="preserve"> </w:t>
      </w:r>
      <w:r w:rsidR="00092CF3">
        <w:rPr>
          <w:rFonts w:ascii="Verdana" w:hAnsi="Verdana"/>
          <w:color w:val="000000" w:themeColor="text1"/>
        </w:rPr>
        <w:t>NIHRC</w:t>
      </w:r>
      <w:r>
        <w:rPr>
          <w:rFonts w:ascii="Verdana" w:hAnsi="Verdana"/>
          <w:color w:val="000000" w:themeColor="text1"/>
        </w:rPr>
        <w:t xml:space="preserve"> and the Data Subject are</w:t>
      </w:r>
    </w:p>
    <w:tbl>
      <w:tblPr>
        <w:tblStyle w:val="TableGrid0"/>
        <w:tblW w:w="0" w:type="auto"/>
        <w:tblLook w:val="04A0" w:firstRow="1" w:lastRow="0" w:firstColumn="1" w:lastColumn="0" w:noHBand="0" w:noVBand="1"/>
      </w:tblPr>
      <w:tblGrid>
        <w:gridCol w:w="5098"/>
        <w:gridCol w:w="2552"/>
        <w:gridCol w:w="1366"/>
      </w:tblGrid>
      <w:tr w:rsidR="00301FB8" w14:paraId="7CA266F3" w14:textId="77777777" w:rsidTr="007C1DF5">
        <w:trPr>
          <w:trHeight w:val="297"/>
        </w:trPr>
        <w:tc>
          <w:tcPr>
            <w:tcW w:w="5098" w:type="dxa"/>
          </w:tcPr>
          <w:p w14:paraId="6E41318C" w14:textId="77777777" w:rsidR="00301FB8" w:rsidRPr="00301FB8" w:rsidRDefault="00301FB8" w:rsidP="0026787D">
            <w:pPr>
              <w:rPr>
                <w:rFonts w:ascii="Verdana" w:hAnsi="Verdana"/>
                <w:b/>
                <w:color w:val="000000" w:themeColor="text1"/>
              </w:rPr>
            </w:pPr>
            <w:r>
              <w:rPr>
                <w:rFonts w:ascii="Verdana" w:hAnsi="Verdana"/>
                <w:b/>
                <w:color w:val="000000" w:themeColor="text1"/>
              </w:rPr>
              <w:t>Risk</w:t>
            </w:r>
          </w:p>
        </w:tc>
        <w:tc>
          <w:tcPr>
            <w:tcW w:w="2552" w:type="dxa"/>
          </w:tcPr>
          <w:p w14:paraId="5616CB22" w14:textId="77777777" w:rsidR="00301FB8" w:rsidRPr="00301FB8" w:rsidRDefault="00301FB8" w:rsidP="0026787D">
            <w:pPr>
              <w:rPr>
                <w:rFonts w:ascii="Verdana" w:hAnsi="Verdana"/>
                <w:b/>
                <w:color w:val="000000" w:themeColor="text1"/>
              </w:rPr>
            </w:pPr>
            <w:r>
              <w:rPr>
                <w:rFonts w:ascii="Verdana" w:hAnsi="Verdana"/>
                <w:b/>
                <w:color w:val="000000" w:themeColor="text1"/>
              </w:rPr>
              <w:t>Data Subject</w:t>
            </w:r>
          </w:p>
        </w:tc>
        <w:tc>
          <w:tcPr>
            <w:tcW w:w="1366" w:type="dxa"/>
          </w:tcPr>
          <w:p w14:paraId="437BBA2F" w14:textId="77777777" w:rsidR="00301FB8" w:rsidRPr="00301FB8" w:rsidRDefault="00301FB8" w:rsidP="0026787D">
            <w:pPr>
              <w:rPr>
                <w:rFonts w:ascii="Verdana" w:hAnsi="Verdana"/>
                <w:b/>
                <w:color w:val="000000" w:themeColor="text1"/>
              </w:rPr>
            </w:pPr>
            <w:r>
              <w:rPr>
                <w:rFonts w:ascii="Verdana" w:hAnsi="Verdana"/>
                <w:b/>
                <w:color w:val="000000" w:themeColor="text1"/>
              </w:rPr>
              <w:t>NIHRC</w:t>
            </w:r>
          </w:p>
        </w:tc>
      </w:tr>
      <w:tr w:rsidR="00301FB8" w14:paraId="6B85A1E6" w14:textId="77777777" w:rsidTr="007C1DF5">
        <w:tc>
          <w:tcPr>
            <w:tcW w:w="5098" w:type="dxa"/>
          </w:tcPr>
          <w:p w14:paraId="7D547C39" w14:textId="77777777" w:rsidR="00301FB8" w:rsidRDefault="00301FB8" w:rsidP="0026787D">
            <w:pPr>
              <w:rPr>
                <w:rFonts w:ascii="Verdana" w:hAnsi="Verdana"/>
                <w:color w:val="000000" w:themeColor="text1"/>
              </w:rPr>
            </w:pPr>
            <w:r>
              <w:rPr>
                <w:rFonts w:ascii="Verdana" w:hAnsi="Verdana"/>
                <w:color w:val="000000" w:themeColor="text1"/>
              </w:rPr>
              <w:t>Financial Loss</w:t>
            </w:r>
          </w:p>
        </w:tc>
        <w:tc>
          <w:tcPr>
            <w:tcW w:w="2552" w:type="dxa"/>
          </w:tcPr>
          <w:p w14:paraId="2D2E91F7"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c>
          <w:tcPr>
            <w:tcW w:w="1366" w:type="dxa"/>
          </w:tcPr>
          <w:p w14:paraId="6EA282ED" w14:textId="77777777" w:rsidR="00301FB8" w:rsidRDefault="00301FB8" w:rsidP="0026787D">
            <w:pPr>
              <w:rPr>
                <w:rFonts w:ascii="Verdana" w:hAnsi="Verdana"/>
                <w:color w:val="000000" w:themeColor="text1"/>
              </w:rPr>
            </w:pPr>
          </w:p>
        </w:tc>
      </w:tr>
      <w:tr w:rsidR="00301FB8" w14:paraId="7E5D4310" w14:textId="77777777" w:rsidTr="007C1DF5">
        <w:tc>
          <w:tcPr>
            <w:tcW w:w="5098" w:type="dxa"/>
          </w:tcPr>
          <w:p w14:paraId="00A0F2AA" w14:textId="77777777" w:rsidR="00301FB8" w:rsidRDefault="00301FB8" w:rsidP="0026787D">
            <w:pPr>
              <w:rPr>
                <w:rFonts w:ascii="Verdana" w:hAnsi="Verdana"/>
                <w:color w:val="000000" w:themeColor="text1"/>
              </w:rPr>
            </w:pPr>
            <w:r>
              <w:rPr>
                <w:rFonts w:ascii="Verdana" w:hAnsi="Verdana"/>
                <w:color w:val="000000" w:themeColor="text1"/>
              </w:rPr>
              <w:t>Financial Penalties</w:t>
            </w:r>
          </w:p>
        </w:tc>
        <w:tc>
          <w:tcPr>
            <w:tcW w:w="2552" w:type="dxa"/>
          </w:tcPr>
          <w:p w14:paraId="398A0BD8" w14:textId="77777777" w:rsidR="00301FB8" w:rsidRDefault="00301FB8" w:rsidP="0026787D">
            <w:pPr>
              <w:rPr>
                <w:rFonts w:ascii="Verdana" w:hAnsi="Verdana"/>
                <w:color w:val="000000" w:themeColor="text1"/>
              </w:rPr>
            </w:pPr>
          </w:p>
        </w:tc>
        <w:tc>
          <w:tcPr>
            <w:tcW w:w="1366" w:type="dxa"/>
          </w:tcPr>
          <w:p w14:paraId="7FF53E20"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r>
      <w:tr w:rsidR="00301FB8" w14:paraId="3609B762" w14:textId="77777777" w:rsidTr="007C1DF5">
        <w:tc>
          <w:tcPr>
            <w:tcW w:w="5098" w:type="dxa"/>
          </w:tcPr>
          <w:p w14:paraId="5AE2BD50" w14:textId="77777777" w:rsidR="00301FB8" w:rsidRDefault="00301FB8" w:rsidP="0026787D">
            <w:pPr>
              <w:rPr>
                <w:rFonts w:ascii="Verdana" w:hAnsi="Verdana"/>
                <w:color w:val="000000" w:themeColor="text1"/>
              </w:rPr>
            </w:pPr>
            <w:r>
              <w:rPr>
                <w:rFonts w:ascii="Verdana" w:hAnsi="Verdana"/>
                <w:color w:val="000000" w:themeColor="text1"/>
              </w:rPr>
              <w:t>Loss of personal data</w:t>
            </w:r>
          </w:p>
        </w:tc>
        <w:tc>
          <w:tcPr>
            <w:tcW w:w="2552" w:type="dxa"/>
          </w:tcPr>
          <w:p w14:paraId="478593AF"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c>
          <w:tcPr>
            <w:tcW w:w="1366" w:type="dxa"/>
          </w:tcPr>
          <w:p w14:paraId="6A7F7072"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r>
      <w:tr w:rsidR="00301FB8" w14:paraId="14315E95" w14:textId="77777777" w:rsidTr="007C1DF5">
        <w:tc>
          <w:tcPr>
            <w:tcW w:w="5098" w:type="dxa"/>
          </w:tcPr>
          <w:p w14:paraId="2DCCE8A5" w14:textId="77777777" w:rsidR="00301FB8" w:rsidRDefault="00301FB8" w:rsidP="0026787D">
            <w:pPr>
              <w:rPr>
                <w:rFonts w:ascii="Verdana" w:hAnsi="Verdana"/>
                <w:color w:val="000000" w:themeColor="text1"/>
              </w:rPr>
            </w:pPr>
            <w:r>
              <w:rPr>
                <w:rFonts w:ascii="Verdana" w:hAnsi="Verdana"/>
                <w:color w:val="000000" w:themeColor="text1"/>
              </w:rPr>
              <w:t>Breach of legislation</w:t>
            </w:r>
          </w:p>
        </w:tc>
        <w:tc>
          <w:tcPr>
            <w:tcW w:w="2552" w:type="dxa"/>
          </w:tcPr>
          <w:p w14:paraId="2905C4B4" w14:textId="77777777" w:rsidR="00301FB8" w:rsidRDefault="00301FB8" w:rsidP="0026787D">
            <w:pPr>
              <w:rPr>
                <w:rFonts w:ascii="Verdana" w:hAnsi="Verdana"/>
                <w:color w:val="000000" w:themeColor="text1"/>
              </w:rPr>
            </w:pPr>
            <w:r>
              <w:rPr>
                <w:rFonts w:ascii="Verdana" w:hAnsi="Verdana"/>
                <w:color w:val="000000" w:themeColor="text1"/>
              </w:rPr>
              <w:t xml:space="preserve">         </w:t>
            </w:r>
          </w:p>
        </w:tc>
        <w:tc>
          <w:tcPr>
            <w:tcW w:w="1366" w:type="dxa"/>
          </w:tcPr>
          <w:p w14:paraId="5D580129"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r>
      <w:tr w:rsidR="00301FB8" w14:paraId="69E8CF34" w14:textId="77777777" w:rsidTr="007C1DF5">
        <w:tc>
          <w:tcPr>
            <w:tcW w:w="5098" w:type="dxa"/>
          </w:tcPr>
          <w:p w14:paraId="4506480E" w14:textId="77777777" w:rsidR="00301FB8" w:rsidRDefault="00301FB8" w:rsidP="0026787D">
            <w:pPr>
              <w:rPr>
                <w:rFonts w:ascii="Verdana" w:hAnsi="Verdana"/>
                <w:color w:val="000000" w:themeColor="text1"/>
              </w:rPr>
            </w:pPr>
            <w:r>
              <w:rPr>
                <w:rFonts w:ascii="Verdana" w:hAnsi="Verdana"/>
                <w:color w:val="000000" w:themeColor="text1"/>
              </w:rPr>
              <w:t>Loss of Reputation</w:t>
            </w:r>
          </w:p>
        </w:tc>
        <w:tc>
          <w:tcPr>
            <w:tcW w:w="2552" w:type="dxa"/>
          </w:tcPr>
          <w:p w14:paraId="1D071755"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c>
          <w:tcPr>
            <w:tcW w:w="1366" w:type="dxa"/>
          </w:tcPr>
          <w:p w14:paraId="3416CDFA"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r>
      <w:tr w:rsidR="00301FB8" w14:paraId="0CA23221" w14:textId="77777777" w:rsidTr="007C1DF5">
        <w:tc>
          <w:tcPr>
            <w:tcW w:w="5098" w:type="dxa"/>
          </w:tcPr>
          <w:p w14:paraId="2361E080" w14:textId="77777777" w:rsidR="00301FB8" w:rsidRDefault="00301FB8" w:rsidP="0026787D">
            <w:pPr>
              <w:rPr>
                <w:rFonts w:ascii="Verdana" w:hAnsi="Verdana"/>
                <w:color w:val="000000" w:themeColor="text1"/>
              </w:rPr>
            </w:pPr>
            <w:r>
              <w:rPr>
                <w:rFonts w:ascii="Verdana" w:hAnsi="Verdana"/>
                <w:color w:val="000000" w:themeColor="text1"/>
              </w:rPr>
              <w:t>Incorrect decision based on inaccurate data</w:t>
            </w:r>
          </w:p>
        </w:tc>
        <w:tc>
          <w:tcPr>
            <w:tcW w:w="2552" w:type="dxa"/>
          </w:tcPr>
          <w:p w14:paraId="7CEE4379" w14:textId="77777777" w:rsidR="00301FB8" w:rsidRDefault="00301FB8" w:rsidP="0026787D">
            <w:pPr>
              <w:rPr>
                <w:rFonts w:ascii="Verdana" w:hAnsi="Verdana"/>
                <w:color w:val="000000" w:themeColor="text1"/>
              </w:rPr>
            </w:pPr>
            <w:r>
              <w:rPr>
                <w:rFonts w:ascii="Verdana" w:hAnsi="Verdana"/>
                <w:color w:val="000000" w:themeColor="text1"/>
              </w:rPr>
              <w:t xml:space="preserve">         X</w:t>
            </w:r>
          </w:p>
        </w:tc>
        <w:tc>
          <w:tcPr>
            <w:tcW w:w="1366" w:type="dxa"/>
          </w:tcPr>
          <w:p w14:paraId="5B9F62E7" w14:textId="77777777" w:rsidR="00301FB8" w:rsidRDefault="00301FB8" w:rsidP="0026787D">
            <w:pPr>
              <w:rPr>
                <w:rFonts w:ascii="Verdana" w:hAnsi="Verdana"/>
                <w:color w:val="000000" w:themeColor="text1"/>
              </w:rPr>
            </w:pPr>
          </w:p>
        </w:tc>
      </w:tr>
    </w:tbl>
    <w:p w14:paraId="4569D948" w14:textId="77777777" w:rsidR="00301FB8" w:rsidRPr="00301FB8" w:rsidRDefault="00301FB8" w:rsidP="0026787D">
      <w:pPr>
        <w:rPr>
          <w:rFonts w:ascii="Verdana" w:hAnsi="Verdana"/>
          <w:color w:val="000000" w:themeColor="text1"/>
        </w:rPr>
      </w:pPr>
    </w:p>
    <w:p w14:paraId="08C168F7" w14:textId="77777777" w:rsidR="00784FFF" w:rsidRDefault="007C1DF5" w:rsidP="00784FFF">
      <w:pPr>
        <w:pStyle w:val="ListParagraph"/>
        <w:ind w:left="0"/>
        <w:rPr>
          <w:rFonts w:ascii="Verdana" w:hAnsi="Verdana"/>
          <w:color w:val="000000" w:themeColor="text1"/>
        </w:rPr>
      </w:pPr>
      <w:r>
        <w:rPr>
          <w:rFonts w:ascii="Verdana" w:hAnsi="Verdana"/>
          <w:color w:val="000000" w:themeColor="text1"/>
        </w:rPr>
        <w:t>Examples of where control weakness that fail to mitigate data privacy risk include:</w:t>
      </w:r>
    </w:p>
    <w:p w14:paraId="7EE47BFB"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lastRenderedPageBreak/>
        <w:t>Inaccurate, insufficient or out of date;</w:t>
      </w:r>
    </w:p>
    <w:p w14:paraId="1E754B7D"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t>Excessive or irrelevant;</w:t>
      </w:r>
    </w:p>
    <w:p w14:paraId="14DDC544"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t>Kept for too long;</w:t>
      </w:r>
    </w:p>
    <w:p w14:paraId="1AE586CA"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t>Disclosed to those who the person it is about does not want to have it;</w:t>
      </w:r>
    </w:p>
    <w:p w14:paraId="7270B8FD"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t>Used in ways that are unacceptable to or unexpected by the person it is about;</w:t>
      </w:r>
    </w:p>
    <w:p w14:paraId="6975B84B" w14:textId="77777777" w:rsidR="007C1DF5" w:rsidRDefault="007C1DF5" w:rsidP="007C1DF5">
      <w:pPr>
        <w:pStyle w:val="ListParagraph"/>
        <w:numPr>
          <w:ilvl w:val="0"/>
          <w:numId w:val="9"/>
        </w:numPr>
        <w:ind w:left="567" w:hanging="567"/>
        <w:rPr>
          <w:rFonts w:ascii="Verdana" w:hAnsi="Verdana"/>
          <w:color w:val="000000" w:themeColor="text1"/>
        </w:rPr>
      </w:pPr>
      <w:r>
        <w:rPr>
          <w:rFonts w:ascii="Verdana" w:hAnsi="Verdana"/>
          <w:color w:val="000000" w:themeColor="text1"/>
        </w:rPr>
        <w:t>Not kept securely.</w:t>
      </w:r>
    </w:p>
    <w:p w14:paraId="642C1526" w14:textId="77777777" w:rsidR="007C1DF5" w:rsidRDefault="007C1DF5" w:rsidP="007C1DF5">
      <w:pPr>
        <w:pStyle w:val="ListParagraph"/>
        <w:ind w:left="567"/>
        <w:rPr>
          <w:rFonts w:ascii="Verdana" w:hAnsi="Verdana"/>
          <w:color w:val="000000" w:themeColor="text1"/>
        </w:rPr>
      </w:pPr>
    </w:p>
    <w:p w14:paraId="0A342EF8" w14:textId="523B3B8F" w:rsidR="007C1DF5" w:rsidRDefault="007C1DF5" w:rsidP="007C1DF5">
      <w:pPr>
        <w:pStyle w:val="ListParagraph"/>
        <w:ind w:left="0"/>
        <w:rPr>
          <w:rFonts w:ascii="Verdana" w:hAnsi="Verdana"/>
          <w:color w:val="000000" w:themeColor="text1"/>
        </w:rPr>
      </w:pPr>
      <w:r>
        <w:rPr>
          <w:rFonts w:ascii="Verdana" w:hAnsi="Verdana"/>
          <w:color w:val="000000" w:themeColor="text1"/>
        </w:rPr>
        <w:t xml:space="preserve">Harm can present itself in different ways.  Sometimes it will be tangible and quantifiable, for example financial loss or losing a job.  At other times it will be less defined, for example damage to personal relationships and social standing arising from disclosure of confidential or sensitive information. Key considerations in designing privacy into </w:t>
      </w:r>
      <w:r w:rsidR="00952ECE">
        <w:rPr>
          <w:rFonts w:ascii="Verdana" w:hAnsi="Verdana"/>
          <w:color w:val="000000" w:themeColor="text1"/>
        </w:rPr>
        <w:t xml:space="preserve">the </w:t>
      </w:r>
      <w:r w:rsidR="00092CF3">
        <w:rPr>
          <w:rFonts w:ascii="Verdana" w:hAnsi="Verdana"/>
          <w:color w:val="000000" w:themeColor="text1"/>
        </w:rPr>
        <w:t>NIHRC</w:t>
      </w:r>
      <w:r w:rsidR="00952ECE">
        <w:rPr>
          <w:rFonts w:ascii="Verdana" w:hAnsi="Verdana"/>
          <w:color w:val="000000" w:themeColor="text1"/>
        </w:rPr>
        <w:t>’s</w:t>
      </w:r>
      <w:r>
        <w:rPr>
          <w:rFonts w:ascii="Verdana" w:hAnsi="Verdana"/>
          <w:color w:val="000000" w:themeColor="text1"/>
        </w:rPr>
        <w:t xml:space="preserve"> procedures that determine the appropriate approach to minimising risk include:</w:t>
      </w:r>
    </w:p>
    <w:p w14:paraId="0EFAA39C" w14:textId="77777777" w:rsidR="007C1DF5" w:rsidRDefault="007C1DF5" w:rsidP="007C1DF5">
      <w:pPr>
        <w:pStyle w:val="ListParagraph"/>
        <w:ind w:left="0"/>
        <w:rPr>
          <w:rFonts w:ascii="Verdana" w:hAnsi="Verdana"/>
          <w:color w:val="000000" w:themeColor="text1"/>
        </w:rPr>
      </w:pPr>
    </w:p>
    <w:p w14:paraId="40633E09" w14:textId="77777777" w:rsidR="007C1DF5" w:rsidRDefault="007C1DF5"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 xml:space="preserve">Deciding not to collect or store </w:t>
      </w:r>
      <w:proofErr w:type="gramStart"/>
      <w:r>
        <w:rPr>
          <w:rFonts w:ascii="Verdana" w:hAnsi="Verdana"/>
          <w:color w:val="000000" w:themeColor="text1"/>
        </w:rPr>
        <w:t>particular types</w:t>
      </w:r>
      <w:proofErr w:type="gramEnd"/>
      <w:r>
        <w:rPr>
          <w:rFonts w:ascii="Verdana" w:hAnsi="Verdana"/>
          <w:color w:val="000000" w:themeColor="text1"/>
        </w:rPr>
        <w:t xml:space="preserve"> of </w:t>
      </w:r>
      <w:proofErr w:type="gramStart"/>
      <w:r>
        <w:rPr>
          <w:rFonts w:ascii="Verdana" w:hAnsi="Verdana"/>
          <w:color w:val="000000" w:themeColor="text1"/>
        </w:rPr>
        <w:t>information;</w:t>
      </w:r>
      <w:proofErr w:type="gramEnd"/>
    </w:p>
    <w:p w14:paraId="3A4FB91C"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Ensuring information is minimised and held in the appropriate format;</w:t>
      </w:r>
    </w:p>
    <w:p w14:paraId="1F7D38D9"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Ensure procedures require personal data to be anonymised wherever possible;</w:t>
      </w:r>
    </w:p>
    <w:p w14:paraId="21FA8FDC"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Applying to date retention schedules;</w:t>
      </w:r>
    </w:p>
    <w:p w14:paraId="246DB926"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Ensuring staff are properly trained and are aware of potential privacy risks;</w:t>
      </w:r>
    </w:p>
    <w:p w14:paraId="2064B28F"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Ensuring the appropriate legal basis for processing is applied and data subjects are suitably informed; and</w:t>
      </w:r>
    </w:p>
    <w:p w14:paraId="5222E3ED" w14:textId="77777777" w:rsidR="00656C97" w:rsidRDefault="00656C97" w:rsidP="007C1DF5">
      <w:pPr>
        <w:pStyle w:val="ListParagraph"/>
        <w:numPr>
          <w:ilvl w:val="0"/>
          <w:numId w:val="10"/>
        </w:numPr>
        <w:ind w:left="567" w:hanging="567"/>
        <w:rPr>
          <w:rFonts w:ascii="Verdana" w:hAnsi="Verdana"/>
          <w:color w:val="000000" w:themeColor="text1"/>
        </w:rPr>
      </w:pPr>
      <w:r>
        <w:rPr>
          <w:rFonts w:ascii="Verdana" w:hAnsi="Verdana"/>
          <w:color w:val="000000" w:themeColor="text1"/>
        </w:rPr>
        <w:t xml:space="preserve">Ensuring GDPR compliance third party agreements are in place. </w:t>
      </w:r>
    </w:p>
    <w:p w14:paraId="1F8EDBFB" w14:textId="77777777" w:rsidR="003E0FE8" w:rsidRDefault="003E0FE8" w:rsidP="003E0FE8">
      <w:pPr>
        <w:pStyle w:val="ListParagraph"/>
        <w:ind w:left="567"/>
        <w:rPr>
          <w:rFonts w:ascii="Verdana" w:hAnsi="Verdana"/>
          <w:color w:val="000000" w:themeColor="text1"/>
        </w:rPr>
      </w:pPr>
    </w:p>
    <w:p w14:paraId="469A00B4" w14:textId="77777777" w:rsidR="007C1DF5" w:rsidRDefault="00656C97" w:rsidP="00656C97">
      <w:pPr>
        <w:pStyle w:val="ListParagraph"/>
        <w:numPr>
          <w:ilvl w:val="0"/>
          <w:numId w:val="1"/>
        </w:numPr>
        <w:ind w:left="567" w:hanging="567"/>
        <w:rPr>
          <w:rFonts w:ascii="Verdana" w:hAnsi="Verdana"/>
          <w:color w:val="000000" w:themeColor="text1"/>
        </w:rPr>
      </w:pPr>
      <w:r>
        <w:rPr>
          <w:rFonts w:ascii="Verdana" w:hAnsi="Verdana"/>
          <w:b/>
          <w:color w:val="7030A0"/>
        </w:rPr>
        <w:t>Lawful Basis for Processing</w:t>
      </w:r>
      <w:r w:rsidRPr="00656C97">
        <w:rPr>
          <w:rFonts w:ascii="Verdana" w:hAnsi="Verdana"/>
          <w:color w:val="000000" w:themeColor="text1"/>
        </w:rPr>
        <w:t xml:space="preserve"> </w:t>
      </w:r>
    </w:p>
    <w:p w14:paraId="1D19CF09" w14:textId="77777777" w:rsidR="00656C97" w:rsidRDefault="00656C97" w:rsidP="00656C97">
      <w:pPr>
        <w:pStyle w:val="ListParagraph"/>
        <w:ind w:left="567"/>
        <w:rPr>
          <w:rFonts w:ascii="Verdana" w:hAnsi="Verdana"/>
          <w:color w:val="000000" w:themeColor="text1"/>
        </w:rPr>
      </w:pPr>
    </w:p>
    <w:p w14:paraId="0228575A" w14:textId="77777777" w:rsidR="00656C97" w:rsidRDefault="00656C97" w:rsidP="00656C97">
      <w:pPr>
        <w:pStyle w:val="ListParagraph"/>
        <w:ind w:left="0"/>
        <w:rPr>
          <w:rFonts w:ascii="Verdana" w:hAnsi="Verdana"/>
          <w:color w:val="000000" w:themeColor="text1"/>
        </w:rPr>
      </w:pPr>
      <w:r>
        <w:rPr>
          <w:rFonts w:ascii="Verdana" w:hAnsi="Verdana"/>
          <w:color w:val="000000" w:themeColor="text1"/>
        </w:rPr>
        <w:t>The Lawful Basis for processing personal information must be determined before processing can begin.  At least one of the following must apply:</w:t>
      </w:r>
    </w:p>
    <w:p w14:paraId="60ABCB52" w14:textId="77777777" w:rsidR="00656C97" w:rsidRDefault="00656C97" w:rsidP="00656C97">
      <w:pPr>
        <w:pStyle w:val="ListParagraph"/>
        <w:ind w:left="0"/>
        <w:rPr>
          <w:rFonts w:ascii="Verdana" w:hAnsi="Verdana"/>
          <w:color w:val="000000" w:themeColor="text1"/>
        </w:rPr>
      </w:pPr>
    </w:p>
    <w:p w14:paraId="39A3E867" w14:textId="77777777" w:rsidR="00656C97" w:rsidRDefault="00656C97" w:rsidP="006E7181">
      <w:pPr>
        <w:pStyle w:val="ListParagraph"/>
        <w:ind w:left="2552" w:hanging="2552"/>
        <w:rPr>
          <w:rFonts w:ascii="Verdana" w:hAnsi="Verdana"/>
          <w:color w:val="000000" w:themeColor="text1"/>
        </w:rPr>
      </w:pPr>
      <w:r>
        <w:rPr>
          <w:rFonts w:ascii="Verdana" w:hAnsi="Verdana"/>
          <w:i/>
          <w:color w:val="000000" w:themeColor="text1"/>
          <w:u w:val="single"/>
        </w:rPr>
        <w:t xml:space="preserve">Consent </w:t>
      </w:r>
      <w:r>
        <w:rPr>
          <w:rFonts w:ascii="Verdana" w:hAnsi="Verdana"/>
          <w:i/>
          <w:color w:val="000000" w:themeColor="text1"/>
        </w:rPr>
        <w:tab/>
      </w:r>
      <w:r>
        <w:rPr>
          <w:rFonts w:ascii="Verdana" w:hAnsi="Verdana"/>
          <w:color w:val="000000" w:themeColor="text1"/>
        </w:rPr>
        <w:t xml:space="preserve">The individual has given clear consent for you to process </w:t>
      </w:r>
      <w:r w:rsidR="006E7181">
        <w:rPr>
          <w:rFonts w:ascii="Verdana" w:hAnsi="Verdana"/>
          <w:color w:val="000000" w:themeColor="text1"/>
        </w:rPr>
        <w:t xml:space="preserve">  </w:t>
      </w:r>
      <w:r>
        <w:rPr>
          <w:rFonts w:ascii="Verdana" w:hAnsi="Verdana"/>
          <w:color w:val="000000" w:themeColor="text1"/>
        </w:rPr>
        <w:t>their personal data for a specific purpose.</w:t>
      </w:r>
    </w:p>
    <w:p w14:paraId="60177934" w14:textId="77777777" w:rsidR="00656C97" w:rsidRDefault="00656C97" w:rsidP="00A63910">
      <w:pPr>
        <w:pStyle w:val="ListParagraph"/>
        <w:ind w:left="1985" w:hanging="1134"/>
        <w:rPr>
          <w:rFonts w:ascii="Verdana" w:hAnsi="Verdana"/>
          <w:color w:val="000000" w:themeColor="text1"/>
        </w:rPr>
      </w:pPr>
    </w:p>
    <w:p w14:paraId="7F91AC29" w14:textId="77777777" w:rsidR="00656C97" w:rsidRDefault="00656C97" w:rsidP="006E7181">
      <w:pPr>
        <w:pStyle w:val="ListParagraph"/>
        <w:ind w:left="2552" w:hanging="2552"/>
        <w:rPr>
          <w:rFonts w:ascii="Verdana" w:hAnsi="Verdana"/>
          <w:color w:val="000000" w:themeColor="text1"/>
        </w:rPr>
      </w:pPr>
      <w:r>
        <w:rPr>
          <w:rFonts w:ascii="Verdana" w:hAnsi="Verdana"/>
          <w:i/>
          <w:color w:val="000000" w:themeColor="text1"/>
          <w:u w:val="single"/>
        </w:rPr>
        <w:t xml:space="preserve">Contract </w:t>
      </w:r>
      <w:r>
        <w:rPr>
          <w:rFonts w:ascii="Verdana" w:hAnsi="Verdana"/>
          <w:color w:val="000000" w:themeColor="text1"/>
        </w:rPr>
        <w:tab/>
        <w:t xml:space="preserve">The processing is necessary for a contract you have with the individual or because they have asked you to take specific steps before </w:t>
      </w:r>
      <w:proofErr w:type="gramStart"/>
      <w:r>
        <w:rPr>
          <w:rFonts w:ascii="Verdana" w:hAnsi="Verdana"/>
          <w:color w:val="000000" w:themeColor="text1"/>
        </w:rPr>
        <w:t>entering into</w:t>
      </w:r>
      <w:proofErr w:type="gramEnd"/>
      <w:r>
        <w:rPr>
          <w:rFonts w:ascii="Verdana" w:hAnsi="Verdana"/>
          <w:color w:val="000000" w:themeColor="text1"/>
        </w:rPr>
        <w:t xml:space="preserve"> a contract.</w:t>
      </w:r>
    </w:p>
    <w:p w14:paraId="12868CCB" w14:textId="77777777" w:rsidR="00656C97" w:rsidRDefault="00656C97" w:rsidP="00A63910">
      <w:pPr>
        <w:pStyle w:val="ListParagraph"/>
        <w:ind w:left="1985" w:hanging="1985"/>
        <w:rPr>
          <w:rFonts w:ascii="Verdana" w:hAnsi="Verdana"/>
          <w:color w:val="000000" w:themeColor="text1"/>
        </w:rPr>
      </w:pPr>
    </w:p>
    <w:p w14:paraId="4ED410CD" w14:textId="77777777" w:rsidR="00656C97" w:rsidRDefault="00656C97" w:rsidP="006E7181">
      <w:pPr>
        <w:pStyle w:val="ListParagraph"/>
        <w:ind w:left="2552" w:hanging="2552"/>
        <w:rPr>
          <w:rFonts w:ascii="Verdana" w:hAnsi="Verdana"/>
          <w:color w:val="000000" w:themeColor="text1"/>
        </w:rPr>
      </w:pPr>
      <w:r>
        <w:rPr>
          <w:rFonts w:ascii="Verdana" w:hAnsi="Verdana"/>
          <w:i/>
          <w:color w:val="000000" w:themeColor="text1"/>
          <w:u w:val="single"/>
        </w:rPr>
        <w:t xml:space="preserve">Legal Obligation </w:t>
      </w:r>
      <w:r w:rsidR="00A63910">
        <w:rPr>
          <w:rFonts w:ascii="Verdana" w:hAnsi="Verdana"/>
          <w:color w:val="000000" w:themeColor="text1"/>
        </w:rPr>
        <w:t xml:space="preserve">  </w:t>
      </w:r>
      <w:r w:rsidR="006E7181">
        <w:rPr>
          <w:rFonts w:ascii="Verdana" w:hAnsi="Verdana"/>
          <w:color w:val="000000" w:themeColor="text1"/>
        </w:rPr>
        <w:t xml:space="preserve">       </w:t>
      </w:r>
      <w:r w:rsidR="00A63910">
        <w:rPr>
          <w:rFonts w:ascii="Verdana" w:hAnsi="Verdana"/>
          <w:color w:val="000000" w:themeColor="text1"/>
        </w:rPr>
        <w:t>T</w:t>
      </w:r>
      <w:r w:rsidR="00C609A1">
        <w:rPr>
          <w:rFonts w:ascii="Verdana" w:hAnsi="Verdana"/>
          <w:color w:val="000000" w:themeColor="text1"/>
        </w:rPr>
        <w:t>he processing is necessary for you to comply with the law (not including contractual obligations).</w:t>
      </w:r>
    </w:p>
    <w:p w14:paraId="38956622" w14:textId="77777777" w:rsidR="00C609A1" w:rsidRDefault="00C609A1" w:rsidP="006E7181">
      <w:pPr>
        <w:pStyle w:val="ListParagraph"/>
        <w:ind w:left="2552" w:hanging="2552"/>
        <w:rPr>
          <w:rFonts w:ascii="Verdana" w:hAnsi="Verdana"/>
          <w:color w:val="000000" w:themeColor="text1"/>
        </w:rPr>
      </w:pPr>
    </w:p>
    <w:p w14:paraId="567C0223" w14:textId="77777777" w:rsidR="00C609A1" w:rsidRDefault="00C609A1" w:rsidP="006E7181">
      <w:pPr>
        <w:pStyle w:val="ListParagraph"/>
        <w:ind w:left="2552" w:hanging="2552"/>
        <w:rPr>
          <w:rFonts w:ascii="Verdana" w:hAnsi="Verdana"/>
          <w:color w:val="000000" w:themeColor="text1"/>
        </w:rPr>
      </w:pPr>
      <w:r>
        <w:rPr>
          <w:rFonts w:ascii="Verdana" w:hAnsi="Verdana"/>
          <w:i/>
          <w:color w:val="000000" w:themeColor="text1"/>
          <w:u w:val="single"/>
        </w:rPr>
        <w:t xml:space="preserve">Vital Interests </w:t>
      </w:r>
      <w:r w:rsidR="00A63910">
        <w:rPr>
          <w:rFonts w:ascii="Verdana" w:hAnsi="Verdana"/>
          <w:color w:val="000000" w:themeColor="text1"/>
        </w:rPr>
        <w:t xml:space="preserve">   </w:t>
      </w:r>
      <w:r w:rsidR="006E7181">
        <w:rPr>
          <w:rFonts w:ascii="Verdana" w:hAnsi="Verdana"/>
          <w:color w:val="000000" w:themeColor="text1"/>
        </w:rPr>
        <w:t xml:space="preserve">    </w:t>
      </w:r>
      <w:r w:rsidR="00A63910">
        <w:rPr>
          <w:rFonts w:ascii="Verdana" w:hAnsi="Verdana"/>
          <w:color w:val="000000" w:themeColor="text1"/>
        </w:rPr>
        <w:t xml:space="preserve"> </w:t>
      </w:r>
      <w:r w:rsidR="006E7181">
        <w:rPr>
          <w:rFonts w:ascii="Verdana" w:hAnsi="Verdana"/>
          <w:color w:val="000000" w:themeColor="text1"/>
        </w:rPr>
        <w:t xml:space="preserve">    </w:t>
      </w:r>
      <w:r>
        <w:rPr>
          <w:rFonts w:ascii="Verdana" w:hAnsi="Verdana"/>
          <w:color w:val="000000" w:themeColor="text1"/>
        </w:rPr>
        <w:t>The processing is necessary to protect someone’s life.</w:t>
      </w:r>
    </w:p>
    <w:p w14:paraId="6E6AE61C" w14:textId="77777777" w:rsidR="00C609A1" w:rsidRDefault="00C609A1" w:rsidP="006E7181">
      <w:pPr>
        <w:pStyle w:val="ListParagraph"/>
        <w:ind w:left="2268" w:hanging="2268"/>
        <w:rPr>
          <w:rFonts w:ascii="Verdana" w:hAnsi="Verdana"/>
          <w:color w:val="000000" w:themeColor="text1"/>
        </w:rPr>
      </w:pPr>
    </w:p>
    <w:p w14:paraId="160AA182" w14:textId="77777777" w:rsidR="00C609A1" w:rsidRDefault="00C609A1" w:rsidP="007575F2">
      <w:pPr>
        <w:pStyle w:val="ListParagraph"/>
        <w:ind w:left="2552" w:hanging="2552"/>
        <w:rPr>
          <w:rFonts w:ascii="Verdana" w:hAnsi="Verdana"/>
          <w:color w:val="000000" w:themeColor="text1"/>
        </w:rPr>
      </w:pPr>
      <w:r>
        <w:rPr>
          <w:rFonts w:ascii="Verdana" w:hAnsi="Verdana"/>
          <w:i/>
          <w:color w:val="000000" w:themeColor="text1"/>
          <w:u w:val="single"/>
        </w:rPr>
        <w:t xml:space="preserve">Public task </w:t>
      </w:r>
      <w:r>
        <w:rPr>
          <w:rFonts w:ascii="Verdana" w:hAnsi="Verdana"/>
          <w:color w:val="000000" w:themeColor="text1"/>
        </w:rPr>
        <w:t xml:space="preserve">   </w:t>
      </w:r>
      <w:r w:rsidR="00A63910">
        <w:rPr>
          <w:rFonts w:ascii="Verdana" w:hAnsi="Verdana"/>
          <w:color w:val="000000" w:themeColor="text1"/>
        </w:rPr>
        <w:t xml:space="preserve">      </w:t>
      </w:r>
      <w:r w:rsidR="006E7181">
        <w:rPr>
          <w:rFonts w:ascii="Verdana" w:hAnsi="Verdana"/>
          <w:color w:val="000000" w:themeColor="text1"/>
        </w:rPr>
        <w:t xml:space="preserve">    </w:t>
      </w:r>
      <w:r w:rsidR="007575F2">
        <w:rPr>
          <w:rFonts w:ascii="Verdana" w:hAnsi="Verdana"/>
          <w:color w:val="000000" w:themeColor="text1"/>
        </w:rPr>
        <w:t xml:space="preserve">    </w:t>
      </w:r>
      <w:r>
        <w:rPr>
          <w:rFonts w:ascii="Verdana" w:hAnsi="Verdana"/>
          <w:color w:val="000000" w:themeColor="text1"/>
        </w:rPr>
        <w:t>The processing is necessary for you to perform a task in the public interest or for your official functions and the task or function has a clear basis in law.</w:t>
      </w:r>
    </w:p>
    <w:p w14:paraId="30E2A9E8" w14:textId="77777777" w:rsidR="00C609A1" w:rsidRDefault="00C609A1" w:rsidP="00656C97">
      <w:pPr>
        <w:pStyle w:val="ListParagraph"/>
        <w:ind w:left="0"/>
        <w:rPr>
          <w:rFonts w:ascii="Verdana" w:hAnsi="Verdana"/>
          <w:color w:val="000000" w:themeColor="text1"/>
        </w:rPr>
      </w:pPr>
    </w:p>
    <w:p w14:paraId="029CED2C" w14:textId="77777777" w:rsidR="00C609A1" w:rsidRDefault="00C609A1" w:rsidP="007575F2">
      <w:pPr>
        <w:pStyle w:val="ListParagraph"/>
        <w:ind w:left="2552" w:hanging="2552"/>
        <w:rPr>
          <w:rFonts w:ascii="Verdana" w:hAnsi="Verdana"/>
          <w:color w:val="000000" w:themeColor="text1"/>
        </w:rPr>
      </w:pPr>
      <w:r>
        <w:rPr>
          <w:rFonts w:ascii="Verdana" w:hAnsi="Verdana"/>
          <w:i/>
          <w:color w:val="000000" w:themeColor="text1"/>
          <w:u w:val="single"/>
        </w:rPr>
        <w:t xml:space="preserve">Legitimate interests </w:t>
      </w:r>
      <w:r w:rsidR="007575F2">
        <w:rPr>
          <w:rFonts w:ascii="Verdana" w:hAnsi="Verdana"/>
          <w:color w:val="000000" w:themeColor="text1"/>
        </w:rPr>
        <w:t xml:space="preserve">   </w:t>
      </w:r>
      <w:r>
        <w:rPr>
          <w:rFonts w:ascii="Verdana" w:hAnsi="Verdana"/>
          <w:color w:val="000000" w:themeColor="text1"/>
        </w:rPr>
        <w:t xml:space="preserve">The processing is necessary for your legitimate interests of a third party unless there is a good reason to protect </w:t>
      </w:r>
      <w:r>
        <w:rPr>
          <w:rFonts w:ascii="Verdana" w:hAnsi="Verdana"/>
          <w:color w:val="000000" w:themeColor="text1"/>
        </w:rPr>
        <w:lastRenderedPageBreak/>
        <w:t xml:space="preserve">the individual’s personal data which overrides those legitimate interests. </w:t>
      </w:r>
    </w:p>
    <w:p w14:paraId="594353D3" w14:textId="77777777" w:rsidR="007575F2" w:rsidRDefault="007575F2" w:rsidP="007575F2">
      <w:pPr>
        <w:pStyle w:val="ListParagraph"/>
        <w:ind w:left="2552" w:hanging="2552"/>
        <w:rPr>
          <w:rFonts w:ascii="Verdana" w:hAnsi="Verdana"/>
          <w:color w:val="000000" w:themeColor="text1"/>
        </w:rPr>
      </w:pPr>
    </w:p>
    <w:p w14:paraId="06F3B141" w14:textId="4568B4D7" w:rsidR="007575F2" w:rsidRDefault="007575F2" w:rsidP="007575F2">
      <w:pPr>
        <w:pStyle w:val="ListParagraph"/>
        <w:ind w:left="0"/>
        <w:rPr>
          <w:rFonts w:ascii="Verdana" w:hAnsi="Verdana"/>
          <w:color w:val="000000" w:themeColor="text1"/>
        </w:rPr>
      </w:pPr>
      <w:r>
        <w:rPr>
          <w:rFonts w:ascii="Verdana" w:hAnsi="Verdana"/>
          <w:color w:val="000000" w:themeColor="text1"/>
        </w:rPr>
        <w:t xml:space="preserve">It is important to get this right first time.  If the </w:t>
      </w:r>
      <w:r w:rsidR="00092CF3">
        <w:rPr>
          <w:rFonts w:ascii="Verdana" w:hAnsi="Verdana"/>
          <w:color w:val="000000" w:themeColor="text1"/>
        </w:rPr>
        <w:t>NIHRC</w:t>
      </w:r>
      <w:r>
        <w:rPr>
          <w:rFonts w:ascii="Verdana" w:hAnsi="Verdana"/>
          <w:color w:val="000000" w:themeColor="text1"/>
        </w:rPr>
        <w:t xml:space="preserve"> find</w:t>
      </w:r>
      <w:r w:rsidR="00952ECE">
        <w:rPr>
          <w:rFonts w:ascii="Verdana" w:hAnsi="Verdana"/>
          <w:color w:val="000000" w:themeColor="text1"/>
        </w:rPr>
        <w:t>s</w:t>
      </w:r>
      <w:r>
        <w:rPr>
          <w:rFonts w:ascii="Verdana" w:hAnsi="Verdana"/>
          <w:color w:val="000000" w:themeColor="text1"/>
        </w:rPr>
        <w:t xml:space="preserve"> </w:t>
      </w:r>
      <w:proofErr w:type="gramStart"/>
      <w:r>
        <w:rPr>
          <w:rFonts w:ascii="Verdana" w:hAnsi="Verdana"/>
          <w:color w:val="000000" w:themeColor="text1"/>
        </w:rPr>
        <w:t>at a later date</w:t>
      </w:r>
      <w:proofErr w:type="gramEnd"/>
      <w:r>
        <w:rPr>
          <w:rFonts w:ascii="Verdana" w:hAnsi="Verdana"/>
          <w:color w:val="000000" w:themeColor="text1"/>
        </w:rPr>
        <w:t xml:space="preserve"> that its chosen basis was </w:t>
      </w:r>
      <w:proofErr w:type="gramStart"/>
      <w:r>
        <w:rPr>
          <w:rFonts w:ascii="Verdana" w:hAnsi="Verdana"/>
          <w:color w:val="000000" w:themeColor="text1"/>
        </w:rPr>
        <w:t>actually inappropriate</w:t>
      </w:r>
      <w:proofErr w:type="gramEnd"/>
      <w:r>
        <w:rPr>
          <w:rFonts w:ascii="Verdana" w:hAnsi="Verdana"/>
          <w:color w:val="000000" w:themeColor="text1"/>
        </w:rPr>
        <w:t xml:space="preserve">, it will be difficult to simply swap to a different one.  Even if a different basis could have applied from the start, retrospectively switching lawful basis is likely to be inherently unfair to the individual and lead to breaches of accountability and transparency requirements.  </w:t>
      </w:r>
    </w:p>
    <w:p w14:paraId="4DE3CECC" w14:textId="77777777" w:rsidR="007575F2" w:rsidRDefault="007575F2" w:rsidP="007575F2">
      <w:pPr>
        <w:pStyle w:val="ListParagraph"/>
        <w:ind w:left="0"/>
        <w:rPr>
          <w:rFonts w:ascii="Verdana" w:hAnsi="Verdana"/>
          <w:color w:val="000000" w:themeColor="text1"/>
        </w:rPr>
      </w:pPr>
    </w:p>
    <w:p w14:paraId="37814D30" w14:textId="77777777" w:rsidR="007575F2" w:rsidRDefault="007575F2" w:rsidP="007575F2">
      <w:pPr>
        <w:pStyle w:val="ListParagraph"/>
        <w:ind w:left="0"/>
        <w:rPr>
          <w:rFonts w:ascii="Verdana" w:hAnsi="Verdana"/>
          <w:color w:val="000000" w:themeColor="text1"/>
        </w:rPr>
      </w:pPr>
      <w:r>
        <w:rPr>
          <w:rFonts w:ascii="Verdana" w:hAnsi="Verdana"/>
          <w:color w:val="000000" w:themeColor="text1"/>
        </w:rPr>
        <w:t>Factors to consider include:</w:t>
      </w:r>
    </w:p>
    <w:p w14:paraId="767B058C" w14:textId="5CEE786A" w:rsidR="007575F2" w:rsidRDefault="007575F2" w:rsidP="007575F2">
      <w:pPr>
        <w:pStyle w:val="ListParagraph"/>
        <w:numPr>
          <w:ilvl w:val="0"/>
          <w:numId w:val="11"/>
        </w:numPr>
        <w:ind w:left="567" w:hanging="567"/>
        <w:rPr>
          <w:rFonts w:ascii="Verdana" w:hAnsi="Verdana"/>
          <w:color w:val="000000" w:themeColor="text1"/>
        </w:rPr>
      </w:pPr>
      <w:r>
        <w:rPr>
          <w:rFonts w:ascii="Verdana" w:hAnsi="Verdana"/>
          <w:color w:val="000000" w:themeColor="text1"/>
        </w:rPr>
        <w:t xml:space="preserve">What is </w:t>
      </w:r>
      <w:r w:rsidR="009D55BC">
        <w:rPr>
          <w:rFonts w:ascii="Verdana" w:hAnsi="Verdana"/>
          <w:color w:val="000000" w:themeColor="text1"/>
        </w:rPr>
        <w:t xml:space="preserve">the </w:t>
      </w:r>
      <w:r w:rsidR="00092CF3">
        <w:rPr>
          <w:rFonts w:ascii="Verdana" w:hAnsi="Verdana"/>
          <w:color w:val="000000" w:themeColor="text1"/>
        </w:rPr>
        <w:t>NIHRC</w:t>
      </w:r>
      <w:r w:rsidR="009D55BC">
        <w:rPr>
          <w:rFonts w:ascii="Verdana" w:hAnsi="Verdana"/>
          <w:color w:val="000000" w:themeColor="text1"/>
        </w:rPr>
        <w:t>’s</w:t>
      </w:r>
      <w:r>
        <w:rPr>
          <w:rFonts w:ascii="Verdana" w:hAnsi="Verdana"/>
          <w:color w:val="000000" w:themeColor="text1"/>
        </w:rPr>
        <w:t xml:space="preserve"> purpose in processing this information</w:t>
      </w:r>
    </w:p>
    <w:p w14:paraId="6890C744" w14:textId="438E7251" w:rsidR="007575F2" w:rsidRDefault="007575F2" w:rsidP="007575F2">
      <w:pPr>
        <w:pStyle w:val="ListParagraph"/>
        <w:numPr>
          <w:ilvl w:val="0"/>
          <w:numId w:val="11"/>
        </w:numPr>
        <w:ind w:left="567" w:hanging="567"/>
        <w:rPr>
          <w:rFonts w:ascii="Verdana" w:hAnsi="Verdana"/>
          <w:color w:val="000000" w:themeColor="text1"/>
        </w:rPr>
      </w:pPr>
      <w:r>
        <w:rPr>
          <w:rFonts w:ascii="Verdana" w:hAnsi="Verdana"/>
          <w:color w:val="000000" w:themeColor="text1"/>
        </w:rPr>
        <w:t xml:space="preserve">What is </w:t>
      </w:r>
      <w:r w:rsidR="009D55BC">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trying to achieve</w:t>
      </w:r>
    </w:p>
    <w:p w14:paraId="15395BD7" w14:textId="4AC47846" w:rsidR="007575F2" w:rsidRDefault="007575F2" w:rsidP="007575F2">
      <w:pPr>
        <w:pStyle w:val="ListParagraph"/>
        <w:numPr>
          <w:ilvl w:val="0"/>
          <w:numId w:val="11"/>
        </w:numPr>
        <w:ind w:left="567" w:hanging="567"/>
        <w:rPr>
          <w:rFonts w:ascii="Verdana" w:hAnsi="Verdana"/>
          <w:color w:val="000000" w:themeColor="text1"/>
        </w:rPr>
      </w:pPr>
      <w:r>
        <w:rPr>
          <w:rFonts w:ascii="Verdana" w:hAnsi="Verdana"/>
          <w:color w:val="000000" w:themeColor="text1"/>
        </w:rPr>
        <w:t xml:space="preserve">Can </w:t>
      </w:r>
      <w:r w:rsidR="009D55BC">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reasonably achieve it in a different way</w:t>
      </w:r>
    </w:p>
    <w:p w14:paraId="5484FC4E" w14:textId="6E46F004" w:rsidR="007575F2" w:rsidRDefault="007575F2" w:rsidP="007575F2">
      <w:pPr>
        <w:pStyle w:val="ListParagraph"/>
        <w:numPr>
          <w:ilvl w:val="0"/>
          <w:numId w:val="11"/>
        </w:numPr>
        <w:ind w:left="567" w:hanging="567"/>
        <w:rPr>
          <w:rFonts w:ascii="Verdana" w:hAnsi="Verdana"/>
          <w:color w:val="000000" w:themeColor="text1"/>
        </w:rPr>
      </w:pPr>
      <w:r>
        <w:rPr>
          <w:rFonts w:ascii="Verdana" w:hAnsi="Verdana"/>
          <w:color w:val="000000" w:themeColor="text1"/>
        </w:rPr>
        <w:t xml:space="preserve">Does </w:t>
      </w:r>
      <w:r w:rsidR="009D55BC">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have a choice over </w:t>
      </w:r>
      <w:proofErr w:type="gramStart"/>
      <w:r>
        <w:rPr>
          <w:rFonts w:ascii="Verdana" w:hAnsi="Verdana"/>
          <w:color w:val="000000" w:themeColor="text1"/>
        </w:rPr>
        <w:t>whether or not</w:t>
      </w:r>
      <w:proofErr w:type="gramEnd"/>
      <w:r>
        <w:rPr>
          <w:rFonts w:ascii="Verdana" w:hAnsi="Verdana"/>
          <w:color w:val="000000" w:themeColor="text1"/>
        </w:rPr>
        <w:t xml:space="preserve"> to process the data</w:t>
      </w:r>
    </w:p>
    <w:p w14:paraId="0CD014D4" w14:textId="77777777" w:rsidR="007575F2" w:rsidRDefault="007575F2" w:rsidP="007575F2">
      <w:pPr>
        <w:pStyle w:val="ListParagraph"/>
        <w:ind w:left="567"/>
        <w:rPr>
          <w:rFonts w:ascii="Verdana" w:hAnsi="Verdana"/>
          <w:color w:val="000000" w:themeColor="text1"/>
        </w:rPr>
      </w:pPr>
    </w:p>
    <w:p w14:paraId="52B5CFB5" w14:textId="60F5C623" w:rsidR="00092CF3" w:rsidRPr="003022C7" w:rsidRDefault="00092CF3" w:rsidP="00092CF3">
      <w:pPr>
        <w:pStyle w:val="BodyText"/>
        <w:ind w:left="5" w:right="162"/>
        <w:rPr>
          <w:sz w:val="22"/>
          <w:szCs w:val="22"/>
        </w:rPr>
      </w:pPr>
      <w:r w:rsidRPr="003022C7">
        <w:rPr>
          <w:sz w:val="22"/>
          <w:szCs w:val="22"/>
        </w:rPr>
        <w:t xml:space="preserve">The NIHRC was established </w:t>
      </w:r>
      <w:proofErr w:type="gramStart"/>
      <w:r w:rsidRPr="003022C7">
        <w:rPr>
          <w:sz w:val="22"/>
          <w:szCs w:val="22"/>
        </w:rPr>
        <w:t>as a result of</w:t>
      </w:r>
      <w:proofErr w:type="gramEnd"/>
      <w:r w:rsidRPr="003022C7">
        <w:rPr>
          <w:sz w:val="22"/>
          <w:szCs w:val="22"/>
        </w:rPr>
        <w:t xml:space="preserve"> the Belfast (Good Friday) Agreement. Our governing legislation is the Northern Ireland Act 1998, as amended by the Justice and Security (Northern Ireland) Act 2007 and the European Union (Withdrawal Agreement) Act 2020. It is a National Human Rights Institution with A status accreditation from the United Nations. This recognition means that the organisation operates independently in full accordance</w:t>
      </w:r>
      <w:r w:rsidRPr="003022C7">
        <w:rPr>
          <w:spacing w:val="-5"/>
          <w:sz w:val="22"/>
          <w:szCs w:val="22"/>
        </w:rPr>
        <w:t xml:space="preserve"> </w:t>
      </w:r>
      <w:r w:rsidRPr="003022C7">
        <w:rPr>
          <w:sz w:val="22"/>
          <w:szCs w:val="22"/>
        </w:rPr>
        <w:t>with</w:t>
      </w:r>
      <w:r w:rsidRPr="003022C7">
        <w:rPr>
          <w:spacing w:val="-5"/>
          <w:sz w:val="22"/>
          <w:szCs w:val="22"/>
        </w:rPr>
        <w:t xml:space="preserve"> </w:t>
      </w:r>
      <w:r w:rsidRPr="003022C7">
        <w:rPr>
          <w:sz w:val="22"/>
          <w:szCs w:val="22"/>
        </w:rPr>
        <w:t>the</w:t>
      </w:r>
      <w:r w:rsidRPr="003022C7">
        <w:rPr>
          <w:spacing w:val="-7"/>
          <w:sz w:val="22"/>
          <w:szCs w:val="22"/>
        </w:rPr>
        <w:t xml:space="preserve"> </w:t>
      </w:r>
      <w:r w:rsidRPr="003022C7">
        <w:rPr>
          <w:sz w:val="22"/>
          <w:szCs w:val="22"/>
        </w:rPr>
        <w:t>United</w:t>
      </w:r>
      <w:r w:rsidRPr="003022C7">
        <w:rPr>
          <w:spacing w:val="-5"/>
          <w:sz w:val="22"/>
          <w:szCs w:val="22"/>
        </w:rPr>
        <w:t xml:space="preserve"> </w:t>
      </w:r>
      <w:r w:rsidRPr="003022C7">
        <w:rPr>
          <w:sz w:val="22"/>
          <w:szCs w:val="22"/>
        </w:rPr>
        <w:t>Nations</w:t>
      </w:r>
      <w:r w:rsidRPr="003022C7">
        <w:rPr>
          <w:spacing w:val="-6"/>
          <w:sz w:val="22"/>
          <w:szCs w:val="22"/>
        </w:rPr>
        <w:t xml:space="preserve"> </w:t>
      </w:r>
      <w:r w:rsidRPr="003022C7">
        <w:rPr>
          <w:sz w:val="22"/>
          <w:szCs w:val="22"/>
        </w:rPr>
        <w:t>General</w:t>
      </w:r>
      <w:r w:rsidRPr="003022C7">
        <w:rPr>
          <w:spacing w:val="-6"/>
          <w:sz w:val="22"/>
          <w:szCs w:val="22"/>
        </w:rPr>
        <w:t xml:space="preserve"> </w:t>
      </w:r>
      <w:r w:rsidRPr="003022C7">
        <w:rPr>
          <w:sz w:val="22"/>
          <w:szCs w:val="22"/>
        </w:rPr>
        <w:t>Assembly</w:t>
      </w:r>
      <w:r w:rsidRPr="003022C7">
        <w:rPr>
          <w:spacing w:val="-6"/>
          <w:sz w:val="22"/>
          <w:szCs w:val="22"/>
        </w:rPr>
        <w:t xml:space="preserve"> </w:t>
      </w:r>
      <w:r w:rsidRPr="003022C7">
        <w:rPr>
          <w:sz w:val="22"/>
          <w:szCs w:val="22"/>
        </w:rPr>
        <w:t>Resolution</w:t>
      </w:r>
      <w:r w:rsidRPr="003022C7">
        <w:rPr>
          <w:spacing w:val="-5"/>
          <w:sz w:val="22"/>
          <w:szCs w:val="22"/>
        </w:rPr>
        <w:t xml:space="preserve"> </w:t>
      </w:r>
      <w:r w:rsidRPr="003022C7">
        <w:rPr>
          <w:sz w:val="22"/>
          <w:szCs w:val="22"/>
        </w:rPr>
        <w:t>48/134</w:t>
      </w:r>
      <w:r w:rsidRPr="003022C7">
        <w:rPr>
          <w:spacing w:val="-6"/>
          <w:sz w:val="22"/>
          <w:szCs w:val="22"/>
        </w:rPr>
        <w:t xml:space="preserve"> </w:t>
      </w:r>
      <w:r w:rsidRPr="003022C7">
        <w:rPr>
          <w:sz w:val="22"/>
          <w:szCs w:val="22"/>
        </w:rPr>
        <w:t>(the Paris Principles).</w:t>
      </w:r>
    </w:p>
    <w:p w14:paraId="1A693536" w14:textId="77777777" w:rsidR="00092CF3" w:rsidRPr="003022C7" w:rsidRDefault="00092CF3" w:rsidP="007575F2">
      <w:pPr>
        <w:pStyle w:val="ListParagraph"/>
        <w:ind w:left="0"/>
        <w:rPr>
          <w:rFonts w:ascii="Verdana" w:hAnsi="Verdana"/>
          <w:color w:val="000000" w:themeColor="text1"/>
          <w:lang w:val="en-US"/>
        </w:rPr>
      </w:pPr>
    </w:p>
    <w:p w14:paraId="25BBD059" w14:textId="0960AB42" w:rsidR="007575F2" w:rsidRPr="003022C7" w:rsidRDefault="00092CF3" w:rsidP="00092CF3">
      <w:pPr>
        <w:pStyle w:val="BodyText"/>
        <w:ind w:left="5"/>
        <w:rPr>
          <w:color w:val="000000" w:themeColor="text1"/>
          <w:sz w:val="22"/>
          <w:szCs w:val="22"/>
        </w:rPr>
      </w:pPr>
      <w:r w:rsidRPr="003022C7">
        <w:rPr>
          <w:sz w:val="22"/>
          <w:szCs w:val="22"/>
        </w:rPr>
        <w:t>The</w:t>
      </w:r>
      <w:r w:rsidRPr="003022C7">
        <w:rPr>
          <w:spacing w:val="-4"/>
          <w:sz w:val="22"/>
          <w:szCs w:val="22"/>
        </w:rPr>
        <w:t xml:space="preserve"> </w:t>
      </w:r>
      <w:r w:rsidRPr="003022C7">
        <w:rPr>
          <w:sz w:val="22"/>
          <w:szCs w:val="22"/>
        </w:rPr>
        <w:t>NIHRC</w:t>
      </w:r>
      <w:r w:rsidRPr="003022C7">
        <w:rPr>
          <w:spacing w:val="-4"/>
          <w:sz w:val="22"/>
          <w:szCs w:val="22"/>
        </w:rPr>
        <w:t xml:space="preserve"> </w:t>
      </w:r>
      <w:r w:rsidRPr="003022C7">
        <w:rPr>
          <w:sz w:val="22"/>
          <w:szCs w:val="22"/>
        </w:rPr>
        <w:t>is</w:t>
      </w:r>
      <w:r w:rsidRPr="003022C7">
        <w:rPr>
          <w:spacing w:val="-4"/>
          <w:sz w:val="22"/>
          <w:szCs w:val="22"/>
        </w:rPr>
        <w:t xml:space="preserve"> </w:t>
      </w:r>
      <w:r w:rsidRPr="003022C7">
        <w:rPr>
          <w:sz w:val="22"/>
          <w:szCs w:val="22"/>
        </w:rPr>
        <w:t>also</w:t>
      </w:r>
      <w:r w:rsidRPr="003022C7">
        <w:rPr>
          <w:spacing w:val="-5"/>
          <w:sz w:val="22"/>
          <w:szCs w:val="22"/>
        </w:rPr>
        <w:t xml:space="preserve"> </w:t>
      </w:r>
      <w:r w:rsidRPr="003022C7">
        <w:rPr>
          <w:sz w:val="22"/>
          <w:szCs w:val="22"/>
        </w:rPr>
        <w:t>a</w:t>
      </w:r>
      <w:r w:rsidRPr="003022C7">
        <w:rPr>
          <w:spacing w:val="-4"/>
          <w:sz w:val="22"/>
          <w:szCs w:val="22"/>
        </w:rPr>
        <w:t xml:space="preserve"> </w:t>
      </w:r>
      <w:r w:rsidRPr="003022C7">
        <w:rPr>
          <w:sz w:val="22"/>
          <w:szCs w:val="22"/>
        </w:rPr>
        <w:t>non-departmental</w:t>
      </w:r>
      <w:r w:rsidRPr="003022C7">
        <w:rPr>
          <w:spacing w:val="-5"/>
          <w:sz w:val="22"/>
          <w:szCs w:val="22"/>
        </w:rPr>
        <w:t xml:space="preserve"> </w:t>
      </w:r>
      <w:r w:rsidRPr="003022C7">
        <w:rPr>
          <w:sz w:val="22"/>
          <w:szCs w:val="22"/>
        </w:rPr>
        <w:t>public</w:t>
      </w:r>
      <w:r w:rsidRPr="003022C7">
        <w:rPr>
          <w:spacing w:val="-4"/>
          <w:sz w:val="22"/>
          <w:szCs w:val="22"/>
        </w:rPr>
        <w:t xml:space="preserve"> </w:t>
      </w:r>
      <w:r w:rsidRPr="003022C7">
        <w:rPr>
          <w:sz w:val="22"/>
          <w:szCs w:val="22"/>
        </w:rPr>
        <w:t>body</w:t>
      </w:r>
      <w:r w:rsidRPr="003022C7">
        <w:rPr>
          <w:spacing w:val="-4"/>
          <w:sz w:val="22"/>
          <w:szCs w:val="22"/>
        </w:rPr>
        <w:t xml:space="preserve"> </w:t>
      </w:r>
      <w:r w:rsidR="007575F2" w:rsidRPr="003022C7">
        <w:rPr>
          <w:color w:val="000000" w:themeColor="text1"/>
          <w:sz w:val="22"/>
          <w:szCs w:val="22"/>
        </w:rPr>
        <w:t xml:space="preserve">for the purposes of Section 75 (Equality Legislation), the Freedom of Information Act, has an Accounting Officer, is subject to managing Public Money and has a </w:t>
      </w:r>
      <w:r w:rsidR="0086093D" w:rsidRPr="003022C7">
        <w:rPr>
          <w:color w:val="000000" w:themeColor="text1"/>
          <w:sz w:val="22"/>
          <w:szCs w:val="22"/>
        </w:rPr>
        <w:t>Framework Document</w:t>
      </w:r>
      <w:r w:rsidR="007575F2" w:rsidRPr="003022C7">
        <w:rPr>
          <w:color w:val="000000" w:themeColor="text1"/>
          <w:sz w:val="22"/>
          <w:szCs w:val="22"/>
        </w:rPr>
        <w:t xml:space="preserve"> in place with the </w:t>
      </w:r>
      <w:r w:rsidR="004E7343" w:rsidRPr="003022C7">
        <w:rPr>
          <w:color w:val="000000" w:themeColor="text1"/>
          <w:sz w:val="22"/>
          <w:szCs w:val="22"/>
        </w:rPr>
        <w:t>Northern Ireland</w:t>
      </w:r>
      <w:r w:rsidR="007575F2" w:rsidRPr="003022C7">
        <w:rPr>
          <w:color w:val="000000" w:themeColor="text1"/>
          <w:sz w:val="22"/>
          <w:szCs w:val="22"/>
        </w:rPr>
        <w:t xml:space="preserve"> Office.  Therefore</w:t>
      </w:r>
      <w:r w:rsidR="004E7343" w:rsidRPr="003022C7">
        <w:rPr>
          <w:color w:val="000000" w:themeColor="text1"/>
          <w:sz w:val="22"/>
          <w:szCs w:val="22"/>
        </w:rPr>
        <w:t>,</w:t>
      </w:r>
      <w:r w:rsidR="007575F2" w:rsidRPr="003022C7">
        <w:rPr>
          <w:color w:val="000000" w:themeColor="text1"/>
          <w:sz w:val="22"/>
          <w:szCs w:val="22"/>
        </w:rPr>
        <w:t xml:space="preserve"> this policy places the </w:t>
      </w:r>
      <w:r w:rsidRPr="003022C7">
        <w:rPr>
          <w:color w:val="000000" w:themeColor="text1"/>
          <w:sz w:val="22"/>
          <w:szCs w:val="22"/>
        </w:rPr>
        <w:t>NIHRC</w:t>
      </w:r>
      <w:r w:rsidR="007575F2" w:rsidRPr="003022C7">
        <w:rPr>
          <w:color w:val="000000" w:themeColor="text1"/>
          <w:sz w:val="22"/>
          <w:szCs w:val="22"/>
        </w:rPr>
        <w:t xml:space="preserve"> within the definition under Article 6(1) of a Public Authority.  The </w:t>
      </w:r>
      <w:r w:rsidRPr="003022C7">
        <w:rPr>
          <w:color w:val="000000" w:themeColor="text1"/>
          <w:sz w:val="22"/>
          <w:szCs w:val="22"/>
        </w:rPr>
        <w:t>NIHRC</w:t>
      </w:r>
      <w:r w:rsidR="007575F2" w:rsidRPr="003022C7">
        <w:rPr>
          <w:color w:val="000000" w:themeColor="text1"/>
          <w:sz w:val="22"/>
          <w:szCs w:val="22"/>
        </w:rPr>
        <w:t xml:space="preserve"> will apply the Public Task lawful basis whenever it is appropriate to do so. </w:t>
      </w:r>
    </w:p>
    <w:p w14:paraId="3134BD2D" w14:textId="77777777" w:rsidR="007575F2" w:rsidRDefault="007575F2" w:rsidP="007575F2">
      <w:pPr>
        <w:pStyle w:val="ListParagraph"/>
        <w:ind w:left="0"/>
        <w:rPr>
          <w:rFonts w:ascii="Verdana" w:hAnsi="Verdana"/>
          <w:color w:val="000000" w:themeColor="text1"/>
        </w:rPr>
      </w:pPr>
    </w:p>
    <w:p w14:paraId="4F4A2ED4" w14:textId="5C96C476" w:rsidR="007575F2" w:rsidRDefault="007575F2" w:rsidP="007575F2">
      <w:pPr>
        <w:pStyle w:val="ListParagraph"/>
        <w:ind w:left="0"/>
        <w:rPr>
          <w:rFonts w:ascii="Verdana" w:hAnsi="Verdana"/>
          <w:color w:val="000000" w:themeColor="text1"/>
        </w:rPr>
      </w:pPr>
      <w:r>
        <w:rPr>
          <w:rFonts w:ascii="Verdana" w:hAnsi="Verdana"/>
          <w:color w:val="000000" w:themeColor="text1"/>
        </w:rPr>
        <w:t xml:space="preserve">Correspondingly it would be inappropriate for the </w:t>
      </w:r>
      <w:r w:rsidR="00092CF3">
        <w:rPr>
          <w:rFonts w:ascii="Verdana" w:hAnsi="Verdana"/>
          <w:color w:val="000000" w:themeColor="text1"/>
        </w:rPr>
        <w:t>NIHRC</w:t>
      </w:r>
      <w:r>
        <w:rPr>
          <w:rFonts w:ascii="Verdana" w:hAnsi="Verdana"/>
          <w:color w:val="000000" w:themeColor="text1"/>
        </w:rPr>
        <w:t xml:space="preserve"> to use legitimate interest as the </w:t>
      </w:r>
      <w:r w:rsidR="00883D6D">
        <w:rPr>
          <w:rFonts w:ascii="Verdana" w:hAnsi="Verdana"/>
          <w:color w:val="000000" w:themeColor="text1"/>
        </w:rPr>
        <w:t>l</w:t>
      </w:r>
      <w:r>
        <w:rPr>
          <w:rFonts w:ascii="Verdana" w:hAnsi="Verdana"/>
          <w:color w:val="000000" w:themeColor="text1"/>
        </w:rPr>
        <w:t xml:space="preserve">awful </w:t>
      </w:r>
      <w:r w:rsidR="00883D6D">
        <w:rPr>
          <w:rFonts w:ascii="Verdana" w:hAnsi="Verdana"/>
          <w:color w:val="000000" w:themeColor="text1"/>
        </w:rPr>
        <w:t>b</w:t>
      </w:r>
      <w:r>
        <w:rPr>
          <w:rFonts w:ascii="Verdana" w:hAnsi="Verdana"/>
          <w:color w:val="000000" w:themeColor="text1"/>
        </w:rPr>
        <w:t xml:space="preserve">asis and will not do so. </w:t>
      </w:r>
    </w:p>
    <w:p w14:paraId="6BF35FCB" w14:textId="77777777" w:rsidR="007575F2" w:rsidRDefault="007575F2" w:rsidP="007575F2">
      <w:pPr>
        <w:pStyle w:val="ListParagraph"/>
        <w:ind w:left="0"/>
        <w:rPr>
          <w:rFonts w:ascii="Verdana" w:hAnsi="Verdana"/>
          <w:color w:val="000000" w:themeColor="text1"/>
        </w:rPr>
      </w:pPr>
    </w:p>
    <w:p w14:paraId="72AED459" w14:textId="78201C01" w:rsidR="00BF76BF" w:rsidRDefault="007575F2" w:rsidP="007575F2">
      <w:pPr>
        <w:pStyle w:val="ListParagraph"/>
        <w:ind w:left="0"/>
        <w:rPr>
          <w:rFonts w:ascii="Verdana" w:hAnsi="Verdana"/>
          <w:color w:val="000000" w:themeColor="text1"/>
        </w:rPr>
      </w:pPr>
      <w:r>
        <w:rPr>
          <w:rFonts w:ascii="Verdana" w:hAnsi="Verdana"/>
          <w:color w:val="000000" w:themeColor="text1"/>
        </w:rPr>
        <w:t xml:space="preserve">The lawful basis for processing and the basis for assigning that basis is documented by the Data Protection Officer and approved by the </w:t>
      </w:r>
      <w:r w:rsidR="00C77ACF">
        <w:rPr>
          <w:rFonts w:ascii="Verdana" w:hAnsi="Verdana"/>
          <w:color w:val="000000" w:themeColor="text1"/>
        </w:rPr>
        <w:t>Chief Executive</w:t>
      </w:r>
      <w:r>
        <w:rPr>
          <w:rFonts w:ascii="Verdana" w:hAnsi="Verdana"/>
          <w:color w:val="000000" w:themeColor="text1"/>
        </w:rPr>
        <w:t xml:space="preserve">. </w:t>
      </w:r>
      <w:r w:rsidR="00BF76BF">
        <w:rPr>
          <w:rFonts w:ascii="Verdana" w:hAnsi="Verdana"/>
          <w:color w:val="000000" w:themeColor="text1"/>
        </w:rPr>
        <w:t>The record of the lawful basis will be updated by the Data Protection Officer as required but will be reviewed at least once per year.</w:t>
      </w:r>
    </w:p>
    <w:p w14:paraId="38153FDC" w14:textId="77777777" w:rsidR="00BF76BF" w:rsidRDefault="00BF76BF" w:rsidP="007575F2">
      <w:pPr>
        <w:pStyle w:val="ListParagraph"/>
        <w:ind w:left="0"/>
        <w:rPr>
          <w:rFonts w:ascii="Verdana" w:hAnsi="Verdana"/>
          <w:color w:val="000000" w:themeColor="text1"/>
        </w:rPr>
      </w:pPr>
    </w:p>
    <w:p w14:paraId="223FB98F" w14:textId="77777777" w:rsidR="00BF76BF" w:rsidRPr="00BF76BF" w:rsidRDefault="00BF76BF" w:rsidP="00BF76BF">
      <w:pPr>
        <w:pStyle w:val="ListParagraph"/>
        <w:numPr>
          <w:ilvl w:val="0"/>
          <w:numId w:val="1"/>
        </w:numPr>
        <w:ind w:left="567" w:hanging="567"/>
        <w:rPr>
          <w:rFonts w:ascii="Verdana" w:hAnsi="Verdana"/>
          <w:color w:val="000000" w:themeColor="text1"/>
        </w:rPr>
      </w:pPr>
      <w:r>
        <w:rPr>
          <w:rFonts w:ascii="Verdana" w:hAnsi="Verdana"/>
          <w:b/>
          <w:color w:val="7030A0"/>
        </w:rPr>
        <w:t>Right to be informed</w:t>
      </w:r>
    </w:p>
    <w:p w14:paraId="01BE663D" w14:textId="77777777" w:rsidR="00BF76BF" w:rsidRDefault="00BF76BF" w:rsidP="00BF76BF">
      <w:pPr>
        <w:pStyle w:val="ListParagraph"/>
        <w:ind w:left="0"/>
        <w:rPr>
          <w:rFonts w:ascii="Verdana" w:hAnsi="Verdana"/>
          <w:b/>
          <w:color w:val="7030A0"/>
        </w:rPr>
      </w:pPr>
    </w:p>
    <w:p w14:paraId="0064E9FC" w14:textId="1EFBD9A2" w:rsidR="00BF76BF" w:rsidRDefault="00BF76BF" w:rsidP="00BF76BF">
      <w:pPr>
        <w:pStyle w:val="ListParagraph"/>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provide privacy information to individuals including:</w:t>
      </w:r>
    </w:p>
    <w:p w14:paraId="3A712864" w14:textId="77777777" w:rsidR="007575F2" w:rsidRDefault="00BF76BF" w:rsidP="00BF76BF">
      <w:pPr>
        <w:pStyle w:val="ListParagraph"/>
        <w:numPr>
          <w:ilvl w:val="0"/>
          <w:numId w:val="12"/>
        </w:numPr>
        <w:ind w:left="567" w:hanging="567"/>
        <w:rPr>
          <w:rFonts w:ascii="Verdana" w:hAnsi="Verdana"/>
          <w:color w:val="000000" w:themeColor="text1"/>
        </w:rPr>
      </w:pPr>
      <w:r>
        <w:rPr>
          <w:rFonts w:ascii="Verdana" w:hAnsi="Verdana"/>
          <w:color w:val="000000" w:themeColor="text1"/>
        </w:rPr>
        <w:t>The purposes for processing their personal data;</w:t>
      </w:r>
    </w:p>
    <w:p w14:paraId="22274583" w14:textId="77777777" w:rsidR="00BF76BF" w:rsidRDefault="00BF76BF" w:rsidP="00BF76BF">
      <w:pPr>
        <w:pStyle w:val="ListParagraph"/>
        <w:numPr>
          <w:ilvl w:val="0"/>
          <w:numId w:val="12"/>
        </w:numPr>
        <w:ind w:left="567" w:hanging="567"/>
        <w:rPr>
          <w:rFonts w:ascii="Verdana" w:hAnsi="Verdana"/>
          <w:color w:val="000000" w:themeColor="text1"/>
        </w:rPr>
      </w:pPr>
      <w:r>
        <w:rPr>
          <w:rFonts w:ascii="Verdana" w:hAnsi="Verdana"/>
          <w:color w:val="000000" w:themeColor="text1"/>
        </w:rPr>
        <w:t>Retention periods for that personal data and</w:t>
      </w:r>
    </w:p>
    <w:p w14:paraId="57A27D38" w14:textId="3ED8CB82" w:rsidR="00BF76BF" w:rsidRDefault="00BF76BF" w:rsidP="00BF76BF">
      <w:pPr>
        <w:pStyle w:val="ListParagraph"/>
        <w:numPr>
          <w:ilvl w:val="0"/>
          <w:numId w:val="12"/>
        </w:numPr>
        <w:ind w:left="567" w:hanging="567"/>
        <w:rPr>
          <w:rFonts w:ascii="Verdana" w:hAnsi="Verdana"/>
          <w:color w:val="000000" w:themeColor="text1"/>
        </w:rPr>
      </w:pPr>
      <w:r>
        <w:rPr>
          <w:rFonts w:ascii="Verdana" w:hAnsi="Verdana"/>
          <w:color w:val="000000" w:themeColor="text1"/>
        </w:rPr>
        <w:t xml:space="preserve">Who the </w:t>
      </w:r>
      <w:r w:rsidR="00092CF3">
        <w:rPr>
          <w:rFonts w:ascii="Verdana" w:hAnsi="Verdana"/>
          <w:color w:val="000000" w:themeColor="text1"/>
        </w:rPr>
        <w:t>NIHRC</w:t>
      </w:r>
      <w:r>
        <w:rPr>
          <w:rFonts w:ascii="Verdana" w:hAnsi="Verdana"/>
          <w:color w:val="000000" w:themeColor="text1"/>
        </w:rPr>
        <w:t xml:space="preserve"> will share the data with.</w:t>
      </w:r>
    </w:p>
    <w:p w14:paraId="0FAAA3E4" w14:textId="77777777" w:rsidR="00BF76BF" w:rsidRDefault="00BF76BF" w:rsidP="00BF76BF">
      <w:pPr>
        <w:pStyle w:val="ListParagraph"/>
        <w:ind w:left="567"/>
        <w:rPr>
          <w:rFonts w:ascii="Verdana" w:hAnsi="Verdana"/>
          <w:color w:val="000000" w:themeColor="text1"/>
        </w:rPr>
      </w:pPr>
    </w:p>
    <w:p w14:paraId="205E0D70" w14:textId="1AC54168" w:rsidR="00BF76BF" w:rsidRDefault="00BF76BF" w:rsidP="00BF76BF">
      <w:pPr>
        <w:pStyle w:val="ListParagraph"/>
        <w:ind w:left="0"/>
        <w:rPr>
          <w:rFonts w:ascii="Verdana" w:hAnsi="Verdana"/>
          <w:color w:val="000000" w:themeColor="text1"/>
        </w:rPr>
      </w:pPr>
      <w:r>
        <w:rPr>
          <w:rFonts w:ascii="Verdana" w:hAnsi="Verdana"/>
          <w:color w:val="000000" w:themeColor="text1"/>
        </w:rPr>
        <w:t xml:space="preserve">Where possible this will be provided at the point of collection.  Where the </w:t>
      </w:r>
      <w:r w:rsidR="00092CF3">
        <w:rPr>
          <w:rFonts w:ascii="Verdana" w:hAnsi="Verdana"/>
          <w:color w:val="000000" w:themeColor="text1"/>
        </w:rPr>
        <w:t>NIHRC</w:t>
      </w:r>
      <w:r>
        <w:rPr>
          <w:rFonts w:ascii="Verdana" w:hAnsi="Verdana"/>
          <w:color w:val="000000" w:themeColor="text1"/>
        </w:rPr>
        <w:t xml:space="preserve"> obtains personal data from other sources, such as grant claims, the </w:t>
      </w:r>
      <w:r w:rsidR="00092CF3">
        <w:rPr>
          <w:rFonts w:ascii="Verdana" w:hAnsi="Verdana"/>
          <w:color w:val="000000" w:themeColor="text1"/>
        </w:rPr>
        <w:t>NIHRC</w:t>
      </w:r>
      <w:r>
        <w:rPr>
          <w:rFonts w:ascii="Verdana" w:hAnsi="Verdana"/>
          <w:color w:val="000000" w:themeColor="text1"/>
        </w:rPr>
        <w:t xml:space="preserve"> will </w:t>
      </w:r>
      <w:proofErr w:type="gramStart"/>
      <w:r>
        <w:rPr>
          <w:rFonts w:ascii="Verdana" w:hAnsi="Verdana"/>
          <w:color w:val="000000" w:themeColor="text1"/>
        </w:rPr>
        <w:lastRenderedPageBreak/>
        <w:t>make arrangements</w:t>
      </w:r>
      <w:proofErr w:type="gramEnd"/>
      <w:r>
        <w:rPr>
          <w:rFonts w:ascii="Verdana" w:hAnsi="Verdana"/>
          <w:color w:val="000000" w:themeColor="text1"/>
        </w:rPr>
        <w:t xml:space="preserve"> to provide individuals with privacy information within a reasonable period of obtaining the data and no later than one month.</w:t>
      </w:r>
    </w:p>
    <w:p w14:paraId="53365096" w14:textId="77777777" w:rsidR="00BF76BF" w:rsidRDefault="00BF76BF" w:rsidP="00BF76BF">
      <w:pPr>
        <w:pStyle w:val="ListParagraph"/>
        <w:ind w:left="0"/>
        <w:rPr>
          <w:rFonts w:ascii="Verdana" w:hAnsi="Verdana"/>
          <w:color w:val="000000" w:themeColor="text1"/>
        </w:rPr>
      </w:pPr>
    </w:p>
    <w:p w14:paraId="65BE6E98" w14:textId="1C6AEDE7" w:rsidR="00BF76BF" w:rsidRDefault="00BF76BF" w:rsidP="00BF76BF">
      <w:pPr>
        <w:pStyle w:val="ListParagraph"/>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maintain a Privacy Notice on its website which will contain, as a minimum, the information shown in the table below and will be reviewed annually.</w:t>
      </w:r>
    </w:p>
    <w:p w14:paraId="721223E0" w14:textId="77777777" w:rsidR="00C77ACF" w:rsidRDefault="00C77ACF" w:rsidP="00BF76BF">
      <w:pPr>
        <w:pStyle w:val="ListParagraph"/>
        <w:ind w:left="0"/>
        <w:rPr>
          <w:rFonts w:ascii="Verdana" w:hAnsi="Verdana"/>
          <w:color w:val="000000" w:themeColor="text1"/>
        </w:rPr>
      </w:pPr>
    </w:p>
    <w:tbl>
      <w:tblPr>
        <w:tblStyle w:val="TableGrid0"/>
        <w:tblW w:w="0" w:type="auto"/>
        <w:tblLook w:val="04A0" w:firstRow="1" w:lastRow="0" w:firstColumn="1" w:lastColumn="0" w:noHBand="0" w:noVBand="1"/>
      </w:tblPr>
      <w:tblGrid>
        <w:gridCol w:w="4508"/>
        <w:gridCol w:w="4508"/>
      </w:tblGrid>
      <w:tr w:rsidR="00BF76BF" w14:paraId="032D850B" w14:textId="77777777" w:rsidTr="00BF76BF">
        <w:tc>
          <w:tcPr>
            <w:tcW w:w="4508" w:type="dxa"/>
          </w:tcPr>
          <w:p w14:paraId="55A5B0D5"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Name and contact details</w:t>
            </w:r>
          </w:p>
        </w:tc>
        <w:tc>
          <w:tcPr>
            <w:tcW w:w="4508" w:type="dxa"/>
          </w:tcPr>
          <w:p w14:paraId="507DBFA2"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categories of personal data obtained</w:t>
            </w:r>
          </w:p>
        </w:tc>
      </w:tr>
      <w:tr w:rsidR="00BF76BF" w14:paraId="0733D0B4" w14:textId="77777777" w:rsidTr="00BF76BF">
        <w:tc>
          <w:tcPr>
            <w:tcW w:w="4508" w:type="dxa"/>
          </w:tcPr>
          <w:p w14:paraId="0455ACA6"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contact details of the DPO</w:t>
            </w:r>
          </w:p>
        </w:tc>
        <w:tc>
          <w:tcPr>
            <w:tcW w:w="4508" w:type="dxa"/>
          </w:tcPr>
          <w:p w14:paraId="65CD11E1"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recipients or categories of recipients of the personal data</w:t>
            </w:r>
          </w:p>
        </w:tc>
      </w:tr>
      <w:tr w:rsidR="00BF76BF" w14:paraId="0F6F73D4" w14:textId="77777777" w:rsidTr="00BF76BF">
        <w:tc>
          <w:tcPr>
            <w:tcW w:w="4508" w:type="dxa"/>
          </w:tcPr>
          <w:p w14:paraId="69DA4A20"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purposes of the processing</w:t>
            </w:r>
          </w:p>
        </w:tc>
        <w:tc>
          <w:tcPr>
            <w:tcW w:w="4508" w:type="dxa"/>
          </w:tcPr>
          <w:p w14:paraId="765AAB6D"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details of transfers of the personal data to any third parties</w:t>
            </w:r>
          </w:p>
        </w:tc>
      </w:tr>
      <w:tr w:rsidR="00BF76BF" w14:paraId="493E6CC0" w14:textId="77777777" w:rsidTr="00BF76BF">
        <w:tc>
          <w:tcPr>
            <w:tcW w:w="4508" w:type="dxa"/>
          </w:tcPr>
          <w:p w14:paraId="41BB4FFA"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source of the personal data</w:t>
            </w:r>
          </w:p>
        </w:tc>
        <w:tc>
          <w:tcPr>
            <w:tcW w:w="4508" w:type="dxa"/>
          </w:tcPr>
          <w:p w14:paraId="49F7F9FE"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rights available to individuals in respect of the processing</w:t>
            </w:r>
          </w:p>
        </w:tc>
      </w:tr>
      <w:tr w:rsidR="00BF76BF" w14:paraId="17DBC426" w14:textId="77777777" w:rsidTr="00BF76BF">
        <w:tc>
          <w:tcPr>
            <w:tcW w:w="4508" w:type="dxa"/>
          </w:tcPr>
          <w:p w14:paraId="7ADED5AB" w14:textId="77777777" w:rsidR="00BF76BF" w:rsidRDefault="00BF76BF" w:rsidP="00BF76BF">
            <w:pPr>
              <w:pStyle w:val="ListParagraph"/>
              <w:ind w:left="0"/>
              <w:rPr>
                <w:rFonts w:ascii="Verdana" w:hAnsi="Verdana"/>
                <w:color w:val="000000" w:themeColor="text1"/>
              </w:rPr>
            </w:pPr>
            <w:r>
              <w:rPr>
                <w:rFonts w:ascii="Verdana" w:hAnsi="Verdana"/>
                <w:color w:val="000000" w:themeColor="text1"/>
              </w:rPr>
              <w:t>The lawful basis for processing</w:t>
            </w:r>
          </w:p>
        </w:tc>
        <w:tc>
          <w:tcPr>
            <w:tcW w:w="4508" w:type="dxa"/>
          </w:tcPr>
          <w:p w14:paraId="51B7EBBE" w14:textId="77777777" w:rsidR="00BF76BF" w:rsidRDefault="00CD13AE" w:rsidP="00BF76BF">
            <w:pPr>
              <w:pStyle w:val="ListParagraph"/>
              <w:ind w:left="0"/>
              <w:rPr>
                <w:rFonts w:ascii="Verdana" w:hAnsi="Verdana"/>
                <w:color w:val="000000" w:themeColor="text1"/>
              </w:rPr>
            </w:pPr>
            <w:r>
              <w:rPr>
                <w:rFonts w:ascii="Verdana" w:hAnsi="Verdana"/>
                <w:color w:val="000000" w:themeColor="text1"/>
              </w:rPr>
              <w:t>The retention periods for the personal data</w:t>
            </w:r>
          </w:p>
        </w:tc>
      </w:tr>
      <w:tr w:rsidR="00BF76BF" w14:paraId="0A4FCE65" w14:textId="77777777" w:rsidTr="00BF76BF">
        <w:tc>
          <w:tcPr>
            <w:tcW w:w="4508" w:type="dxa"/>
          </w:tcPr>
          <w:p w14:paraId="65009D66" w14:textId="77777777" w:rsidR="00BF76BF" w:rsidRDefault="00CD13AE" w:rsidP="00BF76BF">
            <w:pPr>
              <w:pStyle w:val="ListParagraph"/>
              <w:ind w:left="0"/>
              <w:rPr>
                <w:rFonts w:ascii="Verdana" w:hAnsi="Verdana"/>
                <w:color w:val="000000" w:themeColor="text1"/>
              </w:rPr>
            </w:pPr>
            <w:r>
              <w:rPr>
                <w:rFonts w:ascii="Verdana" w:hAnsi="Verdana"/>
                <w:color w:val="000000" w:themeColor="text1"/>
              </w:rPr>
              <w:t>The details of whether individuals are under a statutory or contractual obligation to provide the personal data</w:t>
            </w:r>
          </w:p>
        </w:tc>
        <w:tc>
          <w:tcPr>
            <w:tcW w:w="4508" w:type="dxa"/>
          </w:tcPr>
          <w:p w14:paraId="63A349B7" w14:textId="77777777" w:rsidR="00BF76BF" w:rsidRDefault="00CD13AE" w:rsidP="00BF76BF">
            <w:pPr>
              <w:pStyle w:val="ListParagraph"/>
              <w:ind w:left="0"/>
              <w:rPr>
                <w:rFonts w:ascii="Verdana" w:hAnsi="Verdana"/>
                <w:color w:val="000000" w:themeColor="text1"/>
              </w:rPr>
            </w:pPr>
            <w:r>
              <w:rPr>
                <w:rFonts w:ascii="Verdana" w:hAnsi="Verdana"/>
                <w:color w:val="000000" w:themeColor="text1"/>
              </w:rPr>
              <w:t>The details of the existence of automated decision-making including profiling</w:t>
            </w:r>
          </w:p>
        </w:tc>
      </w:tr>
    </w:tbl>
    <w:p w14:paraId="32ADB529" w14:textId="77777777" w:rsidR="00BF76BF" w:rsidRPr="00C609A1" w:rsidRDefault="00BF76BF" w:rsidP="00BF76BF">
      <w:pPr>
        <w:pStyle w:val="ListParagraph"/>
        <w:ind w:left="0"/>
        <w:rPr>
          <w:rFonts w:ascii="Verdana" w:hAnsi="Verdana"/>
          <w:color w:val="000000" w:themeColor="text1"/>
        </w:rPr>
      </w:pPr>
      <w:r>
        <w:rPr>
          <w:rFonts w:ascii="Verdana" w:hAnsi="Verdana"/>
          <w:color w:val="000000" w:themeColor="text1"/>
        </w:rPr>
        <w:t xml:space="preserve">  </w:t>
      </w:r>
    </w:p>
    <w:p w14:paraId="4D0BAFC6" w14:textId="1394A839" w:rsidR="00784FFF" w:rsidRDefault="00331AAF" w:rsidP="00E33DB3">
      <w:pPr>
        <w:rPr>
          <w:rFonts w:ascii="Verdana" w:hAnsi="Verdana"/>
          <w:color w:val="000000" w:themeColor="text1"/>
        </w:rPr>
      </w:pPr>
      <w:r>
        <w:rPr>
          <w:rFonts w:ascii="Verdana" w:hAnsi="Verdana"/>
          <w:color w:val="000000" w:themeColor="text1"/>
        </w:rPr>
        <w:t xml:space="preserve">When the </w:t>
      </w:r>
      <w:r w:rsidR="00092CF3">
        <w:rPr>
          <w:rFonts w:ascii="Verdana" w:hAnsi="Verdana"/>
          <w:color w:val="000000" w:themeColor="text1"/>
        </w:rPr>
        <w:t>NIHRC</w:t>
      </w:r>
      <w:r>
        <w:rPr>
          <w:rFonts w:ascii="Verdana" w:hAnsi="Verdana"/>
          <w:color w:val="000000" w:themeColor="text1"/>
        </w:rPr>
        <w:t xml:space="preserve"> collects personal data it will provide a copy of its privacy statement at the time, or in advance of obtaining the data.  When the </w:t>
      </w:r>
      <w:r w:rsidR="00092CF3">
        <w:rPr>
          <w:rFonts w:ascii="Verdana" w:hAnsi="Verdana"/>
          <w:color w:val="000000" w:themeColor="text1"/>
        </w:rPr>
        <w:t>NIHRC</w:t>
      </w:r>
      <w:r w:rsidR="00C77ACF">
        <w:rPr>
          <w:rFonts w:ascii="Verdana" w:hAnsi="Verdana"/>
          <w:color w:val="000000" w:themeColor="text1"/>
        </w:rPr>
        <w:t xml:space="preserve"> </w:t>
      </w:r>
      <w:r>
        <w:rPr>
          <w:rFonts w:ascii="Verdana" w:hAnsi="Verdana"/>
          <w:color w:val="000000" w:themeColor="text1"/>
        </w:rPr>
        <w:t xml:space="preserve">obtains data from a source other than the individual it relates to, </w:t>
      </w:r>
      <w:r w:rsidR="00C77ACF">
        <w:rPr>
          <w:rFonts w:ascii="Verdana" w:hAnsi="Verdana"/>
          <w:color w:val="000000" w:themeColor="text1"/>
        </w:rPr>
        <w:t xml:space="preserve">the </w:t>
      </w:r>
      <w:r w:rsidR="00092CF3">
        <w:rPr>
          <w:rFonts w:ascii="Verdana" w:hAnsi="Verdana"/>
          <w:color w:val="000000" w:themeColor="text1"/>
        </w:rPr>
        <w:t>NIHRC</w:t>
      </w:r>
      <w:r w:rsidR="00C77ACF">
        <w:rPr>
          <w:rFonts w:ascii="Verdana" w:hAnsi="Verdana"/>
          <w:color w:val="000000" w:themeColor="text1"/>
        </w:rPr>
        <w:t xml:space="preserve"> </w:t>
      </w:r>
      <w:r>
        <w:rPr>
          <w:rFonts w:ascii="Verdana" w:hAnsi="Verdana"/>
          <w:color w:val="000000" w:themeColor="text1"/>
        </w:rPr>
        <w:t xml:space="preserve">will arrange for the individual to be provided with the privacy information. The table below summarises how privacy information will be communicated to the </w:t>
      </w:r>
      <w:r w:rsidR="00092CF3">
        <w:rPr>
          <w:rFonts w:ascii="Verdana" w:hAnsi="Verdana"/>
          <w:color w:val="000000" w:themeColor="text1"/>
        </w:rPr>
        <w:t>NIHRC</w:t>
      </w:r>
      <w:r>
        <w:rPr>
          <w:rFonts w:ascii="Verdana" w:hAnsi="Verdana"/>
          <w:color w:val="000000" w:themeColor="text1"/>
        </w:rPr>
        <w:t>’s main group of data subjects.</w:t>
      </w:r>
    </w:p>
    <w:p w14:paraId="0D02D455" w14:textId="77777777" w:rsidR="00C77ACF" w:rsidRDefault="00C77ACF" w:rsidP="00E33DB3">
      <w:pPr>
        <w:rPr>
          <w:rFonts w:ascii="Verdana" w:hAnsi="Verdana"/>
          <w:color w:val="000000" w:themeColor="text1"/>
        </w:rPr>
      </w:pPr>
    </w:p>
    <w:tbl>
      <w:tblPr>
        <w:tblStyle w:val="TableGrid0"/>
        <w:tblW w:w="0" w:type="auto"/>
        <w:tblLook w:val="04A0" w:firstRow="1" w:lastRow="0" w:firstColumn="1" w:lastColumn="0" w:noHBand="0" w:noVBand="1"/>
      </w:tblPr>
      <w:tblGrid>
        <w:gridCol w:w="4508"/>
        <w:gridCol w:w="4508"/>
      </w:tblGrid>
      <w:tr w:rsidR="00331AAF" w14:paraId="30700A99" w14:textId="77777777" w:rsidTr="00331AAF">
        <w:tc>
          <w:tcPr>
            <w:tcW w:w="4508" w:type="dxa"/>
          </w:tcPr>
          <w:p w14:paraId="32BD49AA" w14:textId="49064090" w:rsidR="00331AAF" w:rsidRDefault="00092CF3" w:rsidP="00E33DB3">
            <w:pPr>
              <w:rPr>
                <w:rFonts w:ascii="Verdana" w:hAnsi="Verdana"/>
                <w:color w:val="000000" w:themeColor="text1"/>
              </w:rPr>
            </w:pPr>
            <w:r>
              <w:rPr>
                <w:rFonts w:ascii="Verdana" w:hAnsi="Verdana"/>
                <w:color w:val="000000" w:themeColor="text1"/>
              </w:rPr>
              <w:t>NIHRC</w:t>
            </w:r>
            <w:r w:rsidR="00331AAF">
              <w:rPr>
                <w:rFonts w:ascii="Verdana" w:hAnsi="Verdana"/>
                <w:color w:val="000000" w:themeColor="text1"/>
              </w:rPr>
              <w:t xml:space="preserve"> employees</w:t>
            </w:r>
          </w:p>
        </w:tc>
        <w:tc>
          <w:tcPr>
            <w:tcW w:w="4508" w:type="dxa"/>
          </w:tcPr>
          <w:p w14:paraId="22BFBADA" w14:textId="77777777" w:rsidR="00331AAF" w:rsidRDefault="00331AAF" w:rsidP="00E33DB3">
            <w:pPr>
              <w:rPr>
                <w:rFonts w:ascii="Verdana" w:hAnsi="Verdana"/>
                <w:color w:val="000000" w:themeColor="text1"/>
              </w:rPr>
            </w:pPr>
            <w:r>
              <w:rPr>
                <w:rFonts w:ascii="Verdana" w:hAnsi="Verdana"/>
                <w:color w:val="000000" w:themeColor="text1"/>
              </w:rPr>
              <w:t>Through employee contracts and agreements</w:t>
            </w:r>
          </w:p>
        </w:tc>
      </w:tr>
      <w:tr w:rsidR="00331AAF" w14:paraId="1F4BB51E" w14:textId="77777777" w:rsidTr="00331AAF">
        <w:tc>
          <w:tcPr>
            <w:tcW w:w="4508" w:type="dxa"/>
          </w:tcPr>
          <w:p w14:paraId="55535B69" w14:textId="77777777" w:rsidR="00331AAF" w:rsidRDefault="00331AAF" w:rsidP="00E33DB3">
            <w:pPr>
              <w:rPr>
                <w:rFonts w:ascii="Verdana" w:hAnsi="Verdana"/>
                <w:color w:val="000000" w:themeColor="text1"/>
              </w:rPr>
            </w:pPr>
            <w:r>
              <w:rPr>
                <w:rFonts w:ascii="Verdana" w:hAnsi="Verdana"/>
                <w:color w:val="000000" w:themeColor="text1"/>
              </w:rPr>
              <w:t>Newsletter recipients</w:t>
            </w:r>
          </w:p>
        </w:tc>
        <w:tc>
          <w:tcPr>
            <w:tcW w:w="4508" w:type="dxa"/>
          </w:tcPr>
          <w:p w14:paraId="79E69E16" w14:textId="77777777" w:rsidR="00331AAF" w:rsidRDefault="00331AAF" w:rsidP="00E33DB3">
            <w:pPr>
              <w:rPr>
                <w:rFonts w:ascii="Verdana" w:hAnsi="Verdana"/>
                <w:color w:val="000000" w:themeColor="text1"/>
              </w:rPr>
            </w:pPr>
            <w:r>
              <w:rPr>
                <w:rFonts w:ascii="Verdana" w:hAnsi="Verdana"/>
                <w:color w:val="000000" w:themeColor="text1"/>
              </w:rPr>
              <w:t>Link to Privacy Notice on newsletter</w:t>
            </w:r>
          </w:p>
        </w:tc>
      </w:tr>
      <w:tr w:rsidR="00331AAF" w14:paraId="2A41D244" w14:textId="77777777" w:rsidTr="00331AAF">
        <w:tc>
          <w:tcPr>
            <w:tcW w:w="4508" w:type="dxa"/>
          </w:tcPr>
          <w:p w14:paraId="367014F1" w14:textId="77777777" w:rsidR="00331AAF" w:rsidRDefault="00331AAF" w:rsidP="00E33DB3">
            <w:pPr>
              <w:rPr>
                <w:rFonts w:ascii="Verdana" w:hAnsi="Verdana"/>
                <w:color w:val="000000" w:themeColor="text1"/>
              </w:rPr>
            </w:pPr>
            <w:r>
              <w:rPr>
                <w:rFonts w:ascii="Verdana" w:hAnsi="Verdana"/>
                <w:color w:val="000000" w:themeColor="text1"/>
              </w:rPr>
              <w:t>Consultations</w:t>
            </w:r>
          </w:p>
        </w:tc>
        <w:tc>
          <w:tcPr>
            <w:tcW w:w="4508" w:type="dxa"/>
          </w:tcPr>
          <w:p w14:paraId="04E0419D" w14:textId="77777777" w:rsidR="00331AAF" w:rsidRDefault="00331AAF" w:rsidP="00E33DB3">
            <w:pPr>
              <w:rPr>
                <w:rFonts w:ascii="Verdana" w:hAnsi="Verdana"/>
                <w:color w:val="000000" w:themeColor="text1"/>
              </w:rPr>
            </w:pPr>
            <w:r>
              <w:rPr>
                <w:rFonts w:ascii="Verdana" w:hAnsi="Verdana"/>
                <w:color w:val="000000" w:themeColor="text1"/>
              </w:rPr>
              <w:t>Link to Privacy Notice on consultations</w:t>
            </w:r>
          </w:p>
        </w:tc>
      </w:tr>
      <w:tr w:rsidR="00331AAF" w14:paraId="77EFDAF6" w14:textId="77777777" w:rsidTr="00331AAF">
        <w:tc>
          <w:tcPr>
            <w:tcW w:w="4508" w:type="dxa"/>
          </w:tcPr>
          <w:p w14:paraId="3A2C5751" w14:textId="77777777" w:rsidR="00331AAF" w:rsidRDefault="00331AAF" w:rsidP="00E33DB3">
            <w:pPr>
              <w:rPr>
                <w:rFonts w:ascii="Verdana" w:hAnsi="Verdana"/>
                <w:color w:val="000000" w:themeColor="text1"/>
              </w:rPr>
            </w:pPr>
            <w:r>
              <w:rPr>
                <w:rFonts w:ascii="Verdana" w:hAnsi="Verdana"/>
                <w:color w:val="000000" w:themeColor="text1"/>
              </w:rPr>
              <w:t>Other Communications</w:t>
            </w:r>
          </w:p>
        </w:tc>
        <w:tc>
          <w:tcPr>
            <w:tcW w:w="4508" w:type="dxa"/>
          </w:tcPr>
          <w:p w14:paraId="521E8562" w14:textId="7D828FCA" w:rsidR="00331AAF" w:rsidRDefault="00331AAF" w:rsidP="00E33DB3">
            <w:pPr>
              <w:rPr>
                <w:rFonts w:ascii="Verdana" w:hAnsi="Verdana"/>
                <w:color w:val="000000" w:themeColor="text1"/>
              </w:rPr>
            </w:pPr>
            <w:r>
              <w:rPr>
                <w:rFonts w:ascii="Verdana" w:hAnsi="Verdana"/>
                <w:color w:val="000000" w:themeColor="text1"/>
              </w:rPr>
              <w:t>Link to Privacy Notice on emails</w:t>
            </w:r>
          </w:p>
        </w:tc>
      </w:tr>
    </w:tbl>
    <w:p w14:paraId="47B011D1" w14:textId="77777777" w:rsidR="00331AAF" w:rsidRDefault="00331AAF" w:rsidP="00E33DB3">
      <w:pPr>
        <w:rPr>
          <w:rFonts w:ascii="Verdana" w:hAnsi="Verdana"/>
          <w:color w:val="000000" w:themeColor="text1"/>
        </w:rPr>
      </w:pPr>
    </w:p>
    <w:p w14:paraId="48A861E8" w14:textId="77777777" w:rsidR="00331AAF" w:rsidRPr="00331AAF" w:rsidRDefault="00331AAF" w:rsidP="00331AAF">
      <w:pPr>
        <w:pStyle w:val="ListParagraph"/>
        <w:numPr>
          <w:ilvl w:val="0"/>
          <w:numId w:val="1"/>
        </w:numPr>
        <w:tabs>
          <w:tab w:val="left" w:pos="1245"/>
        </w:tabs>
        <w:ind w:left="567" w:hanging="567"/>
        <w:rPr>
          <w:rFonts w:ascii="Verdana" w:hAnsi="Verdana"/>
          <w:color w:val="000000" w:themeColor="text1"/>
        </w:rPr>
      </w:pPr>
      <w:r>
        <w:rPr>
          <w:rFonts w:ascii="Verdana" w:hAnsi="Verdana"/>
          <w:b/>
          <w:color w:val="7030A0"/>
        </w:rPr>
        <w:t>Data Protection Officer</w:t>
      </w:r>
    </w:p>
    <w:p w14:paraId="7EC0D918" w14:textId="77777777" w:rsidR="00331AAF" w:rsidRDefault="00331AAF" w:rsidP="00331AAF">
      <w:pPr>
        <w:pStyle w:val="ListParagraph"/>
        <w:tabs>
          <w:tab w:val="left" w:pos="1245"/>
        </w:tabs>
        <w:ind w:left="567"/>
        <w:rPr>
          <w:rFonts w:ascii="Verdana" w:hAnsi="Verdana"/>
          <w:b/>
          <w:color w:val="7030A0"/>
        </w:rPr>
      </w:pPr>
    </w:p>
    <w:p w14:paraId="4755696D" w14:textId="3F82D350" w:rsidR="00331AAF" w:rsidRDefault="00331AAF" w:rsidP="00331AAF">
      <w:pPr>
        <w:pStyle w:val="ListParagraph"/>
        <w:tabs>
          <w:tab w:val="left" w:pos="1245"/>
        </w:tabs>
        <w:ind w:left="0"/>
        <w:rPr>
          <w:rFonts w:ascii="Verdana" w:hAnsi="Verdana"/>
          <w:color w:val="000000" w:themeColor="text1"/>
        </w:rPr>
      </w:pPr>
      <w:r>
        <w:rPr>
          <w:rFonts w:ascii="Verdana" w:hAnsi="Verdana"/>
          <w:color w:val="000000" w:themeColor="text1"/>
        </w:rPr>
        <w:t xml:space="preserve">The GDPR introduces a duty for </w:t>
      </w:r>
      <w:r w:rsidR="00D91120">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to appoint a Data Protection Officer (DPO) for public authorities. The role of the DPO is to assist the </w:t>
      </w:r>
      <w:r w:rsidR="00092CF3">
        <w:rPr>
          <w:rFonts w:ascii="Verdana" w:hAnsi="Verdana"/>
          <w:color w:val="000000" w:themeColor="text1"/>
        </w:rPr>
        <w:t>NIHRC</w:t>
      </w:r>
      <w:r>
        <w:rPr>
          <w:rFonts w:ascii="Verdana" w:hAnsi="Verdana"/>
          <w:color w:val="000000" w:themeColor="text1"/>
        </w:rPr>
        <w:t xml:space="preserve"> to monitor internal compliance, inform and advise on the </w:t>
      </w:r>
      <w:r w:rsidR="00092CF3">
        <w:rPr>
          <w:rFonts w:ascii="Verdana" w:hAnsi="Verdana"/>
          <w:color w:val="000000" w:themeColor="text1"/>
        </w:rPr>
        <w:t>NIHRC</w:t>
      </w:r>
      <w:r>
        <w:rPr>
          <w:rFonts w:ascii="Verdana" w:hAnsi="Verdana"/>
          <w:color w:val="000000" w:themeColor="text1"/>
        </w:rPr>
        <w:t>’s data protection obligations, provide advice regarding Data Protection Impact Assessments (DPIAs) and act as a contact point for data subjects and the supervisory authority. The DPO must be independent, an expert in data protection, adequately resourced and report to the highest management level. The DPO’s tasks are defined in Article 39 and in ICO guidance as being:</w:t>
      </w:r>
    </w:p>
    <w:p w14:paraId="32BA503E" w14:textId="77777777" w:rsidR="00784FFF" w:rsidRDefault="006A53CB" w:rsidP="00331AAF">
      <w:pPr>
        <w:pStyle w:val="ListParagraph"/>
        <w:numPr>
          <w:ilvl w:val="0"/>
          <w:numId w:val="13"/>
        </w:numPr>
        <w:tabs>
          <w:tab w:val="left" w:pos="1245"/>
        </w:tabs>
        <w:ind w:left="567" w:hanging="567"/>
        <w:rPr>
          <w:rFonts w:ascii="Verdana" w:hAnsi="Verdana"/>
          <w:color w:val="000000" w:themeColor="text1"/>
        </w:rPr>
      </w:pPr>
      <w:r>
        <w:rPr>
          <w:rFonts w:ascii="Verdana" w:hAnsi="Verdana"/>
          <w:color w:val="000000" w:themeColor="text1"/>
        </w:rPr>
        <w:lastRenderedPageBreak/>
        <w:t>To inform and advise employees about obligations to comply with the GDPR and other data protection laws;</w:t>
      </w:r>
    </w:p>
    <w:p w14:paraId="30A5259A" w14:textId="77777777" w:rsidR="006A53CB" w:rsidRDefault="006A53CB" w:rsidP="00331AAF">
      <w:pPr>
        <w:pStyle w:val="ListParagraph"/>
        <w:numPr>
          <w:ilvl w:val="0"/>
          <w:numId w:val="13"/>
        </w:numPr>
        <w:tabs>
          <w:tab w:val="left" w:pos="1245"/>
        </w:tabs>
        <w:ind w:left="567" w:hanging="567"/>
        <w:rPr>
          <w:rFonts w:ascii="Verdana" w:hAnsi="Verdana"/>
          <w:color w:val="000000" w:themeColor="text1"/>
        </w:rPr>
      </w:pPr>
      <w:r>
        <w:rPr>
          <w:rFonts w:ascii="Verdana" w:hAnsi="Verdana"/>
          <w:color w:val="000000" w:themeColor="text1"/>
        </w:rPr>
        <w:t>To monitor compliance with the GDPR, other data protection laws and internal data protection policies;</w:t>
      </w:r>
    </w:p>
    <w:p w14:paraId="4AA05EEF" w14:textId="77777777" w:rsidR="006A53CB" w:rsidRDefault="006A53CB" w:rsidP="00331AAF">
      <w:pPr>
        <w:pStyle w:val="ListParagraph"/>
        <w:numPr>
          <w:ilvl w:val="0"/>
          <w:numId w:val="13"/>
        </w:numPr>
        <w:tabs>
          <w:tab w:val="left" w:pos="1245"/>
        </w:tabs>
        <w:ind w:left="567" w:hanging="567"/>
        <w:rPr>
          <w:rFonts w:ascii="Verdana" w:hAnsi="Verdana"/>
          <w:color w:val="000000" w:themeColor="text1"/>
        </w:rPr>
      </w:pPr>
      <w:r>
        <w:rPr>
          <w:rFonts w:ascii="Verdana" w:hAnsi="Verdana"/>
          <w:color w:val="000000" w:themeColor="text1"/>
        </w:rPr>
        <w:t>To advise on and to monitor data protection and impact assessments;</w:t>
      </w:r>
    </w:p>
    <w:p w14:paraId="0566D670" w14:textId="77777777" w:rsidR="006A53CB" w:rsidRDefault="006A53CB" w:rsidP="00331AAF">
      <w:pPr>
        <w:pStyle w:val="ListParagraph"/>
        <w:numPr>
          <w:ilvl w:val="0"/>
          <w:numId w:val="13"/>
        </w:numPr>
        <w:tabs>
          <w:tab w:val="left" w:pos="1245"/>
        </w:tabs>
        <w:ind w:left="567" w:hanging="567"/>
        <w:rPr>
          <w:rFonts w:ascii="Verdana" w:hAnsi="Verdana"/>
          <w:color w:val="000000" w:themeColor="text1"/>
        </w:rPr>
      </w:pPr>
      <w:r>
        <w:rPr>
          <w:rFonts w:ascii="Verdana" w:hAnsi="Verdana"/>
          <w:color w:val="000000" w:themeColor="text1"/>
        </w:rPr>
        <w:t xml:space="preserve">Be the first point of contact for supervisory authorities and for individuals whose data is processed and </w:t>
      </w:r>
    </w:p>
    <w:p w14:paraId="553D3178" w14:textId="18F16B66" w:rsidR="006A53CB" w:rsidRDefault="006A53CB" w:rsidP="00331AAF">
      <w:pPr>
        <w:pStyle w:val="ListParagraph"/>
        <w:numPr>
          <w:ilvl w:val="0"/>
          <w:numId w:val="13"/>
        </w:numPr>
        <w:tabs>
          <w:tab w:val="left" w:pos="1245"/>
        </w:tabs>
        <w:ind w:left="567" w:hanging="567"/>
        <w:rPr>
          <w:rFonts w:ascii="Verdana" w:hAnsi="Verdana"/>
          <w:color w:val="000000" w:themeColor="text1"/>
        </w:rPr>
      </w:pPr>
      <w:r>
        <w:rPr>
          <w:rFonts w:ascii="Verdana" w:hAnsi="Verdana"/>
          <w:color w:val="000000" w:themeColor="text1"/>
        </w:rPr>
        <w:t xml:space="preserve">To </w:t>
      </w:r>
      <w:proofErr w:type="gramStart"/>
      <w:r>
        <w:rPr>
          <w:rFonts w:ascii="Verdana" w:hAnsi="Verdana"/>
          <w:color w:val="000000" w:themeColor="text1"/>
        </w:rPr>
        <w:t>take into account</w:t>
      </w:r>
      <w:proofErr w:type="gramEnd"/>
      <w:r>
        <w:rPr>
          <w:rFonts w:ascii="Verdana" w:hAnsi="Verdana"/>
          <w:color w:val="000000" w:themeColor="text1"/>
        </w:rPr>
        <w:t xml:space="preserve"> the risk associated with processing </w:t>
      </w:r>
      <w:r w:rsidR="00F15F54">
        <w:rPr>
          <w:rFonts w:ascii="Verdana" w:hAnsi="Verdana"/>
          <w:color w:val="000000" w:themeColor="text1"/>
        </w:rPr>
        <w:t xml:space="preserve">information </w:t>
      </w:r>
      <w:r>
        <w:rPr>
          <w:rFonts w:ascii="Verdana" w:hAnsi="Verdana"/>
          <w:color w:val="000000" w:themeColor="text1"/>
        </w:rPr>
        <w:t xml:space="preserve">the </w:t>
      </w:r>
      <w:r w:rsidR="00092CF3">
        <w:rPr>
          <w:rFonts w:ascii="Verdana" w:hAnsi="Verdana"/>
          <w:color w:val="000000" w:themeColor="text1"/>
        </w:rPr>
        <w:t>NIHRC</w:t>
      </w:r>
      <w:r w:rsidR="00F15F54">
        <w:rPr>
          <w:rFonts w:ascii="Verdana" w:hAnsi="Verdana"/>
          <w:color w:val="000000" w:themeColor="text1"/>
        </w:rPr>
        <w:t xml:space="preserve"> </w:t>
      </w:r>
      <w:r>
        <w:rPr>
          <w:rFonts w:ascii="Verdana" w:hAnsi="Verdana"/>
          <w:color w:val="000000" w:themeColor="text1"/>
        </w:rPr>
        <w:t>is undertaking.  The DPO must have regard to the nature, scope, context and purposes of the processing.</w:t>
      </w:r>
    </w:p>
    <w:p w14:paraId="279FBDEF" w14:textId="77777777" w:rsidR="006A53CB" w:rsidRDefault="006A53CB" w:rsidP="006A53CB">
      <w:pPr>
        <w:pStyle w:val="ListParagraph"/>
        <w:tabs>
          <w:tab w:val="left" w:pos="1245"/>
        </w:tabs>
        <w:ind w:left="0"/>
        <w:rPr>
          <w:rFonts w:ascii="Verdana" w:hAnsi="Verdana"/>
          <w:color w:val="000000" w:themeColor="text1"/>
        </w:rPr>
      </w:pPr>
    </w:p>
    <w:p w14:paraId="36463E89" w14:textId="77777777" w:rsidR="006A53CB" w:rsidRDefault="006A53CB" w:rsidP="006A53CB">
      <w:pPr>
        <w:pStyle w:val="ListParagraph"/>
        <w:tabs>
          <w:tab w:val="left" w:pos="1245"/>
        </w:tabs>
        <w:ind w:left="0"/>
        <w:rPr>
          <w:rFonts w:ascii="Verdana" w:hAnsi="Verdana"/>
          <w:color w:val="000000" w:themeColor="text1"/>
        </w:rPr>
      </w:pPr>
      <w:r>
        <w:rPr>
          <w:rFonts w:ascii="Verdana" w:hAnsi="Verdana"/>
          <w:color w:val="000000" w:themeColor="text1"/>
        </w:rPr>
        <w:t>Where those charged with governance decide not to follow the advice given by the DPO, they should document their reasons to help demonstrate accountability.</w:t>
      </w:r>
    </w:p>
    <w:p w14:paraId="3FD9D6E6" w14:textId="77777777" w:rsidR="006A53CB" w:rsidRDefault="006A53CB" w:rsidP="006A53CB">
      <w:pPr>
        <w:pStyle w:val="ListParagraph"/>
        <w:tabs>
          <w:tab w:val="left" w:pos="1245"/>
        </w:tabs>
        <w:ind w:left="0"/>
        <w:rPr>
          <w:rFonts w:ascii="Verdana" w:hAnsi="Verdana"/>
          <w:color w:val="000000" w:themeColor="text1"/>
        </w:rPr>
      </w:pPr>
    </w:p>
    <w:p w14:paraId="23161A2F" w14:textId="41CCC740" w:rsidR="006A53CB" w:rsidRDefault="006A53CB" w:rsidP="006A53CB">
      <w:pPr>
        <w:pStyle w:val="ListParagraph"/>
        <w:tabs>
          <w:tab w:val="left" w:pos="1245"/>
        </w:tabs>
        <w:ind w:left="0"/>
        <w:rPr>
          <w:rFonts w:ascii="Verdana" w:hAnsi="Verdana"/>
          <w:color w:val="000000" w:themeColor="text1"/>
        </w:rPr>
      </w:pPr>
      <w:r>
        <w:rPr>
          <w:rFonts w:ascii="Verdana" w:hAnsi="Verdana"/>
          <w:color w:val="000000" w:themeColor="text1"/>
        </w:rPr>
        <w:t xml:space="preserve">It is assumed that the roles and responsibilities of the DPO will sit in the office of the Director </w:t>
      </w:r>
      <w:r w:rsidR="00F15F54">
        <w:rPr>
          <w:rFonts w:ascii="Verdana" w:hAnsi="Verdana"/>
          <w:color w:val="000000" w:themeColor="text1"/>
        </w:rPr>
        <w:t>(</w:t>
      </w:r>
      <w:r>
        <w:rPr>
          <w:rFonts w:ascii="Verdana" w:hAnsi="Verdana"/>
          <w:color w:val="000000" w:themeColor="text1"/>
        </w:rPr>
        <w:t>Finance, Personnel</w:t>
      </w:r>
      <w:r w:rsidR="00F15F54">
        <w:rPr>
          <w:rFonts w:ascii="Verdana" w:hAnsi="Verdana"/>
          <w:color w:val="000000" w:themeColor="text1"/>
        </w:rPr>
        <w:t xml:space="preserve"> and Corporate Affairs)</w:t>
      </w:r>
      <w:r>
        <w:rPr>
          <w:rFonts w:ascii="Verdana" w:hAnsi="Verdana"/>
          <w:color w:val="000000" w:themeColor="text1"/>
        </w:rPr>
        <w:t xml:space="preserve">.  The </w:t>
      </w:r>
      <w:r w:rsidR="00092CF3">
        <w:rPr>
          <w:rFonts w:ascii="Verdana" w:hAnsi="Verdana"/>
          <w:color w:val="000000" w:themeColor="text1"/>
        </w:rPr>
        <w:t>NIHRC</w:t>
      </w:r>
      <w:r>
        <w:rPr>
          <w:rFonts w:ascii="Verdana" w:hAnsi="Verdana"/>
          <w:color w:val="000000" w:themeColor="text1"/>
        </w:rPr>
        <w:t xml:space="preserve"> recognises that the Director </w:t>
      </w:r>
      <w:r w:rsidR="00F15F54">
        <w:rPr>
          <w:rFonts w:ascii="Verdana" w:hAnsi="Verdana"/>
          <w:color w:val="000000" w:themeColor="text1"/>
        </w:rPr>
        <w:t>(</w:t>
      </w:r>
      <w:r>
        <w:rPr>
          <w:rFonts w:ascii="Verdana" w:hAnsi="Verdana"/>
          <w:color w:val="000000" w:themeColor="text1"/>
        </w:rPr>
        <w:t>Finance, Personnel</w:t>
      </w:r>
      <w:r w:rsidR="00F15F54">
        <w:rPr>
          <w:rFonts w:ascii="Verdana" w:hAnsi="Verdana"/>
          <w:color w:val="000000" w:themeColor="text1"/>
        </w:rPr>
        <w:t xml:space="preserve"> and Corporate Affairs)</w:t>
      </w:r>
      <w:r>
        <w:rPr>
          <w:rFonts w:ascii="Verdana" w:hAnsi="Verdana"/>
          <w:color w:val="000000" w:themeColor="text1"/>
        </w:rPr>
        <w:t xml:space="preserve"> is also </w:t>
      </w:r>
      <w:r w:rsidR="00161F32">
        <w:rPr>
          <w:rFonts w:ascii="Verdana" w:hAnsi="Verdana"/>
          <w:color w:val="000000" w:themeColor="text1"/>
        </w:rPr>
        <w:t>the</w:t>
      </w:r>
      <w:r>
        <w:rPr>
          <w:rFonts w:ascii="Verdana" w:hAnsi="Verdana"/>
          <w:color w:val="000000" w:themeColor="text1"/>
        </w:rPr>
        <w:t xml:space="preserve"> Data Controller, creating conflict of interest with their role as DPO.  Given the size of </w:t>
      </w:r>
      <w:r w:rsidR="00161F32">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there is no way for the organisation to avoid this risk while assigning the role of DPO to a post with sufficient competencies and access to carry out the function.  As a mitigating control the DPO will log and report all data protection events and report these to the </w:t>
      </w:r>
      <w:r w:rsidR="00161F32">
        <w:rPr>
          <w:rFonts w:ascii="Verdana" w:hAnsi="Verdana"/>
          <w:color w:val="000000" w:themeColor="text1"/>
        </w:rPr>
        <w:t>Chief Executive</w:t>
      </w:r>
      <w:r>
        <w:rPr>
          <w:rFonts w:ascii="Verdana" w:hAnsi="Verdana"/>
          <w:color w:val="000000" w:themeColor="text1"/>
        </w:rPr>
        <w:t xml:space="preserve"> and Audit and Risk Management Committee. This log will be available for internal audit review.</w:t>
      </w:r>
    </w:p>
    <w:p w14:paraId="21F754BE" w14:textId="77777777" w:rsidR="006A53CB" w:rsidRDefault="006A53CB" w:rsidP="006A53CB">
      <w:pPr>
        <w:pStyle w:val="ListParagraph"/>
        <w:tabs>
          <w:tab w:val="left" w:pos="1245"/>
        </w:tabs>
        <w:ind w:left="0"/>
        <w:rPr>
          <w:rFonts w:ascii="Verdana" w:hAnsi="Verdana"/>
          <w:color w:val="000000" w:themeColor="text1"/>
        </w:rPr>
      </w:pPr>
    </w:p>
    <w:p w14:paraId="287AC46F" w14:textId="77777777" w:rsidR="006A53CB" w:rsidRPr="006A53CB" w:rsidRDefault="006A53CB" w:rsidP="006A53CB">
      <w:pPr>
        <w:pStyle w:val="ListParagraph"/>
        <w:numPr>
          <w:ilvl w:val="0"/>
          <w:numId w:val="1"/>
        </w:numPr>
        <w:tabs>
          <w:tab w:val="left" w:pos="1245"/>
        </w:tabs>
        <w:ind w:left="567" w:hanging="567"/>
        <w:rPr>
          <w:rFonts w:ascii="Verdana" w:hAnsi="Verdana"/>
          <w:color w:val="000000" w:themeColor="text1"/>
        </w:rPr>
      </w:pPr>
      <w:r>
        <w:rPr>
          <w:rFonts w:ascii="Verdana" w:hAnsi="Verdana"/>
          <w:b/>
          <w:color w:val="7030A0"/>
        </w:rPr>
        <w:t xml:space="preserve">Disclosure and Sharing of Personal Information </w:t>
      </w:r>
    </w:p>
    <w:p w14:paraId="08CE8DC6" w14:textId="77777777" w:rsidR="006A53CB" w:rsidRDefault="006A53CB" w:rsidP="006A53CB">
      <w:pPr>
        <w:pStyle w:val="ListParagraph"/>
        <w:tabs>
          <w:tab w:val="left" w:pos="1245"/>
        </w:tabs>
        <w:ind w:left="0"/>
        <w:rPr>
          <w:rFonts w:ascii="Verdana" w:hAnsi="Verdana"/>
          <w:b/>
          <w:color w:val="7030A0"/>
        </w:rPr>
      </w:pPr>
    </w:p>
    <w:p w14:paraId="7721A84A" w14:textId="6804C707" w:rsidR="006A53CB" w:rsidRDefault="006A53CB" w:rsidP="006A53CB">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sometimes needs to share information with other organisations, for example if:</w:t>
      </w:r>
    </w:p>
    <w:p w14:paraId="397AB13D" w14:textId="77777777" w:rsidR="00AA18B3" w:rsidRDefault="00AA18B3" w:rsidP="006A53CB">
      <w:pPr>
        <w:pStyle w:val="ListParagraph"/>
        <w:tabs>
          <w:tab w:val="left" w:pos="1245"/>
        </w:tabs>
        <w:ind w:left="0"/>
        <w:rPr>
          <w:rFonts w:ascii="Verdana" w:hAnsi="Verdana"/>
          <w:color w:val="000000" w:themeColor="text1"/>
        </w:rPr>
      </w:pPr>
    </w:p>
    <w:p w14:paraId="61420409" w14:textId="77777777" w:rsidR="006A53CB" w:rsidRDefault="006A53CB" w:rsidP="006A53CB">
      <w:pPr>
        <w:pStyle w:val="ListParagraph"/>
        <w:numPr>
          <w:ilvl w:val="0"/>
          <w:numId w:val="14"/>
        </w:numPr>
        <w:tabs>
          <w:tab w:val="left" w:pos="1245"/>
        </w:tabs>
        <w:ind w:left="567" w:hanging="567"/>
        <w:rPr>
          <w:rFonts w:ascii="Verdana" w:hAnsi="Verdana"/>
          <w:color w:val="000000" w:themeColor="text1"/>
        </w:rPr>
      </w:pPr>
      <w:r>
        <w:rPr>
          <w:rFonts w:ascii="Verdana" w:hAnsi="Verdana"/>
          <w:color w:val="000000" w:themeColor="text1"/>
        </w:rPr>
        <w:t xml:space="preserve">It is under a duty to disclose or share a data subject’s personal data </w:t>
      </w:r>
      <w:proofErr w:type="gramStart"/>
      <w:r>
        <w:rPr>
          <w:rFonts w:ascii="Verdana" w:hAnsi="Verdana"/>
          <w:color w:val="000000" w:themeColor="text1"/>
        </w:rPr>
        <w:t>in order to</w:t>
      </w:r>
      <w:proofErr w:type="gramEnd"/>
      <w:r>
        <w:rPr>
          <w:rFonts w:ascii="Verdana" w:hAnsi="Verdana"/>
          <w:color w:val="000000" w:themeColor="text1"/>
        </w:rPr>
        <w:t xml:space="preserve"> comply with any legal or regulatory </w:t>
      </w:r>
      <w:proofErr w:type="gramStart"/>
      <w:r>
        <w:rPr>
          <w:rFonts w:ascii="Verdana" w:hAnsi="Verdana"/>
          <w:color w:val="000000" w:themeColor="text1"/>
        </w:rPr>
        <w:t>requirement</w:t>
      </w:r>
      <w:r w:rsidR="00EE21CC">
        <w:rPr>
          <w:rFonts w:ascii="Verdana" w:hAnsi="Verdana"/>
          <w:color w:val="000000" w:themeColor="text1"/>
        </w:rPr>
        <w:t>s;</w:t>
      </w:r>
      <w:proofErr w:type="gramEnd"/>
    </w:p>
    <w:p w14:paraId="3CA1AF80" w14:textId="77777777" w:rsidR="00EE21CC" w:rsidRDefault="00EE21CC" w:rsidP="006A53CB">
      <w:pPr>
        <w:pStyle w:val="ListParagraph"/>
        <w:numPr>
          <w:ilvl w:val="0"/>
          <w:numId w:val="14"/>
        </w:numPr>
        <w:tabs>
          <w:tab w:val="left" w:pos="1245"/>
        </w:tabs>
        <w:ind w:left="567" w:hanging="567"/>
        <w:rPr>
          <w:rFonts w:ascii="Verdana" w:hAnsi="Verdana"/>
          <w:color w:val="000000" w:themeColor="text1"/>
        </w:rPr>
      </w:pPr>
      <w:r>
        <w:rPr>
          <w:rFonts w:ascii="Verdana" w:hAnsi="Verdana"/>
          <w:color w:val="000000" w:themeColor="text1"/>
        </w:rPr>
        <w:t>To enforce or apply any contract with the data subject or other agreements with whom the data subjects have an agreement; or</w:t>
      </w:r>
    </w:p>
    <w:p w14:paraId="21D6A05D" w14:textId="77777777" w:rsidR="00EE21CC" w:rsidRDefault="00EE21CC" w:rsidP="006A53CB">
      <w:pPr>
        <w:pStyle w:val="ListParagraph"/>
        <w:numPr>
          <w:ilvl w:val="0"/>
          <w:numId w:val="14"/>
        </w:numPr>
        <w:tabs>
          <w:tab w:val="left" w:pos="1245"/>
        </w:tabs>
        <w:ind w:left="567" w:hanging="567"/>
        <w:rPr>
          <w:rFonts w:ascii="Verdana" w:hAnsi="Verdana"/>
          <w:color w:val="000000" w:themeColor="text1"/>
        </w:rPr>
      </w:pPr>
      <w:r>
        <w:rPr>
          <w:rFonts w:ascii="Verdana" w:hAnsi="Verdana"/>
          <w:color w:val="000000" w:themeColor="text1"/>
        </w:rPr>
        <w:t>To protect rights, property, or safety of staff, board members, stakeholders, suppliers or others (including those it works with, advises or supports).</w:t>
      </w:r>
    </w:p>
    <w:p w14:paraId="41D2C19D" w14:textId="77777777" w:rsidR="00EE21CC" w:rsidRDefault="00EE21CC" w:rsidP="00EE21CC">
      <w:pPr>
        <w:pStyle w:val="ListParagraph"/>
        <w:tabs>
          <w:tab w:val="left" w:pos="1245"/>
        </w:tabs>
        <w:ind w:left="567"/>
        <w:rPr>
          <w:rFonts w:ascii="Verdana" w:hAnsi="Verdana"/>
          <w:color w:val="000000" w:themeColor="text1"/>
        </w:rPr>
      </w:pPr>
    </w:p>
    <w:p w14:paraId="4D5A75DB" w14:textId="2E72662F" w:rsidR="00EE21CC" w:rsidRDefault="00EE21CC" w:rsidP="00EE21CC">
      <w:pPr>
        <w:pStyle w:val="ListParagraph"/>
        <w:tabs>
          <w:tab w:val="left" w:pos="1245"/>
        </w:tabs>
        <w:ind w:left="0"/>
        <w:rPr>
          <w:rFonts w:ascii="Verdana" w:hAnsi="Verdana"/>
          <w:color w:val="000000" w:themeColor="text1"/>
        </w:rPr>
      </w:pPr>
      <w:r>
        <w:rPr>
          <w:rFonts w:ascii="Verdana" w:hAnsi="Verdana"/>
          <w:color w:val="000000" w:themeColor="text1"/>
        </w:rPr>
        <w:t xml:space="preserve">Any third parties who are users of personal information supplied by </w:t>
      </w:r>
      <w:r w:rsidR="005B1D77">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be required to confirm and demonstrate they will abide by the requirements of the GDPR.  This will be evidenced by use of a </w:t>
      </w:r>
      <w:proofErr w:type="gramStart"/>
      <w:r>
        <w:rPr>
          <w:rFonts w:ascii="Verdana" w:hAnsi="Verdana"/>
          <w:color w:val="000000" w:themeColor="text1"/>
        </w:rPr>
        <w:t>Third Party</w:t>
      </w:r>
      <w:proofErr w:type="gramEnd"/>
      <w:r>
        <w:rPr>
          <w:rFonts w:ascii="Verdana" w:hAnsi="Verdana"/>
          <w:color w:val="000000" w:themeColor="text1"/>
        </w:rPr>
        <w:t xml:space="preserve"> Processing Agreement.  Audits may be carried out at any time by </w:t>
      </w:r>
      <w:r w:rsidR="00092CF3">
        <w:rPr>
          <w:rFonts w:ascii="Verdana" w:hAnsi="Verdana"/>
          <w:color w:val="000000" w:themeColor="text1"/>
        </w:rPr>
        <w:t>NIHRC</w:t>
      </w:r>
      <w:r>
        <w:rPr>
          <w:rFonts w:ascii="Verdana" w:hAnsi="Verdana"/>
          <w:color w:val="000000" w:themeColor="text1"/>
        </w:rPr>
        <w:t xml:space="preserve"> to ensure compliance.</w:t>
      </w:r>
    </w:p>
    <w:p w14:paraId="226839E3" w14:textId="77777777" w:rsidR="00EE21CC" w:rsidRDefault="00EE21CC" w:rsidP="00EE21CC">
      <w:pPr>
        <w:pStyle w:val="ListParagraph"/>
        <w:tabs>
          <w:tab w:val="left" w:pos="1245"/>
        </w:tabs>
        <w:ind w:left="0"/>
        <w:rPr>
          <w:rFonts w:ascii="Verdana" w:hAnsi="Verdana"/>
          <w:color w:val="000000" w:themeColor="text1"/>
        </w:rPr>
      </w:pPr>
    </w:p>
    <w:p w14:paraId="13817F73" w14:textId="75C6E6EC" w:rsidR="00EE21CC" w:rsidRDefault="00EE21CC" w:rsidP="00EE21CC">
      <w:pPr>
        <w:pStyle w:val="ListParagraph"/>
        <w:tabs>
          <w:tab w:val="left" w:pos="1245"/>
        </w:tabs>
        <w:ind w:left="0"/>
        <w:rPr>
          <w:rFonts w:ascii="Verdana" w:hAnsi="Verdana"/>
          <w:color w:val="000000" w:themeColor="text1"/>
        </w:rPr>
      </w:pPr>
      <w:r>
        <w:rPr>
          <w:rFonts w:ascii="Verdana" w:hAnsi="Verdana"/>
          <w:color w:val="000000" w:themeColor="text1"/>
        </w:rPr>
        <w:t xml:space="preserve">Where a third party is processing data on behalf of the </w:t>
      </w:r>
      <w:r w:rsidR="00092CF3">
        <w:rPr>
          <w:rFonts w:ascii="Verdana" w:hAnsi="Verdana"/>
          <w:color w:val="000000" w:themeColor="text1"/>
        </w:rPr>
        <w:t>NIHRC</w:t>
      </w:r>
      <w:r>
        <w:rPr>
          <w:rFonts w:ascii="Verdana" w:hAnsi="Verdana"/>
          <w:color w:val="000000" w:themeColor="text1"/>
        </w:rPr>
        <w:t xml:space="preserve">, the third party will be a Data Processor and therefore a </w:t>
      </w:r>
      <w:proofErr w:type="gramStart"/>
      <w:r>
        <w:rPr>
          <w:rFonts w:ascii="Verdana" w:hAnsi="Verdana"/>
          <w:color w:val="000000" w:themeColor="text1"/>
        </w:rPr>
        <w:t>third party</w:t>
      </w:r>
      <w:proofErr w:type="gramEnd"/>
      <w:r>
        <w:rPr>
          <w:rFonts w:ascii="Verdana" w:hAnsi="Verdana"/>
          <w:color w:val="000000" w:themeColor="text1"/>
        </w:rPr>
        <w:t xml:space="preserve"> agreement will be required.  That agreement will identify the following in relation to data processing:</w:t>
      </w:r>
    </w:p>
    <w:p w14:paraId="7BABC610" w14:textId="77777777" w:rsidR="00AA18B3" w:rsidRDefault="00AA18B3" w:rsidP="00EE21CC">
      <w:pPr>
        <w:pStyle w:val="ListParagraph"/>
        <w:tabs>
          <w:tab w:val="left" w:pos="1245"/>
        </w:tabs>
        <w:ind w:left="0"/>
        <w:rPr>
          <w:rFonts w:ascii="Verdana" w:hAnsi="Verdana"/>
          <w:color w:val="000000" w:themeColor="text1"/>
        </w:rPr>
      </w:pPr>
    </w:p>
    <w:p w14:paraId="6A032B47" w14:textId="77777777" w:rsidR="00EE21CC" w:rsidRDefault="00EE21CC" w:rsidP="00EE21CC">
      <w:pPr>
        <w:pStyle w:val="ListParagraph"/>
        <w:numPr>
          <w:ilvl w:val="0"/>
          <w:numId w:val="15"/>
        </w:numPr>
        <w:tabs>
          <w:tab w:val="left" w:pos="1245"/>
        </w:tabs>
        <w:ind w:left="567" w:hanging="567"/>
        <w:rPr>
          <w:rFonts w:ascii="Verdana" w:hAnsi="Verdana"/>
          <w:color w:val="000000" w:themeColor="text1"/>
        </w:rPr>
      </w:pPr>
      <w:r>
        <w:rPr>
          <w:rFonts w:ascii="Verdana" w:hAnsi="Verdana"/>
          <w:color w:val="000000" w:themeColor="text1"/>
        </w:rPr>
        <w:t>The subject matter and duration of the processing;</w:t>
      </w:r>
    </w:p>
    <w:p w14:paraId="16A02E18" w14:textId="77777777" w:rsidR="00EE21CC" w:rsidRDefault="00EE21CC" w:rsidP="00EE21CC">
      <w:pPr>
        <w:pStyle w:val="ListParagraph"/>
        <w:numPr>
          <w:ilvl w:val="0"/>
          <w:numId w:val="15"/>
        </w:numPr>
        <w:tabs>
          <w:tab w:val="left" w:pos="1245"/>
        </w:tabs>
        <w:ind w:left="567" w:hanging="567"/>
        <w:rPr>
          <w:rFonts w:ascii="Verdana" w:hAnsi="Verdana"/>
          <w:color w:val="000000" w:themeColor="text1"/>
        </w:rPr>
      </w:pPr>
      <w:r>
        <w:rPr>
          <w:rFonts w:ascii="Verdana" w:hAnsi="Verdana"/>
          <w:color w:val="000000" w:themeColor="text1"/>
        </w:rPr>
        <w:lastRenderedPageBreak/>
        <w:t>The nature and purpose of the processing;</w:t>
      </w:r>
    </w:p>
    <w:p w14:paraId="1A150665" w14:textId="77777777" w:rsidR="00EE21CC" w:rsidRDefault="00EE21CC" w:rsidP="00EE21CC">
      <w:pPr>
        <w:pStyle w:val="ListParagraph"/>
        <w:numPr>
          <w:ilvl w:val="0"/>
          <w:numId w:val="15"/>
        </w:numPr>
        <w:tabs>
          <w:tab w:val="left" w:pos="1245"/>
        </w:tabs>
        <w:ind w:left="567" w:hanging="567"/>
        <w:rPr>
          <w:rFonts w:ascii="Verdana" w:hAnsi="Verdana"/>
          <w:color w:val="000000" w:themeColor="text1"/>
        </w:rPr>
      </w:pPr>
      <w:r>
        <w:rPr>
          <w:rFonts w:ascii="Verdana" w:hAnsi="Verdana"/>
          <w:color w:val="000000" w:themeColor="text1"/>
        </w:rPr>
        <w:t>The type of personal data and categories of data subject and</w:t>
      </w:r>
    </w:p>
    <w:p w14:paraId="33A30298" w14:textId="77777777" w:rsidR="00EE21CC" w:rsidRDefault="00EE21CC" w:rsidP="00EE21CC">
      <w:pPr>
        <w:pStyle w:val="ListParagraph"/>
        <w:numPr>
          <w:ilvl w:val="0"/>
          <w:numId w:val="15"/>
        </w:numPr>
        <w:tabs>
          <w:tab w:val="left" w:pos="1245"/>
        </w:tabs>
        <w:ind w:left="567" w:hanging="567"/>
        <w:rPr>
          <w:rFonts w:ascii="Verdana" w:hAnsi="Verdana"/>
          <w:color w:val="000000" w:themeColor="text1"/>
        </w:rPr>
      </w:pPr>
      <w:r>
        <w:rPr>
          <w:rFonts w:ascii="Verdana" w:hAnsi="Verdana"/>
          <w:color w:val="000000" w:themeColor="text1"/>
        </w:rPr>
        <w:t>The obligations and rights of the controller.</w:t>
      </w:r>
    </w:p>
    <w:p w14:paraId="0FA75A03" w14:textId="77777777" w:rsidR="00EE21CC" w:rsidRDefault="00EE21CC" w:rsidP="00EE21CC">
      <w:pPr>
        <w:pStyle w:val="ListParagraph"/>
        <w:tabs>
          <w:tab w:val="left" w:pos="1245"/>
        </w:tabs>
        <w:ind w:left="567"/>
        <w:rPr>
          <w:rFonts w:ascii="Verdana" w:hAnsi="Verdana"/>
          <w:color w:val="000000" w:themeColor="text1"/>
        </w:rPr>
      </w:pPr>
    </w:p>
    <w:p w14:paraId="2234E1EF" w14:textId="77777777" w:rsidR="00EE21CC" w:rsidRDefault="00EE21CC" w:rsidP="00EE21CC">
      <w:pPr>
        <w:pStyle w:val="ListParagraph"/>
        <w:tabs>
          <w:tab w:val="left" w:pos="1245"/>
        </w:tabs>
        <w:ind w:left="0"/>
        <w:rPr>
          <w:rFonts w:ascii="Verdana" w:hAnsi="Verdana"/>
          <w:color w:val="000000" w:themeColor="text1"/>
        </w:rPr>
      </w:pPr>
      <w:r>
        <w:rPr>
          <w:rFonts w:ascii="Verdana" w:hAnsi="Verdana"/>
          <w:color w:val="000000" w:themeColor="text1"/>
        </w:rPr>
        <w:t xml:space="preserve">The </w:t>
      </w:r>
      <w:proofErr w:type="gramStart"/>
      <w:r>
        <w:rPr>
          <w:rFonts w:ascii="Verdana" w:hAnsi="Verdana"/>
          <w:color w:val="000000" w:themeColor="text1"/>
        </w:rPr>
        <w:t>third party</w:t>
      </w:r>
      <w:proofErr w:type="gramEnd"/>
      <w:r>
        <w:rPr>
          <w:rFonts w:ascii="Verdana" w:hAnsi="Verdana"/>
          <w:color w:val="000000" w:themeColor="text1"/>
        </w:rPr>
        <w:t xml:space="preserve"> agreement will include the following requirements from the processor:</w:t>
      </w:r>
    </w:p>
    <w:p w14:paraId="5EDE634D" w14:textId="77777777" w:rsidR="00AA18B3" w:rsidRDefault="00AA18B3" w:rsidP="00EE21CC">
      <w:pPr>
        <w:pStyle w:val="ListParagraph"/>
        <w:tabs>
          <w:tab w:val="left" w:pos="1245"/>
        </w:tabs>
        <w:ind w:left="0"/>
        <w:rPr>
          <w:rFonts w:ascii="Verdana" w:hAnsi="Verdana"/>
          <w:color w:val="000000" w:themeColor="text1"/>
        </w:rPr>
      </w:pPr>
    </w:p>
    <w:p w14:paraId="61CC542E" w14:textId="77777777" w:rsidR="00EE21CC"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only act on the written instructions of the controller;</w:t>
      </w:r>
    </w:p>
    <w:p w14:paraId="76C6580D"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ensure that people processing the data are subject to a duty of confidence;</w:t>
      </w:r>
    </w:p>
    <w:p w14:paraId="322CE7C7"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take appropriate measures to ensure the security of processing;</w:t>
      </w:r>
    </w:p>
    <w:p w14:paraId="7FC49D46"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only engage sub-processors with the prior consent of the controller and under a written contract;</w:t>
      </w:r>
    </w:p>
    <w:p w14:paraId="34D27A6B"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assist the controller in providing subject access and allowing data subjects to exercise their rights under the GDPR;</w:t>
      </w:r>
    </w:p>
    <w:p w14:paraId="09AF3B9B"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assist the controller in meeting its GDPR obligations in relation to the security of processing, the notification of personal data breaches and data protection impact assessments;</w:t>
      </w:r>
    </w:p>
    <w:p w14:paraId="228E6FE5"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delete or return all personal data to the controller as requested at the end of the contract; and</w:t>
      </w:r>
    </w:p>
    <w:p w14:paraId="4D675BB6" w14:textId="77777777" w:rsidR="00306A37" w:rsidRDefault="00306A37" w:rsidP="00306A37">
      <w:pPr>
        <w:pStyle w:val="ListParagraph"/>
        <w:numPr>
          <w:ilvl w:val="0"/>
          <w:numId w:val="16"/>
        </w:numPr>
        <w:tabs>
          <w:tab w:val="left" w:pos="1245"/>
        </w:tabs>
        <w:ind w:left="567" w:hanging="567"/>
        <w:rPr>
          <w:rFonts w:ascii="Verdana" w:hAnsi="Verdana"/>
          <w:color w:val="000000" w:themeColor="text1"/>
        </w:rPr>
      </w:pPr>
      <w:r>
        <w:rPr>
          <w:rFonts w:ascii="Verdana" w:hAnsi="Verdana"/>
          <w:color w:val="000000" w:themeColor="text1"/>
        </w:rPr>
        <w:t>To submit to audits and inspections, provide the controller with whatever information it needs to ensure they are both meeting their Article 28 obligations, and tell the controller immediately if it is asked to do something infringing the GDPR or other data protection law of the EU or a member state.</w:t>
      </w:r>
    </w:p>
    <w:p w14:paraId="113645D0" w14:textId="77777777" w:rsidR="00306A37" w:rsidRDefault="00306A37" w:rsidP="00306A37">
      <w:pPr>
        <w:tabs>
          <w:tab w:val="left" w:pos="1245"/>
        </w:tabs>
        <w:rPr>
          <w:rFonts w:ascii="Verdana" w:hAnsi="Verdana"/>
          <w:color w:val="000000" w:themeColor="text1"/>
        </w:rPr>
      </w:pPr>
      <w:r>
        <w:rPr>
          <w:rFonts w:ascii="Verdana" w:hAnsi="Verdana"/>
          <w:color w:val="000000" w:themeColor="text1"/>
        </w:rPr>
        <w:t>In certain circumstance, information relating to employees acting in a business capacity may be made available provided:</w:t>
      </w:r>
    </w:p>
    <w:p w14:paraId="6A20F73B" w14:textId="77777777" w:rsidR="00306A37" w:rsidRDefault="00306A37" w:rsidP="00306A37">
      <w:pPr>
        <w:pStyle w:val="ListParagraph"/>
        <w:numPr>
          <w:ilvl w:val="0"/>
          <w:numId w:val="17"/>
        </w:numPr>
        <w:tabs>
          <w:tab w:val="left" w:pos="1245"/>
        </w:tabs>
        <w:ind w:left="567" w:hanging="567"/>
        <w:rPr>
          <w:rFonts w:ascii="Verdana" w:hAnsi="Verdana"/>
          <w:color w:val="000000" w:themeColor="text1"/>
        </w:rPr>
      </w:pPr>
      <w:r>
        <w:rPr>
          <w:rFonts w:ascii="Verdana" w:hAnsi="Verdana"/>
          <w:color w:val="000000" w:themeColor="text1"/>
        </w:rPr>
        <w:t>We have the statutory power or are required by law to do so; or</w:t>
      </w:r>
    </w:p>
    <w:p w14:paraId="0DB974E5" w14:textId="77777777" w:rsidR="00306A37" w:rsidRDefault="00306A37" w:rsidP="00306A37">
      <w:pPr>
        <w:pStyle w:val="ListParagraph"/>
        <w:numPr>
          <w:ilvl w:val="0"/>
          <w:numId w:val="17"/>
        </w:numPr>
        <w:tabs>
          <w:tab w:val="left" w:pos="1245"/>
        </w:tabs>
        <w:ind w:left="567" w:hanging="567"/>
        <w:rPr>
          <w:rFonts w:ascii="Verdana" w:hAnsi="Verdana"/>
          <w:color w:val="000000" w:themeColor="text1"/>
        </w:rPr>
      </w:pPr>
      <w:r>
        <w:rPr>
          <w:rFonts w:ascii="Verdana" w:hAnsi="Verdana"/>
          <w:color w:val="000000" w:themeColor="text1"/>
        </w:rPr>
        <w:t>The information is clearly not intrusive in nature; or</w:t>
      </w:r>
    </w:p>
    <w:p w14:paraId="1EC61C3B" w14:textId="77777777" w:rsidR="00306A37" w:rsidRDefault="00306A37" w:rsidP="00306A37">
      <w:pPr>
        <w:pStyle w:val="ListParagraph"/>
        <w:numPr>
          <w:ilvl w:val="0"/>
          <w:numId w:val="17"/>
        </w:numPr>
        <w:tabs>
          <w:tab w:val="left" w:pos="1245"/>
        </w:tabs>
        <w:ind w:left="567" w:hanging="567"/>
        <w:rPr>
          <w:rFonts w:ascii="Verdana" w:hAnsi="Verdana"/>
          <w:color w:val="000000" w:themeColor="text1"/>
        </w:rPr>
      </w:pPr>
      <w:r>
        <w:rPr>
          <w:rFonts w:ascii="Verdana" w:hAnsi="Verdana"/>
          <w:color w:val="000000" w:themeColor="text1"/>
        </w:rPr>
        <w:t>The employee has consented to the disclosure; or</w:t>
      </w:r>
    </w:p>
    <w:p w14:paraId="3135CF43" w14:textId="77777777" w:rsidR="00306A37" w:rsidRDefault="00306A37" w:rsidP="00306A37">
      <w:pPr>
        <w:pStyle w:val="ListParagraph"/>
        <w:numPr>
          <w:ilvl w:val="0"/>
          <w:numId w:val="17"/>
        </w:numPr>
        <w:tabs>
          <w:tab w:val="left" w:pos="1245"/>
        </w:tabs>
        <w:ind w:left="567" w:hanging="567"/>
        <w:rPr>
          <w:rFonts w:ascii="Verdana" w:hAnsi="Verdana"/>
          <w:color w:val="000000" w:themeColor="text1"/>
        </w:rPr>
      </w:pPr>
      <w:r>
        <w:rPr>
          <w:rFonts w:ascii="Verdana" w:hAnsi="Verdana"/>
          <w:color w:val="000000" w:themeColor="text1"/>
        </w:rPr>
        <w:t>The information is in a form that does not identify individual employees.</w:t>
      </w:r>
    </w:p>
    <w:p w14:paraId="785D1048" w14:textId="77777777" w:rsidR="00306A37" w:rsidRDefault="00306A37" w:rsidP="00306A37">
      <w:pPr>
        <w:pStyle w:val="ListParagraph"/>
        <w:tabs>
          <w:tab w:val="left" w:pos="1245"/>
        </w:tabs>
        <w:ind w:left="567"/>
        <w:rPr>
          <w:rFonts w:ascii="Verdana" w:hAnsi="Verdana"/>
          <w:color w:val="000000" w:themeColor="text1"/>
        </w:rPr>
      </w:pPr>
    </w:p>
    <w:p w14:paraId="25469D48" w14:textId="77777777" w:rsidR="00D241A4" w:rsidRDefault="00306A37" w:rsidP="00306A37">
      <w:pPr>
        <w:pStyle w:val="ListParagraph"/>
        <w:tabs>
          <w:tab w:val="left" w:pos="1245"/>
        </w:tabs>
        <w:ind w:left="0"/>
        <w:rPr>
          <w:rFonts w:ascii="Verdana" w:hAnsi="Verdana"/>
          <w:color w:val="000000" w:themeColor="text1"/>
        </w:rPr>
      </w:pPr>
      <w:r>
        <w:rPr>
          <w:rFonts w:ascii="Verdana" w:hAnsi="Verdana"/>
          <w:color w:val="000000" w:themeColor="text1"/>
        </w:rPr>
        <w:t xml:space="preserve">The ICO have provided checklists for ‘systematic data sharing’ and ‘one-off requests’ in their Data Sharing Code of Practice, which are particularly helpful when starting a new project or programme which may involve sharing of personal data. </w:t>
      </w:r>
    </w:p>
    <w:p w14:paraId="210CA834" w14:textId="77777777" w:rsidR="00D241A4" w:rsidRDefault="00D241A4" w:rsidP="00306A37">
      <w:pPr>
        <w:pStyle w:val="ListParagraph"/>
        <w:tabs>
          <w:tab w:val="left" w:pos="1245"/>
        </w:tabs>
        <w:ind w:left="0"/>
        <w:rPr>
          <w:rFonts w:ascii="Verdana" w:hAnsi="Verdana"/>
          <w:color w:val="000000" w:themeColor="text1"/>
        </w:rPr>
      </w:pPr>
    </w:p>
    <w:p w14:paraId="7D9D8C95" w14:textId="77777777" w:rsidR="00D241A4" w:rsidRDefault="00D241A4" w:rsidP="00306A37">
      <w:pPr>
        <w:pStyle w:val="ListParagraph"/>
        <w:tabs>
          <w:tab w:val="left" w:pos="1245"/>
        </w:tabs>
        <w:ind w:left="0"/>
        <w:rPr>
          <w:rFonts w:ascii="Verdana" w:hAnsi="Verdana"/>
          <w:color w:val="000000" w:themeColor="text1"/>
        </w:rPr>
      </w:pPr>
      <w:r>
        <w:rPr>
          <w:rFonts w:ascii="Verdana" w:hAnsi="Verdana"/>
          <w:color w:val="000000" w:themeColor="text1"/>
        </w:rPr>
        <w:t xml:space="preserve">A sample third party processing agreement and </w:t>
      </w:r>
      <w:proofErr w:type="gramStart"/>
      <w:r>
        <w:rPr>
          <w:rFonts w:ascii="Verdana" w:hAnsi="Verdana"/>
          <w:color w:val="000000" w:themeColor="text1"/>
        </w:rPr>
        <w:t>third party</w:t>
      </w:r>
      <w:proofErr w:type="gramEnd"/>
      <w:r>
        <w:rPr>
          <w:rFonts w:ascii="Verdana" w:hAnsi="Verdana"/>
          <w:color w:val="000000" w:themeColor="text1"/>
        </w:rPr>
        <w:t xml:space="preserve"> confidentiality agreement </w:t>
      </w:r>
      <w:proofErr w:type="gramStart"/>
      <w:r>
        <w:rPr>
          <w:rFonts w:ascii="Verdana" w:hAnsi="Verdana"/>
          <w:color w:val="000000" w:themeColor="text1"/>
        </w:rPr>
        <w:t>are</w:t>
      </w:r>
      <w:proofErr w:type="gramEnd"/>
      <w:r>
        <w:rPr>
          <w:rFonts w:ascii="Verdana" w:hAnsi="Verdana"/>
          <w:color w:val="000000" w:themeColor="text1"/>
        </w:rPr>
        <w:t xml:space="preserve"> attached as appendices to this policy.</w:t>
      </w:r>
    </w:p>
    <w:p w14:paraId="20272B17" w14:textId="77777777" w:rsidR="00D241A4" w:rsidRDefault="00D241A4" w:rsidP="00306A37">
      <w:pPr>
        <w:pStyle w:val="ListParagraph"/>
        <w:tabs>
          <w:tab w:val="left" w:pos="1245"/>
        </w:tabs>
        <w:ind w:left="0"/>
        <w:rPr>
          <w:rFonts w:ascii="Verdana" w:hAnsi="Verdana"/>
          <w:color w:val="000000" w:themeColor="text1"/>
        </w:rPr>
      </w:pPr>
    </w:p>
    <w:p w14:paraId="19ACC7AE" w14:textId="6A95E15F" w:rsidR="00750EED" w:rsidRDefault="00750EED" w:rsidP="00306A37">
      <w:pPr>
        <w:pStyle w:val="ListParagraph"/>
        <w:tabs>
          <w:tab w:val="left" w:pos="1245"/>
        </w:tabs>
        <w:ind w:left="0"/>
        <w:rPr>
          <w:rFonts w:ascii="Verdana" w:hAnsi="Verdana"/>
          <w:color w:val="000000" w:themeColor="text1"/>
        </w:rPr>
      </w:pPr>
      <w:r>
        <w:rPr>
          <w:rFonts w:ascii="Verdana" w:hAnsi="Verdana"/>
          <w:color w:val="000000" w:themeColor="text1"/>
        </w:rPr>
        <w:t xml:space="preserve">Confidentiality must be respected, where appropriate.  Employees within </w:t>
      </w:r>
      <w:r w:rsidR="008A4C05">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should not disclose personal information to any third party unless they believe it is fair and lawful to do so.</w:t>
      </w:r>
    </w:p>
    <w:p w14:paraId="14752C24" w14:textId="77777777" w:rsidR="00750EED" w:rsidRDefault="00750EED" w:rsidP="00306A37">
      <w:pPr>
        <w:pStyle w:val="ListParagraph"/>
        <w:tabs>
          <w:tab w:val="left" w:pos="1245"/>
        </w:tabs>
        <w:ind w:left="0"/>
        <w:rPr>
          <w:rFonts w:ascii="Verdana" w:hAnsi="Verdana"/>
          <w:color w:val="000000" w:themeColor="text1"/>
        </w:rPr>
      </w:pPr>
    </w:p>
    <w:p w14:paraId="682D22A4" w14:textId="77777777" w:rsidR="003022C7" w:rsidRDefault="003022C7" w:rsidP="00306A37">
      <w:pPr>
        <w:pStyle w:val="ListParagraph"/>
        <w:tabs>
          <w:tab w:val="left" w:pos="1245"/>
        </w:tabs>
        <w:ind w:left="0"/>
        <w:rPr>
          <w:rFonts w:ascii="Verdana" w:hAnsi="Verdana"/>
          <w:color w:val="000000" w:themeColor="text1"/>
        </w:rPr>
      </w:pPr>
    </w:p>
    <w:p w14:paraId="05301A39" w14:textId="77777777" w:rsidR="003022C7" w:rsidRDefault="003022C7" w:rsidP="00306A37">
      <w:pPr>
        <w:pStyle w:val="ListParagraph"/>
        <w:tabs>
          <w:tab w:val="left" w:pos="1245"/>
        </w:tabs>
        <w:ind w:left="0"/>
        <w:rPr>
          <w:rFonts w:ascii="Verdana" w:hAnsi="Verdana"/>
          <w:color w:val="000000" w:themeColor="text1"/>
        </w:rPr>
      </w:pPr>
    </w:p>
    <w:p w14:paraId="14F8AC9F" w14:textId="77777777" w:rsidR="003022C7" w:rsidRDefault="003022C7" w:rsidP="00306A37">
      <w:pPr>
        <w:pStyle w:val="ListParagraph"/>
        <w:tabs>
          <w:tab w:val="left" w:pos="1245"/>
        </w:tabs>
        <w:ind w:left="0"/>
        <w:rPr>
          <w:rFonts w:ascii="Verdana" w:hAnsi="Verdana"/>
          <w:color w:val="000000" w:themeColor="text1"/>
        </w:rPr>
      </w:pPr>
    </w:p>
    <w:p w14:paraId="05366378" w14:textId="77777777" w:rsidR="00750EED" w:rsidRPr="003E0FE8" w:rsidRDefault="00750EED" w:rsidP="003E0FE8">
      <w:pPr>
        <w:pStyle w:val="ListParagraph"/>
        <w:numPr>
          <w:ilvl w:val="0"/>
          <w:numId w:val="1"/>
        </w:numPr>
        <w:tabs>
          <w:tab w:val="left" w:pos="1245"/>
        </w:tabs>
        <w:ind w:left="567" w:hanging="567"/>
        <w:rPr>
          <w:rFonts w:ascii="Verdana" w:hAnsi="Verdana"/>
          <w:color w:val="000000" w:themeColor="text1"/>
        </w:rPr>
      </w:pPr>
      <w:r w:rsidRPr="003E0FE8">
        <w:rPr>
          <w:rFonts w:ascii="Verdana" w:hAnsi="Verdana"/>
          <w:b/>
          <w:color w:val="7030A0"/>
        </w:rPr>
        <w:lastRenderedPageBreak/>
        <w:t>Retention of Data</w:t>
      </w:r>
    </w:p>
    <w:p w14:paraId="1292ABC4" w14:textId="77777777" w:rsidR="00750EED" w:rsidRDefault="00750EED" w:rsidP="00750EED">
      <w:pPr>
        <w:pStyle w:val="ListParagraph"/>
        <w:tabs>
          <w:tab w:val="left" w:pos="1245"/>
        </w:tabs>
        <w:ind w:left="567"/>
        <w:rPr>
          <w:rFonts w:ascii="Verdana" w:hAnsi="Verdana"/>
          <w:b/>
          <w:color w:val="7030A0"/>
        </w:rPr>
      </w:pPr>
    </w:p>
    <w:p w14:paraId="1FD44862" w14:textId="30086978" w:rsidR="00750EED" w:rsidRDefault="00750EED" w:rsidP="00750EED">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holds different types of information for different lengths of time, depending on the legal and operational requirements.  The </w:t>
      </w:r>
      <w:r w:rsidR="00092CF3">
        <w:rPr>
          <w:rFonts w:ascii="Verdana" w:hAnsi="Verdana"/>
          <w:color w:val="000000" w:themeColor="text1"/>
        </w:rPr>
        <w:t>NIHRC</w:t>
      </w:r>
      <w:r>
        <w:rPr>
          <w:rFonts w:ascii="Verdana" w:hAnsi="Verdana"/>
          <w:color w:val="000000" w:themeColor="text1"/>
        </w:rPr>
        <w:t xml:space="preserve"> will keep some forms of information longer than others in line with financial, legal or archival requirements. </w:t>
      </w:r>
    </w:p>
    <w:p w14:paraId="7846595C" w14:textId="4CA97F03" w:rsidR="00750EED" w:rsidRDefault="00750EED" w:rsidP="00750EED">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maintains a </w:t>
      </w:r>
      <w:r w:rsidR="00800D68">
        <w:rPr>
          <w:rFonts w:ascii="Verdana" w:hAnsi="Verdana"/>
          <w:color w:val="000000" w:themeColor="text1"/>
        </w:rPr>
        <w:t>Data</w:t>
      </w:r>
      <w:r>
        <w:rPr>
          <w:rFonts w:ascii="Verdana" w:hAnsi="Verdana"/>
          <w:color w:val="000000" w:themeColor="text1"/>
        </w:rPr>
        <w:t xml:space="preserve"> Retention</w:t>
      </w:r>
      <w:r w:rsidR="00800D68">
        <w:rPr>
          <w:rFonts w:ascii="Verdana" w:hAnsi="Verdana"/>
          <w:color w:val="000000" w:themeColor="text1"/>
        </w:rPr>
        <w:t xml:space="preserve"> and Disposal</w:t>
      </w:r>
      <w:r>
        <w:rPr>
          <w:rFonts w:ascii="Verdana" w:hAnsi="Verdana"/>
          <w:color w:val="000000" w:themeColor="text1"/>
        </w:rPr>
        <w:t xml:space="preserve"> policy with supporting procedures that provide a list of retention periods and provides guidance on maintenance of </w:t>
      </w:r>
      <w:r w:rsidR="00800D68">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’s Information Asset Register.  Information will not be held for any longer than is needed and personal information will be clearly identified. </w:t>
      </w:r>
    </w:p>
    <w:p w14:paraId="3DDF1170" w14:textId="77777777" w:rsidR="00750EED" w:rsidRDefault="00750EED" w:rsidP="00750EED">
      <w:pPr>
        <w:pStyle w:val="ListParagraph"/>
        <w:tabs>
          <w:tab w:val="left" w:pos="1245"/>
        </w:tabs>
        <w:ind w:left="0"/>
        <w:rPr>
          <w:rFonts w:ascii="Verdana" w:hAnsi="Verdana"/>
          <w:color w:val="000000" w:themeColor="text1"/>
        </w:rPr>
      </w:pPr>
    </w:p>
    <w:p w14:paraId="31ACC8A2" w14:textId="77777777" w:rsidR="00750EED" w:rsidRPr="00750EED" w:rsidRDefault="00750EED" w:rsidP="00750EED">
      <w:pPr>
        <w:pStyle w:val="ListParagraph"/>
        <w:numPr>
          <w:ilvl w:val="0"/>
          <w:numId w:val="1"/>
        </w:numPr>
        <w:tabs>
          <w:tab w:val="left" w:pos="1245"/>
        </w:tabs>
        <w:ind w:left="567" w:hanging="567"/>
        <w:rPr>
          <w:rFonts w:ascii="Verdana" w:hAnsi="Verdana"/>
          <w:color w:val="000000" w:themeColor="text1"/>
        </w:rPr>
      </w:pPr>
      <w:r>
        <w:rPr>
          <w:rFonts w:ascii="Verdana" w:hAnsi="Verdana"/>
          <w:b/>
          <w:color w:val="7030A0"/>
        </w:rPr>
        <w:t>Subject Access Request</w:t>
      </w:r>
    </w:p>
    <w:p w14:paraId="4C99CB9D" w14:textId="77777777" w:rsidR="00750EED" w:rsidRDefault="00750EED" w:rsidP="00750EED">
      <w:pPr>
        <w:pStyle w:val="ListParagraph"/>
        <w:tabs>
          <w:tab w:val="left" w:pos="1245"/>
        </w:tabs>
        <w:ind w:left="567"/>
        <w:rPr>
          <w:rFonts w:ascii="Verdana" w:hAnsi="Verdana"/>
          <w:b/>
          <w:color w:val="7030A0"/>
        </w:rPr>
      </w:pPr>
    </w:p>
    <w:p w14:paraId="43251AEE" w14:textId="77777777" w:rsidR="00750EED" w:rsidRDefault="00750EED" w:rsidP="00750EED">
      <w:pPr>
        <w:pStyle w:val="ListParagraph"/>
        <w:tabs>
          <w:tab w:val="left" w:pos="1245"/>
        </w:tabs>
        <w:ind w:left="0"/>
        <w:rPr>
          <w:rFonts w:ascii="Verdana" w:hAnsi="Verdana"/>
          <w:color w:val="000000" w:themeColor="text1"/>
        </w:rPr>
      </w:pPr>
      <w:r>
        <w:rPr>
          <w:rFonts w:ascii="Verdana" w:hAnsi="Verdana"/>
          <w:color w:val="000000" w:themeColor="text1"/>
        </w:rPr>
        <w:t xml:space="preserve">Individuals have the right to access their personal data and supplementary information.  The right of access allows individuals to be aware of and verify the lawfulness of the processing. </w:t>
      </w:r>
    </w:p>
    <w:p w14:paraId="0186EE96" w14:textId="77777777" w:rsidR="00750EED" w:rsidRDefault="00750EED" w:rsidP="00750EED">
      <w:pPr>
        <w:pStyle w:val="ListParagraph"/>
        <w:tabs>
          <w:tab w:val="left" w:pos="1245"/>
        </w:tabs>
        <w:ind w:left="0"/>
        <w:rPr>
          <w:rFonts w:ascii="Verdana" w:hAnsi="Verdana"/>
          <w:color w:val="000000" w:themeColor="text1"/>
        </w:rPr>
      </w:pPr>
    </w:p>
    <w:p w14:paraId="307BA6F7" w14:textId="25194CC9" w:rsidR="00750EED" w:rsidRDefault="00750EED" w:rsidP="00750EED">
      <w:pPr>
        <w:pStyle w:val="ListParagraph"/>
        <w:tabs>
          <w:tab w:val="left" w:pos="1245"/>
        </w:tabs>
        <w:ind w:left="0"/>
        <w:rPr>
          <w:rFonts w:ascii="Verdana" w:hAnsi="Verdana"/>
          <w:color w:val="000000" w:themeColor="text1"/>
        </w:rPr>
      </w:pPr>
      <w:r>
        <w:rPr>
          <w:rFonts w:ascii="Verdana" w:hAnsi="Verdana"/>
          <w:color w:val="000000" w:themeColor="text1"/>
        </w:rPr>
        <w:t>Individuals will have the right to obtain:</w:t>
      </w:r>
      <w:r w:rsidR="00800D68">
        <w:rPr>
          <w:rFonts w:ascii="Verdana" w:hAnsi="Verdana"/>
          <w:color w:val="000000" w:themeColor="text1"/>
        </w:rPr>
        <w:br/>
      </w:r>
    </w:p>
    <w:p w14:paraId="12C12D99" w14:textId="77777777" w:rsidR="00306A37" w:rsidRDefault="00750EED" w:rsidP="00750EED">
      <w:pPr>
        <w:pStyle w:val="ListParagraph"/>
        <w:numPr>
          <w:ilvl w:val="0"/>
          <w:numId w:val="18"/>
        </w:numPr>
        <w:tabs>
          <w:tab w:val="left" w:pos="1245"/>
        </w:tabs>
        <w:ind w:left="567" w:hanging="567"/>
        <w:rPr>
          <w:rFonts w:ascii="Verdana" w:hAnsi="Verdana"/>
          <w:color w:val="000000" w:themeColor="text1"/>
        </w:rPr>
      </w:pPr>
      <w:r>
        <w:rPr>
          <w:rFonts w:ascii="Verdana" w:hAnsi="Verdana"/>
          <w:color w:val="000000" w:themeColor="text1"/>
        </w:rPr>
        <w:t>Confirmation that their data is being processed;</w:t>
      </w:r>
    </w:p>
    <w:p w14:paraId="17FEF9B9" w14:textId="77777777" w:rsidR="00750EED" w:rsidRDefault="00750EED" w:rsidP="00750EED">
      <w:pPr>
        <w:pStyle w:val="ListParagraph"/>
        <w:numPr>
          <w:ilvl w:val="0"/>
          <w:numId w:val="18"/>
        </w:numPr>
        <w:tabs>
          <w:tab w:val="left" w:pos="1245"/>
        </w:tabs>
        <w:ind w:left="567" w:hanging="567"/>
        <w:rPr>
          <w:rFonts w:ascii="Verdana" w:hAnsi="Verdana"/>
          <w:color w:val="000000" w:themeColor="text1"/>
        </w:rPr>
      </w:pPr>
      <w:r>
        <w:rPr>
          <w:rFonts w:ascii="Verdana" w:hAnsi="Verdana"/>
          <w:color w:val="000000" w:themeColor="text1"/>
        </w:rPr>
        <w:t>Access to their personal data; and</w:t>
      </w:r>
    </w:p>
    <w:p w14:paraId="2BBEF3B4" w14:textId="77777777" w:rsidR="00750EED" w:rsidRDefault="00750EED" w:rsidP="00750EED">
      <w:pPr>
        <w:pStyle w:val="ListParagraph"/>
        <w:numPr>
          <w:ilvl w:val="0"/>
          <w:numId w:val="18"/>
        </w:numPr>
        <w:tabs>
          <w:tab w:val="left" w:pos="1245"/>
        </w:tabs>
        <w:ind w:left="567" w:hanging="567"/>
        <w:rPr>
          <w:rFonts w:ascii="Verdana" w:hAnsi="Verdana"/>
          <w:color w:val="000000" w:themeColor="text1"/>
        </w:rPr>
      </w:pPr>
      <w:r>
        <w:rPr>
          <w:rFonts w:ascii="Verdana" w:hAnsi="Verdana"/>
          <w:color w:val="000000" w:themeColor="text1"/>
        </w:rPr>
        <w:t>Other supplementary information – this largely corresponds to the information that should be provided in a privacy notice.</w:t>
      </w:r>
    </w:p>
    <w:p w14:paraId="57981924" w14:textId="77777777" w:rsidR="00750EED" w:rsidRDefault="00750EED" w:rsidP="00750EED">
      <w:pPr>
        <w:pStyle w:val="ListParagraph"/>
        <w:tabs>
          <w:tab w:val="left" w:pos="1245"/>
        </w:tabs>
        <w:ind w:left="567"/>
        <w:rPr>
          <w:rFonts w:ascii="Verdana" w:hAnsi="Verdana"/>
          <w:color w:val="000000" w:themeColor="text1"/>
        </w:rPr>
      </w:pPr>
    </w:p>
    <w:p w14:paraId="01096CFC" w14:textId="7E38C2B7" w:rsidR="00A01E8E" w:rsidRDefault="00A01E8E" w:rsidP="00A01E8E">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provide a copy of the information free of charge.  </w:t>
      </w:r>
      <w:proofErr w:type="gramStart"/>
      <w:r>
        <w:rPr>
          <w:rFonts w:ascii="Verdana" w:hAnsi="Verdana"/>
          <w:color w:val="000000" w:themeColor="text1"/>
        </w:rPr>
        <w:t>However</w:t>
      </w:r>
      <w:proofErr w:type="gramEnd"/>
      <w:r>
        <w:rPr>
          <w:rFonts w:ascii="Verdana" w:hAnsi="Verdana"/>
          <w:color w:val="000000" w:themeColor="text1"/>
        </w:rPr>
        <w:t xml:space="preserve"> the </w:t>
      </w:r>
      <w:r w:rsidR="00092CF3">
        <w:rPr>
          <w:rFonts w:ascii="Verdana" w:hAnsi="Verdana"/>
          <w:color w:val="000000" w:themeColor="text1"/>
        </w:rPr>
        <w:t>NIHRC</w:t>
      </w:r>
      <w:r>
        <w:rPr>
          <w:rFonts w:ascii="Verdana" w:hAnsi="Verdana"/>
          <w:color w:val="000000" w:themeColor="text1"/>
        </w:rPr>
        <w:t xml:space="preserve"> will charge a ‘reasonable fee’ when a request is manifestly unfounded or excessive, particularly if it is repetitive.  The fee must be based on the administrative cost of providing the information.</w:t>
      </w:r>
    </w:p>
    <w:p w14:paraId="61A6B4BF" w14:textId="77777777" w:rsidR="00A01E8E" w:rsidRDefault="00A01E8E" w:rsidP="00A01E8E">
      <w:pPr>
        <w:pStyle w:val="ListParagraph"/>
        <w:tabs>
          <w:tab w:val="left" w:pos="1245"/>
        </w:tabs>
        <w:ind w:left="0"/>
        <w:rPr>
          <w:rFonts w:ascii="Verdana" w:hAnsi="Verdana"/>
          <w:color w:val="000000" w:themeColor="text1"/>
        </w:rPr>
      </w:pPr>
    </w:p>
    <w:p w14:paraId="5370DBE1" w14:textId="6292DA3E" w:rsidR="00A01E8E" w:rsidRDefault="00A01E8E" w:rsidP="00A01E8E">
      <w:pPr>
        <w:pStyle w:val="ListParagraph"/>
        <w:tabs>
          <w:tab w:val="left" w:pos="1245"/>
        </w:tabs>
        <w:ind w:left="0"/>
        <w:rPr>
          <w:rFonts w:ascii="Verdana" w:hAnsi="Verdana"/>
          <w:color w:val="000000" w:themeColor="text1"/>
        </w:rPr>
      </w:pPr>
      <w:r>
        <w:rPr>
          <w:rFonts w:ascii="Verdana" w:hAnsi="Verdana"/>
          <w:color w:val="000000" w:themeColor="text1"/>
        </w:rPr>
        <w:t xml:space="preserve">The information will be provided without delay and at the latest within one month of receipt.  If the request is complex or numerous the </w:t>
      </w:r>
      <w:r w:rsidR="00092CF3">
        <w:rPr>
          <w:rFonts w:ascii="Verdana" w:hAnsi="Verdana"/>
          <w:color w:val="000000" w:themeColor="text1"/>
        </w:rPr>
        <w:t>NIHRC</w:t>
      </w:r>
      <w:r>
        <w:rPr>
          <w:rFonts w:ascii="Verdana" w:hAnsi="Verdana"/>
          <w:color w:val="000000" w:themeColor="text1"/>
        </w:rPr>
        <w:t xml:space="preserve"> will extend the period of compliance by a further two months and will inform the individual within one month of the receipt of the request and explain why the extension is necessary.</w:t>
      </w:r>
    </w:p>
    <w:p w14:paraId="2BB01989" w14:textId="77777777" w:rsidR="00A01E8E" w:rsidRDefault="00A01E8E" w:rsidP="00A01E8E">
      <w:pPr>
        <w:pStyle w:val="ListParagraph"/>
        <w:tabs>
          <w:tab w:val="left" w:pos="1245"/>
        </w:tabs>
        <w:ind w:left="0"/>
        <w:rPr>
          <w:rFonts w:ascii="Verdana" w:hAnsi="Verdana"/>
          <w:color w:val="000000" w:themeColor="text1"/>
        </w:rPr>
      </w:pPr>
    </w:p>
    <w:p w14:paraId="1DD06B99" w14:textId="36CB6ECA" w:rsidR="00E03A13" w:rsidRDefault="00A01E8E" w:rsidP="00A01E8E">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verify the identity of the person making the request, using ‘reasonable </w:t>
      </w:r>
      <w:proofErr w:type="gramStart"/>
      <w:r>
        <w:rPr>
          <w:rFonts w:ascii="Verdana" w:hAnsi="Verdana"/>
          <w:color w:val="000000" w:themeColor="text1"/>
        </w:rPr>
        <w:t>means’</w:t>
      </w:r>
      <w:proofErr w:type="gramEnd"/>
      <w:r>
        <w:rPr>
          <w:rFonts w:ascii="Verdana" w:hAnsi="Verdana"/>
          <w:color w:val="000000" w:themeColor="text1"/>
        </w:rPr>
        <w:t>.</w:t>
      </w:r>
      <w:r w:rsidR="00E03A13">
        <w:rPr>
          <w:rFonts w:ascii="Verdana" w:hAnsi="Verdana"/>
          <w:color w:val="000000" w:themeColor="text1"/>
        </w:rPr>
        <w:t xml:space="preserve"> </w:t>
      </w:r>
    </w:p>
    <w:p w14:paraId="5FBC835A" w14:textId="77777777" w:rsidR="00E03A13" w:rsidRDefault="00E03A13" w:rsidP="00A01E8E">
      <w:pPr>
        <w:pStyle w:val="ListParagraph"/>
        <w:tabs>
          <w:tab w:val="left" w:pos="1245"/>
        </w:tabs>
        <w:ind w:left="0"/>
        <w:rPr>
          <w:rFonts w:ascii="Verdana" w:hAnsi="Verdana"/>
          <w:color w:val="000000" w:themeColor="text1"/>
        </w:rPr>
      </w:pPr>
    </w:p>
    <w:p w14:paraId="5E080B6E" w14:textId="77777777" w:rsidR="00A01E8E" w:rsidRDefault="00E03A13" w:rsidP="00A01E8E">
      <w:pPr>
        <w:pStyle w:val="ListParagraph"/>
        <w:tabs>
          <w:tab w:val="left" w:pos="1245"/>
        </w:tabs>
        <w:ind w:left="0"/>
        <w:rPr>
          <w:rFonts w:ascii="Verdana" w:hAnsi="Verdana"/>
          <w:color w:val="000000" w:themeColor="text1"/>
        </w:rPr>
      </w:pPr>
      <w:r>
        <w:rPr>
          <w:rFonts w:ascii="Verdana" w:hAnsi="Verdana"/>
          <w:color w:val="000000" w:themeColor="text1"/>
        </w:rPr>
        <w:t>If the</w:t>
      </w:r>
      <w:r w:rsidR="00D3724F">
        <w:rPr>
          <w:rFonts w:ascii="Verdana" w:hAnsi="Verdana"/>
          <w:color w:val="000000" w:themeColor="text1"/>
        </w:rPr>
        <w:t xml:space="preserve"> request is made electronically, you should provide the information in a commonly used electronic format.</w:t>
      </w:r>
    </w:p>
    <w:p w14:paraId="75AB5ED6" w14:textId="77777777" w:rsidR="00D3724F" w:rsidRDefault="00D3724F" w:rsidP="00A01E8E">
      <w:pPr>
        <w:pStyle w:val="ListParagraph"/>
        <w:tabs>
          <w:tab w:val="left" w:pos="1245"/>
        </w:tabs>
        <w:ind w:left="0"/>
        <w:rPr>
          <w:rFonts w:ascii="Verdana" w:hAnsi="Verdana"/>
          <w:color w:val="000000" w:themeColor="text1"/>
        </w:rPr>
      </w:pPr>
    </w:p>
    <w:p w14:paraId="4A623CD1" w14:textId="4995BB71" w:rsidR="00D3724F" w:rsidRDefault="00D3724F" w:rsidP="00A01E8E">
      <w:pPr>
        <w:pStyle w:val="ListParagraph"/>
        <w:tabs>
          <w:tab w:val="left" w:pos="1245"/>
        </w:tabs>
        <w:ind w:left="0"/>
        <w:rPr>
          <w:rFonts w:ascii="Verdana" w:hAnsi="Verdana"/>
          <w:color w:val="000000" w:themeColor="text1"/>
        </w:rPr>
      </w:pPr>
      <w:r>
        <w:rPr>
          <w:rFonts w:ascii="Verdana" w:hAnsi="Verdana"/>
          <w:color w:val="000000" w:themeColor="text1"/>
        </w:rPr>
        <w:t xml:space="preserve">Detailed guidance on complying with a Subject Access Request is set out in Appendix 4.  </w:t>
      </w:r>
    </w:p>
    <w:p w14:paraId="35C3E82E" w14:textId="77777777" w:rsidR="00D3724F" w:rsidRDefault="00D3724F" w:rsidP="00A01E8E">
      <w:pPr>
        <w:pStyle w:val="ListParagraph"/>
        <w:tabs>
          <w:tab w:val="left" w:pos="1245"/>
        </w:tabs>
        <w:ind w:left="0"/>
        <w:rPr>
          <w:rFonts w:ascii="Verdana" w:hAnsi="Verdana"/>
          <w:color w:val="000000" w:themeColor="text1"/>
        </w:rPr>
      </w:pPr>
    </w:p>
    <w:p w14:paraId="50A3C081" w14:textId="77777777" w:rsidR="00D3724F" w:rsidRPr="003E0FE8" w:rsidRDefault="00D3724F" w:rsidP="003E0FE8">
      <w:pPr>
        <w:pStyle w:val="ListParagraph"/>
        <w:numPr>
          <w:ilvl w:val="0"/>
          <w:numId w:val="1"/>
        </w:numPr>
        <w:tabs>
          <w:tab w:val="left" w:pos="1245"/>
        </w:tabs>
        <w:ind w:left="567" w:hanging="567"/>
        <w:rPr>
          <w:rFonts w:ascii="Verdana" w:hAnsi="Verdana"/>
          <w:b/>
          <w:color w:val="7030A0"/>
        </w:rPr>
      </w:pPr>
      <w:r w:rsidRPr="003E0FE8">
        <w:rPr>
          <w:rFonts w:ascii="Verdana" w:hAnsi="Verdana"/>
          <w:b/>
          <w:color w:val="7030A0"/>
        </w:rPr>
        <w:t>Providing Access to Individual Rights</w:t>
      </w:r>
    </w:p>
    <w:p w14:paraId="351D0841" w14:textId="77777777" w:rsidR="00D3724F" w:rsidRDefault="00D3724F" w:rsidP="00D3724F">
      <w:pPr>
        <w:pStyle w:val="ListParagraph"/>
        <w:tabs>
          <w:tab w:val="left" w:pos="1245"/>
        </w:tabs>
        <w:ind w:left="567"/>
        <w:rPr>
          <w:rFonts w:ascii="Verdana" w:hAnsi="Verdana"/>
          <w:b/>
          <w:color w:val="7030A0"/>
        </w:rPr>
      </w:pPr>
    </w:p>
    <w:p w14:paraId="35D274F7" w14:textId="05F9B9A5" w:rsidR="00D3724F" w:rsidRDefault="00D3724F" w:rsidP="00D3724F">
      <w:pPr>
        <w:pStyle w:val="ListParagraph"/>
        <w:tabs>
          <w:tab w:val="left" w:pos="1245"/>
        </w:tabs>
        <w:ind w:left="0"/>
        <w:rPr>
          <w:rFonts w:ascii="Verdana" w:hAnsi="Verdana"/>
          <w:color w:val="000000" w:themeColor="text1"/>
        </w:rPr>
      </w:pPr>
      <w:r>
        <w:rPr>
          <w:rFonts w:ascii="Verdana" w:hAnsi="Verdana"/>
          <w:color w:val="000000" w:themeColor="text1"/>
        </w:rPr>
        <w:t xml:space="preserve">As noted under Section 3, the GDPR gives data subjects’ eight specific rights to their personal data.  The GDPR introduces the obligation from organisations to </w:t>
      </w:r>
      <w:r>
        <w:rPr>
          <w:rFonts w:ascii="Verdana" w:hAnsi="Verdana"/>
          <w:color w:val="000000" w:themeColor="text1"/>
        </w:rPr>
        <w:lastRenderedPageBreak/>
        <w:t>have procedures in place to ensure that those rights can be exercised on request. The Right to Access is consider</w:t>
      </w:r>
      <w:r w:rsidR="000C12E9">
        <w:rPr>
          <w:rFonts w:ascii="Verdana" w:hAnsi="Verdana"/>
          <w:color w:val="000000" w:themeColor="text1"/>
        </w:rPr>
        <w:t>ed</w:t>
      </w:r>
      <w:r>
        <w:rPr>
          <w:rFonts w:ascii="Verdana" w:hAnsi="Verdana"/>
          <w:color w:val="000000" w:themeColor="text1"/>
        </w:rPr>
        <w:t xml:space="preserve"> under Section 10: Subject Access Request above.  The remaining seven rights are considered below.</w:t>
      </w:r>
    </w:p>
    <w:p w14:paraId="65DDE8EB" w14:textId="77777777" w:rsidR="00D3724F" w:rsidRDefault="00D3724F" w:rsidP="00D3724F">
      <w:pPr>
        <w:pStyle w:val="ListParagraph"/>
        <w:tabs>
          <w:tab w:val="left" w:pos="1245"/>
        </w:tabs>
        <w:ind w:left="0"/>
        <w:rPr>
          <w:rFonts w:ascii="Verdana" w:hAnsi="Verdana"/>
          <w:color w:val="000000" w:themeColor="text1"/>
        </w:rPr>
      </w:pPr>
    </w:p>
    <w:p w14:paraId="0D3D5A43" w14:textId="7693DC68" w:rsidR="00D3724F" w:rsidRDefault="00D3724F" w:rsidP="00D3724F">
      <w:pPr>
        <w:pStyle w:val="ListParagraph"/>
        <w:tabs>
          <w:tab w:val="left" w:pos="1245"/>
        </w:tabs>
        <w:ind w:left="0"/>
        <w:rPr>
          <w:rFonts w:ascii="Verdana" w:hAnsi="Verdana"/>
          <w:b/>
          <w:color w:val="7030A0"/>
        </w:rPr>
      </w:pPr>
      <w:r>
        <w:rPr>
          <w:rFonts w:ascii="Verdana" w:hAnsi="Verdana"/>
          <w:b/>
          <w:color w:val="7030A0"/>
        </w:rPr>
        <w:t>Right to Rectification</w:t>
      </w:r>
    </w:p>
    <w:p w14:paraId="05BC7C7B" w14:textId="77777777" w:rsidR="000F6F6E" w:rsidRDefault="000F6F6E" w:rsidP="00D3724F">
      <w:pPr>
        <w:pStyle w:val="ListParagraph"/>
        <w:tabs>
          <w:tab w:val="left" w:pos="1245"/>
        </w:tabs>
        <w:ind w:left="0"/>
        <w:rPr>
          <w:rFonts w:ascii="Verdana" w:hAnsi="Verdana"/>
          <w:b/>
          <w:color w:val="7030A0"/>
        </w:rPr>
      </w:pPr>
    </w:p>
    <w:p w14:paraId="2B0040BE" w14:textId="3566154C" w:rsidR="00D3724F" w:rsidRDefault="00D3724F" w:rsidP="00D3724F">
      <w:pPr>
        <w:pStyle w:val="ListParagraph"/>
        <w:tabs>
          <w:tab w:val="left" w:pos="1245"/>
        </w:tabs>
        <w:ind w:left="0"/>
        <w:rPr>
          <w:rFonts w:ascii="Verdana" w:hAnsi="Verdana"/>
          <w:color w:val="000000" w:themeColor="text1"/>
        </w:rPr>
      </w:pPr>
      <w:r>
        <w:rPr>
          <w:rFonts w:ascii="Verdana" w:hAnsi="Verdana"/>
          <w:color w:val="000000" w:themeColor="text1"/>
        </w:rPr>
        <w:t>The GDPR gives individuals the right to have inaccurate personal data rectified and to have incomplete personal data completed.  Even whe</w:t>
      </w:r>
      <w:r w:rsidR="00BB6B85">
        <w:rPr>
          <w:rFonts w:ascii="Verdana" w:hAnsi="Verdana"/>
          <w:color w:val="000000" w:themeColor="text1"/>
        </w:rPr>
        <w:t>n</w:t>
      </w:r>
      <w:r>
        <w:rPr>
          <w:rFonts w:ascii="Verdana" w:hAnsi="Verdana"/>
          <w:color w:val="000000" w:themeColor="text1"/>
        </w:rPr>
        <w:t xml:space="preserve"> the </w:t>
      </w:r>
      <w:r w:rsidR="00092CF3">
        <w:rPr>
          <w:rFonts w:ascii="Verdana" w:hAnsi="Verdana"/>
          <w:color w:val="000000" w:themeColor="text1"/>
        </w:rPr>
        <w:t>NIHRC</w:t>
      </w:r>
      <w:r>
        <w:rPr>
          <w:rFonts w:ascii="Verdana" w:hAnsi="Verdana"/>
          <w:color w:val="000000" w:themeColor="text1"/>
        </w:rPr>
        <w:t xml:space="preserve"> have implemented effective internal control to ensure accuracy and completeness of personal data, the GDPR creates the obligation for the data controller to consider accuracy upon request.</w:t>
      </w:r>
    </w:p>
    <w:p w14:paraId="43C08C7E" w14:textId="77777777" w:rsidR="00D3724F" w:rsidRDefault="00D3724F" w:rsidP="00D3724F">
      <w:pPr>
        <w:pStyle w:val="ListParagraph"/>
        <w:tabs>
          <w:tab w:val="left" w:pos="1245"/>
        </w:tabs>
        <w:ind w:left="0"/>
        <w:rPr>
          <w:rFonts w:ascii="Verdana" w:hAnsi="Verdana"/>
          <w:color w:val="000000" w:themeColor="text1"/>
        </w:rPr>
      </w:pPr>
    </w:p>
    <w:p w14:paraId="4CDAA4F3" w14:textId="77777777" w:rsidR="00D3724F" w:rsidRDefault="00D3724F" w:rsidP="00D3724F">
      <w:pPr>
        <w:pStyle w:val="ListParagraph"/>
        <w:tabs>
          <w:tab w:val="left" w:pos="1245"/>
        </w:tabs>
        <w:ind w:left="0"/>
        <w:rPr>
          <w:rFonts w:ascii="Verdana" w:hAnsi="Verdana"/>
          <w:b/>
          <w:color w:val="7030A0"/>
        </w:rPr>
      </w:pPr>
      <w:r>
        <w:rPr>
          <w:rFonts w:ascii="Verdana" w:hAnsi="Verdana"/>
          <w:b/>
          <w:color w:val="7030A0"/>
        </w:rPr>
        <w:t>Right to Erasure</w:t>
      </w:r>
    </w:p>
    <w:p w14:paraId="7AF6DCAF" w14:textId="77777777" w:rsidR="000F6F6E" w:rsidRDefault="000F6F6E" w:rsidP="00D3724F">
      <w:pPr>
        <w:pStyle w:val="ListParagraph"/>
        <w:tabs>
          <w:tab w:val="left" w:pos="1245"/>
        </w:tabs>
        <w:ind w:left="0"/>
        <w:rPr>
          <w:rFonts w:ascii="Verdana" w:hAnsi="Verdana"/>
          <w:b/>
          <w:color w:val="7030A0"/>
        </w:rPr>
      </w:pPr>
    </w:p>
    <w:p w14:paraId="6B7D20AE" w14:textId="284BDD40" w:rsidR="00D3724F" w:rsidRDefault="00D3724F" w:rsidP="00D3724F">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BB6B85">
        <w:rPr>
          <w:rFonts w:ascii="Verdana" w:hAnsi="Verdana"/>
          <w:color w:val="000000" w:themeColor="text1"/>
        </w:rPr>
        <w:t xml:space="preserve"> </w:t>
      </w:r>
      <w:r>
        <w:rPr>
          <w:rFonts w:ascii="Verdana" w:hAnsi="Verdana"/>
          <w:color w:val="000000" w:themeColor="text1"/>
        </w:rPr>
        <w:t>will erase personal data of individuals where the following conditions are met:</w:t>
      </w:r>
    </w:p>
    <w:p w14:paraId="120F87D2" w14:textId="77777777" w:rsidR="00BB6B85" w:rsidRDefault="00BB6B85" w:rsidP="00D3724F">
      <w:pPr>
        <w:pStyle w:val="ListParagraph"/>
        <w:tabs>
          <w:tab w:val="left" w:pos="1245"/>
        </w:tabs>
        <w:ind w:left="0"/>
        <w:rPr>
          <w:rFonts w:ascii="Verdana" w:hAnsi="Verdana"/>
          <w:color w:val="000000" w:themeColor="text1"/>
        </w:rPr>
      </w:pPr>
    </w:p>
    <w:p w14:paraId="3A5B9DD6" w14:textId="77777777" w:rsidR="00D3724F" w:rsidRDefault="00D3724F" w:rsidP="00D3724F">
      <w:pPr>
        <w:pStyle w:val="ListParagraph"/>
        <w:numPr>
          <w:ilvl w:val="0"/>
          <w:numId w:val="19"/>
        </w:numPr>
        <w:tabs>
          <w:tab w:val="left" w:pos="1245"/>
        </w:tabs>
        <w:ind w:left="567" w:hanging="567"/>
        <w:rPr>
          <w:rFonts w:ascii="Verdana" w:hAnsi="Verdana"/>
          <w:color w:val="000000" w:themeColor="text1"/>
        </w:rPr>
      </w:pPr>
      <w:r>
        <w:rPr>
          <w:rFonts w:ascii="Verdana" w:hAnsi="Verdana"/>
          <w:color w:val="000000" w:themeColor="text1"/>
        </w:rPr>
        <w:t>The personal data is no longer necessary for the purpose originally collected or processed</w:t>
      </w:r>
      <w:r w:rsidR="00255594">
        <w:rPr>
          <w:rFonts w:ascii="Verdana" w:hAnsi="Verdana"/>
          <w:color w:val="000000" w:themeColor="text1"/>
        </w:rPr>
        <w:t>;</w:t>
      </w:r>
    </w:p>
    <w:p w14:paraId="67C2E080" w14:textId="77777777" w:rsidR="00D3724F" w:rsidRDefault="00D3724F" w:rsidP="00D3724F">
      <w:pPr>
        <w:pStyle w:val="ListParagraph"/>
        <w:numPr>
          <w:ilvl w:val="0"/>
          <w:numId w:val="19"/>
        </w:numPr>
        <w:tabs>
          <w:tab w:val="left" w:pos="1245"/>
        </w:tabs>
        <w:ind w:left="567" w:hanging="567"/>
        <w:rPr>
          <w:rFonts w:ascii="Verdana" w:hAnsi="Verdana"/>
          <w:color w:val="000000" w:themeColor="text1"/>
        </w:rPr>
      </w:pPr>
      <w:r>
        <w:rPr>
          <w:rFonts w:ascii="Verdana" w:hAnsi="Verdana"/>
          <w:color w:val="000000" w:themeColor="text1"/>
        </w:rPr>
        <w:t>Where consent is the lawful basis for holding the data, and the individual withdraws that consent</w:t>
      </w:r>
      <w:r w:rsidR="00255594">
        <w:rPr>
          <w:rFonts w:ascii="Verdana" w:hAnsi="Verdana"/>
          <w:color w:val="000000" w:themeColor="text1"/>
        </w:rPr>
        <w:t>;</w:t>
      </w:r>
    </w:p>
    <w:p w14:paraId="3A2B6C76" w14:textId="77777777" w:rsidR="00255594" w:rsidRDefault="00255594" w:rsidP="00E33DB3">
      <w:pPr>
        <w:pStyle w:val="ListParagraph"/>
        <w:numPr>
          <w:ilvl w:val="0"/>
          <w:numId w:val="19"/>
        </w:numPr>
        <w:tabs>
          <w:tab w:val="left" w:pos="1245"/>
        </w:tabs>
        <w:ind w:left="567" w:hanging="567"/>
        <w:rPr>
          <w:rFonts w:ascii="Verdana" w:hAnsi="Verdana"/>
          <w:color w:val="000000" w:themeColor="text1"/>
        </w:rPr>
      </w:pPr>
      <w:r>
        <w:rPr>
          <w:rFonts w:ascii="Verdana" w:hAnsi="Verdana"/>
          <w:color w:val="000000" w:themeColor="text1"/>
        </w:rPr>
        <w:t>Processing the personal data for direct marketing (e-newsletter) purposes and the individual objects to that processing;</w:t>
      </w:r>
    </w:p>
    <w:p w14:paraId="2EECBC2A" w14:textId="0173B586" w:rsidR="00255594" w:rsidRDefault="00255594" w:rsidP="00E33DB3">
      <w:pPr>
        <w:pStyle w:val="ListParagraph"/>
        <w:numPr>
          <w:ilvl w:val="0"/>
          <w:numId w:val="19"/>
        </w:numPr>
        <w:tabs>
          <w:tab w:val="left" w:pos="1245"/>
        </w:tabs>
        <w:ind w:left="567" w:hanging="567"/>
        <w:rPr>
          <w:rFonts w:ascii="Verdana" w:hAnsi="Verdana"/>
          <w:color w:val="000000" w:themeColor="text1"/>
        </w:rPr>
      </w:pPr>
      <w:r>
        <w:rPr>
          <w:rFonts w:ascii="Verdana" w:hAnsi="Verdana"/>
          <w:color w:val="000000" w:themeColor="text1"/>
        </w:rPr>
        <w:t>The NIHRC has processed the personal data unlawfully;</w:t>
      </w:r>
    </w:p>
    <w:p w14:paraId="4AFB742B" w14:textId="77777777" w:rsidR="00255594" w:rsidRDefault="00255594" w:rsidP="00E33DB3">
      <w:pPr>
        <w:pStyle w:val="ListParagraph"/>
        <w:numPr>
          <w:ilvl w:val="0"/>
          <w:numId w:val="19"/>
        </w:numPr>
        <w:tabs>
          <w:tab w:val="left" w:pos="1245"/>
        </w:tabs>
        <w:ind w:left="567" w:hanging="567"/>
        <w:rPr>
          <w:rFonts w:ascii="Verdana" w:hAnsi="Verdana"/>
          <w:color w:val="000000" w:themeColor="text1"/>
        </w:rPr>
      </w:pPr>
      <w:r>
        <w:rPr>
          <w:rFonts w:ascii="Verdana" w:hAnsi="Verdana"/>
          <w:color w:val="000000" w:themeColor="text1"/>
        </w:rPr>
        <w:t xml:space="preserve">You </w:t>
      </w:r>
      <w:proofErr w:type="gramStart"/>
      <w:r>
        <w:rPr>
          <w:rFonts w:ascii="Verdana" w:hAnsi="Verdana"/>
          <w:color w:val="000000" w:themeColor="text1"/>
        </w:rPr>
        <w:t>have to</w:t>
      </w:r>
      <w:proofErr w:type="gramEnd"/>
      <w:r>
        <w:rPr>
          <w:rFonts w:ascii="Verdana" w:hAnsi="Verdana"/>
          <w:color w:val="000000" w:themeColor="text1"/>
        </w:rPr>
        <w:t xml:space="preserve"> do it to comply with a legal obligation.</w:t>
      </w:r>
    </w:p>
    <w:p w14:paraId="2BA47874" w14:textId="77777777" w:rsidR="00255594" w:rsidRDefault="00255594" w:rsidP="00255594">
      <w:pPr>
        <w:pStyle w:val="ListParagraph"/>
        <w:tabs>
          <w:tab w:val="left" w:pos="1245"/>
        </w:tabs>
        <w:ind w:left="567"/>
        <w:rPr>
          <w:rFonts w:ascii="Verdana" w:hAnsi="Verdana"/>
          <w:color w:val="000000" w:themeColor="text1"/>
        </w:rPr>
      </w:pPr>
    </w:p>
    <w:p w14:paraId="5FADC405" w14:textId="77777777" w:rsidR="00255594" w:rsidRDefault="00255594" w:rsidP="00255594">
      <w:pPr>
        <w:pStyle w:val="ListParagraph"/>
        <w:tabs>
          <w:tab w:val="left" w:pos="1245"/>
        </w:tabs>
        <w:ind w:left="0"/>
        <w:rPr>
          <w:rFonts w:ascii="Verdana" w:hAnsi="Verdana"/>
          <w:b/>
          <w:color w:val="7030A0"/>
        </w:rPr>
      </w:pPr>
      <w:r>
        <w:rPr>
          <w:rFonts w:ascii="Verdana" w:hAnsi="Verdana"/>
          <w:b/>
          <w:color w:val="7030A0"/>
        </w:rPr>
        <w:t>Right to Restrict Processing</w:t>
      </w:r>
    </w:p>
    <w:p w14:paraId="2845D167" w14:textId="77777777" w:rsidR="000F6F6E" w:rsidRDefault="000F6F6E" w:rsidP="00255594">
      <w:pPr>
        <w:pStyle w:val="ListParagraph"/>
        <w:tabs>
          <w:tab w:val="left" w:pos="1245"/>
        </w:tabs>
        <w:ind w:left="0"/>
        <w:rPr>
          <w:rFonts w:ascii="Verdana" w:hAnsi="Verdana"/>
          <w:b/>
          <w:color w:val="7030A0"/>
        </w:rPr>
      </w:pPr>
    </w:p>
    <w:p w14:paraId="197F313D" w14:textId="4F077DEA" w:rsidR="00012C75" w:rsidRDefault="00255594" w:rsidP="00255594">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restrict </w:t>
      </w:r>
      <w:r w:rsidR="00012C75">
        <w:rPr>
          <w:rFonts w:ascii="Verdana" w:hAnsi="Verdana"/>
          <w:color w:val="000000" w:themeColor="text1"/>
        </w:rPr>
        <w:t>processing of personal data of individuals where one of the following conditions are met:</w:t>
      </w:r>
    </w:p>
    <w:p w14:paraId="2547C966" w14:textId="77777777" w:rsidR="00BB6B85" w:rsidRDefault="00BB6B85" w:rsidP="00255594">
      <w:pPr>
        <w:pStyle w:val="ListParagraph"/>
        <w:tabs>
          <w:tab w:val="left" w:pos="1245"/>
        </w:tabs>
        <w:ind w:left="0"/>
        <w:rPr>
          <w:rFonts w:ascii="Verdana" w:hAnsi="Verdana"/>
          <w:color w:val="000000" w:themeColor="text1"/>
        </w:rPr>
      </w:pPr>
    </w:p>
    <w:p w14:paraId="3F90BC50" w14:textId="77777777" w:rsidR="00012C75" w:rsidRDefault="00012C75" w:rsidP="00012C75">
      <w:pPr>
        <w:pStyle w:val="ListParagraph"/>
        <w:numPr>
          <w:ilvl w:val="0"/>
          <w:numId w:val="20"/>
        </w:numPr>
        <w:tabs>
          <w:tab w:val="left" w:pos="1245"/>
        </w:tabs>
        <w:ind w:left="567" w:hanging="567"/>
        <w:rPr>
          <w:rFonts w:ascii="Verdana" w:hAnsi="Verdana"/>
          <w:color w:val="000000" w:themeColor="text1"/>
        </w:rPr>
      </w:pPr>
      <w:r>
        <w:rPr>
          <w:rFonts w:ascii="Verdana" w:hAnsi="Verdana"/>
          <w:color w:val="000000" w:themeColor="text1"/>
        </w:rPr>
        <w:t>The individual contests the accuracy of their personal data while the NIHRC is verifying the accuracy of the data;</w:t>
      </w:r>
    </w:p>
    <w:p w14:paraId="2E952A05" w14:textId="77777777" w:rsidR="00012C75" w:rsidRDefault="00012C75" w:rsidP="00012C75">
      <w:pPr>
        <w:pStyle w:val="ListParagraph"/>
        <w:numPr>
          <w:ilvl w:val="0"/>
          <w:numId w:val="20"/>
        </w:numPr>
        <w:tabs>
          <w:tab w:val="left" w:pos="1245"/>
        </w:tabs>
        <w:ind w:left="567" w:hanging="567"/>
        <w:rPr>
          <w:rFonts w:ascii="Verdana" w:hAnsi="Verdana"/>
          <w:color w:val="000000" w:themeColor="text1"/>
        </w:rPr>
      </w:pPr>
      <w:r>
        <w:rPr>
          <w:rFonts w:ascii="Verdana" w:hAnsi="Verdana"/>
          <w:color w:val="000000" w:themeColor="text1"/>
        </w:rPr>
        <w:t xml:space="preserve">The data has been unlawfully </w:t>
      </w:r>
      <w:proofErr w:type="gramStart"/>
      <w:r>
        <w:rPr>
          <w:rFonts w:ascii="Verdana" w:hAnsi="Verdana"/>
          <w:color w:val="000000" w:themeColor="text1"/>
        </w:rPr>
        <w:t>processed</w:t>
      </w:r>
      <w:proofErr w:type="gramEnd"/>
      <w:r>
        <w:rPr>
          <w:rFonts w:ascii="Verdana" w:hAnsi="Verdana"/>
          <w:color w:val="000000" w:themeColor="text1"/>
        </w:rPr>
        <w:t xml:space="preserve"> and the individual opposes erasure and requests restriction </w:t>
      </w:r>
      <w:proofErr w:type="gramStart"/>
      <w:r>
        <w:rPr>
          <w:rFonts w:ascii="Verdana" w:hAnsi="Verdana"/>
          <w:color w:val="000000" w:themeColor="text1"/>
        </w:rPr>
        <w:t>instead;</w:t>
      </w:r>
      <w:proofErr w:type="gramEnd"/>
    </w:p>
    <w:p w14:paraId="2B79DD4E" w14:textId="77777777" w:rsidR="00012C75" w:rsidRDefault="00012C75" w:rsidP="00012C75">
      <w:pPr>
        <w:pStyle w:val="ListParagraph"/>
        <w:numPr>
          <w:ilvl w:val="0"/>
          <w:numId w:val="20"/>
        </w:numPr>
        <w:tabs>
          <w:tab w:val="left" w:pos="1245"/>
        </w:tabs>
        <w:ind w:left="567" w:hanging="567"/>
        <w:rPr>
          <w:rFonts w:ascii="Verdana" w:hAnsi="Verdana"/>
          <w:color w:val="000000" w:themeColor="text1"/>
        </w:rPr>
      </w:pPr>
      <w:r>
        <w:rPr>
          <w:rFonts w:ascii="Verdana" w:hAnsi="Verdana"/>
          <w:color w:val="000000" w:themeColor="text1"/>
        </w:rPr>
        <w:t xml:space="preserve">The NIHRC no longer need the personal data but the individual needs you to keep it </w:t>
      </w:r>
      <w:proofErr w:type="gramStart"/>
      <w:r>
        <w:rPr>
          <w:rFonts w:ascii="Verdana" w:hAnsi="Verdana"/>
          <w:color w:val="000000" w:themeColor="text1"/>
        </w:rPr>
        <w:t>in order to</w:t>
      </w:r>
      <w:proofErr w:type="gramEnd"/>
      <w:r>
        <w:rPr>
          <w:rFonts w:ascii="Verdana" w:hAnsi="Verdana"/>
          <w:color w:val="000000" w:themeColor="text1"/>
        </w:rPr>
        <w:t xml:space="preserve"> establish, exercise or defend a legal claim.</w:t>
      </w:r>
    </w:p>
    <w:p w14:paraId="7D2BCADB" w14:textId="77777777" w:rsidR="00012C75" w:rsidRDefault="00012C75" w:rsidP="00012C75">
      <w:pPr>
        <w:pStyle w:val="ListParagraph"/>
        <w:tabs>
          <w:tab w:val="left" w:pos="1245"/>
        </w:tabs>
        <w:ind w:left="0"/>
        <w:rPr>
          <w:rFonts w:ascii="Verdana" w:hAnsi="Verdana"/>
          <w:color w:val="000000" w:themeColor="text1"/>
        </w:rPr>
      </w:pPr>
    </w:p>
    <w:p w14:paraId="14122561" w14:textId="6D76689A" w:rsidR="00011E8F" w:rsidRDefault="00012C75" w:rsidP="00012C75">
      <w:pPr>
        <w:pStyle w:val="ListParagraph"/>
        <w:tabs>
          <w:tab w:val="left" w:pos="1245"/>
        </w:tabs>
        <w:ind w:left="0"/>
        <w:rPr>
          <w:rFonts w:ascii="Verdana" w:hAnsi="Verdana"/>
          <w:color w:val="000000" w:themeColor="text1"/>
        </w:rPr>
      </w:pPr>
      <w:r>
        <w:rPr>
          <w:rFonts w:ascii="Verdana" w:hAnsi="Verdana"/>
          <w:color w:val="000000" w:themeColor="text1"/>
        </w:rPr>
        <w:t>As there are close links between the Right to Erasure, the Right to Restrict and the Right to Object</w:t>
      </w:r>
      <w:r w:rsidR="00011E8F">
        <w:rPr>
          <w:rFonts w:ascii="Verdana" w:hAnsi="Verdana"/>
          <w:color w:val="000000" w:themeColor="text1"/>
        </w:rPr>
        <w:t xml:space="preserve">, </w:t>
      </w: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as matter of good practice</w:t>
      </w:r>
      <w:r w:rsidR="00011E8F">
        <w:rPr>
          <w:rFonts w:ascii="Verdana" w:hAnsi="Verdana"/>
          <w:color w:val="000000" w:themeColor="text1"/>
        </w:rPr>
        <w:t>,</w:t>
      </w:r>
      <w:r>
        <w:rPr>
          <w:rFonts w:ascii="Verdana" w:hAnsi="Verdana"/>
          <w:color w:val="000000" w:themeColor="text1"/>
        </w:rPr>
        <w:t xml:space="preserve"> will automatically restrict the processing whilst it is considering the accuracy or the legitimate grounds for processing the personal data in question.</w:t>
      </w:r>
      <w:r w:rsidR="00011E8F">
        <w:rPr>
          <w:rFonts w:ascii="Verdana" w:hAnsi="Verdana"/>
          <w:color w:val="000000" w:themeColor="text1"/>
        </w:rPr>
        <w:t xml:space="preserve"> </w:t>
      </w:r>
    </w:p>
    <w:p w14:paraId="1730AA6C" w14:textId="77777777" w:rsidR="00011E8F" w:rsidRDefault="00011E8F" w:rsidP="00012C75">
      <w:pPr>
        <w:pStyle w:val="ListParagraph"/>
        <w:tabs>
          <w:tab w:val="left" w:pos="1245"/>
        </w:tabs>
        <w:ind w:left="0"/>
        <w:rPr>
          <w:rFonts w:ascii="Verdana" w:hAnsi="Verdana"/>
          <w:color w:val="000000" w:themeColor="text1"/>
        </w:rPr>
      </w:pPr>
    </w:p>
    <w:p w14:paraId="41069CD8" w14:textId="7297C524" w:rsidR="00262369" w:rsidRDefault="00011E8F" w:rsidP="00012C75">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consider the following steps when complying with a request to restrict </w:t>
      </w:r>
      <w:r w:rsidR="00262369">
        <w:rPr>
          <w:rFonts w:ascii="Verdana" w:hAnsi="Verdana"/>
          <w:color w:val="000000" w:themeColor="text1"/>
        </w:rPr>
        <w:t>processing:</w:t>
      </w:r>
    </w:p>
    <w:p w14:paraId="6F62ABF6" w14:textId="77777777" w:rsidR="00BB6B85" w:rsidRDefault="00BB6B85" w:rsidP="00012C75">
      <w:pPr>
        <w:pStyle w:val="ListParagraph"/>
        <w:tabs>
          <w:tab w:val="left" w:pos="1245"/>
        </w:tabs>
        <w:ind w:left="0"/>
        <w:rPr>
          <w:rFonts w:ascii="Verdana" w:hAnsi="Verdana"/>
          <w:color w:val="000000" w:themeColor="text1"/>
        </w:rPr>
      </w:pPr>
    </w:p>
    <w:p w14:paraId="35BBD95F" w14:textId="77777777" w:rsidR="00784FFF" w:rsidRDefault="00262369" w:rsidP="00262369">
      <w:pPr>
        <w:pStyle w:val="ListParagraph"/>
        <w:numPr>
          <w:ilvl w:val="0"/>
          <w:numId w:val="21"/>
        </w:numPr>
        <w:tabs>
          <w:tab w:val="left" w:pos="1245"/>
        </w:tabs>
        <w:ind w:left="567" w:hanging="567"/>
        <w:rPr>
          <w:rFonts w:ascii="Verdana" w:hAnsi="Verdana"/>
          <w:color w:val="000000" w:themeColor="text1"/>
        </w:rPr>
      </w:pPr>
      <w:r>
        <w:rPr>
          <w:rFonts w:ascii="Verdana" w:hAnsi="Verdana"/>
          <w:color w:val="000000" w:themeColor="text1"/>
        </w:rPr>
        <w:t>Temporarily moving the data to another processing system;</w:t>
      </w:r>
    </w:p>
    <w:p w14:paraId="028ECF42" w14:textId="77777777" w:rsidR="00262369" w:rsidRDefault="00262369" w:rsidP="00262369">
      <w:pPr>
        <w:pStyle w:val="ListParagraph"/>
        <w:numPr>
          <w:ilvl w:val="0"/>
          <w:numId w:val="21"/>
        </w:numPr>
        <w:tabs>
          <w:tab w:val="left" w:pos="1245"/>
        </w:tabs>
        <w:ind w:left="567" w:hanging="567"/>
        <w:rPr>
          <w:rFonts w:ascii="Verdana" w:hAnsi="Verdana"/>
          <w:color w:val="000000" w:themeColor="text1"/>
        </w:rPr>
      </w:pPr>
      <w:r>
        <w:rPr>
          <w:rFonts w:ascii="Verdana" w:hAnsi="Verdana"/>
          <w:color w:val="000000" w:themeColor="text1"/>
        </w:rPr>
        <w:t>Making the data unavailable to users; or</w:t>
      </w:r>
    </w:p>
    <w:p w14:paraId="3BB1BDDD" w14:textId="77777777" w:rsidR="00262369" w:rsidRDefault="00262369" w:rsidP="00262369">
      <w:pPr>
        <w:pStyle w:val="ListParagraph"/>
        <w:numPr>
          <w:ilvl w:val="0"/>
          <w:numId w:val="21"/>
        </w:numPr>
        <w:tabs>
          <w:tab w:val="left" w:pos="1245"/>
        </w:tabs>
        <w:ind w:left="567" w:hanging="567"/>
        <w:rPr>
          <w:rFonts w:ascii="Verdana" w:hAnsi="Verdana"/>
          <w:color w:val="000000" w:themeColor="text1"/>
        </w:rPr>
      </w:pPr>
      <w:r>
        <w:rPr>
          <w:rFonts w:ascii="Verdana" w:hAnsi="Verdana"/>
          <w:color w:val="000000" w:themeColor="text1"/>
        </w:rPr>
        <w:t>Temporarily removing published data from the distribution lists.</w:t>
      </w:r>
    </w:p>
    <w:p w14:paraId="693ABF52" w14:textId="4372F72E" w:rsidR="00262369" w:rsidRDefault="00262369" w:rsidP="00262369">
      <w:pPr>
        <w:pStyle w:val="ListParagraph"/>
        <w:tabs>
          <w:tab w:val="left" w:pos="1245"/>
        </w:tabs>
        <w:ind w:left="0"/>
        <w:rPr>
          <w:rFonts w:ascii="Verdana" w:hAnsi="Verdana"/>
          <w:color w:val="000000" w:themeColor="text1"/>
        </w:rPr>
      </w:pPr>
      <w:r>
        <w:rPr>
          <w:rFonts w:ascii="Verdana" w:hAnsi="Verdana"/>
          <w:color w:val="000000" w:themeColor="text1"/>
        </w:rPr>
        <w:lastRenderedPageBreak/>
        <w:t xml:space="preserve">The </w:t>
      </w:r>
      <w:r w:rsidR="00092CF3">
        <w:rPr>
          <w:rFonts w:ascii="Verdana" w:hAnsi="Verdana"/>
          <w:color w:val="000000" w:themeColor="text1"/>
        </w:rPr>
        <w:t>NIHRC</w:t>
      </w:r>
      <w:r>
        <w:rPr>
          <w:rFonts w:ascii="Verdana" w:hAnsi="Verdana"/>
          <w:color w:val="000000" w:themeColor="text1"/>
        </w:rPr>
        <w:t xml:space="preserve"> will not process the restricted data in any way except to store it unless:</w:t>
      </w:r>
    </w:p>
    <w:p w14:paraId="6DBA73A8" w14:textId="77777777" w:rsidR="00BB6B85" w:rsidRDefault="00BB6B85" w:rsidP="00262369">
      <w:pPr>
        <w:pStyle w:val="ListParagraph"/>
        <w:tabs>
          <w:tab w:val="left" w:pos="1245"/>
        </w:tabs>
        <w:ind w:left="0"/>
        <w:rPr>
          <w:rFonts w:ascii="Verdana" w:hAnsi="Verdana"/>
          <w:color w:val="000000" w:themeColor="text1"/>
        </w:rPr>
      </w:pPr>
    </w:p>
    <w:p w14:paraId="0DCAA61A" w14:textId="2C81785A" w:rsidR="00262369" w:rsidRDefault="00262369" w:rsidP="00262369">
      <w:pPr>
        <w:pStyle w:val="ListParagraph"/>
        <w:numPr>
          <w:ilvl w:val="0"/>
          <w:numId w:val="22"/>
        </w:numPr>
        <w:tabs>
          <w:tab w:val="left" w:pos="1245"/>
        </w:tabs>
        <w:ind w:left="567" w:hanging="567"/>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has the individual’s consent;</w:t>
      </w:r>
    </w:p>
    <w:p w14:paraId="3252E9D8" w14:textId="77777777" w:rsidR="00262369" w:rsidRDefault="00262369" w:rsidP="00262369">
      <w:pPr>
        <w:pStyle w:val="ListParagraph"/>
        <w:numPr>
          <w:ilvl w:val="0"/>
          <w:numId w:val="22"/>
        </w:numPr>
        <w:tabs>
          <w:tab w:val="left" w:pos="1245"/>
        </w:tabs>
        <w:ind w:left="567" w:hanging="567"/>
        <w:rPr>
          <w:rFonts w:ascii="Verdana" w:hAnsi="Verdana"/>
          <w:color w:val="000000" w:themeColor="text1"/>
        </w:rPr>
      </w:pPr>
      <w:r>
        <w:rPr>
          <w:rFonts w:ascii="Verdana" w:hAnsi="Verdana"/>
          <w:color w:val="000000" w:themeColor="text1"/>
        </w:rPr>
        <w:t>It is for the establishment, exercise or defence of legal claims;</w:t>
      </w:r>
    </w:p>
    <w:p w14:paraId="31E1D85D" w14:textId="77777777" w:rsidR="00262369" w:rsidRDefault="00262369" w:rsidP="00262369">
      <w:pPr>
        <w:pStyle w:val="ListParagraph"/>
        <w:numPr>
          <w:ilvl w:val="0"/>
          <w:numId w:val="22"/>
        </w:numPr>
        <w:tabs>
          <w:tab w:val="left" w:pos="1245"/>
        </w:tabs>
        <w:ind w:left="567" w:hanging="567"/>
        <w:rPr>
          <w:rFonts w:ascii="Verdana" w:hAnsi="Verdana"/>
          <w:color w:val="000000" w:themeColor="text1"/>
        </w:rPr>
      </w:pPr>
      <w:r>
        <w:rPr>
          <w:rFonts w:ascii="Verdana" w:hAnsi="Verdana"/>
          <w:color w:val="000000" w:themeColor="text1"/>
        </w:rPr>
        <w:t>It is for the protection of the rights of another person (natural or legal) or</w:t>
      </w:r>
    </w:p>
    <w:p w14:paraId="403639E8" w14:textId="77777777" w:rsidR="00262369" w:rsidRDefault="00262369" w:rsidP="00262369">
      <w:pPr>
        <w:pStyle w:val="ListParagraph"/>
        <w:numPr>
          <w:ilvl w:val="0"/>
          <w:numId w:val="22"/>
        </w:numPr>
        <w:tabs>
          <w:tab w:val="left" w:pos="1245"/>
        </w:tabs>
        <w:ind w:left="567" w:hanging="567"/>
        <w:rPr>
          <w:rFonts w:ascii="Verdana" w:hAnsi="Verdana"/>
          <w:color w:val="000000" w:themeColor="text1"/>
        </w:rPr>
      </w:pPr>
      <w:r>
        <w:rPr>
          <w:rFonts w:ascii="Verdana" w:hAnsi="Verdana"/>
          <w:color w:val="000000" w:themeColor="text1"/>
        </w:rPr>
        <w:t>It is for reasons of important public interest</w:t>
      </w:r>
      <w:r w:rsidR="0083072D">
        <w:rPr>
          <w:rFonts w:ascii="Verdana" w:hAnsi="Verdana"/>
          <w:color w:val="000000" w:themeColor="text1"/>
        </w:rPr>
        <w:t>.</w:t>
      </w:r>
    </w:p>
    <w:p w14:paraId="7B58561D" w14:textId="77777777" w:rsidR="000F6F6E" w:rsidRDefault="000F6F6E" w:rsidP="0083072D">
      <w:pPr>
        <w:pStyle w:val="ListParagraph"/>
        <w:tabs>
          <w:tab w:val="left" w:pos="1245"/>
        </w:tabs>
        <w:ind w:left="0"/>
        <w:rPr>
          <w:rFonts w:ascii="Verdana" w:hAnsi="Verdana"/>
          <w:b/>
          <w:color w:val="7030A0"/>
        </w:rPr>
      </w:pPr>
    </w:p>
    <w:p w14:paraId="06EC98C4" w14:textId="77777777" w:rsidR="0083072D" w:rsidRDefault="0083072D" w:rsidP="0083072D">
      <w:pPr>
        <w:pStyle w:val="ListParagraph"/>
        <w:tabs>
          <w:tab w:val="left" w:pos="1245"/>
        </w:tabs>
        <w:ind w:left="0"/>
        <w:rPr>
          <w:rFonts w:ascii="Verdana" w:hAnsi="Verdana"/>
          <w:b/>
          <w:color w:val="7030A0"/>
        </w:rPr>
      </w:pPr>
      <w:r>
        <w:rPr>
          <w:rFonts w:ascii="Verdana" w:hAnsi="Verdana"/>
          <w:b/>
          <w:color w:val="7030A0"/>
        </w:rPr>
        <w:t>Right to Portability</w:t>
      </w:r>
    </w:p>
    <w:p w14:paraId="3DAD3EFE" w14:textId="77777777" w:rsidR="000F6F6E" w:rsidRDefault="000F6F6E" w:rsidP="0083072D">
      <w:pPr>
        <w:pStyle w:val="ListParagraph"/>
        <w:tabs>
          <w:tab w:val="left" w:pos="1245"/>
        </w:tabs>
        <w:ind w:left="0"/>
        <w:rPr>
          <w:rFonts w:ascii="Verdana" w:hAnsi="Verdana"/>
          <w:color w:val="000000" w:themeColor="text1"/>
        </w:rPr>
      </w:pPr>
    </w:p>
    <w:p w14:paraId="3A565B0F" w14:textId="77777777" w:rsidR="0083072D" w:rsidRDefault="0083072D" w:rsidP="0083072D">
      <w:pPr>
        <w:pStyle w:val="ListParagraph"/>
        <w:tabs>
          <w:tab w:val="left" w:pos="1245"/>
        </w:tabs>
        <w:ind w:left="0"/>
        <w:rPr>
          <w:rFonts w:ascii="Verdana" w:hAnsi="Verdana"/>
          <w:color w:val="000000" w:themeColor="text1"/>
        </w:rPr>
      </w:pPr>
      <w:r>
        <w:rPr>
          <w:rFonts w:ascii="Verdana" w:hAnsi="Verdana"/>
          <w:color w:val="000000" w:themeColor="text1"/>
        </w:rPr>
        <w:t>The right to data portability allows individuals to obtain and reuse their personal data for their own purposes across different services.  The right to data portability only applies:</w:t>
      </w:r>
    </w:p>
    <w:p w14:paraId="123F082B" w14:textId="77777777" w:rsidR="00BB6B85" w:rsidRDefault="00BB6B85" w:rsidP="0083072D">
      <w:pPr>
        <w:pStyle w:val="ListParagraph"/>
        <w:tabs>
          <w:tab w:val="left" w:pos="1245"/>
        </w:tabs>
        <w:ind w:left="0"/>
        <w:rPr>
          <w:rFonts w:ascii="Verdana" w:hAnsi="Verdana"/>
          <w:color w:val="000000" w:themeColor="text1"/>
        </w:rPr>
      </w:pPr>
    </w:p>
    <w:p w14:paraId="1DF01E8D" w14:textId="77777777" w:rsidR="0083072D" w:rsidRDefault="0083072D" w:rsidP="0083072D">
      <w:pPr>
        <w:pStyle w:val="ListParagraph"/>
        <w:numPr>
          <w:ilvl w:val="0"/>
          <w:numId w:val="23"/>
        </w:numPr>
        <w:tabs>
          <w:tab w:val="left" w:pos="1245"/>
        </w:tabs>
        <w:ind w:left="567" w:hanging="567"/>
        <w:rPr>
          <w:rFonts w:ascii="Verdana" w:hAnsi="Verdana"/>
          <w:color w:val="000000" w:themeColor="text1"/>
        </w:rPr>
      </w:pPr>
      <w:r>
        <w:rPr>
          <w:rFonts w:ascii="Verdana" w:hAnsi="Verdana"/>
          <w:color w:val="000000" w:themeColor="text1"/>
        </w:rPr>
        <w:t>To personal data an individual has provided to a controller;</w:t>
      </w:r>
    </w:p>
    <w:p w14:paraId="1FD0C15F" w14:textId="6242B5B7" w:rsidR="0083072D" w:rsidRDefault="0083072D" w:rsidP="0083072D">
      <w:pPr>
        <w:pStyle w:val="ListParagraph"/>
        <w:numPr>
          <w:ilvl w:val="0"/>
          <w:numId w:val="23"/>
        </w:numPr>
        <w:tabs>
          <w:tab w:val="left" w:pos="1245"/>
        </w:tabs>
        <w:ind w:left="567" w:hanging="567"/>
        <w:rPr>
          <w:rFonts w:ascii="Verdana" w:hAnsi="Verdana"/>
          <w:color w:val="000000" w:themeColor="text1"/>
        </w:rPr>
      </w:pPr>
      <w:r>
        <w:rPr>
          <w:rFonts w:ascii="Verdana" w:hAnsi="Verdana"/>
          <w:color w:val="000000" w:themeColor="text1"/>
        </w:rPr>
        <w:t>Where the processing is based on the individual’s consent or the</w:t>
      </w:r>
      <w:r w:rsidR="00BB6B85">
        <w:rPr>
          <w:rFonts w:ascii="Verdana" w:hAnsi="Verdana"/>
          <w:color w:val="000000" w:themeColor="text1"/>
        </w:rPr>
        <w:t>ir</w:t>
      </w:r>
      <w:r>
        <w:rPr>
          <w:rFonts w:ascii="Verdana" w:hAnsi="Verdana"/>
          <w:color w:val="000000" w:themeColor="text1"/>
        </w:rPr>
        <w:t xml:space="preserve"> performance of a contract and</w:t>
      </w:r>
    </w:p>
    <w:p w14:paraId="26970B31" w14:textId="77777777" w:rsidR="0083072D" w:rsidRDefault="0083072D" w:rsidP="0083072D">
      <w:pPr>
        <w:pStyle w:val="ListParagraph"/>
        <w:numPr>
          <w:ilvl w:val="0"/>
          <w:numId w:val="23"/>
        </w:numPr>
        <w:tabs>
          <w:tab w:val="left" w:pos="1245"/>
        </w:tabs>
        <w:ind w:left="567" w:hanging="567"/>
        <w:rPr>
          <w:rFonts w:ascii="Verdana" w:hAnsi="Verdana"/>
          <w:color w:val="000000" w:themeColor="text1"/>
        </w:rPr>
      </w:pPr>
      <w:r>
        <w:rPr>
          <w:rFonts w:ascii="Verdana" w:hAnsi="Verdana"/>
          <w:color w:val="000000" w:themeColor="text1"/>
        </w:rPr>
        <w:t>When processing is carried out by automated means.</w:t>
      </w:r>
    </w:p>
    <w:p w14:paraId="0B951AB0" w14:textId="77777777" w:rsidR="0083072D" w:rsidRDefault="0083072D" w:rsidP="0083072D">
      <w:pPr>
        <w:pStyle w:val="ListParagraph"/>
        <w:tabs>
          <w:tab w:val="left" w:pos="1245"/>
        </w:tabs>
        <w:ind w:left="567"/>
        <w:rPr>
          <w:rFonts w:ascii="Verdana" w:hAnsi="Verdana"/>
          <w:color w:val="000000" w:themeColor="text1"/>
        </w:rPr>
      </w:pPr>
    </w:p>
    <w:p w14:paraId="722D9B24" w14:textId="77777777" w:rsidR="0083072D" w:rsidRDefault="0083072D" w:rsidP="0083072D">
      <w:pPr>
        <w:pStyle w:val="ListParagraph"/>
        <w:tabs>
          <w:tab w:val="left" w:pos="1245"/>
        </w:tabs>
        <w:ind w:left="0"/>
        <w:rPr>
          <w:rFonts w:ascii="Verdana" w:hAnsi="Verdana"/>
          <w:b/>
          <w:color w:val="7030A0"/>
        </w:rPr>
      </w:pPr>
      <w:r>
        <w:rPr>
          <w:rFonts w:ascii="Verdana" w:hAnsi="Verdana"/>
          <w:b/>
          <w:color w:val="7030A0"/>
        </w:rPr>
        <w:t>Right to Object</w:t>
      </w:r>
    </w:p>
    <w:p w14:paraId="5AA59FAD" w14:textId="77777777" w:rsidR="0083072D" w:rsidRDefault="0083072D" w:rsidP="0083072D">
      <w:pPr>
        <w:pStyle w:val="ListParagraph"/>
        <w:tabs>
          <w:tab w:val="left" w:pos="1245"/>
        </w:tabs>
        <w:ind w:left="0"/>
        <w:rPr>
          <w:rFonts w:ascii="Verdana" w:hAnsi="Verdana"/>
          <w:b/>
          <w:color w:val="7030A0"/>
        </w:rPr>
      </w:pPr>
    </w:p>
    <w:p w14:paraId="1EEB8365" w14:textId="77777777" w:rsidR="00A66946" w:rsidRDefault="0083072D" w:rsidP="0083072D">
      <w:pPr>
        <w:pStyle w:val="ListParagraph"/>
        <w:tabs>
          <w:tab w:val="left" w:pos="1245"/>
        </w:tabs>
        <w:ind w:left="0"/>
        <w:rPr>
          <w:rFonts w:ascii="Verdana" w:hAnsi="Verdana"/>
          <w:color w:val="000000" w:themeColor="text1"/>
        </w:rPr>
      </w:pPr>
      <w:r>
        <w:rPr>
          <w:rFonts w:ascii="Verdana" w:hAnsi="Verdana"/>
          <w:color w:val="000000" w:themeColor="text1"/>
        </w:rPr>
        <w:t>The right to object affords individuals the right to</w:t>
      </w:r>
      <w:r w:rsidR="00A66946">
        <w:rPr>
          <w:rFonts w:ascii="Verdana" w:hAnsi="Verdana"/>
          <w:color w:val="000000" w:themeColor="text1"/>
        </w:rPr>
        <w:t xml:space="preserve"> object to:</w:t>
      </w:r>
    </w:p>
    <w:p w14:paraId="64BADF7A" w14:textId="77777777" w:rsidR="00BB6B85" w:rsidRDefault="00BB6B85" w:rsidP="0083072D">
      <w:pPr>
        <w:pStyle w:val="ListParagraph"/>
        <w:tabs>
          <w:tab w:val="left" w:pos="1245"/>
        </w:tabs>
        <w:ind w:left="0"/>
        <w:rPr>
          <w:rFonts w:ascii="Verdana" w:hAnsi="Verdana"/>
          <w:color w:val="000000" w:themeColor="text1"/>
        </w:rPr>
      </w:pPr>
    </w:p>
    <w:p w14:paraId="4C1C8179" w14:textId="77777777" w:rsidR="0083072D" w:rsidRDefault="00A66946" w:rsidP="00A66946">
      <w:pPr>
        <w:pStyle w:val="ListParagraph"/>
        <w:numPr>
          <w:ilvl w:val="0"/>
          <w:numId w:val="24"/>
        </w:numPr>
        <w:tabs>
          <w:tab w:val="left" w:pos="1245"/>
        </w:tabs>
        <w:ind w:left="567" w:hanging="567"/>
        <w:rPr>
          <w:rFonts w:ascii="Verdana" w:hAnsi="Verdana"/>
          <w:color w:val="000000" w:themeColor="text1"/>
        </w:rPr>
      </w:pPr>
      <w:r>
        <w:rPr>
          <w:rFonts w:ascii="Verdana" w:hAnsi="Verdana"/>
          <w:color w:val="000000" w:themeColor="text1"/>
        </w:rPr>
        <w:t>Processing based on the performance of a task in the public interest/exercise of official authority;</w:t>
      </w:r>
    </w:p>
    <w:p w14:paraId="7C9FD93E" w14:textId="77777777" w:rsidR="00A66946" w:rsidRDefault="00A66946" w:rsidP="00A66946">
      <w:pPr>
        <w:pStyle w:val="ListParagraph"/>
        <w:numPr>
          <w:ilvl w:val="0"/>
          <w:numId w:val="24"/>
        </w:numPr>
        <w:tabs>
          <w:tab w:val="left" w:pos="1245"/>
        </w:tabs>
        <w:ind w:left="567" w:hanging="567"/>
        <w:rPr>
          <w:rFonts w:ascii="Verdana" w:hAnsi="Verdana"/>
          <w:color w:val="000000" w:themeColor="text1"/>
        </w:rPr>
      </w:pPr>
      <w:r>
        <w:rPr>
          <w:rFonts w:ascii="Verdana" w:hAnsi="Verdana"/>
          <w:color w:val="000000" w:themeColor="text1"/>
        </w:rPr>
        <w:t>Direct marketing and</w:t>
      </w:r>
    </w:p>
    <w:p w14:paraId="1B5E1B02" w14:textId="77777777" w:rsidR="00A66946" w:rsidRDefault="00A66946" w:rsidP="00A66946">
      <w:pPr>
        <w:pStyle w:val="ListParagraph"/>
        <w:numPr>
          <w:ilvl w:val="0"/>
          <w:numId w:val="24"/>
        </w:numPr>
        <w:tabs>
          <w:tab w:val="left" w:pos="1245"/>
        </w:tabs>
        <w:ind w:left="567" w:hanging="567"/>
        <w:rPr>
          <w:rFonts w:ascii="Verdana" w:hAnsi="Verdana"/>
          <w:color w:val="000000" w:themeColor="text1"/>
        </w:rPr>
      </w:pPr>
      <w:r>
        <w:rPr>
          <w:rFonts w:ascii="Verdana" w:hAnsi="Verdana"/>
          <w:color w:val="000000" w:themeColor="text1"/>
        </w:rPr>
        <w:t>Processing for purposes of scientific/historical research and statistics.</w:t>
      </w:r>
    </w:p>
    <w:p w14:paraId="043EDC65" w14:textId="77777777" w:rsidR="00A66946" w:rsidRDefault="00A66946" w:rsidP="0093482E">
      <w:pPr>
        <w:pStyle w:val="ListParagraph"/>
        <w:tabs>
          <w:tab w:val="left" w:pos="1245"/>
        </w:tabs>
        <w:ind w:left="0"/>
        <w:rPr>
          <w:rFonts w:ascii="Verdana" w:hAnsi="Verdana"/>
          <w:color w:val="000000" w:themeColor="text1"/>
        </w:rPr>
      </w:pPr>
    </w:p>
    <w:p w14:paraId="7A99B8CC" w14:textId="7DF2E9F6" w:rsidR="0093482E" w:rsidRDefault="0093482E"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When an objection is received where personal data is processed due to a public task, the </w:t>
      </w:r>
      <w:r w:rsidR="00092CF3">
        <w:rPr>
          <w:rFonts w:ascii="Verdana" w:hAnsi="Verdana"/>
          <w:color w:val="000000" w:themeColor="text1"/>
        </w:rPr>
        <w:t>NIHRC</w:t>
      </w:r>
      <w:r>
        <w:rPr>
          <w:rFonts w:ascii="Verdana" w:hAnsi="Verdana"/>
          <w:color w:val="000000" w:themeColor="text1"/>
        </w:rPr>
        <w:t xml:space="preserve"> will stop processing the personal data unless the DPO can demonstrate:</w:t>
      </w:r>
    </w:p>
    <w:p w14:paraId="28C555A7" w14:textId="77777777" w:rsidR="00BB6B85" w:rsidRDefault="00BB6B85" w:rsidP="0093482E">
      <w:pPr>
        <w:pStyle w:val="ListParagraph"/>
        <w:tabs>
          <w:tab w:val="left" w:pos="1245"/>
        </w:tabs>
        <w:ind w:left="0"/>
        <w:rPr>
          <w:rFonts w:ascii="Verdana" w:hAnsi="Verdana"/>
          <w:color w:val="000000" w:themeColor="text1"/>
        </w:rPr>
      </w:pPr>
    </w:p>
    <w:p w14:paraId="76536D75" w14:textId="77777777" w:rsidR="0093482E" w:rsidRDefault="0093482E" w:rsidP="0093482E">
      <w:pPr>
        <w:pStyle w:val="ListParagraph"/>
        <w:numPr>
          <w:ilvl w:val="0"/>
          <w:numId w:val="25"/>
        </w:numPr>
        <w:tabs>
          <w:tab w:val="left" w:pos="1245"/>
        </w:tabs>
        <w:ind w:left="567" w:hanging="567"/>
        <w:rPr>
          <w:rFonts w:ascii="Verdana" w:hAnsi="Verdana"/>
          <w:color w:val="000000" w:themeColor="text1"/>
        </w:rPr>
      </w:pPr>
      <w:r>
        <w:rPr>
          <w:rFonts w:ascii="Verdana" w:hAnsi="Verdana"/>
          <w:color w:val="000000" w:themeColor="text1"/>
        </w:rPr>
        <w:t>Compelling legitimate grounds for the processing, which override the interests, rights and freedoms of the individual;</w:t>
      </w:r>
    </w:p>
    <w:p w14:paraId="799B0B60" w14:textId="77777777" w:rsidR="0093482E" w:rsidRDefault="0093482E" w:rsidP="0093482E">
      <w:pPr>
        <w:pStyle w:val="ListParagraph"/>
        <w:numPr>
          <w:ilvl w:val="0"/>
          <w:numId w:val="25"/>
        </w:numPr>
        <w:tabs>
          <w:tab w:val="left" w:pos="1245"/>
        </w:tabs>
        <w:ind w:left="567" w:hanging="567"/>
        <w:rPr>
          <w:rFonts w:ascii="Verdana" w:hAnsi="Verdana"/>
          <w:color w:val="000000" w:themeColor="text1"/>
        </w:rPr>
      </w:pPr>
      <w:r>
        <w:rPr>
          <w:rFonts w:ascii="Verdana" w:hAnsi="Verdana"/>
          <w:color w:val="000000" w:themeColor="text1"/>
        </w:rPr>
        <w:t>Of the processing is for the establishment, exercise or defence of legal claims.</w:t>
      </w:r>
    </w:p>
    <w:p w14:paraId="6BD72D14" w14:textId="77777777" w:rsidR="00EF27A5" w:rsidRDefault="00EF27A5" w:rsidP="0093482E">
      <w:pPr>
        <w:pStyle w:val="ListParagraph"/>
        <w:tabs>
          <w:tab w:val="left" w:pos="1245"/>
        </w:tabs>
        <w:ind w:left="0"/>
        <w:rPr>
          <w:rFonts w:ascii="Verdana" w:hAnsi="Verdana"/>
          <w:color w:val="000000" w:themeColor="text1"/>
        </w:rPr>
      </w:pPr>
    </w:p>
    <w:p w14:paraId="4C10550A" w14:textId="6B067754" w:rsidR="0093482E" w:rsidRDefault="0093482E"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Where the </w:t>
      </w:r>
      <w:r w:rsidR="00092CF3">
        <w:rPr>
          <w:rFonts w:ascii="Verdana" w:hAnsi="Verdana"/>
          <w:color w:val="000000" w:themeColor="text1"/>
        </w:rPr>
        <w:t>NIHRC</w:t>
      </w:r>
      <w:r w:rsidR="00BB6B85">
        <w:rPr>
          <w:rFonts w:ascii="Verdana" w:hAnsi="Verdana"/>
          <w:color w:val="000000" w:themeColor="text1"/>
        </w:rPr>
        <w:t xml:space="preserve"> </w:t>
      </w:r>
      <w:r>
        <w:rPr>
          <w:rFonts w:ascii="Verdana" w:hAnsi="Verdana"/>
          <w:color w:val="000000" w:themeColor="text1"/>
        </w:rPr>
        <w:t>processes personal information for the performance of a public task it will inform individuals of their right to object “at the point of first communication” and in its privacy notice.</w:t>
      </w:r>
    </w:p>
    <w:p w14:paraId="299B4184" w14:textId="77777777" w:rsidR="0093482E" w:rsidRDefault="0093482E" w:rsidP="0093482E">
      <w:pPr>
        <w:pStyle w:val="ListParagraph"/>
        <w:tabs>
          <w:tab w:val="left" w:pos="1245"/>
        </w:tabs>
        <w:ind w:left="0"/>
        <w:rPr>
          <w:rFonts w:ascii="Verdana" w:hAnsi="Verdana"/>
          <w:color w:val="000000" w:themeColor="text1"/>
        </w:rPr>
      </w:pPr>
    </w:p>
    <w:p w14:paraId="442D3979" w14:textId="23444F19" w:rsidR="0093482E" w:rsidRDefault="0093482E"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When an objection is received where the </w:t>
      </w:r>
      <w:r w:rsidR="00BB6B85">
        <w:rPr>
          <w:rFonts w:ascii="Verdana" w:hAnsi="Verdana"/>
          <w:color w:val="000000" w:themeColor="text1"/>
        </w:rPr>
        <w:t>l</w:t>
      </w:r>
      <w:r>
        <w:rPr>
          <w:rFonts w:ascii="Verdana" w:hAnsi="Verdana"/>
          <w:color w:val="000000" w:themeColor="text1"/>
        </w:rPr>
        <w:t xml:space="preserve">awful </w:t>
      </w:r>
      <w:r w:rsidR="00BB6B85">
        <w:rPr>
          <w:rFonts w:ascii="Verdana" w:hAnsi="Verdana"/>
          <w:color w:val="000000" w:themeColor="text1"/>
        </w:rPr>
        <w:t>b</w:t>
      </w:r>
      <w:r>
        <w:rPr>
          <w:rFonts w:ascii="Verdana" w:hAnsi="Verdana"/>
          <w:color w:val="000000" w:themeColor="text1"/>
        </w:rPr>
        <w:t>asis is consent, such as the e-newsletter, the NIHRC will interpret this as consent being withdrawn and cease to process immediately.  There are no exemptions or grounds to refuse.</w:t>
      </w:r>
    </w:p>
    <w:p w14:paraId="1602AC9A" w14:textId="77777777" w:rsidR="0093482E" w:rsidRDefault="0093482E" w:rsidP="0093482E">
      <w:pPr>
        <w:pStyle w:val="ListParagraph"/>
        <w:tabs>
          <w:tab w:val="left" w:pos="1245"/>
        </w:tabs>
        <w:ind w:left="0"/>
        <w:rPr>
          <w:rFonts w:ascii="Verdana" w:hAnsi="Verdana"/>
          <w:color w:val="000000" w:themeColor="text1"/>
        </w:rPr>
      </w:pPr>
    </w:p>
    <w:p w14:paraId="7FA45B05" w14:textId="72EB1A60" w:rsidR="0093482E" w:rsidRDefault="0093482E" w:rsidP="0093482E">
      <w:pPr>
        <w:pStyle w:val="ListParagraph"/>
        <w:tabs>
          <w:tab w:val="left" w:pos="1245"/>
        </w:tabs>
        <w:ind w:left="0"/>
        <w:rPr>
          <w:rFonts w:ascii="Verdana" w:hAnsi="Verdana"/>
          <w:b/>
          <w:color w:val="7030A0"/>
        </w:rPr>
      </w:pPr>
      <w:r>
        <w:rPr>
          <w:rFonts w:ascii="Verdana" w:hAnsi="Verdana"/>
          <w:b/>
          <w:color w:val="7030A0"/>
        </w:rPr>
        <w:t xml:space="preserve">Rights related to automated </w:t>
      </w:r>
      <w:r w:rsidR="00BB6B85">
        <w:rPr>
          <w:rFonts w:ascii="Verdana" w:hAnsi="Verdana"/>
          <w:b/>
          <w:color w:val="7030A0"/>
        </w:rPr>
        <w:t>decision-making</w:t>
      </w:r>
      <w:r>
        <w:rPr>
          <w:rFonts w:ascii="Verdana" w:hAnsi="Verdana"/>
          <w:b/>
          <w:color w:val="7030A0"/>
        </w:rPr>
        <w:t xml:space="preserve"> including profiling</w:t>
      </w:r>
    </w:p>
    <w:p w14:paraId="5F44CF2B" w14:textId="77777777" w:rsidR="0093482E" w:rsidRDefault="0093482E" w:rsidP="0093482E">
      <w:pPr>
        <w:pStyle w:val="ListParagraph"/>
        <w:tabs>
          <w:tab w:val="left" w:pos="1245"/>
        </w:tabs>
        <w:ind w:left="0"/>
        <w:rPr>
          <w:rFonts w:ascii="Verdana" w:hAnsi="Verdana"/>
          <w:b/>
          <w:color w:val="7030A0"/>
        </w:rPr>
      </w:pPr>
    </w:p>
    <w:p w14:paraId="6DCC844D" w14:textId="5405AFDA" w:rsidR="0093482E" w:rsidRDefault="0093482E"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At present the </w:t>
      </w:r>
      <w:r w:rsidR="00092CF3">
        <w:rPr>
          <w:rFonts w:ascii="Verdana" w:hAnsi="Verdana"/>
          <w:color w:val="000000" w:themeColor="text1"/>
        </w:rPr>
        <w:t>NIHRC</w:t>
      </w:r>
      <w:r>
        <w:rPr>
          <w:rFonts w:ascii="Verdana" w:hAnsi="Verdana"/>
          <w:color w:val="000000" w:themeColor="text1"/>
        </w:rPr>
        <w:t xml:space="preserve"> does not make automated decisions.  Should this change the </w:t>
      </w:r>
      <w:r w:rsidR="00092CF3">
        <w:rPr>
          <w:rFonts w:ascii="Verdana" w:hAnsi="Verdana"/>
          <w:color w:val="000000" w:themeColor="text1"/>
        </w:rPr>
        <w:t>NIHRC</w:t>
      </w:r>
      <w:r>
        <w:rPr>
          <w:rFonts w:ascii="Verdana" w:hAnsi="Verdana"/>
          <w:color w:val="000000" w:themeColor="text1"/>
        </w:rPr>
        <w:t xml:space="preserve"> will update its procedures accordingly.</w:t>
      </w:r>
    </w:p>
    <w:p w14:paraId="29EAA5D1" w14:textId="77777777" w:rsidR="00A24F98" w:rsidRDefault="00A24F98" w:rsidP="0093482E">
      <w:pPr>
        <w:pStyle w:val="ListParagraph"/>
        <w:tabs>
          <w:tab w:val="left" w:pos="1245"/>
        </w:tabs>
        <w:ind w:left="0"/>
        <w:rPr>
          <w:rFonts w:ascii="Verdana" w:hAnsi="Verdana"/>
          <w:b/>
          <w:color w:val="7030A0"/>
        </w:rPr>
      </w:pPr>
      <w:r>
        <w:rPr>
          <w:rFonts w:ascii="Verdana" w:hAnsi="Verdana"/>
          <w:b/>
          <w:color w:val="7030A0"/>
        </w:rPr>
        <w:lastRenderedPageBreak/>
        <w:t>Complying with a request to exercise Individual Rights</w:t>
      </w:r>
    </w:p>
    <w:p w14:paraId="29E812F4" w14:textId="77777777" w:rsidR="00A24F98" w:rsidRDefault="00A24F98" w:rsidP="0093482E">
      <w:pPr>
        <w:pStyle w:val="ListParagraph"/>
        <w:tabs>
          <w:tab w:val="left" w:pos="1245"/>
        </w:tabs>
        <w:ind w:left="0"/>
        <w:rPr>
          <w:rFonts w:ascii="Verdana" w:hAnsi="Verdana"/>
          <w:b/>
          <w:color w:val="7030A0"/>
        </w:rPr>
      </w:pPr>
    </w:p>
    <w:p w14:paraId="472BE4D2" w14:textId="79C50E81" w:rsidR="00A24F98" w:rsidRDefault="00A24F98"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On receipt of a request the </w:t>
      </w:r>
      <w:r w:rsidR="00092CF3">
        <w:rPr>
          <w:rFonts w:ascii="Verdana" w:hAnsi="Verdana"/>
          <w:color w:val="000000" w:themeColor="text1"/>
        </w:rPr>
        <w:t>NIHRC</w:t>
      </w:r>
      <w:r>
        <w:rPr>
          <w:rFonts w:ascii="Verdana" w:hAnsi="Verdana"/>
          <w:color w:val="000000" w:themeColor="text1"/>
        </w:rPr>
        <w:t xml:space="preserve"> will take all reasonable steps to ensure that the data subject’s rights are exercised.  What steps are reasonable will depend</w:t>
      </w:r>
      <w:proofErr w:type="gramStart"/>
      <w:r>
        <w:rPr>
          <w:rFonts w:ascii="Verdana" w:hAnsi="Verdana"/>
          <w:color w:val="000000" w:themeColor="text1"/>
        </w:rPr>
        <w:t>, in particular, on</w:t>
      </w:r>
      <w:proofErr w:type="gramEnd"/>
      <w:r>
        <w:rPr>
          <w:rFonts w:ascii="Verdana" w:hAnsi="Verdana"/>
          <w:color w:val="000000" w:themeColor="text1"/>
        </w:rPr>
        <w:t xml:space="preserve"> the nature of the personal data and what it will be used for.  The more important the right is, the personal data and the data subject, the greater the effort </w:t>
      </w:r>
      <w:r w:rsidR="00296045">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will make delivering that individuals right. </w:t>
      </w:r>
    </w:p>
    <w:p w14:paraId="79F61F62" w14:textId="77777777" w:rsidR="00A24F98" w:rsidRDefault="00A24F98" w:rsidP="0093482E">
      <w:pPr>
        <w:pStyle w:val="ListParagraph"/>
        <w:tabs>
          <w:tab w:val="left" w:pos="1245"/>
        </w:tabs>
        <w:ind w:left="0"/>
        <w:rPr>
          <w:rFonts w:ascii="Verdana" w:hAnsi="Verdana"/>
          <w:color w:val="000000" w:themeColor="text1"/>
        </w:rPr>
      </w:pPr>
    </w:p>
    <w:p w14:paraId="721EDD4C" w14:textId="17CA6BAB" w:rsidR="00A24F98" w:rsidRDefault="00A24F98"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The GDPR allows an individual </w:t>
      </w:r>
      <w:r w:rsidR="00920A70">
        <w:rPr>
          <w:rFonts w:ascii="Verdana" w:hAnsi="Verdana"/>
          <w:color w:val="000000" w:themeColor="text1"/>
        </w:rPr>
        <w:t xml:space="preserve">to make a request to exercise their rights in writing and to any part of, or person, within the </w:t>
      </w:r>
      <w:r w:rsidR="00092CF3">
        <w:rPr>
          <w:rFonts w:ascii="Verdana" w:hAnsi="Verdana"/>
          <w:color w:val="000000" w:themeColor="text1"/>
        </w:rPr>
        <w:t>NIHRC</w:t>
      </w:r>
      <w:r w:rsidR="00920A70">
        <w:rPr>
          <w:rFonts w:ascii="Verdana" w:hAnsi="Verdana"/>
          <w:color w:val="000000" w:themeColor="text1"/>
        </w:rPr>
        <w:t xml:space="preserve">. </w:t>
      </w:r>
      <w:proofErr w:type="gramStart"/>
      <w:r w:rsidR="00920A70">
        <w:rPr>
          <w:rFonts w:ascii="Verdana" w:hAnsi="Verdana"/>
          <w:color w:val="000000" w:themeColor="text1"/>
        </w:rPr>
        <w:t>Furthermore</w:t>
      </w:r>
      <w:proofErr w:type="gramEnd"/>
      <w:r w:rsidR="00920A70">
        <w:rPr>
          <w:rFonts w:ascii="Verdana" w:hAnsi="Verdana"/>
          <w:color w:val="000000" w:themeColor="text1"/>
        </w:rPr>
        <w:t xml:space="preserve"> a request to exercise their rights does not need to mention the right being exercised.  For example, if an individual has challenged the accuracy of their data and has asked for it to be </w:t>
      </w:r>
      <w:proofErr w:type="gramStart"/>
      <w:r w:rsidR="00920A70">
        <w:rPr>
          <w:rFonts w:ascii="Verdana" w:hAnsi="Verdana"/>
          <w:color w:val="000000" w:themeColor="text1"/>
        </w:rPr>
        <w:t>corrected, or</w:t>
      </w:r>
      <w:proofErr w:type="gramEnd"/>
      <w:r w:rsidR="00920A70">
        <w:rPr>
          <w:rFonts w:ascii="Verdana" w:hAnsi="Verdana"/>
          <w:color w:val="000000" w:themeColor="text1"/>
        </w:rPr>
        <w:t xml:space="preserve"> has asked that you take steps to complete data held about them that is incomplete, this will be a valid request.  A record of all requests is maintained by the DPO. </w:t>
      </w:r>
    </w:p>
    <w:p w14:paraId="251C9FA0" w14:textId="77777777" w:rsidR="00920A70" w:rsidRDefault="00920A70" w:rsidP="0093482E">
      <w:pPr>
        <w:pStyle w:val="ListParagraph"/>
        <w:tabs>
          <w:tab w:val="left" w:pos="1245"/>
        </w:tabs>
        <w:ind w:left="0"/>
        <w:rPr>
          <w:rFonts w:ascii="Verdana" w:hAnsi="Verdana"/>
          <w:color w:val="000000" w:themeColor="text1"/>
        </w:rPr>
      </w:pPr>
    </w:p>
    <w:p w14:paraId="56249012" w14:textId="1DB35938" w:rsidR="00920A70" w:rsidRDefault="00920A70"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All requests must be reported immediately to the Data Protection Officer.  The DPO will prepare a plan within 72 hours detailing what steps the </w:t>
      </w:r>
      <w:r w:rsidR="00092CF3">
        <w:rPr>
          <w:rFonts w:ascii="Verdana" w:hAnsi="Verdana"/>
          <w:color w:val="000000" w:themeColor="text1"/>
        </w:rPr>
        <w:t>NIHRC</w:t>
      </w:r>
      <w:r>
        <w:rPr>
          <w:rFonts w:ascii="Verdana" w:hAnsi="Verdana"/>
          <w:color w:val="000000" w:themeColor="text1"/>
        </w:rPr>
        <w:t xml:space="preserve"> will take to comply with the request.  The </w:t>
      </w:r>
      <w:r w:rsidR="00092CF3">
        <w:rPr>
          <w:rFonts w:ascii="Verdana" w:hAnsi="Verdana"/>
          <w:color w:val="000000" w:themeColor="text1"/>
        </w:rPr>
        <w:t>NIHRC</w:t>
      </w:r>
      <w:r>
        <w:rPr>
          <w:rFonts w:ascii="Verdana" w:hAnsi="Verdana"/>
          <w:color w:val="000000" w:themeColor="text1"/>
        </w:rPr>
        <w:t xml:space="preserve"> will comply within one calendar month of the request being received unless there are exceptional circumstances.  Should exceptional circumstances exist, the data subject will be notified and a report made to the Audit and Risk Management Committee.</w:t>
      </w:r>
    </w:p>
    <w:p w14:paraId="53B7DF4D" w14:textId="77777777" w:rsidR="00920A70" w:rsidRDefault="00920A70" w:rsidP="0093482E">
      <w:pPr>
        <w:pStyle w:val="ListParagraph"/>
        <w:tabs>
          <w:tab w:val="left" w:pos="1245"/>
        </w:tabs>
        <w:ind w:left="0"/>
        <w:rPr>
          <w:rFonts w:ascii="Verdana" w:hAnsi="Verdana"/>
          <w:color w:val="000000" w:themeColor="text1"/>
        </w:rPr>
      </w:pPr>
    </w:p>
    <w:p w14:paraId="4FFE61DE" w14:textId="77777777" w:rsidR="00920A70" w:rsidRDefault="00920A70"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 fee cannot be charged.  </w:t>
      </w:r>
    </w:p>
    <w:p w14:paraId="6CFD53C4" w14:textId="77777777" w:rsidR="00920A70" w:rsidRDefault="00920A70" w:rsidP="0093482E">
      <w:pPr>
        <w:pStyle w:val="ListParagraph"/>
        <w:tabs>
          <w:tab w:val="left" w:pos="1245"/>
        </w:tabs>
        <w:ind w:left="0"/>
        <w:rPr>
          <w:rFonts w:ascii="Verdana" w:hAnsi="Verdana"/>
          <w:color w:val="000000" w:themeColor="text1"/>
        </w:rPr>
      </w:pPr>
    </w:p>
    <w:p w14:paraId="4D838967" w14:textId="04728673" w:rsidR="00920A70" w:rsidRDefault="00920A70"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296045">
        <w:rPr>
          <w:rFonts w:ascii="Verdana" w:hAnsi="Verdana"/>
          <w:color w:val="000000" w:themeColor="text1"/>
        </w:rPr>
        <w:t xml:space="preserve"> </w:t>
      </w:r>
      <w:r>
        <w:rPr>
          <w:rFonts w:ascii="Verdana" w:hAnsi="Verdana"/>
          <w:color w:val="000000" w:themeColor="text1"/>
        </w:rPr>
        <w:t xml:space="preserve">will restrict processing of personal data during the period when the accuracy of personal data is being checked or updated. </w:t>
      </w:r>
    </w:p>
    <w:p w14:paraId="4A3B105B" w14:textId="77777777" w:rsidR="00920A70" w:rsidRDefault="00920A70" w:rsidP="0093482E">
      <w:pPr>
        <w:pStyle w:val="ListParagraph"/>
        <w:tabs>
          <w:tab w:val="left" w:pos="1245"/>
        </w:tabs>
        <w:ind w:left="0"/>
        <w:rPr>
          <w:rFonts w:ascii="Verdana" w:hAnsi="Verdana"/>
          <w:color w:val="000000" w:themeColor="text1"/>
        </w:rPr>
      </w:pPr>
    </w:p>
    <w:p w14:paraId="56EF4807" w14:textId="77777777" w:rsidR="00920A70" w:rsidRDefault="00920A70"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The DPO will write to the individual once the extent of accuracy of personal data has been established and rectified. </w:t>
      </w:r>
    </w:p>
    <w:p w14:paraId="34AB0DA2" w14:textId="77777777" w:rsidR="00920A70" w:rsidRDefault="00920A70" w:rsidP="0093482E">
      <w:pPr>
        <w:pStyle w:val="ListParagraph"/>
        <w:tabs>
          <w:tab w:val="left" w:pos="1245"/>
        </w:tabs>
        <w:ind w:left="0"/>
        <w:rPr>
          <w:rFonts w:ascii="Verdana" w:hAnsi="Verdana"/>
          <w:color w:val="000000" w:themeColor="text1"/>
        </w:rPr>
      </w:pPr>
    </w:p>
    <w:p w14:paraId="2136D892" w14:textId="389C99BB" w:rsidR="00920A70" w:rsidRDefault="00920A70"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In certain circumstances the </w:t>
      </w:r>
      <w:r w:rsidR="00092CF3">
        <w:rPr>
          <w:rFonts w:ascii="Verdana" w:hAnsi="Verdana"/>
          <w:color w:val="000000" w:themeColor="text1"/>
        </w:rPr>
        <w:t>NIHRC</w:t>
      </w:r>
      <w:r w:rsidR="00296045">
        <w:rPr>
          <w:rFonts w:ascii="Verdana" w:hAnsi="Verdana"/>
          <w:color w:val="000000" w:themeColor="text1"/>
        </w:rPr>
        <w:t xml:space="preserve"> </w:t>
      </w:r>
      <w:r>
        <w:rPr>
          <w:rFonts w:ascii="Verdana" w:hAnsi="Verdana"/>
          <w:color w:val="000000" w:themeColor="text1"/>
        </w:rPr>
        <w:t xml:space="preserve">can refuse to comply with a request to correct personal data.  Should these circumstances apply, the DPO will report to the </w:t>
      </w:r>
      <w:r w:rsidR="00296045">
        <w:rPr>
          <w:rFonts w:ascii="Verdana" w:hAnsi="Verdana"/>
          <w:color w:val="000000" w:themeColor="text1"/>
        </w:rPr>
        <w:t>Chief Executive</w:t>
      </w:r>
      <w:r>
        <w:rPr>
          <w:rFonts w:ascii="Verdana" w:hAnsi="Verdana"/>
          <w:color w:val="000000" w:themeColor="text1"/>
        </w:rPr>
        <w:t xml:space="preserve"> explaining why they apply and what action should now be taken.  The decision not to comply must be approved by the </w:t>
      </w:r>
      <w:r w:rsidR="00296045">
        <w:rPr>
          <w:rFonts w:ascii="Verdana" w:hAnsi="Verdana"/>
          <w:color w:val="000000" w:themeColor="text1"/>
        </w:rPr>
        <w:t>Chief Executive</w:t>
      </w:r>
      <w:r>
        <w:rPr>
          <w:rFonts w:ascii="Verdana" w:hAnsi="Verdana"/>
          <w:color w:val="000000" w:themeColor="text1"/>
        </w:rPr>
        <w:t xml:space="preserve"> and reported to the Audit and Risk Management Committee.</w:t>
      </w:r>
    </w:p>
    <w:p w14:paraId="501F0EE9" w14:textId="77777777" w:rsidR="00920A70" w:rsidRDefault="00920A70" w:rsidP="0093482E">
      <w:pPr>
        <w:pStyle w:val="ListParagraph"/>
        <w:tabs>
          <w:tab w:val="left" w:pos="1245"/>
        </w:tabs>
        <w:ind w:left="0"/>
        <w:rPr>
          <w:rFonts w:ascii="Verdana" w:hAnsi="Verdana"/>
          <w:color w:val="000000" w:themeColor="text1"/>
        </w:rPr>
      </w:pPr>
    </w:p>
    <w:p w14:paraId="528BF17C" w14:textId="77777777" w:rsidR="00920A70" w:rsidRPr="00920A70" w:rsidRDefault="00920A70" w:rsidP="00920A70">
      <w:pPr>
        <w:pStyle w:val="ListParagraph"/>
        <w:numPr>
          <w:ilvl w:val="0"/>
          <w:numId w:val="1"/>
        </w:numPr>
        <w:tabs>
          <w:tab w:val="left" w:pos="1245"/>
        </w:tabs>
        <w:ind w:left="567" w:hanging="567"/>
        <w:rPr>
          <w:rFonts w:ascii="Verdana" w:hAnsi="Verdana"/>
          <w:color w:val="000000" w:themeColor="text1"/>
        </w:rPr>
      </w:pPr>
      <w:r>
        <w:rPr>
          <w:rFonts w:ascii="Verdana" w:hAnsi="Verdana"/>
          <w:b/>
          <w:color w:val="7030A0"/>
        </w:rPr>
        <w:t>Data Breach</w:t>
      </w:r>
    </w:p>
    <w:p w14:paraId="5DBC1104" w14:textId="77777777" w:rsidR="00920A70" w:rsidRDefault="00920A70" w:rsidP="00920A70">
      <w:pPr>
        <w:pStyle w:val="ListParagraph"/>
        <w:tabs>
          <w:tab w:val="left" w:pos="1245"/>
        </w:tabs>
        <w:ind w:left="567"/>
        <w:rPr>
          <w:rFonts w:ascii="Verdana" w:hAnsi="Verdana"/>
          <w:b/>
          <w:color w:val="7030A0"/>
        </w:rPr>
      </w:pPr>
    </w:p>
    <w:p w14:paraId="12E5A0AB" w14:textId="6AC27E5C" w:rsidR="004C075C" w:rsidRDefault="004C075C" w:rsidP="00920A70">
      <w:pPr>
        <w:pStyle w:val="ListParagraph"/>
        <w:tabs>
          <w:tab w:val="left" w:pos="1245"/>
        </w:tabs>
        <w:ind w:left="0"/>
        <w:rPr>
          <w:rFonts w:ascii="Verdana" w:hAnsi="Verdana"/>
          <w:color w:val="000000" w:themeColor="text1"/>
        </w:rPr>
      </w:pPr>
      <w:r>
        <w:rPr>
          <w:rFonts w:ascii="Verdana" w:hAnsi="Verdana"/>
          <w:color w:val="000000" w:themeColor="text1"/>
        </w:rPr>
        <w:t xml:space="preserve">A data breach is defined by GDPR as “any unauthorised or unlawful processing, accidental loss or destruction of, or any damage to, personal information held by </w:t>
      </w:r>
      <w:r w:rsidR="00296045">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in both electronic and paper copy”.</w:t>
      </w:r>
    </w:p>
    <w:p w14:paraId="0E518E46" w14:textId="77777777" w:rsidR="004C075C" w:rsidRDefault="004C075C" w:rsidP="00920A70">
      <w:pPr>
        <w:pStyle w:val="ListParagraph"/>
        <w:tabs>
          <w:tab w:val="left" w:pos="1245"/>
        </w:tabs>
        <w:ind w:left="0"/>
        <w:rPr>
          <w:rFonts w:ascii="Verdana" w:hAnsi="Verdana"/>
          <w:color w:val="000000" w:themeColor="text1"/>
        </w:rPr>
      </w:pPr>
    </w:p>
    <w:p w14:paraId="4C328614" w14:textId="59A75C57" w:rsidR="005E7F56" w:rsidRDefault="004C075C" w:rsidP="00920A70">
      <w:pPr>
        <w:pStyle w:val="ListParagraph"/>
        <w:tabs>
          <w:tab w:val="left" w:pos="1245"/>
        </w:tabs>
        <w:ind w:left="0"/>
        <w:rPr>
          <w:rFonts w:ascii="Verdana" w:hAnsi="Verdana"/>
          <w:color w:val="000000" w:themeColor="text1"/>
        </w:rPr>
      </w:pPr>
      <w:r>
        <w:rPr>
          <w:rFonts w:ascii="Verdana" w:hAnsi="Verdana"/>
          <w:color w:val="000000" w:themeColor="text1"/>
        </w:rPr>
        <w:t xml:space="preserve">Data breach incidents should be reported to the DPO verbally by the </w:t>
      </w:r>
      <w:r w:rsidR="00092CF3">
        <w:rPr>
          <w:rFonts w:ascii="Verdana" w:hAnsi="Verdana"/>
          <w:color w:val="000000" w:themeColor="text1"/>
        </w:rPr>
        <w:t>NIHRC</w:t>
      </w:r>
      <w:r>
        <w:rPr>
          <w:rFonts w:ascii="Verdana" w:hAnsi="Verdana"/>
          <w:color w:val="000000" w:themeColor="text1"/>
        </w:rPr>
        <w:t xml:space="preserve"> employee who becomes aware of the data breach as soon as the data loss has been discovered.  A formal breach report form (as shown in Appendix 3) should then be immediately completed by the </w:t>
      </w:r>
      <w:r w:rsidR="00092CF3">
        <w:rPr>
          <w:rFonts w:ascii="Verdana" w:hAnsi="Verdana"/>
          <w:color w:val="000000" w:themeColor="text1"/>
        </w:rPr>
        <w:t>NIHRC</w:t>
      </w:r>
      <w:r w:rsidR="0013671E">
        <w:rPr>
          <w:rFonts w:ascii="Verdana" w:hAnsi="Verdana"/>
          <w:color w:val="000000" w:themeColor="text1"/>
        </w:rPr>
        <w:t xml:space="preserve"> </w:t>
      </w:r>
      <w:r>
        <w:rPr>
          <w:rFonts w:ascii="Verdana" w:hAnsi="Verdana"/>
          <w:color w:val="000000" w:themeColor="text1"/>
        </w:rPr>
        <w:t xml:space="preserve">employee who becomes aware of the data breach. </w:t>
      </w:r>
      <w:r w:rsidR="005E7F56">
        <w:rPr>
          <w:rFonts w:ascii="Verdana" w:hAnsi="Verdana"/>
          <w:color w:val="000000" w:themeColor="text1"/>
        </w:rPr>
        <w:t>The completed form should be forwarded to the DPO without delay.</w:t>
      </w:r>
    </w:p>
    <w:p w14:paraId="494E8DC6" w14:textId="77777777" w:rsidR="005E7F56" w:rsidRDefault="005E7F56" w:rsidP="00920A70">
      <w:pPr>
        <w:pStyle w:val="ListParagraph"/>
        <w:tabs>
          <w:tab w:val="left" w:pos="1245"/>
        </w:tabs>
        <w:ind w:left="0"/>
        <w:rPr>
          <w:rFonts w:ascii="Verdana" w:hAnsi="Verdana"/>
          <w:color w:val="000000" w:themeColor="text1"/>
        </w:rPr>
      </w:pPr>
      <w:r>
        <w:rPr>
          <w:rFonts w:ascii="Verdana" w:hAnsi="Verdana"/>
          <w:color w:val="000000" w:themeColor="text1"/>
        </w:rPr>
        <w:lastRenderedPageBreak/>
        <w:t xml:space="preserve">Such incidents will be reported to the Information Commissioner’s Office within 72 hours and to the data subject as soon as possible. </w:t>
      </w:r>
    </w:p>
    <w:p w14:paraId="65A1BCF8" w14:textId="77777777" w:rsidR="005E7F56" w:rsidRDefault="005E7F56" w:rsidP="00920A70">
      <w:pPr>
        <w:pStyle w:val="ListParagraph"/>
        <w:tabs>
          <w:tab w:val="left" w:pos="1245"/>
        </w:tabs>
        <w:ind w:left="0"/>
        <w:rPr>
          <w:rFonts w:ascii="Verdana" w:hAnsi="Verdana"/>
          <w:color w:val="000000" w:themeColor="text1"/>
        </w:rPr>
      </w:pPr>
    </w:p>
    <w:p w14:paraId="08DB6059" w14:textId="77777777" w:rsidR="005E7F56" w:rsidRDefault="005E7F56" w:rsidP="00920A70">
      <w:pPr>
        <w:pStyle w:val="ListParagraph"/>
        <w:tabs>
          <w:tab w:val="left" w:pos="1245"/>
        </w:tabs>
        <w:ind w:left="0"/>
        <w:rPr>
          <w:rFonts w:ascii="Verdana" w:hAnsi="Verdana"/>
          <w:b/>
          <w:color w:val="7030A0"/>
        </w:rPr>
      </w:pPr>
      <w:r>
        <w:rPr>
          <w:rFonts w:ascii="Verdana" w:hAnsi="Verdana"/>
          <w:b/>
          <w:color w:val="7030A0"/>
        </w:rPr>
        <w:t>How to respond to a data breach</w:t>
      </w:r>
    </w:p>
    <w:p w14:paraId="630BD92C" w14:textId="77777777" w:rsidR="005E7F56" w:rsidRDefault="005E7F56" w:rsidP="00920A70">
      <w:pPr>
        <w:pStyle w:val="ListParagraph"/>
        <w:tabs>
          <w:tab w:val="left" w:pos="1245"/>
        </w:tabs>
        <w:ind w:left="0"/>
        <w:rPr>
          <w:rFonts w:ascii="Verdana" w:hAnsi="Verdana"/>
          <w:b/>
          <w:color w:val="7030A0"/>
        </w:rPr>
      </w:pPr>
    </w:p>
    <w:p w14:paraId="58975895" w14:textId="6F85649D" w:rsidR="005E7F56" w:rsidRDefault="005E7F56" w:rsidP="00920A70">
      <w:pPr>
        <w:pStyle w:val="ListParagraph"/>
        <w:tabs>
          <w:tab w:val="left" w:pos="1245"/>
        </w:tabs>
        <w:ind w:left="0"/>
        <w:rPr>
          <w:rFonts w:ascii="Verdana" w:hAnsi="Verdana"/>
          <w:color w:val="000000" w:themeColor="text1"/>
        </w:rPr>
      </w:pPr>
      <w:r>
        <w:rPr>
          <w:rFonts w:ascii="Verdana" w:hAnsi="Verdana"/>
          <w:color w:val="000000" w:themeColor="text1"/>
        </w:rPr>
        <w:t xml:space="preserve">Whilst breaches should be escalated immediately (even if all the details are not yet clear), it is important that staff also bring any ‘near </w:t>
      </w:r>
      <w:proofErr w:type="spellStart"/>
      <w:r>
        <w:rPr>
          <w:rFonts w:ascii="Verdana" w:hAnsi="Verdana"/>
          <w:color w:val="000000" w:themeColor="text1"/>
        </w:rPr>
        <w:t>miss’</w:t>
      </w:r>
      <w:proofErr w:type="spellEnd"/>
      <w:r>
        <w:rPr>
          <w:rFonts w:ascii="Verdana" w:hAnsi="Verdana"/>
          <w:color w:val="000000" w:themeColor="text1"/>
        </w:rPr>
        <w:t xml:space="preserve"> incidents or information security weaknesses to the attention of their line manager.  If you become aware that data security has been breached, you must inform your line manager immediately.  The line manager in turn, must advise the DPO who will assess the severity of the incident and notify the </w:t>
      </w:r>
      <w:r w:rsidR="0013671E">
        <w:rPr>
          <w:rFonts w:ascii="Verdana" w:hAnsi="Verdana"/>
          <w:color w:val="000000" w:themeColor="text1"/>
        </w:rPr>
        <w:t>Chief Executive</w:t>
      </w:r>
      <w:r>
        <w:rPr>
          <w:rFonts w:ascii="Verdana" w:hAnsi="Verdana"/>
          <w:color w:val="000000" w:themeColor="text1"/>
        </w:rPr>
        <w:t xml:space="preserve">.  The </w:t>
      </w:r>
      <w:r w:rsidR="0013671E">
        <w:rPr>
          <w:rFonts w:ascii="Verdana" w:hAnsi="Verdana"/>
          <w:color w:val="000000" w:themeColor="text1"/>
        </w:rPr>
        <w:t>Chief Executive</w:t>
      </w:r>
      <w:r>
        <w:rPr>
          <w:rFonts w:ascii="Verdana" w:hAnsi="Verdana"/>
          <w:color w:val="000000" w:themeColor="text1"/>
        </w:rPr>
        <w:t xml:space="preserve"> and DPO will together agree a way forward.</w:t>
      </w:r>
    </w:p>
    <w:p w14:paraId="412E1FAD" w14:textId="77777777" w:rsidR="005E7F56" w:rsidRDefault="005E7F56" w:rsidP="00920A70">
      <w:pPr>
        <w:pStyle w:val="ListParagraph"/>
        <w:tabs>
          <w:tab w:val="left" w:pos="1245"/>
        </w:tabs>
        <w:ind w:left="0"/>
        <w:rPr>
          <w:rFonts w:ascii="Verdana" w:hAnsi="Verdana"/>
          <w:color w:val="000000" w:themeColor="text1"/>
        </w:rPr>
      </w:pPr>
    </w:p>
    <w:p w14:paraId="2181F7A2" w14:textId="048E4D6D" w:rsidR="00920A70" w:rsidRDefault="005E7F56" w:rsidP="00920A70">
      <w:pPr>
        <w:pStyle w:val="ListParagraph"/>
        <w:tabs>
          <w:tab w:val="left" w:pos="1245"/>
        </w:tabs>
        <w:ind w:left="0"/>
        <w:rPr>
          <w:rFonts w:ascii="Verdana" w:hAnsi="Verdana"/>
          <w:color w:val="000000" w:themeColor="text1"/>
        </w:rPr>
      </w:pPr>
      <w:r>
        <w:rPr>
          <w:rFonts w:ascii="Verdana" w:hAnsi="Verdana"/>
          <w:color w:val="000000" w:themeColor="text1"/>
        </w:rPr>
        <w:t xml:space="preserve">The DPO must report the breach to the ICO within 72 hours of the </w:t>
      </w:r>
      <w:r w:rsidR="00092CF3">
        <w:rPr>
          <w:rFonts w:ascii="Verdana" w:hAnsi="Verdana"/>
          <w:color w:val="000000" w:themeColor="text1"/>
        </w:rPr>
        <w:t>NIHRC</w:t>
      </w:r>
      <w:r>
        <w:rPr>
          <w:rFonts w:ascii="Verdana" w:hAnsi="Verdana"/>
          <w:color w:val="000000" w:themeColor="text1"/>
        </w:rPr>
        <w:t xml:space="preserve"> becoming aware of the breach </w:t>
      </w:r>
      <w:proofErr w:type="gramStart"/>
      <w:r>
        <w:rPr>
          <w:rFonts w:ascii="Verdana" w:hAnsi="Verdana"/>
          <w:color w:val="000000" w:themeColor="text1"/>
        </w:rPr>
        <w:t>and also</w:t>
      </w:r>
      <w:proofErr w:type="gramEnd"/>
      <w:r>
        <w:rPr>
          <w:rFonts w:ascii="Verdana" w:hAnsi="Verdana"/>
          <w:color w:val="000000" w:themeColor="text1"/>
        </w:rPr>
        <w:t xml:space="preserve"> inform the data subject without delay.</w:t>
      </w:r>
    </w:p>
    <w:p w14:paraId="1205B5C8" w14:textId="77777777" w:rsidR="005E7F56" w:rsidRDefault="005E7F56" w:rsidP="00920A70">
      <w:pPr>
        <w:pStyle w:val="ListParagraph"/>
        <w:tabs>
          <w:tab w:val="left" w:pos="1245"/>
        </w:tabs>
        <w:ind w:left="0"/>
        <w:rPr>
          <w:rFonts w:ascii="Verdana" w:hAnsi="Verdana"/>
          <w:color w:val="000000" w:themeColor="text1"/>
        </w:rPr>
      </w:pPr>
    </w:p>
    <w:p w14:paraId="001B686A" w14:textId="77777777" w:rsidR="005E7F56" w:rsidRDefault="005E7F56" w:rsidP="00920A70">
      <w:pPr>
        <w:pStyle w:val="ListParagraph"/>
        <w:tabs>
          <w:tab w:val="left" w:pos="1245"/>
        </w:tabs>
        <w:ind w:left="0"/>
        <w:rPr>
          <w:rFonts w:ascii="Verdana" w:hAnsi="Verdana"/>
          <w:color w:val="000000" w:themeColor="text1"/>
        </w:rPr>
      </w:pPr>
      <w:r>
        <w:rPr>
          <w:rFonts w:ascii="Verdana" w:hAnsi="Verdana"/>
          <w:color w:val="000000" w:themeColor="text1"/>
        </w:rPr>
        <w:t>The DPO will present a report on the incident including:</w:t>
      </w:r>
    </w:p>
    <w:p w14:paraId="4FF74D63" w14:textId="77777777" w:rsidR="0013671E" w:rsidRDefault="0013671E" w:rsidP="00920A70">
      <w:pPr>
        <w:pStyle w:val="ListParagraph"/>
        <w:tabs>
          <w:tab w:val="left" w:pos="1245"/>
        </w:tabs>
        <w:ind w:left="0"/>
        <w:rPr>
          <w:rFonts w:ascii="Verdana" w:hAnsi="Verdana"/>
          <w:color w:val="000000" w:themeColor="text1"/>
        </w:rPr>
      </w:pPr>
    </w:p>
    <w:p w14:paraId="36816B2C"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Summary of the event and circumstances;</w:t>
      </w:r>
    </w:p>
    <w:p w14:paraId="1DF94776"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Type and amount of personal data affected;</w:t>
      </w:r>
    </w:p>
    <w:p w14:paraId="7F373EDF"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Actions taken by recipient who received the information;</w:t>
      </w:r>
    </w:p>
    <w:p w14:paraId="0573FC62"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Actions taken to retrieve the information and respond to the breach;</w:t>
      </w:r>
    </w:p>
    <w:p w14:paraId="4DA5E962"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Procedures in place to mitigate risk and why not effective;</w:t>
      </w:r>
    </w:p>
    <w:p w14:paraId="70F72DC3"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Details of notification to affect data subject(s);</w:t>
      </w:r>
    </w:p>
    <w:p w14:paraId="55A397E3"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Has a complaint been received from a Data Subject</w:t>
      </w:r>
    </w:p>
    <w:p w14:paraId="0006B7A9" w14:textId="623CFD93"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 xml:space="preserve">Assessment of risk to data subject and </w:t>
      </w:r>
      <w:r w:rsidR="00666892">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with proposed mitigating actions;</w:t>
      </w:r>
    </w:p>
    <w:p w14:paraId="1CC079DB"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Details of communication with the ICO;</w:t>
      </w:r>
    </w:p>
    <w:p w14:paraId="1F0F8786"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Proposed changes to procedure to reduce risks of repeat and</w:t>
      </w:r>
    </w:p>
    <w:p w14:paraId="31CEF34D" w14:textId="77777777" w:rsidR="005E7F56" w:rsidRDefault="005E7F56" w:rsidP="005E7F56">
      <w:pPr>
        <w:pStyle w:val="ListParagraph"/>
        <w:numPr>
          <w:ilvl w:val="0"/>
          <w:numId w:val="26"/>
        </w:numPr>
        <w:tabs>
          <w:tab w:val="left" w:pos="1245"/>
        </w:tabs>
        <w:ind w:left="567" w:hanging="567"/>
        <w:rPr>
          <w:rFonts w:ascii="Verdana" w:hAnsi="Verdana"/>
          <w:color w:val="000000" w:themeColor="text1"/>
        </w:rPr>
      </w:pPr>
      <w:r>
        <w:rPr>
          <w:rFonts w:ascii="Verdana" w:hAnsi="Verdana"/>
          <w:color w:val="000000" w:themeColor="text1"/>
        </w:rPr>
        <w:t>Reporting and other recommendations.</w:t>
      </w:r>
    </w:p>
    <w:p w14:paraId="6B589FB8" w14:textId="77777777" w:rsidR="005E7F56" w:rsidRDefault="005E7F56" w:rsidP="005E7F56">
      <w:pPr>
        <w:pStyle w:val="ListParagraph"/>
        <w:tabs>
          <w:tab w:val="left" w:pos="1245"/>
        </w:tabs>
        <w:ind w:left="0"/>
        <w:rPr>
          <w:rFonts w:ascii="Verdana" w:hAnsi="Verdana"/>
          <w:color w:val="000000" w:themeColor="text1"/>
        </w:rPr>
      </w:pPr>
    </w:p>
    <w:p w14:paraId="41F45260" w14:textId="284D2161" w:rsidR="002518BC" w:rsidRDefault="002518BC" w:rsidP="005E7F56">
      <w:pPr>
        <w:pStyle w:val="ListParagraph"/>
        <w:tabs>
          <w:tab w:val="left" w:pos="1245"/>
        </w:tabs>
        <w:ind w:left="0"/>
        <w:rPr>
          <w:rFonts w:ascii="Verdana" w:hAnsi="Verdana"/>
          <w:color w:val="000000" w:themeColor="text1"/>
        </w:rPr>
      </w:pPr>
      <w:r>
        <w:rPr>
          <w:rFonts w:ascii="Verdana" w:hAnsi="Verdana"/>
          <w:color w:val="000000" w:themeColor="text1"/>
        </w:rPr>
        <w:t xml:space="preserve">This report will be presented to the </w:t>
      </w:r>
      <w:r w:rsidR="00666892">
        <w:rPr>
          <w:rFonts w:ascii="Verdana" w:hAnsi="Verdana"/>
          <w:color w:val="000000" w:themeColor="text1"/>
        </w:rPr>
        <w:t>Chief Executive</w:t>
      </w:r>
      <w:r>
        <w:rPr>
          <w:rFonts w:ascii="Verdana" w:hAnsi="Verdana"/>
          <w:color w:val="000000" w:themeColor="text1"/>
        </w:rPr>
        <w:t xml:space="preserve"> as soon as possible and no more than 10 working days from the date of the incident and a summary report will be provided to the Audit and Risk Management Committee. Should an </w:t>
      </w:r>
      <w:r w:rsidR="00666892">
        <w:rPr>
          <w:rFonts w:ascii="Verdana" w:hAnsi="Verdana"/>
          <w:color w:val="000000" w:themeColor="text1"/>
        </w:rPr>
        <w:t xml:space="preserve">Audit and Risk Management </w:t>
      </w:r>
      <w:r w:rsidR="00F55DBA">
        <w:rPr>
          <w:rFonts w:ascii="Verdana" w:hAnsi="Verdana"/>
          <w:color w:val="000000" w:themeColor="text1"/>
        </w:rPr>
        <w:t>Committee m</w:t>
      </w:r>
      <w:r w:rsidR="00666892">
        <w:rPr>
          <w:rFonts w:ascii="Verdana" w:hAnsi="Verdana"/>
          <w:color w:val="000000" w:themeColor="text1"/>
        </w:rPr>
        <w:t xml:space="preserve">eeting </w:t>
      </w:r>
      <w:r>
        <w:rPr>
          <w:rFonts w:ascii="Verdana" w:hAnsi="Verdana"/>
          <w:color w:val="000000" w:themeColor="text1"/>
        </w:rPr>
        <w:t xml:space="preserve">take place before the report is complete the </w:t>
      </w:r>
      <w:r w:rsidR="00F55DBA">
        <w:rPr>
          <w:rFonts w:ascii="Verdana" w:hAnsi="Verdana"/>
          <w:color w:val="000000" w:themeColor="text1"/>
        </w:rPr>
        <w:t>C</w:t>
      </w:r>
      <w:r>
        <w:rPr>
          <w:rFonts w:ascii="Verdana" w:hAnsi="Verdana"/>
          <w:color w:val="000000" w:themeColor="text1"/>
        </w:rPr>
        <w:t xml:space="preserve">ommittee should be briefed on the incident at the earliest opportunity. </w:t>
      </w:r>
    </w:p>
    <w:p w14:paraId="55090284" w14:textId="77777777" w:rsidR="002518BC" w:rsidRDefault="002518BC" w:rsidP="005E7F56">
      <w:pPr>
        <w:pStyle w:val="ListParagraph"/>
        <w:tabs>
          <w:tab w:val="left" w:pos="1245"/>
        </w:tabs>
        <w:ind w:left="0"/>
        <w:rPr>
          <w:rFonts w:ascii="Verdana" w:hAnsi="Verdana"/>
          <w:color w:val="000000" w:themeColor="text1"/>
        </w:rPr>
      </w:pPr>
    </w:p>
    <w:p w14:paraId="55B27365" w14:textId="77777777" w:rsidR="002518BC" w:rsidRDefault="002518BC" w:rsidP="005E7F56">
      <w:pPr>
        <w:pStyle w:val="ListParagraph"/>
        <w:tabs>
          <w:tab w:val="left" w:pos="1245"/>
        </w:tabs>
        <w:ind w:left="0"/>
        <w:rPr>
          <w:rFonts w:ascii="Verdana" w:hAnsi="Verdana"/>
          <w:color w:val="000000" w:themeColor="text1"/>
        </w:rPr>
      </w:pPr>
      <w:r>
        <w:rPr>
          <w:rFonts w:ascii="Verdana" w:hAnsi="Verdana"/>
          <w:color w:val="000000" w:themeColor="text1"/>
        </w:rPr>
        <w:t xml:space="preserve">The DPO will also </w:t>
      </w:r>
      <w:r w:rsidR="003C4F15">
        <w:rPr>
          <w:rFonts w:ascii="Verdana" w:hAnsi="Verdana"/>
          <w:color w:val="000000" w:themeColor="text1"/>
        </w:rPr>
        <w:t>update the ICO on the progress of the report and the conclusions and procedure and policy changes identified to reduce the risk of a repeat data security breach.</w:t>
      </w:r>
    </w:p>
    <w:p w14:paraId="3A01C3AE" w14:textId="77777777" w:rsidR="003C4F15" w:rsidRDefault="003C4F15" w:rsidP="005E7F56">
      <w:pPr>
        <w:pStyle w:val="ListParagraph"/>
        <w:tabs>
          <w:tab w:val="left" w:pos="1245"/>
        </w:tabs>
        <w:ind w:left="0"/>
        <w:rPr>
          <w:rFonts w:ascii="Verdana" w:hAnsi="Verdana"/>
          <w:color w:val="000000" w:themeColor="text1"/>
        </w:rPr>
      </w:pPr>
    </w:p>
    <w:p w14:paraId="70BCC9D1" w14:textId="430EBF36" w:rsidR="003C4F15" w:rsidRDefault="003C4F15" w:rsidP="005E7F56">
      <w:pPr>
        <w:pStyle w:val="ListParagraph"/>
        <w:tabs>
          <w:tab w:val="left" w:pos="1245"/>
        </w:tabs>
        <w:ind w:left="0"/>
        <w:rPr>
          <w:rFonts w:ascii="Verdana" w:hAnsi="Verdana"/>
          <w:color w:val="000000" w:themeColor="text1"/>
        </w:rPr>
      </w:pPr>
      <w:r>
        <w:rPr>
          <w:rFonts w:ascii="Verdana" w:hAnsi="Verdana"/>
          <w:color w:val="000000" w:themeColor="text1"/>
        </w:rPr>
        <w:t xml:space="preserve">The breach will be notified to the </w:t>
      </w:r>
      <w:r w:rsidR="00F55DBA">
        <w:rPr>
          <w:rFonts w:ascii="Verdana" w:hAnsi="Verdana"/>
          <w:color w:val="000000" w:themeColor="text1"/>
        </w:rPr>
        <w:t>Northern Ireland Office</w:t>
      </w:r>
      <w:r>
        <w:rPr>
          <w:rFonts w:ascii="Verdana" w:hAnsi="Verdana"/>
          <w:color w:val="000000" w:themeColor="text1"/>
        </w:rPr>
        <w:t xml:space="preserve"> and formally reported through the quarterly assurance statement.</w:t>
      </w:r>
    </w:p>
    <w:p w14:paraId="15974E70" w14:textId="77777777" w:rsidR="003C4F15" w:rsidRDefault="003C4F15" w:rsidP="005E7F56">
      <w:pPr>
        <w:pStyle w:val="ListParagraph"/>
        <w:tabs>
          <w:tab w:val="left" w:pos="1245"/>
        </w:tabs>
        <w:ind w:left="0"/>
        <w:rPr>
          <w:rFonts w:ascii="Verdana" w:hAnsi="Verdana"/>
          <w:color w:val="000000" w:themeColor="text1"/>
        </w:rPr>
      </w:pPr>
    </w:p>
    <w:p w14:paraId="68A8EDBC" w14:textId="39576BF9" w:rsidR="003C4F15" w:rsidRDefault="003C4F15" w:rsidP="005E7F56">
      <w:pPr>
        <w:pStyle w:val="ListParagraph"/>
        <w:tabs>
          <w:tab w:val="left" w:pos="1245"/>
        </w:tabs>
        <w:ind w:left="0"/>
        <w:rPr>
          <w:rFonts w:ascii="Verdana" w:hAnsi="Verdana"/>
          <w:color w:val="000000" w:themeColor="text1"/>
        </w:rPr>
      </w:pPr>
      <w:r>
        <w:rPr>
          <w:rFonts w:ascii="Verdana" w:hAnsi="Verdana"/>
          <w:color w:val="000000" w:themeColor="text1"/>
        </w:rPr>
        <w:t xml:space="preserve">In the event of a near miss, the </w:t>
      </w:r>
      <w:r w:rsidR="00F55DBA">
        <w:rPr>
          <w:rFonts w:ascii="Verdana" w:hAnsi="Verdana"/>
          <w:color w:val="000000" w:themeColor="text1"/>
        </w:rPr>
        <w:t>DPO</w:t>
      </w:r>
      <w:r>
        <w:rPr>
          <w:rFonts w:ascii="Verdana" w:hAnsi="Verdana"/>
          <w:color w:val="000000" w:themeColor="text1"/>
        </w:rPr>
        <w:t xml:space="preserve"> should initiate an investigation </w:t>
      </w:r>
      <w:proofErr w:type="gramStart"/>
      <w:r>
        <w:rPr>
          <w:rFonts w:ascii="Verdana" w:hAnsi="Verdana"/>
          <w:color w:val="000000" w:themeColor="text1"/>
        </w:rPr>
        <w:t>in order to</w:t>
      </w:r>
      <w:proofErr w:type="gramEnd"/>
      <w:r>
        <w:rPr>
          <w:rFonts w:ascii="Verdana" w:hAnsi="Verdana"/>
          <w:color w:val="000000" w:themeColor="text1"/>
        </w:rPr>
        <w:t xml:space="preserve"> ensure weaknesses are addressed and lessons learned are disseminated.  The </w:t>
      </w:r>
      <w:r w:rsidR="00F55DBA">
        <w:rPr>
          <w:rFonts w:ascii="Verdana" w:hAnsi="Verdana"/>
          <w:color w:val="000000" w:themeColor="text1"/>
        </w:rPr>
        <w:t>DPO</w:t>
      </w:r>
      <w:r>
        <w:rPr>
          <w:rFonts w:ascii="Verdana" w:hAnsi="Verdana"/>
          <w:color w:val="000000" w:themeColor="text1"/>
        </w:rPr>
        <w:t xml:space="preserve"> will set a timeframe for an investigation to allow him/her to provide a short report to the </w:t>
      </w:r>
      <w:r w:rsidR="00F55DBA">
        <w:rPr>
          <w:rFonts w:ascii="Verdana" w:hAnsi="Verdana"/>
          <w:color w:val="000000" w:themeColor="text1"/>
        </w:rPr>
        <w:t>Chief Executive</w:t>
      </w:r>
      <w:r>
        <w:rPr>
          <w:rFonts w:ascii="Verdana" w:hAnsi="Verdana"/>
          <w:color w:val="000000" w:themeColor="text1"/>
        </w:rPr>
        <w:t xml:space="preserve"> within fifteen working days.  The </w:t>
      </w:r>
      <w:r w:rsidR="00F55DBA">
        <w:rPr>
          <w:rFonts w:ascii="Verdana" w:hAnsi="Verdana"/>
          <w:color w:val="000000" w:themeColor="text1"/>
        </w:rPr>
        <w:t>Chief Executive</w:t>
      </w:r>
      <w:r>
        <w:rPr>
          <w:rFonts w:ascii="Verdana" w:hAnsi="Verdana"/>
          <w:color w:val="000000" w:themeColor="text1"/>
        </w:rPr>
        <w:t xml:space="preserve"> </w:t>
      </w:r>
      <w:r>
        <w:rPr>
          <w:rFonts w:ascii="Verdana" w:hAnsi="Verdana"/>
          <w:color w:val="000000" w:themeColor="text1"/>
        </w:rPr>
        <w:lastRenderedPageBreak/>
        <w:t xml:space="preserve">and the DPO will then together agree a way forward and decide on </w:t>
      </w:r>
      <w:proofErr w:type="gramStart"/>
      <w:r>
        <w:rPr>
          <w:rFonts w:ascii="Verdana" w:hAnsi="Verdana"/>
          <w:color w:val="000000" w:themeColor="text1"/>
        </w:rPr>
        <w:t>whether or not</w:t>
      </w:r>
      <w:proofErr w:type="gramEnd"/>
      <w:r>
        <w:rPr>
          <w:rFonts w:ascii="Verdana" w:hAnsi="Verdana"/>
          <w:color w:val="000000" w:themeColor="text1"/>
        </w:rPr>
        <w:t xml:space="preserve"> there is an operational need to report the near miss as per the steps outlined above. </w:t>
      </w:r>
    </w:p>
    <w:p w14:paraId="33B53757" w14:textId="77777777" w:rsidR="003C4F15" w:rsidRDefault="003C4F15" w:rsidP="005E7F56">
      <w:pPr>
        <w:pStyle w:val="ListParagraph"/>
        <w:tabs>
          <w:tab w:val="left" w:pos="1245"/>
        </w:tabs>
        <w:ind w:left="0"/>
        <w:rPr>
          <w:rFonts w:ascii="Verdana" w:hAnsi="Verdana"/>
          <w:color w:val="000000" w:themeColor="text1"/>
        </w:rPr>
      </w:pPr>
    </w:p>
    <w:p w14:paraId="4A18C99D" w14:textId="77777777" w:rsidR="003C4F15" w:rsidRDefault="0091540E" w:rsidP="0091540E">
      <w:pPr>
        <w:pStyle w:val="ListParagraph"/>
        <w:numPr>
          <w:ilvl w:val="0"/>
          <w:numId w:val="1"/>
        </w:numPr>
        <w:tabs>
          <w:tab w:val="left" w:pos="1245"/>
        </w:tabs>
        <w:ind w:left="567" w:hanging="567"/>
        <w:rPr>
          <w:rFonts w:ascii="Verdana" w:hAnsi="Verdana"/>
          <w:b/>
          <w:color w:val="7030A0"/>
        </w:rPr>
      </w:pPr>
      <w:r>
        <w:rPr>
          <w:rFonts w:ascii="Verdana" w:hAnsi="Verdana"/>
          <w:b/>
          <w:color w:val="7030A0"/>
        </w:rPr>
        <w:t>The Role of the Information Commissioner’s Office</w:t>
      </w:r>
    </w:p>
    <w:p w14:paraId="33FB710A" w14:textId="77777777" w:rsidR="0091540E" w:rsidRDefault="0091540E" w:rsidP="0091540E">
      <w:pPr>
        <w:pStyle w:val="ListParagraph"/>
        <w:tabs>
          <w:tab w:val="left" w:pos="1245"/>
        </w:tabs>
        <w:ind w:left="567"/>
        <w:rPr>
          <w:rFonts w:ascii="Verdana" w:hAnsi="Verdana"/>
          <w:b/>
          <w:color w:val="7030A0"/>
        </w:rPr>
      </w:pPr>
    </w:p>
    <w:p w14:paraId="502C60C7" w14:textId="77777777" w:rsidR="0091540E" w:rsidRDefault="0091540E" w:rsidP="0091540E">
      <w:pPr>
        <w:pStyle w:val="ListParagraph"/>
        <w:tabs>
          <w:tab w:val="left" w:pos="1245"/>
        </w:tabs>
        <w:ind w:left="0"/>
        <w:rPr>
          <w:rFonts w:ascii="Verdana" w:hAnsi="Verdana"/>
          <w:color w:val="000000" w:themeColor="text1"/>
        </w:rPr>
      </w:pPr>
      <w:r>
        <w:rPr>
          <w:rFonts w:ascii="Verdana" w:hAnsi="Verdana"/>
          <w:color w:val="000000" w:themeColor="text1"/>
        </w:rPr>
        <w:t>The Information Commissioner’s Office (ICO) has a range of statutory powers to assess and enforce compliance with the GDPR.  The main powers are outlined briefly below.</w:t>
      </w:r>
    </w:p>
    <w:p w14:paraId="51898B75" w14:textId="77777777" w:rsidR="0091540E" w:rsidRDefault="0091540E" w:rsidP="0091540E">
      <w:pPr>
        <w:pStyle w:val="ListParagraph"/>
        <w:tabs>
          <w:tab w:val="left" w:pos="1245"/>
        </w:tabs>
        <w:ind w:left="0"/>
        <w:rPr>
          <w:rFonts w:ascii="Verdana" w:hAnsi="Verdana"/>
          <w:b/>
          <w:color w:val="7030A0"/>
        </w:rPr>
      </w:pPr>
    </w:p>
    <w:p w14:paraId="24B7E730" w14:textId="77777777" w:rsidR="0091540E" w:rsidRDefault="0091540E" w:rsidP="0091540E">
      <w:pPr>
        <w:pStyle w:val="ListParagraph"/>
        <w:tabs>
          <w:tab w:val="left" w:pos="1245"/>
        </w:tabs>
        <w:ind w:left="0"/>
        <w:rPr>
          <w:rFonts w:ascii="Verdana" w:hAnsi="Verdana"/>
          <w:b/>
          <w:color w:val="7030A0"/>
        </w:rPr>
      </w:pPr>
      <w:r>
        <w:rPr>
          <w:rFonts w:ascii="Verdana" w:hAnsi="Verdana"/>
          <w:b/>
          <w:color w:val="7030A0"/>
        </w:rPr>
        <w:t>ICO Register of Data Controllers</w:t>
      </w:r>
    </w:p>
    <w:p w14:paraId="3E2CF48E" w14:textId="77777777" w:rsidR="0091540E" w:rsidRDefault="0091540E" w:rsidP="0091540E">
      <w:pPr>
        <w:pStyle w:val="ListParagraph"/>
        <w:tabs>
          <w:tab w:val="left" w:pos="1245"/>
        </w:tabs>
        <w:ind w:left="0"/>
        <w:rPr>
          <w:rFonts w:ascii="Verdana" w:hAnsi="Verdana"/>
          <w:b/>
          <w:color w:val="7030A0"/>
        </w:rPr>
      </w:pPr>
    </w:p>
    <w:p w14:paraId="5DAEB670" w14:textId="77777777" w:rsidR="0091540E" w:rsidRDefault="0091540E" w:rsidP="0091540E">
      <w:pPr>
        <w:pStyle w:val="ListParagraph"/>
        <w:tabs>
          <w:tab w:val="left" w:pos="1245"/>
        </w:tabs>
        <w:ind w:left="0"/>
        <w:rPr>
          <w:rFonts w:ascii="Verdana" w:hAnsi="Verdana"/>
          <w:color w:val="000000" w:themeColor="text1"/>
        </w:rPr>
      </w:pPr>
      <w:r>
        <w:rPr>
          <w:rFonts w:ascii="Verdana" w:hAnsi="Verdana"/>
          <w:color w:val="000000" w:themeColor="text1"/>
        </w:rPr>
        <w:t>The Information Commissioner maintains a public register of data controllers who process personal information. Each register entry includes the name and address of the data controller and a general description of the type of processing carried out.  Notification is the process by which a data controller’s details are added to the register.  Anyone can consult the register to find out what processing is being carried out by a particular organisation.</w:t>
      </w:r>
    </w:p>
    <w:p w14:paraId="1299D223" w14:textId="77777777" w:rsidR="00083E9A" w:rsidRDefault="00083E9A" w:rsidP="0091540E">
      <w:pPr>
        <w:pStyle w:val="ListParagraph"/>
        <w:tabs>
          <w:tab w:val="left" w:pos="1245"/>
        </w:tabs>
        <w:ind w:left="0"/>
        <w:rPr>
          <w:rFonts w:ascii="Verdana" w:hAnsi="Verdana"/>
          <w:color w:val="000000" w:themeColor="text1"/>
        </w:rPr>
      </w:pPr>
    </w:p>
    <w:p w14:paraId="321F4E53" w14:textId="14EF635B" w:rsidR="00083E9A" w:rsidRDefault="00083E9A" w:rsidP="0091540E">
      <w:pPr>
        <w:pStyle w:val="ListParagraph"/>
        <w:tabs>
          <w:tab w:val="left" w:pos="1245"/>
        </w:tabs>
        <w:ind w:left="0"/>
        <w:rPr>
          <w:rFonts w:ascii="Verdana" w:hAnsi="Verdana"/>
          <w:color w:val="000000" w:themeColor="text1"/>
        </w:rPr>
      </w:pPr>
      <w:r>
        <w:rPr>
          <w:rFonts w:ascii="Verdana" w:hAnsi="Verdana"/>
          <w:color w:val="000000" w:themeColor="text1"/>
        </w:rPr>
        <w:t xml:space="preserve">The GDPR requires </w:t>
      </w:r>
      <w:r w:rsidR="006B2FCF">
        <w:rPr>
          <w:rFonts w:ascii="Verdana" w:hAnsi="Verdana"/>
          <w:color w:val="000000" w:themeColor="text1"/>
        </w:rPr>
        <w:t xml:space="preserve">the </w:t>
      </w:r>
      <w:r w:rsidR="00092CF3">
        <w:rPr>
          <w:rFonts w:ascii="Verdana" w:hAnsi="Verdana"/>
          <w:color w:val="000000" w:themeColor="text1"/>
        </w:rPr>
        <w:t>NIHRC</w:t>
      </w:r>
      <w:r>
        <w:rPr>
          <w:rFonts w:ascii="Verdana" w:hAnsi="Verdana"/>
          <w:color w:val="000000" w:themeColor="text1"/>
        </w:rPr>
        <w:t xml:space="preserve"> to notify the Information Commissioner’s Office (ICO) on an annual basis.  Prior to the expiry of the registration, the Data Protection Officer will request all business areas to closely examine the </w:t>
      </w:r>
      <w:r w:rsidR="00092CF3">
        <w:rPr>
          <w:rFonts w:ascii="Verdana" w:hAnsi="Verdana"/>
          <w:color w:val="000000" w:themeColor="text1"/>
        </w:rPr>
        <w:t>NIHRC</w:t>
      </w:r>
      <w:r>
        <w:rPr>
          <w:rFonts w:ascii="Verdana" w:hAnsi="Verdana"/>
          <w:color w:val="000000" w:themeColor="text1"/>
        </w:rPr>
        <w:t>’s current notification details and advise of any additions or amendments required for the coming year.</w:t>
      </w:r>
    </w:p>
    <w:p w14:paraId="760C962C" w14:textId="77777777" w:rsidR="00083E9A" w:rsidRDefault="00083E9A" w:rsidP="0091540E">
      <w:pPr>
        <w:pStyle w:val="ListParagraph"/>
        <w:tabs>
          <w:tab w:val="left" w:pos="1245"/>
        </w:tabs>
        <w:ind w:left="0"/>
        <w:rPr>
          <w:rFonts w:ascii="Verdana" w:hAnsi="Verdana"/>
          <w:color w:val="000000" w:themeColor="text1"/>
        </w:rPr>
      </w:pPr>
    </w:p>
    <w:p w14:paraId="5BEA15E3" w14:textId="66262B11" w:rsidR="00083E9A" w:rsidRDefault="00083E9A" w:rsidP="0091540E">
      <w:pPr>
        <w:pStyle w:val="ListParagraph"/>
        <w:tabs>
          <w:tab w:val="left" w:pos="1245"/>
        </w:tabs>
        <w:ind w:left="0"/>
        <w:rPr>
          <w:rFonts w:ascii="Verdana" w:hAnsi="Verdana"/>
          <w:color w:val="000000" w:themeColor="text1"/>
        </w:rPr>
      </w:pPr>
      <w:r>
        <w:rPr>
          <w:rFonts w:ascii="Verdana" w:hAnsi="Verdana"/>
          <w:color w:val="000000" w:themeColor="text1"/>
        </w:rPr>
        <w:t xml:space="preserve">Managers must ensure the purposes and purpose descriptions set out in the </w:t>
      </w:r>
      <w:r w:rsidR="00092CF3">
        <w:rPr>
          <w:rFonts w:ascii="Verdana" w:hAnsi="Verdana"/>
          <w:color w:val="000000" w:themeColor="text1"/>
        </w:rPr>
        <w:t>NIHRC</w:t>
      </w:r>
      <w:r>
        <w:rPr>
          <w:rFonts w:ascii="Verdana" w:hAnsi="Verdana"/>
          <w:color w:val="000000" w:themeColor="text1"/>
        </w:rPr>
        <w:t xml:space="preserve">’s notification fully cover all the processing of personal information taking place within their business area. The </w:t>
      </w:r>
      <w:r w:rsidR="006B2FCF">
        <w:rPr>
          <w:rFonts w:ascii="Verdana" w:hAnsi="Verdana"/>
          <w:color w:val="000000" w:themeColor="text1"/>
        </w:rPr>
        <w:t>DPO</w:t>
      </w:r>
      <w:r>
        <w:rPr>
          <w:rFonts w:ascii="Verdana" w:hAnsi="Verdana"/>
          <w:color w:val="000000" w:themeColor="text1"/>
        </w:rPr>
        <w:t xml:space="preserve"> must be fully informed immediately if any new type of personal information is to be processed, or if a type of personal information is no longer to be processed.  This will allow the </w:t>
      </w:r>
      <w:r w:rsidR="00092CF3">
        <w:rPr>
          <w:rFonts w:ascii="Verdana" w:hAnsi="Verdana"/>
          <w:color w:val="000000" w:themeColor="text1"/>
        </w:rPr>
        <w:t>NIHRC</w:t>
      </w:r>
      <w:r>
        <w:rPr>
          <w:rFonts w:ascii="Verdana" w:hAnsi="Verdana"/>
          <w:color w:val="000000" w:themeColor="text1"/>
        </w:rPr>
        <w:t xml:space="preserve">’s notification to be amended as required by data protection legislation. </w:t>
      </w:r>
    </w:p>
    <w:p w14:paraId="3E5681B4" w14:textId="77777777" w:rsidR="00083E9A" w:rsidRDefault="00083E9A" w:rsidP="0091540E">
      <w:pPr>
        <w:pStyle w:val="ListParagraph"/>
        <w:tabs>
          <w:tab w:val="left" w:pos="1245"/>
        </w:tabs>
        <w:ind w:left="0"/>
        <w:rPr>
          <w:rFonts w:ascii="Verdana" w:hAnsi="Verdana"/>
          <w:color w:val="000000" w:themeColor="text1"/>
        </w:rPr>
      </w:pPr>
    </w:p>
    <w:p w14:paraId="17BAA0DF" w14:textId="77777777" w:rsidR="00083E9A" w:rsidRDefault="00083E9A" w:rsidP="0091540E">
      <w:pPr>
        <w:pStyle w:val="ListParagraph"/>
        <w:tabs>
          <w:tab w:val="left" w:pos="1245"/>
        </w:tabs>
        <w:ind w:left="0"/>
        <w:rPr>
          <w:rFonts w:ascii="Verdana" w:hAnsi="Verdana"/>
          <w:color w:val="000000" w:themeColor="text1"/>
        </w:rPr>
      </w:pPr>
      <w:r>
        <w:rPr>
          <w:rFonts w:ascii="Verdana" w:hAnsi="Verdana"/>
          <w:color w:val="000000" w:themeColor="text1"/>
        </w:rPr>
        <w:t>Failure to amend a record within 28 days of discovering the need for a change is a criminal offence so it is vital that all areas carry out this exercise every year and that our registration details with the ICO are kept up to date.</w:t>
      </w:r>
    </w:p>
    <w:p w14:paraId="6DBA539D" w14:textId="77777777" w:rsidR="00083E9A" w:rsidRDefault="00083E9A" w:rsidP="0091540E">
      <w:pPr>
        <w:pStyle w:val="ListParagraph"/>
        <w:tabs>
          <w:tab w:val="left" w:pos="1245"/>
        </w:tabs>
        <w:ind w:left="0"/>
        <w:rPr>
          <w:rFonts w:ascii="Verdana" w:hAnsi="Verdana"/>
          <w:color w:val="000000" w:themeColor="text1"/>
        </w:rPr>
      </w:pPr>
    </w:p>
    <w:p w14:paraId="2026AE9D" w14:textId="614F2635" w:rsidR="0073488B" w:rsidRDefault="006B2FCF" w:rsidP="0091540E">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r w:rsidR="00083E9A">
        <w:rPr>
          <w:rFonts w:ascii="Verdana" w:hAnsi="Verdana"/>
          <w:color w:val="000000" w:themeColor="text1"/>
        </w:rPr>
        <w:t xml:space="preserve">’s entry number on the Information Commissioner’s Data Protection Register is </w:t>
      </w:r>
      <w:r w:rsidR="0073488B">
        <w:rPr>
          <w:rFonts w:ascii="Verdana" w:hAnsi="Verdana"/>
          <w:color w:val="000000" w:themeColor="text1"/>
        </w:rPr>
        <w:t>Z8970270 and can be viewed online.</w:t>
      </w:r>
    </w:p>
    <w:p w14:paraId="07058B30" w14:textId="77777777" w:rsidR="0073488B" w:rsidRDefault="0073488B" w:rsidP="0091540E">
      <w:pPr>
        <w:pStyle w:val="ListParagraph"/>
        <w:tabs>
          <w:tab w:val="left" w:pos="1245"/>
        </w:tabs>
        <w:ind w:left="0"/>
        <w:rPr>
          <w:rFonts w:ascii="Verdana" w:hAnsi="Verdana"/>
          <w:color w:val="000000" w:themeColor="text1"/>
        </w:rPr>
      </w:pPr>
    </w:p>
    <w:p w14:paraId="7AB97538" w14:textId="77777777" w:rsidR="0093482E" w:rsidRDefault="0093482E" w:rsidP="0093482E">
      <w:pPr>
        <w:pStyle w:val="ListParagraph"/>
        <w:tabs>
          <w:tab w:val="left" w:pos="1245"/>
        </w:tabs>
        <w:ind w:left="0"/>
        <w:rPr>
          <w:rFonts w:ascii="Verdana" w:hAnsi="Verdana"/>
          <w:color w:val="000000" w:themeColor="text1"/>
        </w:rPr>
      </w:pPr>
    </w:p>
    <w:p w14:paraId="37D2DBCE" w14:textId="77777777" w:rsidR="0050326E" w:rsidRDefault="0050326E" w:rsidP="0093482E">
      <w:pPr>
        <w:pStyle w:val="ListParagraph"/>
        <w:tabs>
          <w:tab w:val="left" w:pos="1245"/>
        </w:tabs>
        <w:ind w:left="0"/>
        <w:rPr>
          <w:rFonts w:ascii="Verdana" w:hAnsi="Verdana"/>
          <w:color w:val="000000" w:themeColor="text1"/>
        </w:rPr>
      </w:pPr>
    </w:p>
    <w:p w14:paraId="2F474E6B" w14:textId="77777777" w:rsidR="0050326E" w:rsidRDefault="0050326E" w:rsidP="0093482E">
      <w:pPr>
        <w:pStyle w:val="ListParagraph"/>
        <w:tabs>
          <w:tab w:val="left" w:pos="1245"/>
        </w:tabs>
        <w:ind w:left="0"/>
        <w:rPr>
          <w:rFonts w:ascii="Verdana" w:hAnsi="Verdana"/>
          <w:color w:val="000000" w:themeColor="text1"/>
        </w:rPr>
      </w:pPr>
    </w:p>
    <w:p w14:paraId="5D983DE1" w14:textId="77777777" w:rsidR="0050326E" w:rsidRDefault="0050326E" w:rsidP="0093482E">
      <w:pPr>
        <w:pStyle w:val="ListParagraph"/>
        <w:tabs>
          <w:tab w:val="left" w:pos="1245"/>
        </w:tabs>
        <w:ind w:left="0"/>
        <w:rPr>
          <w:rFonts w:ascii="Verdana" w:hAnsi="Verdana"/>
          <w:color w:val="000000" w:themeColor="text1"/>
        </w:rPr>
      </w:pPr>
    </w:p>
    <w:p w14:paraId="348AC6DE" w14:textId="77777777" w:rsidR="0050326E" w:rsidRDefault="0050326E" w:rsidP="0093482E">
      <w:pPr>
        <w:pStyle w:val="ListParagraph"/>
        <w:tabs>
          <w:tab w:val="left" w:pos="1245"/>
        </w:tabs>
        <w:ind w:left="0"/>
        <w:rPr>
          <w:rFonts w:ascii="Verdana" w:hAnsi="Verdana"/>
          <w:color w:val="000000" w:themeColor="text1"/>
        </w:rPr>
      </w:pPr>
    </w:p>
    <w:p w14:paraId="4AFBFC3A" w14:textId="77777777" w:rsidR="0050326E" w:rsidRDefault="0050326E" w:rsidP="0093482E">
      <w:pPr>
        <w:pStyle w:val="ListParagraph"/>
        <w:tabs>
          <w:tab w:val="left" w:pos="1245"/>
        </w:tabs>
        <w:ind w:left="0"/>
        <w:rPr>
          <w:rFonts w:ascii="Verdana" w:hAnsi="Verdana"/>
          <w:color w:val="000000" w:themeColor="text1"/>
        </w:rPr>
      </w:pPr>
    </w:p>
    <w:p w14:paraId="40082525" w14:textId="77777777" w:rsidR="0050326E" w:rsidRDefault="0050326E" w:rsidP="0093482E">
      <w:pPr>
        <w:pStyle w:val="ListParagraph"/>
        <w:tabs>
          <w:tab w:val="left" w:pos="1245"/>
        </w:tabs>
        <w:ind w:left="0"/>
        <w:rPr>
          <w:rFonts w:ascii="Verdana" w:hAnsi="Verdana"/>
          <w:color w:val="000000" w:themeColor="text1"/>
        </w:rPr>
      </w:pPr>
    </w:p>
    <w:p w14:paraId="1385E1BF" w14:textId="77777777" w:rsidR="0050326E" w:rsidRDefault="0050326E" w:rsidP="0093482E">
      <w:pPr>
        <w:pStyle w:val="ListParagraph"/>
        <w:tabs>
          <w:tab w:val="left" w:pos="1245"/>
        </w:tabs>
        <w:ind w:left="0"/>
        <w:rPr>
          <w:rFonts w:ascii="Verdana" w:hAnsi="Verdana"/>
          <w:color w:val="000000" w:themeColor="text1"/>
        </w:rPr>
      </w:pPr>
    </w:p>
    <w:p w14:paraId="1232260B" w14:textId="77777777" w:rsidR="0050326E" w:rsidRDefault="0050326E" w:rsidP="0093482E">
      <w:pPr>
        <w:pStyle w:val="ListParagraph"/>
        <w:tabs>
          <w:tab w:val="left" w:pos="1245"/>
        </w:tabs>
        <w:ind w:left="0"/>
        <w:rPr>
          <w:rFonts w:ascii="Verdana" w:hAnsi="Verdana"/>
          <w:color w:val="000000" w:themeColor="text1"/>
        </w:rPr>
      </w:pPr>
    </w:p>
    <w:p w14:paraId="28EA3CAE" w14:textId="77777777" w:rsidR="0050326E" w:rsidRDefault="0050326E" w:rsidP="0093482E">
      <w:pPr>
        <w:pStyle w:val="ListParagraph"/>
        <w:tabs>
          <w:tab w:val="left" w:pos="1245"/>
        </w:tabs>
        <w:ind w:left="0"/>
        <w:rPr>
          <w:rFonts w:ascii="Verdana" w:hAnsi="Verdana"/>
          <w:color w:val="000000" w:themeColor="text1"/>
        </w:rPr>
      </w:pPr>
    </w:p>
    <w:p w14:paraId="3D269A08" w14:textId="77777777" w:rsidR="0050326E" w:rsidRDefault="0050326E" w:rsidP="0093482E">
      <w:pPr>
        <w:pStyle w:val="ListParagraph"/>
        <w:tabs>
          <w:tab w:val="left" w:pos="1245"/>
        </w:tabs>
        <w:ind w:left="0"/>
        <w:rPr>
          <w:rFonts w:ascii="Verdana" w:hAnsi="Verdana"/>
          <w:b/>
          <w:color w:val="7030A0"/>
        </w:rPr>
      </w:pPr>
      <w:r>
        <w:rPr>
          <w:rFonts w:ascii="Verdana" w:hAnsi="Verdana"/>
          <w:b/>
          <w:color w:val="7030A0"/>
        </w:rPr>
        <w:lastRenderedPageBreak/>
        <w:t>Appendix 1</w:t>
      </w:r>
      <w:r>
        <w:rPr>
          <w:rFonts w:ascii="Verdana" w:hAnsi="Verdana"/>
          <w:b/>
          <w:color w:val="7030A0"/>
        </w:rPr>
        <w:tab/>
      </w:r>
      <w:r>
        <w:rPr>
          <w:rFonts w:ascii="Verdana" w:hAnsi="Verdana"/>
          <w:b/>
          <w:color w:val="7030A0"/>
        </w:rPr>
        <w:tab/>
        <w:t>Glossary of Terms</w:t>
      </w:r>
    </w:p>
    <w:p w14:paraId="0CEFEEF0" w14:textId="77777777" w:rsidR="0050326E" w:rsidRDefault="0050326E" w:rsidP="0093482E">
      <w:pPr>
        <w:pStyle w:val="ListParagraph"/>
        <w:tabs>
          <w:tab w:val="left" w:pos="1245"/>
        </w:tabs>
        <w:ind w:left="0"/>
        <w:rPr>
          <w:rFonts w:ascii="Verdana" w:hAnsi="Verdana"/>
          <w:b/>
          <w:color w:val="7030A0"/>
        </w:rPr>
      </w:pPr>
    </w:p>
    <w:p w14:paraId="6BAE3258" w14:textId="77777777" w:rsidR="0050326E" w:rsidRDefault="004876D2" w:rsidP="0093482E">
      <w:pPr>
        <w:pStyle w:val="ListParagraph"/>
        <w:tabs>
          <w:tab w:val="left" w:pos="1245"/>
        </w:tabs>
        <w:ind w:left="0"/>
        <w:rPr>
          <w:rFonts w:ascii="Verdana" w:hAnsi="Verdana"/>
          <w:color w:val="7030A0"/>
        </w:rPr>
      </w:pPr>
      <w:r>
        <w:rPr>
          <w:rFonts w:ascii="Verdana" w:hAnsi="Verdana"/>
          <w:color w:val="7030A0"/>
        </w:rPr>
        <w:t>Definitions</w:t>
      </w:r>
    </w:p>
    <w:p w14:paraId="14CE4CE9" w14:textId="77777777" w:rsidR="004876D2" w:rsidRDefault="004876D2" w:rsidP="0093482E">
      <w:pPr>
        <w:pStyle w:val="ListParagraph"/>
        <w:tabs>
          <w:tab w:val="left" w:pos="1245"/>
        </w:tabs>
        <w:ind w:left="0"/>
        <w:rPr>
          <w:rFonts w:ascii="Verdana" w:hAnsi="Verdana"/>
          <w:color w:val="7030A0"/>
        </w:rPr>
      </w:pPr>
    </w:p>
    <w:p w14:paraId="496952B2"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The following definitions are used in this policy and shall mean the following:</w:t>
      </w:r>
    </w:p>
    <w:p w14:paraId="68965E83" w14:textId="77777777" w:rsidR="004876D2" w:rsidRDefault="004876D2" w:rsidP="0093482E">
      <w:pPr>
        <w:pStyle w:val="ListParagraph"/>
        <w:tabs>
          <w:tab w:val="left" w:pos="1245"/>
        </w:tabs>
        <w:ind w:left="0"/>
        <w:rPr>
          <w:rFonts w:ascii="Verdana" w:hAnsi="Verdana"/>
          <w:color w:val="000000" w:themeColor="text1"/>
        </w:rPr>
      </w:pPr>
    </w:p>
    <w:tbl>
      <w:tblPr>
        <w:tblStyle w:val="TableGrid0"/>
        <w:tblW w:w="0" w:type="auto"/>
        <w:tblLook w:val="04A0" w:firstRow="1" w:lastRow="0" w:firstColumn="1" w:lastColumn="0" w:noHBand="0" w:noVBand="1"/>
      </w:tblPr>
      <w:tblGrid>
        <w:gridCol w:w="2830"/>
        <w:gridCol w:w="6186"/>
      </w:tblGrid>
      <w:tr w:rsidR="004876D2" w14:paraId="1F132C0A" w14:textId="77777777" w:rsidTr="009127C6">
        <w:tc>
          <w:tcPr>
            <w:tcW w:w="2830" w:type="dxa"/>
          </w:tcPr>
          <w:p w14:paraId="6BB4BE59"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Consent</w:t>
            </w:r>
          </w:p>
        </w:tc>
        <w:tc>
          <w:tcPr>
            <w:tcW w:w="6186" w:type="dxa"/>
          </w:tcPr>
          <w:p w14:paraId="0FF758B7" w14:textId="77777777" w:rsidR="004876D2" w:rsidRDefault="009127C6" w:rsidP="009127C6">
            <w:pPr>
              <w:pStyle w:val="ListParagraph"/>
              <w:tabs>
                <w:tab w:val="left" w:pos="1245"/>
              </w:tabs>
              <w:ind w:left="0"/>
              <w:rPr>
                <w:rFonts w:ascii="Verdana" w:hAnsi="Verdana"/>
                <w:color w:val="000000" w:themeColor="text1"/>
              </w:rPr>
            </w:pPr>
            <w:r>
              <w:rPr>
                <w:rFonts w:ascii="Verdana" w:hAnsi="Verdana"/>
                <w:color w:val="000000" w:themeColor="text1"/>
              </w:rPr>
              <w:t>The individual has given clear consent for you to process their personal data for a specific purpose</w:t>
            </w:r>
          </w:p>
        </w:tc>
      </w:tr>
      <w:tr w:rsidR="004876D2" w14:paraId="0B1711BB" w14:textId="77777777" w:rsidTr="009127C6">
        <w:tc>
          <w:tcPr>
            <w:tcW w:w="2830" w:type="dxa"/>
          </w:tcPr>
          <w:p w14:paraId="3D8D4104" w14:textId="3479A2D6" w:rsidR="004876D2" w:rsidRDefault="004F0759" w:rsidP="009127C6">
            <w:pPr>
              <w:pStyle w:val="ListParagraph"/>
              <w:tabs>
                <w:tab w:val="left" w:pos="1245"/>
              </w:tabs>
              <w:ind w:left="0"/>
              <w:rPr>
                <w:rFonts w:ascii="Verdana" w:hAnsi="Verdana"/>
                <w:color w:val="000000" w:themeColor="text1"/>
              </w:rPr>
            </w:pPr>
            <w:r>
              <w:rPr>
                <w:rFonts w:ascii="Verdana" w:hAnsi="Verdana"/>
                <w:color w:val="000000" w:themeColor="text1"/>
              </w:rPr>
              <w:t xml:space="preserve">The </w:t>
            </w:r>
            <w:r w:rsidR="00092CF3">
              <w:rPr>
                <w:rFonts w:ascii="Verdana" w:hAnsi="Verdana"/>
                <w:color w:val="000000" w:themeColor="text1"/>
              </w:rPr>
              <w:t>NIHRC</w:t>
            </w:r>
          </w:p>
        </w:tc>
        <w:tc>
          <w:tcPr>
            <w:tcW w:w="6186" w:type="dxa"/>
          </w:tcPr>
          <w:p w14:paraId="6F0417EF"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Northern Ireland Human Rights Commission</w:t>
            </w:r>
          </w:p>
        </w:tc>
      </w:tr>
      <w:tr w:rsidR="004876D2" w14:paraId="40299891" w14:textId="77777777" w:rsidTr="009127C6">
        <w:tc>
          <w:tcPr>
            <w:tcW w:w="2830" w:type="dxa"/>
          </w:tcPr>
          <w:p w14:paraId="0F0FE79D"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w:t>
            </w:r>
          </w:p>
        </w:tc>
        <w:tc>
          <w:tcPr>
            <w:tcW w:w="6186" w:type="dxa"/>
          </w:tcPr>
          <w:p w14:paraId="703519BF"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Is information which is stored electronically on a computer or in certain paper-based filing systems</w:t>
            </w:r>
          </w:p>
        </w:tc>
      </w:tr>
      <w:tr w:rsidR="004876D2" w14:paraId="3551F89B" w14:textId="77777777" w:rsidTr="009127C6">
        <w:tc>
          <w:tcPr>
            <w:tcW w:w="2830" w:type="dxa"/>
          </w:tcPr>
          <w:p w14:paraId="16CEC6F9"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 concerning Health</w:t>
            </w:r>
          </w:p>
        </w:tc>
        <w:tc>
          <w:tcPr>
            <w:tcW w:w="6186" w:type="dxa"/>
          </w:tcPr>
          <w:p w14:paraId="15B3FF33"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Any personal data relating to the physical or mental health of an individual or the provision of health services to them</w:t>
            </w:r>
          </w:p>
        </w:tc>
      </w:tr>
      <w:tr w:rsidR="004876D2" w14:paraId="7128E421" w14:textId="77777777" w:rsidTr="009127C6">
        <w:tc>
          <w:tcPr>
            <w:tcW w:w="2830" w:type="dxa"/>
          </w:tcPr>
          <w:p w14:paraId="24BB2B2D"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 Controllers</w:t>
            </w:r>
          </w:p>
        </w:tc>
        <w:tc>
          <w:tcPr>
            <w:tcW w:w="6186" w:type="dxa"/>
          </w:tcPr>
          <w:p w14:paraId="3B742129"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Are the people who or organisations which determine the purposes for which, and the </w:t>
            </w:r>
            <w:proofErr w:type="gramStart"/>
            <w:r>
              <w:rPr>
                <w:rFonts w:ascii="Verdana" w:hAnsi="Verdana"/>
                <w:color w:val="000000" w:themeColor="text1"/>
              </w:rPr>
              <w:t>manner in which</w:t>
            </w:r>
            <w:proofErr w:type="gramEnd"/>
            <w:r>
              <w:rPr>
                <w:rFonts w:ascii="Verdana" w:hAnsi="Verdana"/>
                <w:color w:val="000000" w:themeColor="text1"/>
              </w:rPr>
              <w:t xml:space="preserve"> any personal data is processed.  They are responsible for establishing practices and policies in line with the GDPR.  NIHRC is the data controller of the personal data used in the NIHRC</w:t>
            </w:r>
          </w:p>
        </w:tc>
      </w:tr>
      <w:tr w:rsidR="004876D2" w14:paraId="4DB53645" w14:textId="77777777" w:rsidTr="009127C6">
        <w:tc>
          <w:tcPr>
            <w:tcW w:w="2830" w:type="dxa"/>
          </w:tcPr>
          <w:p w14:paraId="48C4B5B5"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 Erasure</w:t>
            </w:r>
          </w:p>
        </w:tc>
        <w:tc>
          <w:tcPr>
            <w:tcW w:w="6186" w:type="dxa"/>
          </w:tcPr>
          <w:p w14:paraId="3D7BB400"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Also known as the Right to be Forgotten, it entitles the data subject to have the data controller erase further dissemination of the data and potentially have third parties cease processing of the data</w:t>
            </w:r>
          </w:p>
        </w:tc>
      </w:tr>
      <w:tr w:rsidR="004876D2" w14:paraId="3220C452" w14:textId="77777777" w:rsidTr="009127C6">
        <w:tc>
          <w:tcPr>
            <w:tcW w:w="2830" w:type="dxa"/>
          </w:tcPr>
          <w:p w14:paraId="3BEFDFD7"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 Portability</w:t>
            </w:r>
          </w:p>
        </w:tc>
        <w:tc>
          <w:tcPr>
            <w:tcW w:w="6186" w:type="dxa"/>
          </w:tcPr>
          <w:p w14:paraId="7C6B0EB9"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The requirement for data controllers to provide the data subject with a copy of his or her data in a format that allows for easy use with another controller and allows for the transfer of the personal data to that other data controller</w:t>
            </w:r>
          </w:p>
        </w:tc>
      </w:tr>
      <w:tr w:rsidR="004876D2" w14:paraId="588E5C88" w14:textId="77777777" w:rsidTr="009127C6">
        <w:tc>
          <w:tcPr>
            <w:tcW w:w="2830" w:type="dxa"/>
          </w:tcPr>
          <w:p w14:paraId="2E185408"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DPIA</w:t>
            </w:r>
          </w:p>
        </w:tc>
        <w:tc>
          <w:tcPr>
            <w:tcW w:w="6186" w:type="dxa"/>
          </w:tcPr>
          <w:p w14:paraId="765C935D" w14:textId="77777777" w:rsidR="004876D2" w:rsidRDefault="009127C6"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Data Privacy Impact Assessment, a process which enables organisations such as NIHRC to identify and reduce the privacy risks of any </w:t>
            </w:r>
            <w:proofErr w:type="gramStart"/>
            <w:r>
              <w:rPr>
                <w:rFonts w:ascii="Verdana" w:hAnsi="Verdana"/>
                <w:color w:val="000000" w:themeColor="text1"/>
              </w:rPr>
              <w:t>particular project</w:t>
            </w:r>
            <w:proofErr w:type="gramEnd"/>
            <w:r>
              <w:rPr>
                <w:rFonts w:ascii="Verdana" w:hAnsi="Verdana"/>
                <w:color w:val="000000" w:themeColor="text1"/>
              </w:rPr>
              <w:t xml:space="preserve">.  Also known as a PIA. </w:t>
            </w:r>
          </w:p>
        </w:tc>
      </w:tr>
      <w:tr w:rsidR="004876D2" w14:paraId="35C72F70" w14:textId="77777777" w:rsidTr="009127C6">
        <w:tc>
          <w:tcPr>
            <w:tcW w:w="2830" w:type="dxa"/>
          </w:tcPr>
          <w:p w14:paraId="6880B016" w14:textId="77777777" w:rsidR="004876D2" w:rsidRDefault="004876D2" w:rsidP="0093482E">
            <w:pPr>
              <w:pStyle w:val="ListParagraph"/>
              <w:tabs>
                <w:tab w:val="left" w:pos="1245"/>
              </w:tabs>
              <w:ind w:left="0"/>
              <w:rPr>
                <w:rFonts w:ascii="Verdana" w:hAnsi="Verdana"/>
                <w:color w:val="000000" w:themeColor="text1"/>
              </w:rPr>
            </w:pPr>
            <w:r>
              <w:rPr>
                <w:rFonts w:ascii="Verdana" w:hAnsi="Verdana"/>
                <w:color w:val="000000" w:themeColor="text1"/>
              </w:rPr>
              <w:t>Data Processors</w:t>
            </w:r>
          </w:p>
        </w:tc>
        <w:tc>
          <w:tcPr>
            <w:tcW w:w="6186" w:type="dxa"/>
          </w:tcPr>
          <w:p w14:paraId="2BF01E4D"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Includes any person or organisation that is not a data user that processes personal data on NIHRC’s behalf and on its instructions.  Staff of data controllers are excluded from this </w:t>
            </w:r>
            <w:proofErr w:type="gramStart"/>
            <w:r>
              <w:rPr>
                <w:rFonts w:ascii="Verdana" w:hAnsi="Verdana"/>
                <w:color w:val="000000" w:themeColor="text1"/>
              </w:rPr>
              <w:t>definition</w:t>
            </w:r>
            <w:proofErr w:type="gramEnd"/>
            <w:r>
              <w:rPr>
                <w:rFonts w:ascii="Verdana" w:hAnsi="Verdana"/>
                <w:color w:val="000000" w:themeColor="text1"/>
              </w:rPr>
              <w:t xml:space="preserve"> but it could include suppliers which handle personal data on NIHRC’s behalf, for example companies who store our information backups</w:t>
            </w:r>
          </w:p>
        </w:tc>
      </w:tr>
      <w:tr w:rsidR="004876D2" w14:paraId="223DE54A" w14:textId="77777777" w:rsidTr="009127C6">
        <w:tc>
          <w:tcPr>
            <w:tcW w:w="2830" w:type="dxa"/>
          </w:tcPr>
          <w:p w14:paraId="3573AFC2"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Data Protection Authority</w:t>
            </w:r>
          </w:p>
        </w:tc>
        <w:tc>
          <w:tcPr>
            <w:tcW w:w="6186" w:type="dxa"/>
          </w:tcPr>
          <w:p w14:paraId="322A77AD"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National authorities tasked with the protection of data and privacy as well as monitoring and enforcement of the data protection regulations within the European Union.  Also known as a Supervisory Authority</w:t>
            </w:r>
          </w:p>
        </w:tc>
      </w:tr>
      <w:tr w:rsidR="004876D2" w14:paraId="34CA0731" w14:textId="77777777" w:rsidTr="009127C6">
        <w:tc>
          <w:tcPr>
            <w:tcW w:w="2830" w:type="dxa"/>
          </w:tcPr>
          <w:p w14:paraId="3B921FA0"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Data Protection Officer</w:t>
            </w:r>
          </w:p>
        </w:tc>
        <w:tc>
          <w:tcPr>
            <w:tcW w:w="6186" w:type="dxa"/>
          </w:tcPr>
          <w:p w14:paraId="6FD40B7F"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An expert on data privacy who works independently to ensure that an entity is adhering to the policies </w:t>
            </w:r>
            <w:r>
              <w:rPr>
                <w:rFonts w:ascii="Verdana" w:hAnsi="Verdana"/>
                <w:color w:val="000000" w:themeColor="text1"/>
              </w:rPr>
              <w:lastRenderedPageBreak/>
              <w:t>and procedures needed to be compliant with the GDPR. Also known as DPO.</w:t>
            </w:r>
          </w:p>
        </w:tc>
      </w:tr>
      <w:tr w:rsidR="004876D2" w14:paraId="3C3E21C9" w14:textId="77777777" w:rsidTr="009127C6">
        <w:tc>
          <w:tcPr>
            <w:tcW w:w="2830" w:type="dxa"/>
          </w:tcPr>
          <w:p w14:paraId="4582A69C"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lastRenderedPageBreak/>
              <w:t>DSA</w:t>
            </w:r>
          </w:p>
        </w:tc>
        <w:tc>
          <w:tcPr>
            <w:tcW w:w="6186" w:type="dxa"/>
          </w:tcPr>
          <w:p w14:paraId="403E9746" w14:textId="77777777" w:rsidR="004876D2" w:rsidRDefault="008F2ABA" w:rsidP="008F2ABA">
            <w:pPr>
              <w:pStyle w:val="ListParagraph"/>
              <w:tabs>
                <w:tab w:val="left" w:pos="1245"/>
              </w:tabs>
              <w:ind w:left="0"/>
              <w:rPr>
                <w:rFonts w:ascii="Verdana" w:hAnsi="Verdana"/>
                <w:color w:val="000000" w:themeColor="text1"/>
              </w:rPr>
            </w:pPr>
            <w:r>
              <w:rPr>
                <w:rFonts w:ascii="Verdana" w:hAnsi="Verdana"/>
                <w:color w:val="000000" w:themeColor="text1"/>
              </w:rPr>
              <w:t xml:space="preserve">Data Sharing Agreement- agreement between two or more parties for the disclosure of data from one or more organisations to a </w:t>
            </w:r>
            <w:proofErr w:type="gramStart"/>
            <w:r>
              <w:rPr>
                <w:rFonts w:ascii="Verdana" w:hAnsi="Verdana"/>
                <w:color w:val="000000" w:themeColor="text1"/>
              </w:rPr>
              <w:t>third party</w:t>
            </w:r>
            <w:proofErr w:type="gramEnd"/>
            <w:r>
              <w:rPr>
                <w:rFonts w:ascii="Verdana" w:hAnsi="Verdana"/>
                <w:color w:val="000000" w:themeColor="text1"/>
              </w:rPr>
              <w:t xml:space="preserve"> organisation or organisations, or the sharing of data between different parts of an organisation</w:t>
            </w:r>
          </w:p>
        </w:tc>
      </w:tr>
      <w:tr w:rsidR="004876D2" w14:paraId="6FF43256" w14:textId="77777777" w:rsidTr="009127C6">
        <w:tc>
          <w:tcPr>
            <w:tcW w:w="2830" w:type="dxa"/>
          </w:tcPr>
          <w:p w14:paraId="36A2EF31"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Data Subject</w:t>
            </w:r>
          </w:p>
        </w:tc>
        <w:tc>
          <w:tcPr>
            <w:tcW w:w="6186" w:type="dxa"/>
          </w:tcPr>
          <w:p w14:paraId="23BEF61B"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A natural person whose personal data is processed either by a data processor or a data controller</w:t>
            </w:r>
          </w:p>
        </w:tc>
      </w:tr>
      <w:tr w:rsidR="004876D2" w14:paraId="6AC4BEDF" w14:textId="77777777" w:rsidTr="009127C6">
        <w:tc>
          <w:tcPr>
            <w:tcW w:w="2830" w:type="dxa"/>
          </w:tcPr>
          <w:p w14:paraId="063C06DB"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Data Users</w:t>
            </w:r>
          </w:p>
        </w:tc>
        <w:tc>
          <w:tcPr>
            <w:tcW w:w="6186" w:type="dxa"/>
          </w:tcPr>
          <w:p w14:paraId="47DFAB8B" w14:textId="77777777" w:rsidR="004876D2" w:rsidRDefault="0062632B" w:rsidP="0062632B">
            <w:pPr>
              <w:pStyle w:val="ListParagraph"/>
              <w:tabs>
                <w:tab w:val="left" w:pos="1245"/>
              </w:tabs>
              <w:ind w:left="0"/>
              <w:rPr>
                <w:rFonts w:ascii="Verdana" w:hAnsi="Verdana"/>
                <w:color w:val="000000" w:themeColor="text1"/>
              </w:rPr>
            </w:pPr>
            <w:r>
              <w:rPr>
                <w:rFonts w:ascii="Verdana" w:hAnsi="Verdana"/>
                <w:color w:val="000000" w:themeColor="text1"/>
              </w:rPr>
              <w:t xml:space="preserve">Are those staff whose work involves processing personal data. Data users must protect the data they handle in accordance with this data protection policy and the Security Policies </w:t>
            </w:r>
          </w:p>
        </w:tc>
      </w:tr>
      <w:tr w:rsidR="004876D2" w14:paraId="75CCD703" w14:textId="77777777" w:rsidTr="009127C6">
        <w:tc>
          <w:tcPr>
            <w:tcW w:w="2830" w:type="dxa"/>
          </w:tcPr>
          <w:p w14:paraId="18DB66E0"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Encrypted Data</w:t>
            </w:r>
          </w:p>
        </w:tc>
        <w:tc>
          <w:tcPr>
            <w:tcW w:w="6186" w:type="dxa"/>
          </w:tcPr>
          <w:p w14:paraId="34066E93" w14:textId="77777777" w:rsidR="004876D2" w:rsidRDefault="0062632B" w:rsidP="0093482E">
            <w:pPr>
              <w:pStyle w:val="ListParagraph"/>
              <w:tabs>
                <w:tab w:val="left" w:pos="1245"/>
              </w:tabs>
              <w:ind w:left="0"/>
              <w:rPr>
                <w:rFonts w:ascii="Verdana" w:hAnsi="Verdana"/>
                <w:color w:val="000000" w:themeColor="text1"/>
              </w:rPr>
            </w:pPr>
            <w:r>
              <w:rPr>
                <w:rFonts w:ascii="Verdana" w:hAnsi="Verdana"/>
                <w:color w:val="000000" w:themeColor="text1"/>
              </w:rPr>
              <w:t>Personal data that is protected through technological measures to ensure the data is only accessible/ readable by those with specified access</w:t>
            </w:r>
          </w:p>
        </w:tc>
      </w:tr>
      <w:tr w:rsidR="004876D2" w14:paraId="718DCF12" w14:textId="77777777" w:rsidTr="009127C6">
        <w:tc>
          <w:tcPr>
            <w:tcW w:w="2830" w:type="dxa"/>
          </w:tcPr>
          <w:p w14:paraId="4E619795" w14:textId="77777777" w:rsidR="004876D2" w:rsidRDefault="008F2ABA" w:rsidP="0093482E">
            <w:pPr>
              <w:pStyle w:val="ListParagraph"/>
              <w:tabs>
                <w:tab w:val="left" w:pos="1245"/>
              </w:tabs>
              <w:ind w:left="0"/>
              <w:rPr>
                <w:rFonts w:ascii="Verdana" w:hAnsi="Verdana"/>
                <w:color w:val="000000" w:themeColor="text1"/>
              </w:rPr>
            </w:pPr>
            <w:r>
              <w:rPr>
                <w:rFonts w:ascii="Verdana" w:hAnsi="Verdana"/>
                <w:color w:val="000000" w:themeColor="text1"/>
              </w:rPr>
              <w:t>Filing System</w:t>
            </w:r>
          </w:p>
        </w:tc>
        <w:tc>
          <w:tcPr>
            <w:tcW w:w="6186" w:type="dxa"/>
          </w:tcPr>
          <w:p w14:paraId="110114F6" w14:textId="77777777" w:rsidR="004876D2" w:rsidRDefault="0062632B" w:rsidP="0093482E">
            <w:pPr>
              <w:pStyle w:val="ListParagraph"/>
              <w:tabs>
                <w:tab w:val="left" w:pos="1245"/>
              </w:tabs>
              <w:ind w:left="0"/>
              <w:rPr>
                <w:rFonts w:ascii="Verdana" w:hAnsi="Verdana"/>
                <w:color w:val="000000" w:themeColor="text1"/>
              </w:rPr>
            </w:pPr>
            <w:r>
              <w:rPr>
                <w:rFonts w:ascii="Verdana" w:hAnsi="Verdana"/>
                <w:color w:val="000000" w:themeColor="text1"/>
              </w:rPr>
              <w:t>Any means of categorising data that makes it accessible according to specific criteria, or able to be queried</w:t>
            </w:r>
          </w:p>
        </w:tc>
      </w:tr>
      <w:tr w:rsidR="004876D2" w14:paraId="6C51E413" w14:textId="77777777" w:rsidTr="009127C6">
        <w:tc>
          <w:tcPr>
            <w:tcW w:w="2830" w:type="dxa"/>
          </w:tcPr>
          <w:p w14:paraId="684DDE19"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FOIA</w:t>
            </w:r>
          </w:p>
        </w:tc>
        <w:tc>
          <w:tcPr>
            <w:tcW w:w="6186" w:type="dxa"/>
          </w:tcPr>
          <w:p w14:paraId="0E4E48F7"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Freedom of Information Act 2000</w:t>
            </w:r>
          </w:p>
        </w:tc>
      </w:tr>
      <w:tr w:rsidR="004876D2" w14:paraId="353A3CB0" w14:textId="77777777" w:rsidTr="009127C6">
        <w:tc>
          <w:tcPr>
            <w:tcW w:w="2830" w:type="dxa"/>
          </w:tcPr>
          <w:p w14:paraId="1CA79D86"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GDPR</w:t>
            </w:r>
          </w:p>
        </w:tc>
        <w:tc>
          <w:tcPr>
            <w:tcW w:w="6186" w:type="dxa"/>
          </w:tcPr>
          <w:p w14:paraId="6552D174"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General Data Protection Regulation</w:t>
            </w:r>
          </w:p>
        </w:tc>
      </w:tr>
      <w:tr w:rsidR="004876D2" w14:paraId="3E9B85D5" w14:textId="77777777" w:rsidTr="009127C6">
        <w:tc>
          <w:tcPr>
            <w:tcW w:w="2830" w:type="dxa"/>
          </w:tcPr>
          <w:p w14:paraId="1636F4D8"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ICO</w:t>
            </w:r>
          </w:p>
        </w:tc>
        <w:tc>
          <w:tcPr>
            <w:tcW w:w="6186" w:type="dxa"/>
          </w:tcPr>
          <w:p w14:paraId="555BD231"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Information Commissioner’s Office</w:t>
            </w:r>
          </w:p>
        </w:tc>
      </w:tr>
      <w:tr w:rsidR="004876D2" w14:paraId="60856174" w14:textId="77777777" w:rsidTr="009127C6">
        <w:tc>
          <w:tcPr>
            <w:tcW w:w="2830" w:type="dxa"/>
          </w:tcPr>
          <w:p w14:paraId="6F6A02A9"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PECR</w:t>
            </w:r>
          </w:p>
        </w:tc>
        <w:tc>
          <w:tcPr>
            <w:tcW w:w="6186" w:type="dxa"/>
          </w:tcPr>
          <w:p w14:paraId="50F4F5C5"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Privacy and Electronic Communications Regulations 2003</w:t>
            </w:r>
          </w:p>
        </w:tc>
      </w:tr>
      <w:tr w:rsidR="004876D2" w14:paraId="6FFDC08B" w14:textId="77777777" w:rsidTr="009127C6">
        <w:tc>
          <w:tcPr>
            <w:tcW w:w="2830" w:type="dxa"/>
          </w:tcPr>
          <w:p w14:paraId="77F885A4"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Personal Data</w:t>
            </w:r>
          </w:p>
        </w:tc>
        <w:tc>
          <w:tcPr>
            <w:tcW w:w="6186" w:type="dxa"/>
          </w:tcPr>
          <w:p w14:paraId="142BD101"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Means data relating to a living individual who can be identified from that data (or from that data and other information in its possession).  Personal data can be factual (for example, a name, address or date of birth) or it can be an opinion about that person, their actions and behaviour</w:t>
            </w:r>
          </w:p>
        </w:tc>
      </w:tr>
      <w:tr w:rsidR="004876D2" w14:paraId="2BAA8496" w14:textId="77777777" w:rsidTr="009127C6">
        <w:tc>
          <w:tcPr>
            <w:tcW w:w="2830" w:type="dxa"/>
          </w:tcPr>
          <w:p w14:paraId="74D082A3"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Personal Data Breach</w:t>
            </w:r>
          </w:p>
        </w:tc>
        <w:tc>
          <w:tcPr>
            <w:tcW w:w="6186" w:type="dxa"/>
          </w:tcPr>
          <w:p w14:paraId="7E30A803"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A personal data breach means a breach of security leading to the accidental or unlawful destruction, loss, alteration, unauthorised disclosure of, or access to, personal data.  This includes breaches that are the result of both accidental and deliberate causes</w:t>
            </w:r>
          </w:p>
        </w:tc>
      </w:tr>
      <w:tr w:rsidR="004876D2" w14:paraId="0AE27F1A" w14:textId="77777777" w:rsidTr="009127C6">
        <w:tc>
          <w:tcPr>
            <w:tcW w:w="2830" w:type="dxa"/>
          </w:tcPr>
          <w:p w14:paraId="47AD2DF5"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Privacy by Design</w:t>
            </w:r>
          </w:p>
        </w:tc>
        <w:tc>
          <w:tcPr>
            <w:tcW w:w="6186" w:type="dxa"/>
          </w:tcPr>
          <w:p w14:paraId="59C8E412"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A Principle that calls for the inclusion of data protection principles from the onset of the designing of systems, rather than as an addition at a later stage</w:t>
            </w:r>
          </w:p>
        </w:tc>
      </w:tr>
      <w:tr w:rsidR="004876D2" w14:paraId="2C1058A1" w14:textId="77777777" w:rsidTr="009127C6">
        <w:tc>
          <w:tcPr>
            <w:tcW w:w="2830" w:type="dxa"/>
          </w:tcPr>
          <w:p w14:paraId="2E32C5E3"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Processing</w:t>
            </w:r>
          </w:p>
        </w:tc>
        <w:tc>
          <w:tcPr>
            <w:tcW w:w="6186" w:type="dxa"/>
          </w:tcPr>
          <w:p w14:paraId="6CDE6D34"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Is any activity that involves use of data.  It includes obtaining, recording or holding the data, or carrying out any operation or set of operations on the data including organising, amending, retrieving, using =, disclosing, erasing or destroying it. Processing also includes transferring personal data to third parties</w:t>
            </w:r>
          </w:p>
        </w:tc>
      </w:tr>
      <w:tr w:rsidR="004876D2" w14:paraId="046AD4D5" w14:textId="77777777" w:rsidTr="009127C6">
        <w:tc>
          <w:tcPr>
            <w:tcW w:w="2830" w:type="dxa"/>
          </w:tcPr>
          <w:p w14:paraId="0A24F255"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Profiling</w:t>
            </w:r>
          </w:p>
        </w:tc>
        <w:tc>
          <w:tcPr>
            <w:tcW w:w="6186" w:type="dxa"/>
          </w:tcPr>
          <w:p w14:paraId="46715230"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 xml:space="preserve">Any automated processing of personal data without the input of a person, intended to evaluate, analyse or predict </w:t>
            </w:r>
            <w:r w:rsidR="00525638">
              <w:rPr>
                <w:rFonts w:ascii="Verdana" w:hAnsi="Verdana"/>
                <w:color w:val="000000" w:themeColor="text1"/>
              </w:rPr>
              <w:t>the behaviour of a data subject</w:t>
            </w:r>
          </w:p>
        </w:tc>
      </w:tr>
      <w:tr w:rsidR="004876D2" w14:paraId="6C9DFCC5" w14:textId="77777777" w:rsidTr="009127C6">
        <w:tc>
          <w:tcPr>
            <w:tcW w:w="2830" w:type="dxa"/>
          </w:tcPr>
          <w:p w14:paraId="1173973E"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lastRenderedPageBreak/>
              <w:t>Pseudonymisation</w:t>
            </w:r>
          </w:p>
        </w:tc>
        <w:tc>
          <w:tcPr>
            <w:tcW w:w="6186" w:type="dxa"/>
          </w:tcPr>
          <w:p w14:paraId="1A7DF147"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The processing of personal data such that it can no longer be attributed to a single data subject without the use of additional data, so long as said additional data stays separate to ensure that it cannot be attributed to the data subject</w:t>
            </w:r>
          </w:p>
        </w:tc>
      </w:tr>
      <w:tr w:rsidR="004876D2" w14:paraId="66F4EB1F" w14:textId="77777777" w:rsidTr="009127C6">
        <w:tc>
          <w:tcPr>
            <w:tcW w:w="2830" w:type="dxa"/>
          </w:tcPr>
          <w:p w14:paraId="03F6F274"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Recipient</w:t>
            </w:r>
          </w:p>
        </w:tc>
        <w:tc>
          <w:tcPr>
            <w:tcW w:w="6186" w:type="dxa"/>
          </w:tcPr>
          <w:p w14:paraId="33BFFA5F"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Entity to which personal data is disclosed</w:t>
            </w:r>
          </w:p>
        </w:tc>
      </w:tr>
      <w:tr w:rsidR="004876D2" w14:paraId="62B1ACDC" w14:textId="77777777" w:rsidTr="009127C6">
        <w:tc>
          <w:tcPr>
            <w:tcW w:w="2830" w:type="dxa"/>
          </w:tcPr>
          <w:p w14:paraId="5CECF195"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Right to be Forgotten</w:t>
            </w:r>
          </w:p>
        </w:tc>
        <w:tc>
          <w:tcPr>
            <w:tcW w:w="6186" w:type="dxa"/>
          </w:tcPr>
          <w:p w14:paraId="08FCBB7F"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Also known as Data Erasure, it entitles the data subject to have the data controller erase his or her personal data, cease further dissemination of the data and have third parties cease processing of the data</w:t>
            </w:r>
          </w:p>
        </w:tc>
      </w:tr>
      <w:tr w:rsidR="004876D2" w14:paraId="6F489EBF" w14:textId="77777777" w:rsidTr="009127C6">
        <w:tc>
          <w:tcPr>
            <w:tcW w:w="2830" w:type="dxa"/>
          </w:tcPr>
          <w:p w14:paraId="554156D4"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Right to Access</w:t>
            </w:r>
          </w:p>
        </w:tc>
        <w:tc>
          <w:tcPr>
            <w:tcW w:w="6186" w:type="dxa"/>
          </w:tcPr>
          <w:p w14:paraId="46ACD3DD"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Also known as Subject Access Right, it entitles the data subject to have access to and information about the personal data that a data controller has concerning them</w:t>
            </w:r>
          </w:p>
        </w:tc>
      </w:tr>
      <w:tr w:rsidR="004876D2" w14:paraId="55CEA615" w14:textId="77777777" w:rsidTr="009127C6">
        <w:tc>
          <w:tcPr>
            <w:tcW w:w="2830" w:type="dxa"/>
          </w:tcPr>
          <w:p w14:paraId="4FFF00F1" w14:textId="77777777" w:rsidR="004876D2" w:rsidRDefault="001E45C6" w:rsidP="0093482E">
            <w:pPr>
              <w:pStyle w:val="ListParagraph"/>
              <w:tabs>
                <w:tab w:val="left" w:pos="1245"/>
              </w:tabs>
              <w:ind w:left="0"/>
              <w:rPr>
                <w:rFonts w:ascii="Verdana" w:hAnsi="Verdana"/>
                <w:color w:val="000000" w:themeColor="text1"/>
              </w:rPr>
            </w:pPr>
            <w:r>
              <w:rPr>
                <w:rFonts w:ascii="Verdana" w:hAnsi="Verdana"/>
                <w:color w:val="000000" w:themeColor="text1"/>
              </w:rPr>
              <w:t>SAR</w:t>
            </w:r>
          </w:p>
        </w:tc>
        <w:tc>
          <w:tcPr>
            <w:tcW w:w="6186" w:type="dxa"/>
          </w:tcPr>
          <w:p w14:paraId="04D40BA0"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Subject Access Request- request from an individual to see their own data under the rights given to them in the GDPR</w:t>
            </w:r>
          </w:p>
        </w:tc>
      </w:tr>
      <w:tr w:rsidR="004876D2" w14:paraId="560DA91E" w14:textId="77777777" w:rsidTr="009127C6">
        <w:tc>
          <w:tcPr>
            <w:tcW w:w="2830" w:type="dxa"/>
          </w:tcPr>
          <w:p w14:paraId="73C64CDE"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Supervisory Authority</w:t>
            </w:r>
          </w:p>
        </w:tc>
        <w:tc>
          <w:tcPr>
            <w:tcW w:w="6186" w:type="dxa"/>
          </w:tcPr>
          <w:p w14:paraId="197FC74E"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A public authority established by a member state of the European Union in accordance with Article 46 of the GDPR, which is tasked with the protection of data and privacy as well as monitoring and enforcement of the data protection regulations with the European Union</w:t>
            </w:r>
          </w:p>
        </w:tc>
      </w:tr>
      <w:tr w:rsidR="004876D2" w14:paraId="2D15C678" w14:textId="77777777" w:rsidTr="009127C6">
        <w:tc>
          <w:tcPr>
            <w:tcW w:w="2830" w:type="dxa"/>
          </w:tcPr>
          <w:p w14:paraId="651DBD10" w14:textId="77777777"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Special Category Data</w:t>
            </w:r>
          </w:p>
        </w:tc>
        <w:tc>
          <w:tcPr>
            <w:tcW w:w="6186" w:type="dxa"/>
          </w:tcPr>
          <w:p w14:paraId="40EAEE7F" w14:textId="3968AE94" w:rsidR="004876D2" w:rsidRDefault="00525638" w:rsidP="0093482E">
            <w:pPr>
              <w:pStyle w:val="ListParagraph"/>
              <w:tabs>
                <w:tab w:val="left" w:pos="1245"/>
              </w:tabs>
              <w:ind w:left="0"/>
              <w:rPr>
                <w:rFonts w:ascii="Verdana" w:hAnsi="Verdana"/>
                <w:color w:val="000000" w:themeColor="text1"/>
              </w:rPr>
            </w:pPr>
            <w:r>
              <w:rPr>
                <w:rFonts w:ascii="Verdana" w:hAnsi="Verdana"/>
                <w:color w:val="000000" w:themeColor="text1"/>
              </w:rPr>
              <w:t>Includes information about a person’s racial or ethnic origin, political opinions, religious or similar beliefs, trade union membership, physical or mental health or</w:t>
            </w:r>
            <w:r w:rsidR="005D6344">
              <w:rPr>
                <w:rFonts w:ascii="Verdana" w:hAnsi="Verdana"/>
                <w:color w:val="000000" w:themeColor="text1"/>
              </w:rPr>
              <w:t xml:space="preserve"> condition or sexual life, or about the </w:t>
            </w:r>
            <w:r w:rsidR="00092CF3">
              <w:rPr>
                <w:rFonts w:ascii="Verdana" w:hAnsi="Verdana"/>
                <w:color w:val="000000" w:themeColor="text1"/>
              </w:rPr>
              <w:t>NIHRC</w:t>
            </w:r>
            <w:r w:rsidR="005D6344">
              <w:rPr>
                <w:rFonts w:ascii="Verdana" w:hAnsi="Verdana"/>
                <w:color w:val="000000" w:themeColor="text1"/>
              </w:rPr>
              <w:t xml:space="preserve"> of, or proceedings </w:t>
            </w:r>
            <w:r w:rsidR="001E53D0">
              <w:rPr>
                <w:rFonts w:ascii="Verdana" w:hAnsi="Verdana"/>
                <w:color w:val="000000" w:themeColor="text1"/>
              </w:rPr>
              <w:t>for any offence committed or alleged to have been committed by that person, the disposal of such proceedings or the sentence of any court in such proceedings.  Sensitive personal data can only be processed under strict conditions, including a condition requiring the express permission of the person concerned.</w:t>
            </w:r>
          </w:p>
          <w:p w14:paraId="0FCC5641" w14:textId="77777777" w:rsidR="00525638" w:rsidRDefault="00525638" w:rsidP="0093482E">
            <w:pPr>
              <w:pStyle w:val="ListParagraph"/>
              <w:tabs>
                <w:tab w:val="left" w:pos="1245"/>
              </w:tabs>
              <w:ind w:left="0"/>
              <w:rPr>
                <w:rFonts w:ascii="Verdana" w:hAnsi="Verdana"/>
                <w:color w:val="000000" w:themeColor="text1"/>
              </w:rPr>
            </w:pPr>
          </w:p>
        </w:tc>
      </w:tr>
    </w:tbl>
    <w:p w14:paraId="376BAEAE" w14:textId="77777777" w:rsidR="0093482E" w:rsidRPr="0093482E" w:rsidRDefault="0093482E" w:rsidP="0093482E">
      <w:pPr>
        <w:pStyle w:val="ListParagraph"/>
        <w:tabs>
          <w:tab w:val="left" w:pos="1245"/>
        </w:tabs>
        <w:ind w:left="0"/>
        <w:rPr>
          <w:rFonts w:ascii="Verdana" w:hAnsi="Verdana"/>
          <w:color w:val="000000" w:themeColor="text1"/>
        </w:rPr>
      </w:pPr>
    </w:p>
    <w:p w14:paraId="39190ED2" w14:textId="77777777" w:rsidR="00E33DB3" w:rsidRPr="00E33DB3" w:rsidRDefault="00E33DB3" w:rsidP="00E33DB3">
      <w:pPr>
        <w:rPr>
          <w:rFonts w:ascii="Verdana" w:hAnsi="Verdana"/>
          <w:color w:val="000000" w:themeColor="text1"/>
        </w:rPr>
      </w:pPr>
    </w:p>
    <w:p w14:paraId="115A5E51" w14:textId="77777777" w:rsidR="00E33DB3" w:rsidRPr="00E33DB3" w:rsidRDefault="00E33DB3" w:rsidP="00E33DB3">
      <w:pPr>
        <w:rPr>
          <w:rFonts w:ascii="Verdana" w:hAnsi="Verdana"/>
          <w:b/>
          <w:color w:val="7030A0"/>
        </w:rPr>
      </w:pPr>
    </w:p>
    <w:p w14:paraId="52E0FC9A" w14:textId="77777777" w:rsidR="00E33DB3" w:rsidRDefault="00E33DB3" w:rsidP="0051082E">
      <w:pPr>
        <w:pStyle w:val="ListParagraph"/>
        <w:ind w:left="0"/>
        <w:rPr>
          <w:rFonts w:ascii="Verdana" w:hAnsi="Verdana"/>
          <w:color w:val="000000" w:themeColor="text1"/>
        </w:rPr>
      </w:pPr>
    </w:p>
    <w:p w14:paraId="1C477C1C" w14:textId="77777777" w:rsidR="00E33DB3" w:rsidRDefault="00E33DB3" w:rsidP="0051082E">
      <w:pPr>
        <w:pStyle w:val="ListParagraph"/>
        <w:ind w:left="0"/>
        <w:rPr>
          <w:rFonts w:ascii="Verdana" w:hAnsi="Verdana"/>
          <w:color w:val="000000" w:themeColor="text1"/>
        </w:rPr>
      </w:pPr>
    </w:p>
    <w:p w14:paraId="7D7101AE" w14:textId="77777777" w:rsidR="00E33DB3" w:rsidRDefault="00E33DB3" w:rsidP="0051082E">
      <w:pPr>
        <w:pStyle w:val="ListParagraph"/>
        <w:ind w:left="0"/>
        <w:rPr>
          <w:rFonts w:ascii="Verdana" w:hAnsi="Verdana"/>
          <w:color w:val="000000" w:themeColor="text1"/>
        </w:rPr>
      </w:pPr>
    </w:p>
    <w:p w14:paraId="735A634C" w14:textId="77777777" w:rsidR="00A07B38" w:rsidRDefault="00A07B38" w:rsidP="0051082E">
      <w:pPr>
        <w:pStyle w:val="ListParagraph"/>
        <w:ind w:left="0"/>
        <w:rPr>
          <w:rFonts w:ascii="Verdana" w:hAnsi="Verdana"/>
          <w:color w:val="000000" w:themeColor="text1"/>
        </w:rPr>
      </w:pPr>
    </w:p>
    <w:p w14:paraId="6DA05ACF" w14:textId="77777777" w:rsidR="00A07B38" w:rsidRDefault="00A07B38" w:rsidP="0051082E">
      <w:pPr>
        <w:pStyle w:val="ListParagraph"/>
        <w:ind w:left="0"/>
        <w:rPr>
          <w:rFonts w:ascii="Verdana" w:hAnsi="Verdana"/>
          <w:color w:val="000000" w:themeColor="text1"/>
        </w:rPr>
      </w:pPr>
    </w:p>
    <w:p w14:paraId="3BC8AF4F" w14:textId="77777777" w:rsidR="00A07B38" w:rsidRDefault="00A07B38" w:rsidP="0051082E">
      <w:pPr>
        <w:pStyle w:val="ListParagraph"/>
        <w:ind w:left="0"/>
        <w:rPr>
          <w:rFonts w:ascii="Verdana" w:hAnsi="Verdana"/>
          <w:color w:val="000000" w:themeColor="text1"/>
        </w:rPr>
      </w:pPr>
    </w:p>
    <w:p w14:paraId="1CFA4A22" w14:textId="77777777" w:rsidR="00A07B38" w:rsidRDefault="00A07B38" w:rsidP="0051082E">
      <w:pPr>
        <w:pStyle w:val="ListParagraph"/>
        <w:ind w:left="0"/>
        <w:rPr>
          <w:rFonts w:ascii="Verdana" w:hAnsi="Verdana"/>
          <w:color w:val="000000" w:themeColor="text1"/>
        </w:rPr>
      </w:pPr>
    </w:p>
    <w:p w14:paraId="48FACB6C" w14:textId="77777777" w:rsidR="00A07B38" w:rsidRDefault="00A07B38" w:rsidP="0051082E">
      <w:pPr>
        <w:pStyle w:val="ListParagraph"/>
        <w:ind w:left="0"/>
        <w:rPr>
          <w:rFonts w:ascii="Verdana" w:hAnsi="Verdana"/>
          <w:color w:val="000000" w:themeColor="text1"/>
        </w:rPr>
      </w:pPr>
    </w:p>
    <w:p w14:paraId="585ADC9A" w14:textId="77777777" w:rsidR="00A07B38" w:rsidRDefault="00A07B38" w:rsidP="00A07B38">
      <w:pPr>
        <w:pStyle w:val="ListParagraph"/>
        <w:ind w:left="567" w:hanging="567"/>
        <w:rPr>
          <w:rFonts w:ascii="Verdana" w:hAnsi="Verdana"/>
          <w:b/>
          <w:color w:val="7030A0"/>
        </w:rPr>
      </w:pPr>
      <w:r>
        <w:rPr>
          <w:rFonts w:ascii="Verdana" w:hAnsi="Verdana"/>
          <w:b/>
          <w:color w:val="7030A0"/>
        </w:rPr>
        <w:lastRenderedPageBreak/>
        <w:t>Appendix 2</w:t>
      </w:r>
      <w:r>
        <w:rPr>
          <w:rFonts w:ascii="Verdana" w:hAnsi="Verdana"/>
          <w:b/>
          <w:color w:val="7030A0"/>
        </w:rPr>
        <w:tab/>
        <w:t>Privacy Notice</w:t>
      </w:r>
      <w:r w:rsidR="003E4AB6">
        <w:rPr>
          <w:rFonts w:ascii="Verdana" w:hAnsi="Verdana"/>
          <w:b/>
          <w:color w:val="7030A0"/>
        </w:rPr>
        <w:t>: General Data Protection Regulation</w:t>
      </w:r>
    </w:p>
    <w:p w14:paraId="30CDEF24" w14:textId="77777777" w:rsidR="00C018B4" w:rsidRDefault="00C018B4" w:rsidP="00A07B38">
      <w:pPr>
        <w:pStyle w:val="ListParagraph"/>
        <w:ind w:left="567" w:hanging="567"/>
        <w:rPr>
          <w:rFonts w:ascii="Verdana" w:hAnsi="Verdana"/>
          <w:b/>
          <w:color w:val="7030A0"/>
        </w:rPr>
      </w:pPr>
    </w:p>
    <w:p w14:paraId="675C00D5" w14:textId="77777777" w:rsidR="00C018B4" w:rsidRDefault="00C018B4" w:rsidP="00A07B38">
      <w:pPr>
        <w:pStyle w:val="ListParagraph"/>
        <w:ind w:left="567" w:hanging="567"/>
        <w:rPr>
          <w:rFonts w:ascii="Verdana" w:hAnsi="Verdana"/>
          <w:color w:val="000000" w:themeColor="text1"/>
        </w:rPr>
      </w:pPr>
      <w:r>
        <w:rPr>
          <w:rFonts w:ascii="Verdana" w:hAnsi="Verdana"/>
          <w:b/>
          <w:color w:val="7030A0"/>
        </w:rPr>
        <w:t xml:space="preserve">Data Controller Name: </w:t>
      </w:r>
      <w:r>
        <w:rPr>
          <w:rFonts w:ascii="Verdana" w:hAnsi="Verdana"/>
          <w:color w:val="000000" w:themeColor="text1"/>
        </w:rPr>
        <w:t>Northern Ireland Human Rights Commission</w:t>
      </w:r>
    </w:p>
    <w:p w14:paraId="4F98D387" w14:textId="77777777" w:rsidR="00C018B4" w:rsidRDefault="00C018B4" w:rsidP="00A07B38">
      <w:pPr>
        <w:pStyle w:val="ListParagraph"/>
        <w:ind w:left="567" w:hanging="567"/>
        <w:rPr>
          <w:rFonts w:ascii="Verdana" w:hAnsi="Verdana"/>
          <w:color w:val="000000" w:themeColor="text1"/>
        </w:rPr>
      </w:pPr>
      <w:r>
        <w:rPr>
          <w:rFonts w:ascii="Verdana" w:hAnsi="Verdana"/>
          <w:b/>
          <w:color w:val="7030A0"/>
        </w:rPr>
        <w:t>Address:</w:t>
      </w:r>
      <w:r>
        <w:rPr>
          <w:rFonts w:ascii="Verdana" w:hAnsi="Verdana"/>
          <w:color w:val="000000" w:themeColor="text1"/>
        </w:rPr>
        <w:t xml:space="preserve"> </w:t>
      </w:r>
      <w:r w:rsidR="00F235F9">
        <w:rPr>
          <w:rFonts w:ascii="Verdana" w:hAnsi="Verdana"/>
          <w:color w:val="000000" w:themeColor="text1"/>
        </w:rPr>
        <w:t>4</w:t>
      </w:r>
      <w:r w:rsidR="00F235F9" w:rsidRPr="00F235F9">
        <w:rPr>
          <w:rFonts w:ascii="Verdana" w:hAnsi="Verdana"/>
          <w:color w:val="000000" w:themeColor="text1"/>
          <w:vertAlign w:val="superscript"/>
        </w:rPr>
        <w:t>th</w:t>
      </w:r>
      <w:r w:rsidR="00F235F9">
        <w:rPr>
          <w:rFonts w:ascii="Verdana" w:hAnsi="Verdana"/>
          <w:color w:val="000000" w:themeColor="text1"/>
        </w:rPr>
        <w:t xml:space="preserve"> Floor, Alfred House, 19-21 Alfred Street, Belfast, BT2 8ED</w:t>
      </w:r>
    </w:p>
    <w:p w14:paraId="34F7CE51" w14:textId="77777777" w:rsidR="003E4AB6" w:rsidRDefault="003E4AB6" w:rsidP="00A07B38">
      <w:pPr>
        <w:pStyle w:val="ListParagraph"/>
        <w:ind w:left="567" w:hanging="567"/>
        <w:rPr>
          <w:rFonts w:ascii="Verdana" w:hAnsi="Verdana"/>
          <w:color w:val="000000" w:themeColor="text1"/>
        </w:rPr>
      </w:pPr>
      <w:r>
        <w:rPr>
          <w:rFonts w:ascii="Verdana" w:hAnsi="Verdana"/>
          <w:b/>
          <w:color w:val="7030A0"/>
        </w:rPr>
        <w:t>Telephone:</w:t>
      </w:r>
      <w:r>
        <w:rPr>
          <w:rFonts w:ascii="Verdana" w:hAnsi="Verdana"/>
          <w:color w:val="000000" w:themeColor="text1"/>
        </w:rPr>
        <w:t xml:space="preserve"> +44(0)2890 243987</w:t>
      </w:r>
    </w:p>
    <w:p w14:paraId="21B2BEF6" w14:textId="77777777" w:rsidR="003E4AB6" w:rsidRDefault="003E4AB6" w:rsidP="00A07B38">
      <w:pPr>
        <w:pStyle w:val="ListParagraph"/>
        <w:ind w:left="567" w:hanging="567"/>
        <w:rPr>
          <w:rFonts w:ascii="Verdana" w:hAnsi="Verdana"/>
          <w:color w:val="000000" w:themeColor="text1"/>
        </w:rPr>
      </w:pPr>
      <w:r>
        <w:rPr>
          <w:rFonts w:ascii="Verdana" w:hAnsi="Verdana"/>
          <w:b/>
          <w:color w:val="7030A0"/>
        </w:rPr>
        <w:t>Email:</w:t>
      </w:r>
      <w:r>
        <w:rPr>
          <w:rFonts w:ascii="Verdana" w:hAnsi="Verdana"/>
          <w:color w:val="000000" w:themeColor="text1"/>
        </w:rPr>
        <w:t xml:space="preserve"> </w:t>
      </w:r>
      <w:hyperlink r:id="rId12" w:history="1">
        <w:r w:rsidRPr="00FD16F0">
          <w:rPr>
            <w:rStyle w:val="Hyperlink"/>
            <w:rFonts w:ascii="Verdana" w:hAnsi="Verdana"/>
          </w:rPr>
          <w:t>info@nihrc.org</w:t>
        </w:r>
      </w:hyperlink>
    </w:p>
    <w:p w14:paraId="6154AC6C" w14:textId="58C6AAB5" w:rsidR="003E4AB6" w:rsidRDefault="003E4AB6" w:rsidP="00A07B38">
      <w:pPr>
        <w:pStyle w:val="ListParagraph"/>
        <w:ind w:left="567" w:hanging="567"/>
        <w:rPr>
          <w:rFonts w:ascii="Verdana" w:hAnsi="Verdana"/>
          <w:color w:val="000000" w:themeColor="text1"/>
        </w:rPr>
      </w:pPr>
      <w:r>
        <w:rPr>
          <w:rFonts w:ascii="Verdana" w:hAnsi="Verdana"/>
          <w:b/>
          <w:color w:val="7030A0"/>
        </w:rPr>
        <w:t xml:space="preserve">Data Protection </w:t>
      </w:r>
      <w:r w:rsidR="00812636">
        <w:rPr>
          <w:rFonts w:ascii="Verdana" w:hAnsi="Verdana"/>
          <w:b/>
          <w:color w:val="7030A0"/>
        </w:rPr>
        <w:t>Officer</w:t>
      </w:r>
      <w:r>
        <w:rPr>
          <w:rFonts w:ascii="Verdana" w:hAnsi="Verdana"/>
          <w:b/>
          <w:color w:val="7030A0"/>
        </w:rPr>
        <w:t>:</w:t>
      </w:r>
      <w:r>
        <w:rPr>
          <w:rFonts w:ascii="Verdana" w:hAnsi="Verdana"/>
          <w:color w:val="000000" w:themeColor="text1"/>
        </w:rPr>
        <w:t xml:space="preserve"> </w:t>
      </w:r>
      <w:r w:rsidR="009B5981">
        <w:rPr>
          <w:rFonts w:ascii="Verdana" w:hAnsi="Verdana"/>
          <w:color w:val="000000" w:themeColor="text1"/>
        </w:rPr>
        <w:t>Director (Finance, Personnel</w:t>
      </w:r>
      <w:r w:rsidR="00812636">
        <w:rPr>
          <w:rFonts w:ascii="Verdana" w:hAnsi="Verdana"/>
          <w:color w:val="000000" w:themeColor="text1"/>
        </w:rPr>
        <w:t xml:space="preserve"> </w:t>
      </w:r>
      <w:r w:rsidR="009B5981">
        <w:rPr>
          <w:rFonts w:ascii="Verdana" w:hAnsi="Verdana"/>
          <w:color w:val="000000" w:themeColor="text1"/>
        </w:rPr>
        <w:t>and Corporate Affairs)</w:t>
      </w:r>
    </w:p>
    <w:p w14:paraId="086788E6" w14:textId="77777777" w:rsidR="003E4AB6" w:rsidRDefault="003E4AB6" w:rsidP="00A07B38">
      <w:pPr>
        <w:pStyle w:val="ListParagraph"/>
        <w:ind w:left="567" w:hanging="567"/>
        <w:rPr>
          <w:rFonts w:ascii="Verdana" w:hAnsi="Verdana"/>
          <w:color w:val="000000" w:themeColor="text1"/>
        </w:rPr>
      </w:pPr>
      <w:r>
        <w:rPr>
          <w:rFonts w:ascii="Verdana" w:hAnsi="Verdana"/>
          <w:b/>
          <w:color w:val="7030A0"/>
        </w:rPr>
        <w:t>Telephone:</w:t>
      </w:r>
      <w:r>
        <w:rPr>
          <w:rFonts w:ascii="Verdana" w:hAnsi="Verdana"/>
          <w:color w:val="000000" w:themeColor="text1"/>
        </w:rPr>
        <w:t xml:space="preserve"> +44(0)2890 243987</w:t>
      </w:r>
    </w:p>
    <w:p w14:paraId="06FB94FB" w14:textId="77777777" w:rsidR="003E4AB6" w:rsidRPr="00C018B4" w:rsidRDefault="003E4AB6" w:rsidP="00A07B38">
      <w:pPr>
        <w:pStyle w:val="ListParagraph"/>
        <w:ind w:left="567" w:hanging="567"/>
        <w:rPr>
          <w:rFonts w:ascii="Verdana" w:hAnsi="Verdana"/>
          <w:color w:val="000000" w:themeColor="text1"/>
        </w:rPr>
      </w:pPr>
      <w:r>
        <w:rPr>
          <w:rFonts w:ascii="Verdana" w:hAnsi="Verdana"/>
          <w:b/>
          <w:color w:val="7030A0"/>
        </w:rPr>
        <w:t>Email:</w:t>
      </w:r>
      <w:r>
        <w:rPr>
          <w:rFonts w:ascii="Verdana" w:hAnsi="Verdana"/>
          <w:color w:val="000000" w:themeColor="text1"/>
        </w:rPr>
        <w:t xml:space="preserve"> info@nihrc.org</w:t>
      </w:r>
    </w:p>
    <w:p w14:paraId="7C8F2836" w14:textId="77777777" w:rsidR="00A07B38" w:rsidRDefault="00A07B38" w:rsidP="00A07B38">
      <w:pPr>
        <w:pStyle w:val="ListParagraph"/>
        <w:ind w:left="567" w:hanging="567"/>
        <w:rPr>
          <w:rFonts w:ascii="Verdana" w:hAnsi="Verdana"/>
          <w:b/>
          <w:color w:val="7030A0"/>
        </w:rPr>
      </w:pPr>
    </w:p>
    <w:p w14:paraId="55FBB429" w14:textId="77777777" w:rsidR="00D60B11" w:rsidRPr="006570D4" w:rsidRDefault="00D60B11" w:rsidP="00D60B11">
      <w:pPr>
        <w:spacing w:after="0" w:line="240" w:lineRule="auto"/>
        <w:rPr>
          <w:rFonts w:ascii="Verdana" w:hAnsi="Verdana"/>
          <w:b/>
          <w:bCs/>
          <w:sz w:val="24"/>
          <w:szCs w:val="24"/>
          <w:lang w:val="en-US"/>
        </w:rPr>
      </w:pPr>
      <w:r>
        <w:rPr>
          <w:rFonts w:ascii="Verdana" w:hAnsi="Verdana" w:cs="Arial"/>
          <w:b/>
          <w:color w:val="77328A"/>
          <w:sz w:val="30"/>
          <w:szCs w:val="30"/>
        </w:rPr>
        <w:t>Purpose of data purpose of data processing and legal basis for processing</w:t>
      </w:r>
    </w:p>
    <w:p w14:paraId="343B70D2" w14:textId="77777777" w:rsidR="00D60B11" w:rsidRPr="00EC2252" w:rsidRDefault="00D60B11" w:rsidP="00D60B11">
      <w:pPr>
        <w:spacing w:after="0" w:line="240" w:lineRule="auto"/>
        <w:rPr>
          <w:rFonts w:ascii="Verdana" w:hAnsi="Verdana"/>
          <w:bCs/>
          <w:sz w:val="24"/>
          <w:szCs w:val="24"/>
          <w:u w:val="single"/>
          <w:lang w:val="en-US"/>
        </w:rPr>
      </w:pPr>
    </w:p>
    <w:p w14:paraId="6763FFA7" w14:textId="77777777" w:rsidR="00D60B11" w:rsidRPr="006F096C" w:rsidRDefault="00D60B11" w:rsidP="00D60B11">
      <w:pPr>
        <w:spacing w:after="0" w:line="240" w:lineRule="auto"/>
        <w:rPr>
          <w:rFonts w:ascii="Verdana" w:hAnsi="Verdana"/>
          <w:b/>
          <w:bCs/>
          <w:lang w:val="en-US"/>
        </w:rPr>
      </w:pPr>
      <w:r w:rsidRPr="006F096C">
        <w:rPr>
          <w:rFonts w:ascii="Verdana" w:hAnsi="Verdana"/>
          <w:b/>
          <w:bCs/>
          <w:lang w:val="en-US"/>
        </w:rPr>
        <w:t>Communication purposes</w:t>
      </w:r>
    </w:p>
    <w:p w14:paraId="0253A1EF" w14:textId="77777777" w:rsidR="00D60B11" w:rsidRPr="006F096C" w:rsidRDefault="00D60B11" w:rsidP="00D60B11">
      <w:pPr>
        <w:spacing w:after="0" w:line="240" w:lineRule="auto"/>
        <w:rPr>
          <w:rFonts w:ascii="Verdana" w:hAnsi="Verdana"/>
          <w:bCs/>
          <w:lang w:val="en-US"/>
        </w:rPr>
      </w:pPr>
    </w:p>
    <w:p w14:paraId="5D77EF64" w14:textId="7FFE3E80" w:rsidR="00D60B11" w:rsidRPr="006F096C" w:rsidRDefault="00D60B11" w:rsidP="00D60B11">
      <w:pPr>
        <w:spacing w:after="0" w:line="240" w:lineRule="auto"/>
        <w:rPr>
          <w:rFonts w:ascii="Verdana" w:hAnsi="Verdana"/>
          <w:bCs/>
        </w:rPr>
      </w:pPr>
      <w:r w:rsidRPr="006F096C">
        <w:rPr>
          <w:rFonts w:ascii="Verdana" w:hAnsi="Verdana"/>
          <w:bCs/>
          <w:lang w:val="en-US"/>
        </w:rPr>
        <w:t xml:space="preserve">The </w:t>
      </w:r>
      <w:r w:rsidR="00092CF3">
        <w:rPr>
          <w:rFonts w:ascii="Verdana" w:hAnsi="Verdana"/>
          <w:bCs/>
          <w:lang w:val="en-US"/>
        </w:rPr>
        <w:t>NIHRC</w:t>
      </w:r>
      <w:r w:rsidRPr="006F096C">
        <w:rPr>
          <w:rFonts w:ascii="Verdana" w:hAnsi="Verdana"/>
          <w:bCs/>
          <w:lang w:val="en-US"/>
        </w:rPr>
        <w:t xml:space="preserve"> retains contact details for individuals (such as email addresses and telephone numbers) with consent for the purpose of a public task to fulfil its statutory function to </w:t>
      </w:r>
      <w:r w:rsidRPr="006F096C">
        <w:rPr>
          <w:rFonts w:ascii="Verdana" w:hAnsi="Verdana"/>
          <w:bCs/>
        </w:rPr>
        <w:t>promote awareness of human rights through education, training and research under section 69(6) of the Northern Ireland Act 1998.</w:t>
      </w:r>
    </w:p>
    <w:p w14:paraId="5D27B78E" w14:textId="77777777" w:rsidR="00D60B11" w:rsidRPr="006F096C" w:rsidRDefault="00D60B11" w:rsidP="00D60B11">
      <w:pPr>
        <w:spacing w:after="0" w:line="240" w:lineRule="auto"/>
        <w:rPr>
          <w:rFonts w:ascii="Verdana" w:hAnsi="Verdana"/>
          <w:bCs/>
          <w:u w:val="single"/>
          <w:lang w:val="en-US"/>
        </w:rPr>
      </w:pPr>
    </w:p>
    <w:p w14:paraId="57B9A677" w14:textId="77777777" w:rsidR="00D60B11" w:rsidRPr="006F096C" w:rsidRDefault="00D60B11" w:rsidP="00D60B11">
      <w:pPr>
        <w:spacing w:after="0" w:line="240" w:lineRule="auto"/>
        <w:rPr>
          <w:rFonts w:ascii="Verdana" w:hAnsi="Verdana"/>
          <w:b/>
          <w:bCs/>
          <w:lang w:val="en-US"/>
        </w:rPr>
      </w:pPr>
      <w:r w:rsidRPr="006F096C">
        <w:rPr>
          <w:rFonts w:ascii="Verdana" w:hAnsi="Verdana"/>
          <w:b/>
          <w:bCs/>
          <w:lang w:val="en-US"/>
        </w:rPr>
        <w:t>Legal function</w:t>
      </w:r>
    </w:p>
    <w:p w14:paraId="083401F2" w14:textId="77777777" w:rsidR="00D60B11" w:rsidRPr="006F096C" w:rsidRDefault="00D60B11" w:rsidP="00D60B11">
      <w:pPr>
        <w:spacing w:after="0" w:line="240" w:lineRule="auto"/>
        <w:rPr>
          <w:rFonts w:ascii="Verdana" w:hAnsi="Verdana"/>
          <w:bCs/>
          <w:lang w:val="en-US"/>
        </w:rPr>
      </w:pPr>
    </w:p>
    <w:p w14:paraId="4E3B44CE" w14:textId="30E05169" w:rsidR="00D60B11" w:rsidRPr="006F096C" w:rsidRDefault="00D60B11" w:rsidP="00D60B11">
      <w:pPr>
        <w:spacing w:after="0" w:line="240" w:lineRule="auto"/>
        <w:rPr>
          <w:rFonts w:ascii="Verdana" w:hAnsi="Verdana"/>
          <w:bCs/>
          <w:lang w:val="en"/>
        </w:rPr>
      </w:pPr>
      <w:r w:rsidRPr="006F096C">
        <w:rPr>
          <w:rFonts w:ascii="Verdana" w:hAnsi="Verdana"/>
          <w:bCs/>
          <w:lang w:val="en-US"/>
        </w:rPr>
        <w:t xml:space="preserve">Where a person seeks assistance from the </w:t>
      </w:r>
      <w:r w:rsidR="00092CF3">
        <w:rPr>
          <w:rFonts w:ascii="Verdana" w:hAnsi="Verdana"/>
          <w:bCs/>
          <w:lang w:val="en-US"/>
        </w:rPr>
        <w:t>NIHRC</w:t>
      </w:r>
      <w:r w:rsidRPr="006F096C">
        <w:t xml:space="preserve"> </w:t>
      </w:r>
      <w:r w:rsidRPr="006F096C">
        <w:rPr>
          <w:rFonts w:ascii="Verdana" w:hAnsi="Verdana"/>
          <w:bCs/>
          <w:lang w:val="en-US"/>
        </w:rPr>
        <w:t>in relation to proceedings</w:t>
      </w:r>
      <w:r w:rsidRPr="006F096C">
        <w:t xml:space="preserve"> </w:t>
      </w:r>
      <w:r w:rsidRPr="006F096C">
        <w:rPr>
          <w:rFonts w:ascii="Verdana" w:hAnsi="Verdana"/>
          <w:bCs/>
          <w:lang w:val="en-US"/>
        </w:rPr>
        <w:t xml:space="preserve">involving law or practice and the protection of human rights which a person in Northern Ireland has commenced, or wishes to commence; or proceedings in the course of which such a person relies, or wishes to rely, on such law or practice the </w:t>
      </w:r>
      <w:r w:rsidR="00092CF3">
        <w:rPr>
          <w:rFonts w:ascii="Verdana" w:hAnsi="Verdana"/>
          <w:bCs/>
          <w:lang w:val="en-US"/>
        </w:rPr>
        <w:t>NIHRC</w:t>
      </w:r>
      <w:r w:rsidRPr="006F096C">
        <w:rPr>
          <w:rFonts w:ascii="Verdana" w:hAnsi="Verdana"/>
          <w:bCs/>
          <w:lang w:val="en-US"/>
        </w:rPr>
        <w:t xml:space="preserve">, under section 70(3) of the Northern Ireland Act 1998 Act may </w:t>
      </w:r>
      <w:r w:rsidRPr="006F096C">
        <w:rPr>
          <w:rFonts w:ascii="Verdana" w:hAnsi="Verdana"/>
          <w:bCs/>
          <w:lang w:val="en"/>
        </w:rPr>
        <w:t xml:space="preserve">(a)provide, or arrange for the provision of, legal advice; (b)arrange for the provision of legal representation; (c)provide any other assistance which it thinks appropriate. </w:t>
      </w:r>
    </w:p>
    <w:p w14:paraId="52CB6CE6" w14:textId="77777777" w:rsidR="00D60B11" w:rsidRPr="006F096C" w:rsidRDefault="00D60B11" w:rsidP="00D60B11">
      <w:pPr>
        <w:spacing w:after="0" w:line="240" w:lineRule="auto"/>
        <w:rPr>
          <w:rFonts w:ascii="Verdana" w:hAnsi="Verdana"/>
          <w:bCs/>
          <w:lang w:val="en"/>
        </w:rPr>
      </w:pPr>
    </w:p>
    <w:p w14:paraId="611D9A21" w14:textId="04D6B104" w:rsidR="00D60B11" w:rsidRPr="006F096C" w:rsidRDefault="00D60B11" w:rsidP="00D60B11">
      <w:pPr>
        <w:spacing w:after="0" w:line="240" w:lineRule="auto"/>
        <w:rPr>
          <w:rFonts w:ascii="Verdana" w:hAnsi="Verdana"/>
          <w:bCs/>
          <w:lang w:val="en"/>
        </w:rPr>
      </w:pPr>
      <w:r w:rsidRPr="006F096C">
        <w:rPr>
          <w:rFonts w:ascii="Verdana" w:hAnsi="Verdana"/>
          <w:bCs/>
          <w:lang w:val="en"/>
        </w:rPr>
        <w:t xml:space="preserve">To assist in fulfilling this public task the </w:t>
      </w:r>
      <w:r w:rsidR="00092CF3">
        <w:rPr>
          <w:rFonts w:ascii="Verdana" w:hAnsi="Verdana"/>
          <w:bCs/>
          <w:lang w:val="en"/>
        </w:rPr>
        <w:t>NIHRC</w:t>
      </w:r>
      <w:r w:rsidRPr="006F096C">
        <w:rPr>
          <w:rFonts w:ascii="Verdana" w:hAnsi="Verdana"/>
          <w:bCs/>
          <w:lang w:val="en"/>
        </w:rPr>
        <w:t xml:space="preserve"> </w:t>
      </w:r>
      <w:proofErr w:type="gramStart"/>
      <w:r w:rsidRPr="006F096C">
        <w:rPr>
          <w:rFonts w:ascii="Verdana" w:hAnsi="Verdana"/>
          <w:bCs/>
          <w:lang w:val="en"/>
        </w:rPr>
        <w:t>retains</w:t>
      </w:r>
      <w:proofErr w:type="gramEnd"/>
      <w:r w:rsidRPr="006F096C">
        <w:rPr>
          <w:rFonts w:ascii="Verdana" w:hAnsi="Verdana"/>
          <w:bCs/>
          <w:lang w:val="en"/>
        </w:rPr>
        <w:t xml:space="preserve"> and processes personal data received through legal enquiries (i.e. received by telephone, through its legal clinic, through receipt of case file). </w:t>
      </w:r>
      <w:r w:rsidRPr="006F096C">
        <w:rPr>
          <w:rFonts w:ascii="Verdana" w:hAnsi="Verdana"/>
          <w:bCs/>
          <w:lang w:val="en-US"/>
        </w:rPr>
        <w:t xml:space="preserve">This work is often conducted in private and the information obtained may be confidential. Assistance provided by the </w:t>
      </w:r>
      <w:r w:rsidR="00092CF3">
        <w:rPr>
          <w:rFonts w:ascii="Verdana" w:hAnsi="Verdana"/>
          <w:bCs/>
          <w:lang w:val="en-US"/>
        </w:rPr>
        <w:t>NIHRC</w:t>
      </w:r>
      <w:r w:rsidRPr="006F096C">
        <w:rPr>
          <w:rFonts w:ascii="Verdana" w:hAnsi="Verdana"/>
          <w:bCs/>
          <w:lang w:val="en-US"/>
        </w:rPr>
        <w:t xml:space="preserve"> may be subject to professional privilege. Details may be shared regarding legal casework by the </w:t>
      </w:r>
      <w:r w:rsidR="00092CF3">
        <w:rPr>
          <w:rFonts w:ascii="Verdana" w:hAnsi="Verdana"/>
          <w:bCs/>
          <w:lang w:val="en-US"/>
        </w:rPr>
        <w:t>NIHRC</w:t>
      </w:r>
      <w:r w:rsidRPr="006F096C">
        <w:rPr>
          <w:rFonts w:ascii="Verdana" w:hAnsi="Verdana"/>
          <w:bCs/>
          <w:lang w:val="en-US"/>
        </w:rPr>
        <w:t xml:space="preserve">, including an application for assistance, with third parties (i.e. an organisation with which the </w:t>
      </w:r>
      <w:r w:rsidR="00092CF3">
        <w:rPr>
          <w:rFonts w:ascii="Verdana" w:hAnsi="Verdana"/>
          <w:bCs/>
          <w:lang w:val="en-US"/>
        </w:rPr>
        <w:t>NIHRC</w:t>
      </w:r>
      <w:r w:rsidRPr="006F096C">
        <w:rPr>
          <w:rFonts w:ascii="Verdana" w:hAnsi="Verdana"/>
          <w:bCs/>
          <w:lang w:val="en-US"/>
        </w:rPr>
        <w:t xml:space="preserve"> has a Memorandum of Understanding, the courts, legal counsel). </w:t>
      </w:r>
      <w:proofErr w:type="gramStart"/>
      <w:r w:rsidRPr="006F096C">
        <w:rPr>
          <w:rFonts w:ascii="Verdana" w:hAnsi="Verdana"/>
          <w:bCs/>
          <w:lang w:val="en-US"/>
        </w:rPr>
        <w:t>Sharing of</w:t>
      </w:r>
      <w:proofErr w:type="gramEnd"/>
      <w:r w:rsidRPr="006F096C">
        <w:rPr>
          <w:rFonts w:ascii="Verdana" w:hAnsi="Verdana"/>
          <w:bCs/>
          <w:lang w:val="en-US"/>
        </w:rPr>
        <w:t xml:space="preserve"> personal information with third parties will normally be done with consent, unless the </w:t>
      </w:r>
      <w:r w:rsidR="00092CF3">
        <w:rPr>
          <w:rFonts w:ascii="Verdana" w:hAnsi="Verdana"/>
          <w:bCs/>
          <w:lang w:val="en-US"/>
        </w:rPr>
        <w:t>NIHRC</w:t>
      </w:r>
      <w:r w:rsidRPr="006F096C">
        <w:rPr>
          <w:rFonts w:ascii="Verdana" w:hAnsi="Verdana"/>
          <w:bCs/>
          <w:lang w:val="en-US"/>
        </w:rPr>
        <w:t xml:space="preserve"> is otherwise required to do so (i.e. legislation, contract, public task, vital interests</w:t>
      </w:r>
      <w:r w:rsidRPr="006F096C">
        <w:t>.)</w:t>
      </w:r>
    </w:p>
    <w:p w14:paraId="47AED761" w14:textId="77777777" w:rsidR="00D60B11" w:rsidRPr="006F096C" w:rsidRDefault="00D60B11" w:rsidP="00D60B11">
      <w:pPr>
        <w:spacing w:after="0" w:line="240" w:lineRule="auto"/>
        <w:rPr>
          <w:rFonts w:ascii="Verdana" w:hAnsi="Verdana"/>
          <w:bCs/>
          <w:u w:val="single"/>
          <w:lang w:val="en-US"/>
        </w:rPr>
      </w:pPr>
    </w:p>
    <w:p w14:paraId="19897397" w14:textId="77777777" w:rsidR="00D60B11" w:rsidRPr="006F096C" w:rsidRDefault="00D60B11" w:rsidP="00D60B11">
      <w:pPr>
        <w:spacing w:after="0" w:line="240" w:lineRule="auto"/>
        <w:rPr>
          <w:rFonts w:ascii="Verdana" w:hAnsi="Verdana"/>
          <w:b/>
          <w:bCs/>
          <w:lang w:val="en-US"/>
        </w:rPr>
      </w:pPr>
      <w:r w:rsidRPr="006F096C">
        <w:rPr>
          <w:rFonts w:ascii="Verdana" w:hAnsi="Verdana"/>
          <w:b/>
          <w:bCs/>
          <w:lang w:val="en-US"/>
        </w:rPr>
        <w:t>Investigations</w:t>
      </w:r>
    </w:p>
    <w:p w14:paraId="4924290B" w14:textId="77777777" w:rsidR="00D60B11" w:rsidRPr="006F096C" w:rsidRDefault="00D60B11" w:rsidP="00D60B11">
      <w:pPr>
        <w:spacing w:after="0" w:line="240" w:lineRule="auto"/>
        <w:rPr>
          <w:rFonts w:ascii="Verdana" w:hAnsi="Verdana"/>
          <w:bCs/>
        </w:rPr>
      </w:pPr>
    </w:p>
    <w:p w14:paraId="0B4765E3" w14:textId="3B5190CA" w:rsidR="00D60B11" w:rsidRPr="006F096C" w:rsidRDefault="00D60B11" w:rsidP="00D60B11">
      <w:pPr>
        <w:spacing w:after="0" w:line="240" w:lineRule="auto"/>
        <w:rPr>
          <w:rFonts w:ascii="Verdana" w:hAnsi="Verdana"/>
          <w:bCs/>
          <w:lang w:val="en"/>
        </w:rPr>
      </w:pPr>
      <w:r w:rsidRPr="006F096C">
        <w:rPr>
          <w:rFonts w:ascii="Verdana" w:hAnsi="Verdana"/>
          <w:bCs/>
        </w:rPr>
        <w:t xml:space="preserve">The </w:t>
      </w:r>
      <w:r w:rsidR="00092CF3">
        <w:rPr>
          <w:rFonts w:ascii="Verdana" w:hAnsi="Verdana"/>
          <w:bCs/>
        </w:rPr>
        <w:t>NIHRC</w:t>
      </w:r>
      <w:r w:rsidRPr="006F096C">
        <w:rPr>
          <w:rFonts w:ascii="Verdana" w:hAnsi="Verdana"/>
          <w:bCs/>
        </w:rPr>
        <w:t xml:space="preserve"> </w:t>
      </w:r>
      <w:r w:rsidRPr="006F096C">
        <w:rPr>
          <w:rFonts w:ascii="Verdana" w:hAnsi="Verdana"/>
          <w:bCs/>
          <w:lang w:val="en"/>
        </w:rPr>
        <w:t>for the purpose of an investigation under section 69 of the Northern Ireland Act 1998 Act may, by notice in writing require a person</w:t>
      </w:r>
      <w:r w:rsidRPr="006F096C">
        <w:rPr>
          <w:rFonts w:ascii="Verdana" w:hAnsi="Verdana"/>
          <w:bCs/>
        </w:rPr>
        <w:t xml:space="preserve"> to provide </w:t>
      </w:r>
      <w:r w:rsidRPr="006F096C">
        <w:rPr>
          <w:rFonts w:ascii="Verdana" w:hAnsi="Verdana"/>
          <w:bCs/>
          <w:lang w:val="en"/>
        </w:rPr>
        <w:t xml:space="preserve">information, to produce documents in his possession, or to give oral evidence. </w:t>
      </w:r>
    </w:p>
    <w:p w14:paraId="57D8815E" w14:textId="432C60E9" w:rsidR="00D60B11" w:rsidRPr="006F096C" w:rsidRDefault="00D60B11" w:rsidP="00D60B11">
      <w:pPr>
        <w:spacing w:after="0" w:line="240" w:lineRule="auto"/>
      </w:pPr>
      <w:r w:rsidRPr="006F096C">
        <w:rPr>
          <w:rFonts w:ascii="Verdana" w:hAnsi="Verdana"/>
          <w:bCs/>
          <w:lang w:val="en"/>
        </w:rPr>
        <w:t xml:space="preserve">The </w:t>
      </w:r>
      <w:r w:rsidR="00092CF3">
        <w:rPr>
          <w:rFonts w:ascii="Verdana" w:hAnsi="Verdana"/>
          <w:bCs/>
          <w:lang w:val="en"/>
        </w:rPr>
        <w:t>NIHRC</w:t>
      </w:r>
      <w:r w:rsidRPr="006F096C">
        <w:rPr>
          <w:rFonts w:ascii="Verdana" w:hAnsi="Verdana"/>
          <w:bCs/>
          <w:lang w:val="en"/>
        </w:rPr>
        <w:t xml:space="preserve"> may require a person to provide information in public and publish the details of the information, documents, or evidence </w:t>
      </w:r>
      <w:proofErr w:type="gramStart"/>
      <w:r w:rsidRPr="006F096C">
        <w:rPr>
          <w:rFonts w:ascii="Verdana" w:hAnsi="Verdana"/>
          <w:bCs/>
          <w:lang w:val="en"/>
        </w:rPr>
        <w:t>in order to</w:t>
      </w:r>
      <w:proofErr w:type="gramEnd"/>
      <w:r w:rsidRPr="006F096C">
        <w:rPr>
          <w:rFonts w:ascii="Verdana" w:hAnsi="Verdana"/>
          <w:bCs/>
          <w:lang w:val="en"/>
        </w:rPr>
        <w:t xml:space="preserve"> fulfil this public task.</w:t>
      </w:r>
    </w:p>
    <w:p w14:paraId="27E7C69F" w14:textId="77777777" w:rsidR="00D60B11" w:rsidRPr="006F096C" w:rsidRDefault="00D60B11" w:rsidP="00D60B11">
      <w:pPr>
        <w:spacing w:after="0" w:line="240" w:lineRule="auto"/>
        <w:rPr>
          <w:rFonts w:ascii="Verdana" w:hAnsi="Verdana"/>
          <w:bCs/>
          <w:lang w:val="en"/>
        </w:rPr>
      </w:pPr>
    </w:p>
    <w:p w14:paraId="01BB8294" w14:textId="3EFB18FC" w:rsidR="00D60B11" w:rsidRPr="006F096C" w:rsidRDefault="00D60B11" w:rsidP="00D60B11">
      <w:pPr>
        <w:spacing w:after="0" w:line="240" w:lineRule="auto"/>
        <w:rPr>
          <w:rFonts w:ascii="Verdana" w:hAnsi="Verdana"/>
          <w:bCs/>
          <w:lang w:val="en-US"/>
        </w:rPr>
      </w:pPr>
      <w:r w:rsidRPr="006F096C">
        <w:rPr>
          <w:rFonts w:ascii="Verdana" w:hAnsi="Verdana"/>
          <w:bCs/>
          <w:lang w:val="en"/>
        </w:rPr>
        <w:t xml:space="preserve">By virtue of the 1998 Act section 8A, the </w:t>
      </w:r>
      <w:r w:rsidR="00092CF3">
        <w:rPr>
          <w:rFonts w:ascii="Verdana" w:hAnsi="Verdana"/>
          <w:bCs/>
          <w:lang w:val="en"/>
        </w:rPr>
        <w:t>NIHRC</w:t>
      </w:r>
      <w:r w:rsidRPr="006F096C">
        <w:rPr>
          <w:rFonts w:ascii="Verdana" w:hAnsi="Verdana"/>
          <w:bCs/>
          <w:lang w:val="en"/>
        </w:rPr>
        <w:t xml:space="preserve"> shall publish a report of its findings on an investigation. Where the </w:t>
      </w:r>
      <w:r w:rsidR="00092CF3">
        <w:rPr>
          <w:rFonts w:ascii="Verdana" w:hAnsi="Verdana"/>
          <w:bCs/>
          <w:lang w:val="en"/>
        </w:rPr>
        <w:t>NIHRC</w:t>
      </w:r>
      <w:r w:rsidRPr="006F096C">
        <w:rPr>
          <w:rFonts w:ascii="Verdana" w:hAnsi="Verdana"/>
          <w:bCs/>
          <w:lang w:val="en"/>
        </w:rPr>
        <w:t xml:space="preserve"> receives information or documents from or relating to an intelligence service in response to a notice under section 69</w:t>
      </w:r>
      <w:proofErr w:type="gramStart"/>
      <w:r w:rsidRPr="006F096C">
        <w:rPr>
          <w:rFonts w:ascii="Verdana" w:hAnsi="Verdana"/>
          <w:bCs/>
          <w:lang w:val="en"/>
        </w:rPr>
        <w:t>A(</w:t>
      </w:r>
      <w:proofErr w:type="gramEnd"/>
      <w:r w:rsidRPr="006F096C">
        <w:rPr>
          <w:rFonts w:ascii="Verdana" w:hAnsi="Verdana"/>
          <w:bCs/>
          <w:lang w:val="en"/>
        </w:rPr>
        <w:t xml:space="preserve">1) of the 1998 Act, the </w:t>
      </w:r>
      <w:r w:rsidR="00092CF3">
        <w:rPr>
          <w:rFonts w:ascii="Verdana" w:hAnsi="Verdana"/>
          <w:bCs/>
          <w:lang w:val="en"/>
        </w:rPr>
        <w:t>NIHRC</w:t>
      </w:r>
      <w:r w:rsidRPr="006F096C">
        <w:rPr>
          <w:rFonts w:ascii="Verdana" w:hAnsi="Verdana"/>
          <w:bCs/>
          <w:lang w:val="en"/>
        </w:rPr>
        <w:t xml:space="preserve"> shall store and use the information or documents in accordance with any arrangements specified by the Secretary of State.</w:t>
      </w:r>
    </w:p>
    <w:p w14:paraId="118D1FD1" w14:textId="77777777" w:rsidR="00D60B11" w:rsidRPr="006F096C" w:rsidRDefault="00D60B11" w:rsidP="00D60B11">
      <w:pPr>
        <w:spacing w:after="0" w:line="240" w:lineRule="auto"/>
        <w:rPr>
          <w:rFonts w:ascii="Verdana" w:hAnsi="Verdana"/>
          <w:bCs/>
          <w:u w:val="single"/>
          <w:lang w:val="en-US"/>
        </w:rPr>
      </w:pPr>
    </w:p>
    <w:p w14:paraId="6E0A434E" w14:textId="77777777" w:rsidR="00D60B11" w:rsidRPr="006F096C" w:rsidRDefault="00D60B11" w:rsidP="00D60B11">
      <w:pPr>
        <w:spacing w:after="0" w:line="240" w:lineRule="auto"/>
        <w:rPr>
          <w:rFonts w:ascii="Verdana" w:hAnsi="Verdana"/>
          <w:b/>
          <w:bCs/>
          <w:lang w:val="en-US"/>
        </w:rPr>
      </w:pPr>
      <w:r w:rsidRPr="006F096C">
        <w:rPr>
          <w:rFonts w:ascii="Verdana" w:hAnsi="Verdana"/>
          <w:b/>
          <w:bCs/>
          <w:lang w:val="en-US"/>
        </w:rPr>
        <w:t>Contracts</w:t>
      </w:r>
    </w:p>
    <w:p w14:paraId="1AC508E4" w14:textId="77777777" w:rsidR="00D60B11" w:rsidRPr="006F096C" w:rsidRDefault="00D60B11" w:rsidP="00D60B11">
      <w:pPr>
        <w:spacing w:after="0" w:line="240" w:lineRule="auto"/>
        <w:rPr>
          <w:rFonts w:ascii="Verdana" w:hAnsi="Verdana"/>
          <w:bCs/>
        </w:rPr>
      </w:pPr>
    </w:p>
    <w:p w14:paraId="13F2C88E" w14:textId="41FA5BC1" w:rsidR="00D60B11" w:rsidRPr="006F096C" w:rsidRDefault="00D60B11" w:rsidP="00D60B11">
      <w:pPr>
        <w:spacing w:after="0" w:line="240" w:lineRule="auto"/>
        <w:rPr>
          <w:rFonts w:ascii="Verdana" w:hAnsi="Verdana"/>
          <w:bCs/>
          <w:lang w:val="en-US"/>
        </w:rPr>
      </w:pPr>
      <w:r w:rsidRPr="006F096C">
        <w:rPr>
          <w:rFonts w:ascii="Verdana" w:hAnsi="Verdana"/>
          <w:bCs/>
        </w:rPr>
        <w:t xml:space="preserve">The </w:t>
      </w:r>
      <w:r w:rsidR="00092CF3">
        <w:rPr>
          <w:rFonts w:ascii="Verdana" w:hAnsi="Verdana"/>
          <w:bCs/>
        </w:rPr>
        <w:t>NIHRC</w:t>
      </w:r>
      <w:r w:rsidRPr="006F096C">
        <w:rPr>
          <w:rFonts w:ascii="Verdana" w:hAnsi="Verdana"/>
          <w:bCs/>
        </w:rPr>
        <w:t xml:space="preserve"> retains contact and bank details for its contractors as required by law and may share this information with its sponsor department, the Northern Ireland Office, and the National Audit Office in accordance with rights of access requirements.</w:t>
      </w:r>
    </w:p>
    <w:p w14:paraId="6404AC20" w14:textId="77777777" w:rsidR="00D60B11" w:rsidRPr="006F096C" w:rsidRDefault="00D60B11" w:rsidP="00D60B11">
      <w:pPr>
        <w:spacing w:after="0" w:line="240" w:lineRule="auto"/>
        <w:rPr>
          <w:rFonts w:ascii="Verdana" w:hAnsi="Verdana"/>
        </w:rPr>
      </w:pPr>
    </w:p>
    <w:p w14:paraId="224C3ED7" w14:textId="77777777" w:rsidR="00D60B11" w:rsidRPr="006F096C" w:rsidRDefault="00D60B11" w:rsidP="00D60B11">
      <w:pPr>
        <w:rPr>
          <w:rFonts w:ascii="Verdana" w:hAnsi="Verdana"/>
          <w:b/>
        </w:rPr>
      </w:pPr>
      <w:r w:rsidRPr="006F096C">
        <w:rPr>
          <w:rFonts w:ascii="Verdana" w:hAnsi="Verdana"/>
          <w:b/>
        </w:rPr>
        <w:t>Personnel</w:t>
      </w:r>
    </w:p>
    <w:p w14:paraId="62137134" w14:textId="3C9EDDA5" w:rsidR="00D60B11" w:rsidRPr="006F096C" w:rsidRDefault="00D60B11" w:rsidP="00D60B11">
      <w:pPr>
        <w:spacing w:after="0" w:line="240" w:lineRule="auto"/>
        <w:rPr>
          <w:rFonts w:ascii="Verdana" w:hAnsi="Verdana"/>
        </w:rPr>
      </w:pPr>
      <w:r w:rsidRPr="006F096C">
        <w:rPr>
          <w:rFonts w:ascii="Verdana" w:hAnsi="Verdana"/>
        </w:rPr>
        <w:t xml:space="preserve">The </w:t>
      </w:r>
      <w:r w:rsidR="00092CF3">
        <w:rPr>
          <w:rFonts w:ascii="Verdana" w:hAnsi="Verdana"/>
        </w:rPr>
        <w:t>NIHRC</w:t>
      </w:r>
      <w:r w:rsidRPr="006F096C">
        <w:rPr>
          <w:rFonts w:ascii="Verdana" w:hAnsi="Verdana"/>
        </w:rPr>
        <w:t xml:space="preserve"> processes personal information of its employees in accordance with the law for the proper carrying out of its functions as an employer.</w:t>
      </w:r>
    </w:p>
    <w:p w14:paraId="1EEAD373" w14:textId="77777777" w:rsidR="00D60B11" w:rsidRPr="006F096C" w:rsidRDefault="00D60B11" w:rsidP="00D60B11">
      <w:pPr>
        <w:spacing w:after="0" w:line="240" w:lineRule="auto"/>
        <w:rPr>
          <w:rFonts w:ascii="Verdana" w:hAnsi="Verdana"/>
        </w:rPr>
      </w:pPr>
    </w:p>
    <w:p w14:paraId="31BEAA69" w14:textId="0F565BE4" w:rsidR="00D60B11" w:rsidRPr="006F096C" w:rsidRDefault="00D60B11" w:rsidP="00D60B11">
      <w:pPr>
        <w:spacing w:after="0" w:line="240" w:lineRule="auto"/>
        <w:rPr>
          <w:rFonts w:ascii="Verdana" w:hAnsi="Verdana"/>
        </w:rPr>
      </w:pPr>
      <w:r w:rsidRPr="006F096C">
        <w:rPr>
          <w:rFonts w:ascii="Verdana" w:hAnsi="Verdana"/>
        </w:rPr>
        <w:t xml:space="preserve">In relation to applicants for employment the </w:t>
      </w:r>
      <w:r w:rsidR="00092CF3">
        <w:rPr>
          <w:rFonts w:ascii="Verdana" w:hAnsi="Verdana"/>
        </w:rPr>
        <w:t>NIHRC</w:t>
      </w:r>
      <w:r w:rsidRPr="006F096C">
        <w:rPr>
          <w:rFonts w:ascii="Verdana" w:hAnsi="Verdana"/>
        </w:rPr>
        <w:t xml:space="preserve"> will use the personal information they supply to process the application and to monitor recruitment statistics.  If as part of this process, the </w:t>
      </w:r>
      <w:r w:rsidR="00092CF3">
        <w:rPr>
          <w:rFonts w:ascii="Verdana" w:hAnsi="Verdana"/>
        </w:rPr>
        <w:t>NIHRC</w:t>
      </w:r>
      <w:r w:rsidRPr="006F096C">
        <w:rPr>
          <w:rFonts w:ascii="Verdana" w:hAnsi="Verdana"/>
        </w:rPr>
        <w:t xml:space="preserve"> intends to disclose information to a third party such as taking up a reference or obtaining a disclosure certificate from Access NI, the </w:t>
      </w:r>
      <w:r w:rsidR="00092CF3">
        <w:rPr>
          <w:rFonts w:ascii="Verdana" w:hAnsi="Verdana"/>
        </w:rPr>
        <w:t>NIHRC</w:t>
      </w:r>
      <w:r w:rsidRPr="006F096C">
        <w:rPr>
          <w:rFonts w:ascii="Verdana" w:hAnsi="Verdana"/>
        </w:rPr>
        <w:t xml:space="preserve"> will not do so without first informing the applicants beforehand unless the disclosure is required by law.  Personal information about unsuccessful applicants will be destroyed.</w:t>
      </w:r>
    </w:p>
    <w:p w14:paraId="7A9C4A7E" w14:textId="77777777" w:rsidR="00D60B11" w:rsidRPr="006F096C" w:rsidRDefault="00D60B11" w:rsidP="00D60B11">
      <w:pPr>
        <w:spacing w:after="0" w:line="240" w:lineRule="auto"/>
        <w:rPr>
          <w:rFonts w:ascii="Verdana" w:hAnsi="Verdana"/>
        </w:rPr>
      </w:pPr>
    </w:p>
    <w:p w14:paraId="58E2C77F" w14:textId="7F0FECB3" w:rsidR="00D60B11" w:rsidRPr="006F096C" w:rsidRDefault="00D60B11" w:rsidP="00D60B11">
      <w:pPr>
        <w:spacing w:after="0" w:line="240" w:lineRule="auto"/>
        <w:rPr>
          <w:rFonts w:ascii="Verdana" w:hAnsi="Verdana"/>
        </w:rPr>
      </w:pPr>
      <w:r w:rsidRPr="006F096C">
        <w:rPr>
          <w:rFonts w:ascii="Verdana" w:hAnsi="Verdana"/>
        </w:rPr>
        <w:t xml:space="preserve">The </w:t>
      </w:r>
      <w:r w:rsidR="00092CF3">
        <w:rPr>
          <w:rFonts w:ascii="Verdana" w:hAnsi="Verdana"/>
        </w:rPr>
        <w:t>NIHRC</w:t>
      </w:r>
      <w:r w:rsidRPr="006F096C">
        <w:rPr>
          <w:rFonts w:ascii="Verdana" w:hAnsi="Verdana"/>
        </w:rPr>
        <w:t xml:space="preserve"> keeps a personnel file in respect of each employee which will be used for purposes directly relevant to that person’s employment.</w:t>
      </w:r>
    </w:p>
    <w:p w14:paraId="0F0C3991" w14:textId="77777777" w:rsidR="00D60B11" w:rsidRPr="006F096C" w:rsidRDefault="00D60B11" w:rsidP="00D60B11">
      <w:pPr>
        <w:spacing w:after="0" w:line="240" w:lineRule="auto"/>
        <w:rPr>
          <w:rFonts w:ascii="Verdana" w:hAnsi="Verdana"/>
          <w:u w:val="single"/>
        </w:rPr>
      </w:pPr>
      <w:r w:rsidRPr="006F096C">
        <w:rPr>
          <w:rFonts w:ascii="Verdana" w:hAnsi="Verdana"/>
          <w:u w:val="single"/>
        </w:rPr>
        <w:t xml:space="preserve"> </w:t>
      </w:r>
    </w:p>
    <w:p w14:paraId="63092EC3" w14:textId="77777777" w:rsidR="00D60B11" w:rsidRDefault="00D60B11" w:rsidP="00D60B11">
      <w:pPr>
        <w:spacing w:after="0" w:line="240" w:lineRule="auto"/>
        <w:rPr>
          <w:rFonts w:ascii="Verdana" w:hAnsi="Verdana"/>
          <w:sz w:val="24"/>
          <w:szCs w:val="24"/>
        </w:rPr>
      </w:pPr>
    </w:p>
    <w:p w14:paraId="7253ECCB" w14:textId="77777777" w:rsidR="00D60B11" w:rsidRPr="00633660" w:rsidRDefault="00D60B11" w:rsidP="00D60B11">
      <w:pPr>
        <w:spacing w:after="0" w:line="240" w:lineRule="auto"/>
        <w:rPr>
          <w:rFonts w:ascii="Verdana" w:hAnsi="Verdana"/>
          <w:b/>
          <w:sz w:val="24"/>
          <w:szCs w:val="24"/>
        </w:rPr>
      </w:pPr>
      <w:r>
        <w:rPr>
          <w:rFonts w:ascii="Verdana" w:hAnsi="Verdana" w:cs="Arial"/>
          <w:b/>
          <w:color w:val="77328A"/>
          <w:sz w:val="30"/>
          <w:szCs w:val="30"/>
        </w:rPr>
        <w:t>Transfer of personal data to other countries</w:t>
      </w:r>
    </w:p>
    <w:p w14:paraId="18B00E8D" w14:textId="77777777" w:rsidR="00D60B11" w:rsidRDefault="00D60B11" w:rsidP="00D60B11">
      <w:pPr>
        <w:spacing w:after="0" w:line="240" w:lineRule="auto"/>
        <w:rPr>
          <w:rFonts w:ascii="Verdana" w:hAnsi="Verdana"/>
          <w:sz w:val="24"/>
          <w:szCs w:val="24"/>
        </w:rPr>
      </w:pPr>
    </w:p>
    <w:p w14:paraId="352AF2CB" w14:textId="20F89C0B" w:rsidR="00D60B11" w:rsidRPr="006F096C" w:rsidRDefault="00D60B11" w:rsidP="00D60B11">
      <w:pPr>
        <w:spacing w:after="0" w:line="240" w:lineRule="auto"/>
        <w:rPr>
          <w:rFonts w:ascii="Verdana" w:hAnsi="Verdana"/>
        </w:rPr>
      </w:pPr>
      <w:r w:rsidRPr="006F096C">
        <w:rPr>
          <w:rFonts w:ascii="Verdana" w:hAnsi="Verdana"/>
        </w:rPr>
        <w:t xml:space="preserve">Sometimes it may be necessary for the </w:t>
      </w:r>
      <w:r w:rsidR="00092CF3">
        <w:rPr>
          <w:rFonts w:ascii="Verdana" w:hAnsi="Verdana"/>
        </w:rPr>
        <w:t>NIHRC</w:t>
      </w:r>
      <w:r w:rsidRPr="006F096C">
        <w:rPr>
          <w:rFonts w:ascii="Verdana" w:hAnsi="Verdana"/>
        </w:rPr>
        <w:t xml:space="preserve"> to transfer personal information overseas (i.e. the European Court of Human Rights or the United Nations). Any transfers made will be in full compliance with all aspects of the General Data Protection Regulation.</w:t>
      </w:r>
    </w:p>
    <w:p w14:paraId="4BB118BB" w14:textId="77777777" w:rsidR="00D60B11" w:rsidRPr="006F096C" w:rsidRDefault="00D60B11" w:rsidP="00D60B11">
      <w:pPr>
        <w:spacing w:after="0" w:line="240" w:lineRule="auto"/>
        <w:rPr>
          <w:rFonts w:ascii="Verdana" w:hAnsi="Verdana"/>
        </w:rPr>
      </w:pPr>
    </w:p>
    <w:p w14:paraId="23FF9EC9" w14:textId="77777777" w:rsidR="00D60B11" w:rsidRDefault="00D60B11" w:rsidP="00D60B11">
      <w:pPr>
        <w:spacing w:after="0" w:line="240" w:lineRule="auto"/>
        <w:rPr>
          <w:rFonts w:ascii="Verdana" w:hAnsi="Verdana" w:cs="Arial"/>
          <w:b/>
          <w:color w:val="77328A"/>
          <w:sz w:val="30"/>
          <w:szCs w:val="30"/>
        </w:rPr>
      </w:pPr>
    </w:p>
    <w:p w14:paraId="207B592B" w14:textId="77777777" w:rsidR="00D60B11" w:rsidRDefault="00D60B11" w:rsidP="00D60B11">
      <w:pPr>
        <w:spacing w:after="0" w:line="240" w:lineRule="auto"/>
        <w:rPr>
          <w:rFonts w:ascii="Verdana" w:hAnsi="Verdana"/>
          <w:b/>
          <w:sz w:val="24"/>
          <w:szCs w:val="24"/>
        </w:rPr>
      </w:pPr>
      <w:r>
        <w:rPr>
          <w:rFonts w:ascii="Verdana" w:hAnsi="Verdana" w:cs="Arial"/>
          <w:b/>
          <w:color w:val="77328A"/>
          <w:sz w:val="30"/>
          <w:szCs w:val="30"/>
        </w:rPr>
        <w:t xml:space="preserve">How long will personal data be retained </w:t>
      </w:r>
    </w:p>
    <w:p w14:paraId="3718796C" w14:textId="77777777" w:rsidR="00D60B11" w:rsidRDefault="00D60B11" w:rsidP="00D60B11">
      <w:pPr>
        <w:spacing w:after="0" w:line="240" w:lineRule="auto"/>
        <w:rPr>
          <w:rFonts w:ascii="Verdana" w:hAnsi="Verdana"/>
          <w:b/>
          <w:sz w:val="24"/>
          <w:szCs w:val="24"/>
        </w:rPr>
      </w:pPr>
    </w:p>
    <w:p w14:paraId="40F703EB" w14:textId="7C872623" w:rsidR="00D60B11" w:rsidRPr="006F096C" w:rsidRDefault="00D60B11" w:rsidP="00D60B11">
      <w:pPr>
        <w:spacing w:after="0" w:line="240" w:lineRule="auto"/>
        <w:rPr>
          <w:rFonts w:ascii="Verdana" w:hAnsi="Verdana"/>
        </w:rPr>
      </w:pPr>
      <w:r w:rsidRPr="006F096C">
        <w:rPr>
          <w:rFonts w:ascii="Verdana" w:hAnsi="Verdana"/>
        </w:rPr>
        <w:t xml:space="preserve">The </w:t>
      </w:r>
      <w:r w:rsidR="00092CF3">
        <w:rPr>
          <w:rFonts w:ascii="Verdana" w:hAnsi="Verdana"/>
        </w:rPr>
        <w:t>NIHRC</w:t>
      </w:r>
      <w:r w:rsidRPr="006F096C">
        <w:rPr>
          <w:rFonts w:ascii="Verdana" w:hAnsi="Verdana"/>
        </w:rPr>
        <w:t xml:space="preserve"> will only retain personal data for as long as necessary and in line with our Retention and Disposal Schedule. </w:t>
      </w:r>
    </w:p>
    <w:p w14:paraId="5F5E267C" w14:textId="77777777" w:rsidR="00D60B11" w:rsidRPr="006F096C" w:rsidRDefault="00D60B11" w:rsidP="00D60B11">
      <w:pPr>
        <w:spacing w:after="0" w:line="240" w:lineRule="auto"/>
        <w:rPr>
          <w:rFonts w:ascii="Verdana" w:hAnsi="Verdana"/>
          <w:b/>
        </w:rPr>
      </w:pPr>
    </w:p>
    <w:p w14:paraId="39F75444" w14:textId="0C0090A5" w:rsidR="00D60B11" w:rsidRPr="006F096C" w:rsidRDefault="00D60B11" w:rsidP="00D60B11">
      <w:pPr>
        <w:spacing w:after="0" w:line="240" w:lineRule="auto"/>
        <w:rPr>
          <w:rFonts w:ascii="Verdana" w:hAnsi="Verdana"/>
          <w:b/>
        </w:rPr>
      </w:pPr>
      <w:r w:rsidRPr="006F096C">
        <w:rPr>
          <w:rFonts w:ascii="Verdana" w:hAnsi="Verdana"/>
          <w:b/>
        </w:rPr>
        <w:t>Communication purposes</w:t>
      </w:r>
    </w:p>
    <w:p w14:paraId="606879C9" w14:textId="77777777" w:rsidR="00D60B11" w:rsidRPr="006F096C" w:rsidRDefault="00D60B11" w:rsidP="00D60B11">
      <w:pPr>
        <w:spacing w:after="0" w:line="240" w:lineRule="auto"/>
        <w:rPr>
          <w:rFonts w:ascii="Verdana" w:hAnsi="Verdana"/>
        </w:rPr>
      </w:pPr>
    </w:p>
    <w:p w14:paraId="2314FFFE" w14:textId="07DF1626" w:rsidR="00D60B11" w:rsidRPr="006F096C" w:rsidRDefault="00D60B11" w:rsidP="00D60B11">
      <w:pPr>
        <w:spacing w:after="0" w:line="240" w:lineRule="auto"/>
        <w:rPr>
          <w:rFonts w:ascii="Verdana" w:eastAsia="Calibri" w:hAnsi="Verdana" w:cs="Calibri"/>
        </w:rPr>
      </w:pPr>
      <w:r w:rsidRPr="006F096C">
        <w:rPr>
          <w:rFonts w:ascii="Verdana" w:hAnsi="Verdana"/>
        </w:rPr>
        <w:t xml:space="preserve">Personal information held by the </w:t>
      </w:r>
      <w:r w:rsidR="00092CF3">
        <w:rPr>
          <w:rFonts w:ascii="Verdana" w:hAnsi="Verdana"/>
        </w:rPr>
        <w:t>NIHRC</w:t>
      </w:r>
      <w:r w:rsidRPr="006F096C">
        <w:rPr>
          <w:rFonts w:ascii="Verdana" w:hAnsi="Verdana"/>
          <w:bCs/>
          <w:lang w:val="en-US"/>
        </w:rPr>
        <w:t xml:space="preserve"> to fulfil its statutory function to </w:t>
      </w:r>
      <w:r w:rsidRPr="006F096C">
        <w:rPr>
          <w:rFonts w:ascii="Verdana" w:hAnsi="Verdana"/>
          <w:bCs/>
        </w:rPr>
        <w:t>promote awareness of human rights through education, training and research</w:t>
      </w:r>
      <w:r w:rsidRPr="006F096C">
        <w:rPr>
          <w:rFonts w:ascii="Verdana" w:hAnsi="Verdana"/>
        </w:rPr>
        <w:t xml:space="preserve"> is retained with the consent of individuals and is reviewed once a year. The </w:t>
      </w:r>
      <w:r w:rsidR="00092CF3">
        <w:rPr>
          <w:rFonts w:ascii="Verdana" w:hAnsi="Verdana"/>
        </w:rPr>
        <w:t>NIHRC</w:t>
      </w:r>
      <w:r w:rsidRPr="006F096C">
        <w:rPr>
          <w:rFonts w:ascii="Verdana" w:hAnsi="Verdana"/>
        </w:rPr>
        <w:t xml:space="preserve"> contacts everyone for whom it retains information for this purpose and asks if they </w:t>
      </w:r>
      <w:r w:rsidRPr="006F096C">
        <w:rPr>
          <w:rFonts w:ascii="Verdana" w:eastAsia="Calibri" w:hAnsi="Verdana" w:cs="Calibri"/>
        </w:rPr>
        <w:t xml:space="preserve">wish </w:t>
      </w:r>
      <w:r w:rsidRPr="006F096C">
        <w:rPr>
          <w:rFonts w:ascii="Verdana" w:eastAsia="Calibri" w:hAnsi="Verdana" w:cs="Calibri"/>
        </w:rPr>
        <w:lastRenderedPageBreak/>
        <w:t xml:space="preserve">to remain on the </w:t>
      </w:r>
      <w:r w:rsidR="00092CF3">
        <w:rPr>
          <w:rFonts w:ascii="Verdana" w:eastAsia="Calibri" w:hAnsi="Verdana" w:cs="Calibri"/>
        </w:rPr>
        <w:t>NIHRC</w:t>
      </w:r>
      <w:r w:rsidRPr="006F096C">
        <w:rPr>
          <w:rFonts w:ascii="Verdana" w:eastAsia="Calibri" w:hAnsi="Verdana" w:cs="Calibri"/>
        </w:rPr>
        <w:t xml:space="preserve">’s contacts database. If, at any time, an individual wishes to withdraw their consent without detriment they can do so by emailing or by writing to the </w:t>
      </w:r>
      <w:r w:rsidR="00092CF3">
        <w:rPr>
          <w:rFonts w:ascii="Verdana" w:eastAsia="Calibri" w:hAnsi="Verdana" w:cs="Calibri"/>
        </w:rPr>
        <w:t>NIHRC</w:t>
      </w:r>
      <w:r w:rsidRPr="006F096C">
        <w:rPr>
          <w:rFonts w:ascii="Verdana" w:eastAsia="Calibri" w:hAnsi="Verdana" w:cs="Calibri"/>
        </w:rPr>
        <w:t>.</w:t>
      </w:r>
    </w:p>
    <w:p w14:paraId="77AD834B" w14:textId="77777777" w:rsidR="00D60B11" w:rsidRPr="006F096C" w:rsidRDefault="00D60B11" w:rsidP="00D60B11">
      <w:pPr>
        <w:spacing w:after="0" w:line="240" w:lineRule="auto"/>
        <w:rPr>
          <w:rFonts w:ascii="Verdana" w:hAnsi="Verdana"/>
        </w:rPr>
      </w:pPr>
    </w:p>
    <w:p w14:paraId="5692D426" w14:textId="77777777" w:rsidR="00D60B11" w:rsidRPr="006F096C" w:rsidRDefault="00D60B11" w:rsidP="00D60B11">
      <w:pPr>
        <w:spacing w:after="0" w:line="240" w:lineRule="auto"/>
        <w:rPr>
          <w:rFonts w:ascii="Verdana" w:hAnsi="Verdana"/>
          <w:b/>
        </w:rPr>
      </w:pPr>
      <w:bookmarkStart w:id="1" w:name="_Hlk136868987"/>
      <w:r w:rsidRPr="006F096C">
        <w:rPr>
          <w:rFonts w:ascii="Verdana" w:hAnsi="Verdana"/>
          <w:b/>
        </w:rPr>
        <w:t>Legal function</w:t>
      </w:r>
    </w:p>
    <w:p w14:paraId="59E1920A" w14:textId="77777777" w:rsidR="00D60B11" w:rsidRPr="006F096C" w:rsidRDefault="00D60B11" w:rsidP="00D60B11">
      <w:pPr>
        <w:spacing w:after="0" w:line="240" w:lineRule="auto"/>
        <w:rPr>
          <w:rFonts w:ascii="Verdana" w:hAnsi="Verdana"/>
        </w:rPr>
      </w:pPr>
    </w:p>
    <w:p w14:paraId="3DAC7A7A" w14:textId="146175A4" w:rsidR="00D60B11" w:rsidRPr="006F096C" w:rsidRDefault="00D60B11" w:rsidP="00D60B11">
      <w:pPr>
        <w:spacing w:after="0" w:line="240" w:lineRule="auto"/>
        <w:rPr>
          <w:rFonts w:ascii="Verdana" w:hAnsi="Verdana"/>
        </w:rPr>
      </w:pPr>
      <w:r w:rsidRPr="006F096C">
        <w:rPr>
          <w:rFonts w:ascii="Verdana" w:hAnsi="Verdana"/>
        </w:rPr>
        <w:t xml:space="preserve">Personal information held by the </w:t>
      </w:r>
      <w:r w:rsidR="00092CF3">
        <w:rPr>
          <w:rFonts w:ascii="Verdana" w:hAnsi="Verdana"/>
        </w:rPr>
        <w:t>NIHRC</w:t>
      </w:r>
      <w:r w:rsidRPr="006F096C">
        <w:rPr>
          <w:rFonts w:ascii="Verdana" w:hAnsi="Verdana"/>
        </w:rPr>
        <w:t xml:space="preserve"> to fulfil its legal function is retained as follows: </w:t>
      </w:r>
    </w:p>
    <w:p w14:paraId="1CE362EE" w14:textId="77777777" w:rsidR="00D60B11" w:rsidRPr="006F096C" w:rsidRDefault="00D60B11" w:rsidP="00D60B11">
      <w:pPr>
        <w:spacing w:after="0" w:line="240" w:lineRule="auto"/>
        <w:rPr>
          <w:rFonts w:ascii="Verdana" w:hAnsi="Verdana"/>
        </w:rPr>
      </w:pPr>
    </w:p>
    <w:p w14:paraId="5A56F84F" w14:textId="77777777" w:rsidR="00D60B11" w:rsidRPr="006F096C" w:rsidRDefault="00D60B11" w:rsidP="00D60B11">
      <w:pPr>
        <w:spacing w:after="0" w:line="240" w:lineRule="auto"/>
        <w:rPr>
          <w:rFonts w:ascii="Verdana" w:hAnsi="Verdana"/>
        </w:rPr>
      </w:pPr>
      <w:r w:rsidRPr="006F096C">
        <w:rPr>
          <w:rFonts w:ascii="Verdana" w:hAnsi="Verdana"/>
        </w:rPr>
        <w:t>Litigation files are retained for 7 years following closure to ensure legal and/or financial obligations are met.</w:t>
      </w:r>
    </w:p>
    <w:p w14:paraId="5580E336" w14:textId="77777777" w:rsidR="00D60B11" w:rsidRPr="006F096C" w:rsidRDefault="00D60B11" w:rsidP="00D60B11">
      <w:pPr>
        <w:spacing w:after="0" w:line="240" w:lineRule="auto"/>
        <w:rPr>
          <w:rFonts w:ascii="Verdana" w:hAnsi="Verdana"/>
        </w:rPr>
      </w:pPr>
    </w:p>
    <w:p w14:paraId="4C9979C4" w14:textId="79EAD324" w:rsidR="00D60B11" w:rsidRPr="006F096C" w:rsidRDefault="00D60B11" w:rsidP="00D60B11">
      <w:pPr>
        <w:spacing w:after="0" w:line="240" w:lineRule="auto"/>
        <w:rPr>
          <w:rFonts w:ascii="Verdana" w:hAnsi="Verdana"/>
        </w:rPr>
      </w:pPr>
      <w:r w:rsidRPr="006F096C">
        <w:rPr>
          <w:rFonts w:ascii="Verdana" w:hAnsi="Verdana"/>
        </w:rPr>
        <w:t xml:space="preserve">Applications for assistance by an individual are retained for 7 years (particularly in those cases where the </w:t>
      </w:r>
      <w:r w:rsidR="00092CF3">
        <w:rPr>
          <w:rFonts w:ascii="Verdana" w:hAnsi="Verdana"/>
        </w:rPr>
        <w:t>NIHRC</w:t>
      </w:r>
      <w:r w:rsidRPr="006F096C">
        <w:rPr>
          <w:rFonts w:ascii="Verdana" w:hAnsi="Verdana"/>
        </w:rPr>
        <w:t xml:space="preserve"> decides to hold a watching brief on litigation).</w:t>
      </w:r>
    </w:p>
    <w:p w14:paraId="36E1244D" w14:textId="77777777" w:rsidR="00D60B11" w:rsidRPr="006F096C" w:rsidRDefault="00D60B11" w:rsidP="00D60B11">
      <w:pPr>
        <w:spacing w:after="0" w:line="240" w:lineRule="auto"/>
        <w:rPr>
          <w:rFonts w:ascii="Verdana" w:hAnsi="Verdana"/>
        </w:rPr>
      </w:pPr>
    </w:p>
    <w:p w14:paraId="763A7E7A" w14:textId="77777777" w:rsidR="00D60B11" w:rsidRPr="006F096C" w:rsidRDefault="00D60B11" w:rsidP="00D60B11">
      <w:pPr>
        <w:spacing w:after="0" w:line="240" w:lineRule="auto"/>
        <w:rPr>
          <w:rFonts w:ascii="Verdana" w:hAnsi="Verdana"/>
        </w:rPr>
      </w:pPr>
      <w:r w:rsidRPr="006F096C">
        <w:rPr>
          <w:rFonts w:ascii="Verdana" w:hAnsi="Verdana"/>
        </w:rPr>
        <w:t>Enquiries are retained for 1 year following closure.</w:t>
      </w:r>
    </w:p>
    <w:bookmarkEnd w:id="1"/>
    <w:p w14:paraId="3D130CBA" w14:textId="77777777" w:rsidR="00D60B11" w:rsidRPr="006F096C" w:rsidRDefault="00D60B11" w:rsidP="00D60B11">
      <w:pPr>
        <w:spacing w:after="0" w:line="240" w:lineRule="auto"/>
        <w:rPr>
          <w:rFonts w:ascii="Verdana" w:hAnsi="Verdana"/>
          <w:b/>
        </w:rPr>
      </w:pPr>
    </w:p>
    <w:p w14:paraId="1EDBFF88" w14:textId="77777777" w:rsidR="00D60B11" w:rsidRPr="006F096C" w:rsidRDefault="00D60B11" w:rsidP="00D60B11">
      <w:pPr>
        <w:spacing w:after="0" w:line="240" w:lineRule="auto"/>
        <w:rPr>
          <w:rFonts w:ascii="Verdana" w:hAnsi="Verdana"/>
          <w:b/>
        </w:rPr>
      </w:pPr>
      <w:r w:rsidRPr="006F096C">
        <w:rPr>
          <w:rFonts w:ascii="Verdana" w:hAnsi="Verdana"/>
          <w:b/>
        </w:rPr>
        <w:t>Investigations</w:t>
      </w:r>
    </w:p>
    <w:p w14:paraId="78E6D494" w14:textId="77777777" w:rsidR="00D60B11" w:rsidRPr="006F096C" w:rsidRDefault="00D60B11" w:rsidP="00D60B11">
      <w:pPr>
        <w:spacing w:after="0" w:line="240" w:lineRule="auto"/>
        <w:rPr>
          <w:rFonts w:ascii="Verdana" w:hAnsi="Verdana"/>
        </w:rPr>
      </w:pPr>
    </w:p>
    <w:p w14:paraId="4A76193E" w14:textId="2ED5E3B8" w:rsidR="00D60B11" w:rsidRPr="006F096C" w:rsidRDefault="00D60B11" w:rsidP="00D60B11">
      <w:pPr>
        <w:spacing w:after="0" w:line="240" w:lineRule="auto"/>
        <w:rPr>
          <w:rFonts w:ascii="Verdana" w:hAnsi="Verdana"/>
        </w:rPr>
      </w:pPr>
      <w:r w:rsidRPr="006F096C">
        <w:rPr>
          <w:rFonts w:ascii="Verdana" w:hAnsi="Verdana"/>
        </w:rPr>
        <w:t xml:space="preserve">Personal information held by the </w:t>
      </w:r>
      <w:r w:rsidR="00092CF3">
        <w:rPr>
          <w:rFonts w:ascii="Verdana" w:hAnsi="Verdana"/>
        </w:rPr>
        <w:t>NIHRC</w:t>
      </w:r>
      <w:r w:rsidRPr="006F096C">
        <w:rPr>
          <w:rFonts w:ascii="Verdana" w:hAnsi="Verdana"/>
        </w:rPr>
        <w:t xml:space="preserve"> for the purpose of an investigation is retained for one year following the publication a report of its findings,</w:t>
      </w:r>
      <w:r w:rsidRPr="006F096C">
        <w:t xml:space="preserve"> </w:t>
      </w:r>
      <w:r w:rsidRPr="006F096C">
        <w:rPr>
          <w:rFonts w:ascii="Verdana" w:hAnsi="Verdana"/>
        </w:rPr>
        <w:t xml:space="preserve">unless the </w:t>
      </w:r>
      <w:r w:rsidR="00092CF3">
        <w:rPr>
          <w:rFonts w:ascii="Verdana" w:hAnsi="Verdana"/>
        </w:rPr>
        <w:t>NIHRC</w:t>
      </w:r>
      <w:r w:rsidRPr="006F096C">
        <w:rPr>
          <w:rFonts w:ascii="Verdana" w:hAnsi="Verdana"/>
        </w:rPr>
        <w:t xml:space="preserve"> is otherwise required to do so (i.e. legislation, contract, public task, vital interests).</w:t>
      </w:r>
    </w:p>
    <w:p w14:paraId="2FB33385" w14:textId="77777777" w:rsidR="00D60B11" w:rsidRPr="006F096C" w:rsidRDefault="00D60B11" w:rsidP="00D60B11">
      <w:pPr>
        <w:spacing w:after="0" w:line="240" w:lineRule="auto"/>
        <w:rPr>
          <w:rFonts w:ascii="Verdana" w:hAnsi="Verdana"/>
        </w:rPr>
      </w:pPr>
    </w:p>
    <w:p w14:paraId="08CC408C" w14:textId="77777777" w:rsidR="00D60B11" w:rsidRPr="006F096C" w:rsidRDefault="00D60B11" w:rsidP="00D60B11">
      <w:pPr>
        <w:spacing w:after="0" w:line="240" w:lineRule="auto"/>
        <w:rPr>
          <w:rFonts w:ascii="Verdana" w:hAnsi="Verdana"/>
          <w:b/>
        </w:rPr>
      </w:pPr>
      <w:r w:rsidRPr="006F096C">
        <w:rPr>
          <w:rFonts w:ascii="Verdana" w:hAnsi="Verdana"/>
          <w:b/>
        </w:rPr>
        <w:t>Contracts</w:t>
      </w:r>
    </w:p>
    <w:p w14:paraId="1ED4FC6D" w14:textId="77777777" w:rsidR="00D60B11" w:rsidRPr="006F096C" w:rsidRDefault="00D60B11" w:rsidP="00D60B11">
      <w:pPr>
        <w:spacing w:after="0" w:line="240" w:lineRule="auto"/>
        <w:rPr>
          <w:rFonts w:ascii="Verdana" w:hAnsi="Verdana"/>
        </w:rPr>
      </w:pPr>
    </w:p>
    <w:p w14:paraId="6BE49299" w14:textId="5E8DE315" w:rsidR="00D60B11" w:rsidRPr="006F096C" w:rsidRDefault="00D60B11" w:rsidP="00D60B11">
      <w:pPr>
        <w:spacing w:after="0" w:line="240" w:lineRule="auto"/>
        <w:rPr>
          <w:rFonts w:ascii="Verdana" w:hAnsi="Verdana"/>
          <w:bCs/>
          <w:lang w:val="en-US"/>
        </w:rPr>
      </w:pPr>
      <w:r w:rsidRPr="006F096C">
        <w:rPr>
          <w:rFonts w:ascii="Verdana" w:hAnsi="Verdana"/>
          <w:bCs/>
        </w:rPr>
        <w:t xml:space="preserve">The </w:t>
      </w:r>
      <w:r w:rsidR="00092CF3">
        <w:rPr>
          <w:rFonts w:ascii="Verdana" w:hAnsi="Verdana"/>
          <w:bCs/>
        </w:rPr>
        <w:t>NIHRC</w:t>
      </w:r>
      <w:r w:rsidRPr="006F096C">
        <w:rPr>
          <w:rFonts w:ascii="Verdana" w:hAnsi="Verdana"/>
          <w:bCs/>
        </w:rPr>
        <w:t xml:space="preserve"> retains contact details for its contractors and other information relevant for the duration of a contract for six years plus a further year following the completion of the contract as required by the statutory retention period.</w:t>
      </w:r>
    </w:p>
    <w:p w14:paraId="3AD8EFD8" w14:textId="77777777" w:rsidR="00D60B11" w:rsidRPr="006F096C" w:rsidRDefault="00D60B11" w:rsidP="00D60B11">
      <w:pPr>
        <w:spacing w:after="0" w:line="240" w:lineRule="auto"/>
        <w:rPr>
          <w:rFonts w:ascii="Verdana" w:hAnsi="Verdana"/>
          <w:b/>
        </w:rPr>
      </w:pPr>
    </w:p>
    <w:p w14:paraId="717B9BE2" w14:textId="77777777" w:rsidR="00D60B11" w:rsidRPr="006F096C" w:rsidRDefault="00D60B11" w:rsidP="00D60B11">
      <w:pPr>
        <w:spacing w:after="0" w:line="240" w:lineRule="auto"/>
        <w:rPr>
          <w:rFonts w:ascii="Verdana" w:hAnsi="Verdana"/>
          <w:b/>
        </w:rPr>
      </w:pPr>
      <w:r w:rsidRPr="006F096C">
        <w:rPr>
          <w:rFonts w:ascii="Verdana" w:hAnsi="Verdana"/>
          <w:b/>
        </w:rPr>
        <w:t>Personnel</w:t>
      </w:r>
    </w:p>
    <w:p w14:paraId="2E181960" w14:textId="77777777" w:rsidR="00D60B11" w:rsidRPr="006F096C" w:rsidRDefault="00D60B11" w:rsidP="00D60B11">
      <w:pPr>
        <w:spacing w:after="0" w:line="240" w:lineRule="auto"/>
        <w:rPr>
          <w:rFonts w:ascii="Verdana" w:hAnsi="Verdana"/>
          <w:b/>
        </w:rPr>
      </w:pPr>
    </w:p>
    <w:p w14:paraId="6D923D7B" w14:textId="044D8349" w:rsidR="00D60B11" w:rsidRDefault="00D60B11" w:rsidP="00D60B11">
      <w:pPr>
        <w:spacing w:after="0" w:line="240" w:lineRule="auto"/>
        <w:rPr>
          <w:rFonts w:ascii="Verdana" w:hAnsi="Verdana"/>
          <w:sz w:val="24"/>
          <w:szCs w:val="24"/>
        </w:rPr>
      </w:pPr>
      <w:r w:rsidRPr="006F096C">
        <w:rPr>
          <w:rFonts w:ascii="Verdana" w:hAnsi="Verdana"/>
        </w:rPr>
        <w:t xml:space="preserve">The </w:t>
      </w:r>
      <w:r w:rsidR="00092CF3">
        <w:rPr>
          <w:rFonts w:ascii="Verdana" w:hAnsi="Verdana"/>
        </w:rPr>
        <w:t>NIHRC</w:t>
      </w:r>
      <w:r w:rsidRPr="006F096C">
        <w:rPr>
          <w:rFonts w:ascii="Verdana" w:hAnsi="Verdana"/>
        </w:rPr>
        <w:t xml:space="preserve"> retains personnel records (including disciplinary records) for a period of six years after employment ceases as a recommended (non-statutory) retention period.</w:t>
      </w:r>
      <w:r>
        <w:rPr>
          <w:rFonts w:ascii="Verdana" w:hAnsi="Verdana"/>
          <w:sz w:val="24"/>
          <w:szCs w:val="24"/>
        </w:rPr>
        <w:t xml:space="preserve"> </w:t>
      </w:r>
    </w:p>
    <w:p w14:paraId="1E4D8E13" w14:textId="77777777" w:rsidR="00D60B11" w:rsidRDefault="00D60B11" w:rsidP="00D60B11">
      <w:pPr>
        <w:spacing w:after="0" w:line="240" w:lineRule="auto"/>
        <w:rPr>
          <w:rFonts w:ascii="Verdana" w:hAnsi="Verdana"/>
          <w:sz w:val="24"/>
          <w:szCs w:val="24"/>
        </w:rPr>
      </w:pPr>
    </w:p>
    <w:p w14:paraId="20502215" w14:textId="2CB23527" w:rsidR="00D60B11" w:rsidRDefault="00D60B11" w:rsidP="00D60B11">
      <w:pPr>
        <w:spacing w:after="0" w:line="240" w:lineRule="auto"/>
        <w:rPr>
          <w:rFonts w:ascii="Verdana" w:hAnsi="Verdana"/>
          <w:sz w:val="24"/>
          <w:szCs w:val="24"/>
        </w:rPr>
      </w:pPr>
      <w:r>
        <w:rPr>
          <w:rFonts w:ascii="Verdana" w:hAnsi="Verdana"/>
          <w:sz w:val="24"/>
          <w:szCs w:val="24"/>
        </w:rPr>
        <w:t xml:space="preserve">The retention of other relevant personnel records is included in the </w:t>
      </w:r>
      <w:r w:rsidR="00092CF3">
        <w:rPr>
          <w:rFonts w:ascii="Verdana" w:hAnsi="Verdana"/>
          <w:sz w:val="24"/>
          <w:szCs w:val="24"/>
        </w:rPr>
        <w:t>NIHRC</w:t>
      </w:r>
      <w:r>
        <w:rPr>
          <w:rFonts w:ascii="Verdana" w:hAnsi="Verdana"/>
          <w:sz w:val="24"/>
          <w:szCs w:val="24"/>
        </w:rPr>
        <w:t>’s data retention and disposal policy.</w:t>
      </w:r>
    </w:p>
    <w:p w14:paraId="3D38356E" w14:textId="77777777" w:rsidR="00D60B11" w:rsidRDefault="00D60B11" w:rsidP="00D60B11">
      <w:pPr>
        <w:spacing w:after="0" w:line="240" w:lineRule="auto"/>
        <w:rPr>
          <w:rFonts w:ascii="Verdana" w:hAnsi="Verdana"/>
          <w:sz w:val="24"/>
          <w:szCs w:val="24"/>
        </w:rPr>
      </w:pPr>
    </w:p>
    <w:p w14:paraId="675B6EAE" w14:textId="77777777" w:rsidR="00D60B11" w:rsidRDefault="00D60B11" w:rsidP="00D60B11">
      <w:pPr>
        <w:spacing w:after="0" w:line="240" w:lineRule="auto"/>
        <w:rPr>
          <w:rFonts w:ascii="Verdana" w:hAnsi="Verdana"/>
          <w:b/>
          <w:sz w:val="24"/>
          <w:szCs w:val="24"/>
          <w:lang w:val="en"/>
        </w:rPr>
      </w:pPr>
      <w:r>
        <w:rPr>
          <w:rFonts w:ascii="Verdana" w:hAnsi="Verdana" w:cs="Arial"/>
          <w:b/>
          <w:color w:val="77328A"/>
          <w:sz w:val="30"/>
          <w:szCs w:val="30"/>
        </w:rPr>
        <w:t>Special categories of personal data</w:t>
      </w:r>
    </w:p>
    <w:p w14:paraId="39B2096A" w14:textId="77777777" w:rsidR="00D60B11" w:rsidRDefault="00D60B11" w:rsidP="00D60B11">
      <w:pPr>
        <w:spacing w:after="0" w:line="240" w:lineRule="auto"/>
        <w:rPr>
          <w:rFonts w:ascii="Verdana" w:hAnsi="Verdana"/>
          <w:sz w:val="24"/>
          <w:szCs w:val="24"/>
          <w:lang w:val="en"/>
        </w:rPr>
      </w:pPr>
    </w:p>
    <w:p w14:paraId="7E1FF92D" w14:textId="4BADE465" w:rsidR="00D60B11" w:rsidRPr="006F096C" w:rsidRDefault="00D60B11" w:rsidP="00D60B11">
      <w:pPr>
        <w:spacing w:after="0" w:line="240" w:lineRule="auto"/>
        <w:rPr>
          <w:rFonts w:ascii="Verdana" w:hAnsi="Verdana"/>
          <w:lang w:val="en"/>
        </w:rPr>
      </w:pPr>
      <w:r w:rsidRPr="006F096C">
        <w:rPr>
          <w:rFonts w:ascii="Verdana" w:hAnsi="Verdana"/>
          <w:lang w:val="en"/>
        </w:rPr>
        <w:t xml:space="preserve">The </w:t>
      </w:r>
      <w:r w:rsidR="00092CF3">
        <w:rPr>
          <w:rFonts w:ascii="Verdana" w:hAnsi="Verdana"/>
          <w:lang w:val="en"/>
        </w:rPr>
        <w:t>NIHRC</w:t>
      </w:r>
      <w:r w:rsidRPr="006F096C">
        <w:rPr>
          <w:rFonts w:ascii="Verdana" w:hAnsi="Verdana"/>
          <w:lang w:val="en"/>
        </w:rPr>
        <w:t xml:space="preserve"> retains personal information as an employer required by legislation for the following special categories:</w:t>
      </w:r>
    </w:p>
    <w:p w14:paraId="2BA7331A" w14:textId="77777777" w:rsidR="00D60B11" w:rsidRPr="0082215C" w:rsidRDefault="00D60B11" w:rsidP="00D60B11">
      <w:pPr>
        <w:spacing w:after="0" w:line="240" w:lineRule="auto"/>
        <w:rPr>
          <w:rFonts w:ascii="Verdana" w:hAnsi="Verdana"/>
          <w:sz w:val="24"/>
          <w:szCs w:val="24"/>
          <w:lang w:val="en"/>
        </w:rPr>
      </w:pPr>
    </w:p>
    <w:p w14:paraId="48603ABF"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t>race;</w:t>
      </w:r>
      <w:proofErr w:type="gramEnd"/>
    </w:p>
    <w:p w14:paraId="2EBA841C"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t>ethnicity;</w:t>
      </w:r>
      <w:proofErr w:type="gramEnd"/>
    </w:p>
    <w:p w14:paraId="446AEE07" w14:textId="77777777" w:rsidR="00D60B11" w:rsidRPr="006F096C" w:rsidRDefault="00D60B11" w:rsidP="00D60B11">
      <w:pPr>
        <w:numPr>
          <w:ilvl w:val="0"/>
          <w:numId w:val="39"/>
        </w:numPr>
        <w:spacing w:after="0" w:line="240" w:lineRule="auto"/>
        <w:rPr>
          <w:rFonts w:ascii="Verdana" w:hAnsi="Verdana"/>
          <w:lang w:val="en"/>
        </w:rPr>
      </w:pPr>
      <w:r w:rsidRPr="006F096C">
        <w:rPr>
          <w:rFonts w:ascii="Verdana" w:hAnsi="Verdana"/>
          <w:lang w:val="en"/>
        </w:rPr>
        <w:t xml:space="preserve">community </w:t>
      </w:r>
      <w:proofErr w:type="gramStart"/>
      <w:r w:rsidRPr="006F096C">
        <w:rPr>
          <w:rFonts w:ascii="Verdana" w:hAnsi="Verdana"/>
          <w:lang w:val="en"/>
        </w:rPr>
        <w:t>background;</w:t>
      </w:r>
      <w:proofErr w:type="gramEnd"/>
    </w:p>
    <w:p w14:paraId="553A63CD"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t>age;</w:t>
      </w:r>
      <w:proofErr w:type="gramEnd"/>
    </w:p>
    <w:p w14:paraId="3C138079"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t>gender;</w:t>
      </w:r>
      <w:proofErr w:type="gramEnd"/>
    </w:p>
    <w:p w14:paraId="533462FE" w14:textId="77777777" w:rsidR="00D60B11" w:rsidRPr="006F096C" w:rsidRDefault="00D60B11" w:rsidP="00D60B11">
      <w:pPr>
        <w:numPr>
          <w:ilvl w:val="0"/>
          <w:numId w:val="39"/>
        </w:numPr>
        <w:spacing w:after="0" w:line="240" w:lineRule="auto"/>
        <w:rPr>
          <w:rFonts w:ascii="Verdana" w:hAnsi="Verdana"/>
          <w:lang w:val="en"/>
        </w:rPr>
      </w:pPr>
      <w:r w:rsidRPr="006F096C">
        <w:rPr>
          <w:rFonts w:ascii="Verdana" w:hAnsi="Verdana"/>
          <w:lang w:val="en"/>
        </w:rPr>
        <w:t xml:space="preserve">trade union </w:t>
      </w:r>
      <w:proofErr w:type="gramStart"/>
      <w:r w:rsidRPr="006F096C">
        <w:rPr>
          <w:rFonts w:ascii="Verdana" w:hAnsi="Verdana"/>
          <w:lang w:val="en"/>
        </w:rPr>
        <w:t>membership;</w:t>
      </w:r>
      <w:proofErr w:type="gramEnd"/>
    </w:p>
    <w:p w14:paraId="1BC69D97"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t>disability;</w:t>
      </w:r>
      <w:proofErr w:type="gramEnd"/>
    </w:p>
    <w:p w14:paraId="2D98723D" w14:textId="77777777" w:rsidR="00D60B11" w:rsidRPr="006F096C" w:rsidRDefault="00D60B11" w:rsidP="00D60B11">
      <w:pPr>
        <w:numPr>
          <w:ilvl w:val="0"/>
          <w:numId w:val="39"/>
        </w:numPr>
        <w:spacing w:after="0" w:line="240" w:lineRule="auto"/>
        <w:rPr>
          <w:rFonts w:ascii="Verdana" w:hAnsi="Verdana"/>
          <w:lang w:val="en"/>
        </w:rPr>
      </w:pPr>
      <w:proofErr w:type="gramStart"/>
      <w:r w:rsidRPr="006F096C">
        <w:rPr>
          <w:rFonts w:ascii="Verdana" w:hAnsi="Verdana"/>
          <w:lang w:val="en"/>
        </w:rPr>
        <w:lastRenderedPageBreak/>
        <w:t>health;</w:t>
      </w:r>
      <w:proofErr w:type="gramEnd"/>
    </w:p>
    <w:p w14:paraId="4C635378" w14:textId="77777777" w:rsidR="00D60B11" w:rsidRPr="006F096C" w:rsidRDefault="00D60B11" w:rsidP="00D60B11">
      <w:pPr>
        <w:numPr>
          <w:ilvl w:val="0"/>
          <w:numId w:val="39"/>
        </w:numPr>
        <w:spacing w:after="0" w:line="240" w:lineRule="auto"/>
        <w:rPr>
          <w:rFonts w:ascii="Verdana" w:hAnsi="Verdana"/>
          <w:lang w:val="en"/>
        </w:rPr>
      </w:pPr>
      <w:r w:rsidRPr="006F096C">
        <w:rPr>
          <w:rFonts w:ascii="Verdana" w:hAnsi="Verdana"/>
          <w:lang w:val="en"/>
        </w:rPr>
        <w:t xml:space="preserve">marital </w:t>
      </w:r>
      <w:proofErr w:type="gramStart"/>
      <w:r w:rsidRPr="006F096C">
        <w:rPr>
          <w:rFonts w:ascii="Verdana" w:hAnsi="Verdana"/>
          <w:lang w:val="en"/>
        </w:rPr>
        <w:t>status;</w:t>
      </w:r>
      <w:proofErr w:type="gramEnd"/>
    </w:p>
    <w:p w14:paraId="1985FD1C" w14:textId="77777777" w:rsidR="00D60B11" w:rsidRPr="006F096C" w:rsidRDefault="00D60B11" w:rsidP="00D60B11">
      <w:pPr>
        <w:numPr>
          <w:ilvl w:val="0"/>
          <w:numId w:val="39"/>
        </w:numPr>
        <w:spacing w:after="0" w:line="240" w:lineRule="auto"/>
        <w:rPr>
          <w:rFonts w:ascii="Verdana" w:hAnsi="Verdana"/>
          <w:lang w:val="en"/>
        </w:rPr>
      </w:pPr>
      <w:r w:rsidRPr="006F096C">
        <w:rPr>
          <w:rFonts w:ascii="Verdana" w:hAnsi="Verdana"/>
          <w:lang w:val="en"/>
        </w:rPr>
        <w:t xml:space="preserve">number of dependents and </w:t>
      </w:r>
      <w:proofErr w:type="gramStart"/>
      <w:r w:rsidRPr="006F096C">
        <w:rPr>
          <w:rFonts w:ascii="Verdana" w:hAnsi="Verdana"/>
          <w:lang w:val="en"/>
        </w:rPr>
        <w:t>children;</w:t>
      </w:r>
      <w:proofErr w:type="gramEnd"/>
    </w:p>
    <w:p w14:paraId="444BDED5" w14:textId="77777777" w:rsidR="00D60B11" w:rsidRPr="006F096C" w:rsidRDefault="00D60B11" w:rsidP="00D60B11">
      <w:pPr>
        <w:numPr>
          <w:ilvl w:val="0"/>
          <w:numId w:val="39"/>
        </w:numPr>
        <w:spacing w:after="0" w:line="240" w:lineRule="auto"/>
        <w:rPr>
          <w:rFonts w:ascii="Verdana" w:hAnsi="Verdana"/>
          <w:lang w:val="en"/>
        </w:rPr>
      </w:pPr>
      <w:r w:rsidRPr="006F096C">
        <w:rPr>
          <w:rFonts w:ascii="Verdana" w:hAnsi="Verdana"/>
          <w:lang w:val="en"/>
        </w:rPr>
        <w:t>sexual orientation.</w:t>
      </w:r>
    </w:p>
    <w:p w14:paraId="2DB06C0B" w14:textId="77777777" w:rsidR="00D60B11" w:rsidRPr="006F096C" w:rsidRDefault="00D60B11" w:rsidP="00D60B11">
      <w:pPr>
        <w:spacing w:after="0" w:line="240" w:lineRule="auto"/>
        <w:ind w:left="720"/>
        <w:rPr>
          <w:rFonts w:ascii="Verdana" w:hAnsi="Verdana"/>
          <w:lang w:val="en"/>
        </w:rPr>
      </w:pPr>
    </w:p>
    <w:p w14:paraId="484FA0A4" w14:textId="77777777" w:rsidR="00D60B11" w:rsidRPr="002C6AD9" w:rsidRDefault="00D60B11" w:rsidP="00D60B11">
      <w:pPr>
        <w:spacing w:after="0" w:line="240" w:lineRule="auto"/>
        <w:rPr>
          <w:rFonts w:ascii="Verdana" w:hAnsi="Verdana"/>
          <w:b/>
          <w:sz w:val="24"/>
          <w:szCs w:val="24"/>
        </w:rPr>
      </w:pPr>
      <w:r>
        <w:rPr>
          <w:rFonts w:ascii="Verdana" w:hAnsi="Verdana" w:cs="Arial"/>
          <w:b/>
          <w:color w:val="77328A"/>
          <w:sz w:val="30"/>
          <w:szCs w:val="30"/>
        </w:rPr>
        <w:t>Organisations that we share information with</w:t>
      </w:r>
    </w:p>
    <w:p w14:paraId="31D285ED" w14:textId="77777777" w:rsidR="00D60B11" w:rsidRDefault="00D60B11" w:rsidP="00D60B11">
      <w:pPr>
        <w:spacing w:after="0" w:line="240" w:lineRule="auto"/>
        <w:rPr>
          <w:rFonts w:ascii="Verdana" w:hAnsi="Verdana"/>
          <w:sz w:val="24"/>
          <w:szCs w:val="24"/>
        </w:rPr>
      </w:pPr>
    </w:p>
    <w:p w14:paraId="7468A079" w14:textId="691FDE9D" w:rsidR="00D60B11" w:rsidRPr="006F096C" w:rsidRDefault="00D60B11" w:rsidP="00D60B11">
      <w:pPr>
        <w:spacing w:after="0" w:line="240" w:lineRule="auto"/>
        <w:rPr>
          <w:rFonts w:ascii="Verdana" w:hAnsi="Verdana"/>
        </w:rPr>
      </w:pPr>
      <w:r w:rsidRPr="006F096C">
        <w:rPr>
          <w:rFonts w:ascii="Verdana" w:hAnsi="Verdana"/>
        </w:rPr>
        <w:t xml:space="preserve">The </w:t>
      </w:r>
      <w:r w:rsidR="00092CF3">
        <w:rPr>
          <w:rFonts w:ascii="Verdana" w:hAnsi="Verdana"/>
        </w:rPr>
        <w:t>NIHRC</w:t>
      </w:r>
      <w:r w:rsidRPr="006F096C">
        <w:rPr>
          <w:rFonts w:ascii="Verdana" w:hAnsi="Verdana"/>
        </w:rPr>
        <w:t xml:space="preserve"> share information with the following organisations </w:t>
      </w:r>
    </w:p>
    <w:p w14:paraId="6CE137D1" w14:textId="77777777" w:rsidR="00D60B11" w:rsidRPr="006F096C" w:rsidRDefault="00D60B11" w:rsidP="00D60B11">
      <w:pPr>
        <w:spacing w:after="0" w:line="240" w:lineRule="auto"/>
        <w:rPr>
          <w:rFonts w:ascii="Verdana" w:hAnsi="Verdana"/>
        </w:rPr>
      </w:pPr>
    </w:p>
    <w:p w14:paraId="1727427E" w14:textId="77777777" w:rsidR="00D60B11" w:rsidRPr="006F096C" w:rsidRDefault="00D60B11" w:rsidP="00D60B11">
      <w:pPr>
        <w:spacing w:after="0" w:line="240" w:lineRule="auto"/>
        <w:rPr>
          <w:rFonts w:ascii="Verdana" w:hAnsi="Verdana"/>
        </w:rPr>
      </w:pPr>
      <w:r w:rsidRPr="006F096C">
        <w:rPr>
          <w:rFonts w:ascii="Verdana" w:hAnsi="Verdana"/>
        </w:rPr>
        <w:t>Criminal Justice Inspection Northern Ireland;</w:t>
      </w:r>
    </w:p>
    <w:p w14:paraId="582E8F19" w14:textId="77777777" w:rsidR="00D60B11" w:rsidRPr="006F096C" w:rsidRDefault="00D60B11" w:rsidP="00D60B11">
      <w:pPr>
        <w:spacing w:after="0" w:line="240" w:lineRule="auto"/>
        <w:rPr>
          <w:rFonts w:ascii="Verdana" w:hAnsi="Verdana"/>
        </w:rPr>
      </w:pPr>
      <w:r w:rsidRPr="006F096C">
        <w:rPr>
          <w:rFonts w:ascii="Verdana" w:hAnsi="Verdana"/>
        </w:rPr>
        <w:t>Community Relations Council;</w:t>
      </w:r>
    </w:p>
    <w:p w14:paraId="0D349C2F" w14:textId="77777777" w:rsidR="00D60B11" w:rsidRPr="006F096C" w:rsidRDefault="00D60B11" w:rsidP="00D60B11">
      <w:pPr>
        <w:spacing w:after="0" w:line="240" w:lineRule="auto"/>
        <w:rPr>
          <w:rFonts w:ascii="Verdana" w:hAnsi="Verdana"/>
        </w:rPr>
      </w:pPr>
      <w:r w:rsidRPr="006F096C">
        <w:rPr>
          <w:rFonts w:ascii="Verdana" w:hAnsi="Verdana"/>
        </w:rPr>
        <w:t>Commission for Victims and Survivors for Northern Ireland;</w:t>
      </w:r>
    </w:p>
    <w:p w14:paraId="36587258" w14:textId="77777777" w:rsidR="00D60B11" w:rsidRPr="006F096C" w:rsidRDefault="00D60B11" w:rsidP="00D60B11">
      <w:pPr>
        <w:spacing w:after="0" w:line="240" w:lineRule="auto"/>
        <w:rPr>
          <w:rFonts w:ascii="Verdana" w:hAnsi="Verdana"/>
        </w:rPr>
      </w:pPr>
      <w:r w:rsidRPr="006F096C">
        <w:rPr>
          <w:rFonts w:ascii="Verdana" w:hAnsi="Verdana"/>
        </w:rPr>
        <w:t>Commissioner for Older People for Northern Ireland;</w:t>
      </w:r>
    </w:p>
    <w:p w14:paraId="7A276771" w14:textId="77777777" w:rsidR="00D60B11" w:rsidRPr="006F096C" w:rsidRDefault="00D60B11" w:rsidP="00D60B11">
      <w:pPr>
        <w:spacing w:after="0" w:line="240" w:lineRule="auto"/>
        <w:rPr>
          <w:rFonts w:ascii="Verdana" w:hAnsi="Verdana"/>
        </w:rPr>
      </w:pPr>
      <w:r w:rsidRPr="006F096C">
        <w:rPr>
          <w:rFonts w:ascii="Verdana" w:hAnsi="Verdana"/>
        </w:rPr>
        <w:t>Equality Commission Northern Ireland;</w:t>
      </w:r>
    </w:p>
    <w:p w14:paraId="54B85335" w14:textId="77777777" w:rsidR="00D60B11" w:rsidRPr="006F096C" w:rsidRDefault="00D60B11" w:rsidP="00D60B11">
      <w:pPr>
        <w:spacing w:after="0" w:line="240" w:lineRule="auto"/>
        <w:rPr>
          <w:rFonts w:ascii="Verdana" w:hAnsi="Verdana"/>
        </w:rPr>
      </w:pPr>
      <w:r w:rsidRPr="006F096C">
        <w:rPr>
          <w:rFonts w:ascii="Verdana" w:hAnsi="Verdana"/>
        </w:rPr>
        <w:t>Regulation and Quality Improvement Authority;</w:t>
      </w:r>
    </w:p>
    <w:p w14:paraId="3E5D0D84" w14:textId="77777777" w:rsidR="00D60B11" w:rsidRPr="006F096C" w:rsidRDefault="00D60B11" w:rsidP="00D60B11">
      <w:pPr>
        <w:spacing w:after="0" w:line="240" w:lineRule="auto"/>
        <w:rPr>
          <w:rFonts w:ascii="Verdana" w:hAnsi="Verdana"/>
        </w:rPr>
      </w:pPr>
      <w:r w:rsidRPr="006F096C">
        <w:rPr>
          <w:rFonts w:ascii="Verdana" w:hAnsi="Verdana"/>
        </w:rPr>
        <w:t>National Audit Office;</w:t>
      </w:r>
    </w:p>
    <w:p w14:paraId="12DC650F" w14:textId="77777777" w:rsidR="00D60B11" w:rsidRPr="006F096C" w:rsidRDefault="00D60B11" w:rsidP="00D60B11">
      <w:pPr>
        <w:spacing w:after="0" w:line="240" w:lineRule="auto"/>
        <w:rPr>
          <w:rFonts w:ascii="Verdana" w:hAnsi="Verdana"/>
        </w:rPr>
      </w:pPr>
      <w:r w:rsidRPr="006F096C">
        <w:rPr>
          <w:rFonts w:ascii="Verdana" w:hAnsi="Verdana"/>
        </w:rPr>
        <w:t>Northern Ireland Commissioner for Children and Young People;</w:t>
      </w:r>
    </w:p>
    <w:p w14:paraId="2C1DBDB4" w14:textId="77777777" w:rsidR="00D60B11" w:rsidRPr="006F096C" w:rsidRDefault="00D60B11" w:rsidP="00D60B11">
      <w:pPr>
        <w:spacing w:after="0" w:line="240" w:lineRule="auto"/>
        <w:rPr>
          <w:rFonts w:ascii="Verdana" w:hAnsi="Verdana"/>
        </w:rPr>
      </w:pPr>
      <w:r w:rsidRPr="006F096C">
        <w:rPr>
          <w:rFonts w:ascii="Verdana" w:hAnsi="Verdana"/>
        </w:rPr>
        <w:t>Northern Ireland Office;</w:t>
      </w:r>
    </w:p>
    <w:p w14:paraId="0C036049" w14:textId="77777777" w:rsidR="00D60B11" w:rsidRPr="006F096C" w:rsidRDefault="00D60B11" w:rsidP="00D60B11">
      <w:pPr>
        <w:spacing w:after="0" w:line="240" w:lineRule="auto"/>
        <w:rPr>
          <w:rFonts w:ascii="Verdana" w:hAnsi="Verdana"/>
        </w:rPr>
      </w:pPr>
      <w:r w:rsidRPr="006F096C">
        <w:rPr>
          <w:rFonts w:ascii="Verdana" w:hAnsi="Verdana"/>
        </w:rPr>
        <w:t>Northern Ireland Public Services Ombudsman;</w:t>
      </w:r>
    </w:p>
    <w:p w14:paraId="78918557" w14:textId="77777777" w:rsidR="00D60B11" w:rsidRPr="006F096C" w:rsidRDefault="00D60B11" w:rsidP="00D60B11">
      <w:pPr>
        <w:spacing w:after="0" w:line="240" w:lineRule="auto"/>
        <w:rPr>
          <w:rFonts w:ascii="Verdana" w:hAnsi="Verdana"/>
        </w:rPr>
      </w:pPr>
      <w:r w:rsidRPr="006F096C">
        <w:rPr>
          <w:rFonts w:ascii="Verdana" w:hAnsi="Verdana"/>
        </w:rPr>
        <w:t>Police Ombudsman for Northern Ireland;</w:t>
      </w:r>
    </w:p>
    <w:p w14:paraId="01B55CFC" w14:textId="77777777" w:rsidR="00D60B11" w:rsidRPr="006F096C" w:rsidRDefault="00D60B11" w:rsidP="00D60B11">
      <w:pPr>
        <w:spacing w:after="0" w:line="240" w:lineRule="auto"/>
        <w:rPr>
          <w:rFonts w:ascii="Verdana" w:hAnsi="Verdana"/>
        </w:rPr>
      </w:pPr>
      <w:r w:rsidRPr="006F096C">
        <w:rPr>
          <w:rFonts w:ascii="Verdana" w:hAnsi="Verdana"/>
        </w:rPr>
        <w:t>Prisoner Ombudsman for Northern Ireland;</w:t>
      </w:r>
    </w:p>
    <w:p w14:paraId="25BCE51F" w14:textId="77777777" w:rsidR="00D60B11" w:rsidRPr="006F096C" w:rsidRDefault="00D60B11" w:rsidP="00D60B11">
      <w:pPr>
        <w:spacing w:after="0" w:line="240" w:lineRule="auto"/>
        <w:rPr>
          <w:rFonts w:ascii="Verdana" w:hAnsi="Verdana"/>
          <w:iCs/>
        </w:rPr>
      </w:pPr>
    </w:p>
    <w:p w14:paraId="5AAEAB3B" w14:textId="06AC2AC5" w:rsidR="00D60B11" w:rsidRPr="006F096C" w:rsidRDefault="00D60B11" w:rsidP="00D60B11">
      <w:pPr>
        <w:spacing w:after="0" w:line="240" w:lineRule="auto"/>
        <w:rPr>
          <w:rFonts w:ascii="Verdana" w:hAnsi="Verdana"/>
          <w:iCs/>
        </w:rPr>
      </w:pPr>
      <w:proofErr w:type="gramStart"/>
      <w:r w:rsidRPr="006F096C">
        <w:rPr>
          <w:rFonts w:ascii="Verdana" w:hAnsi="Verdana"/>
          <w:bCs/>
          <w:iCs/>
          <w:lang w:val="en-US"/>
        </w:rPr>
        <w:t>Sharing of</w:t>
      </w:r>
      <w:proofErr w:type="gramEnd"/>
      <w:r w:rsidRPr="006F096C">
        <w:rPr>
          <w:rFonts w:ascii="Verdana" w:hAnsi="Verdana"/>
          <w:bCs/>
          <w:iCs/>
          <w:lang w:val="en-US"/>
        </w:rPr>
        <w:t xml:space="preserve"> personal information with third parties will normally be done with consent, unless the </w:t>
      </w:r>
      <w:r w:rsidR="00092CF3">
        <w:rPr>
          <w:rFonts w:ascii="Verdana" w:hAnsi="Verdana"/>
          <w:bCs/>
          <w:iCs/>
          <w:lang w:val="en-US"/>
        </w:rPr>
        <w:t>NIHRC</w:t>
      </w:r>
      <w:r w:rsidRPr="006F096C">
        <w:rPr>
          <w:rFonts w:ascii="Verdana" w:hAnsi="Verdana"/>
          <w:bCs/>
          <w:iCs/>
          <w:lang w:val="en-US"/>
        </w:rPr>
        <w:t xml:space="preserve"> is otherwise required to do so (i.e. legislation, contract, public task, vital interests</w:t>
      </w:r>
      <w:r w:rsidRPr="006F096C">
        <w:rPr>
          <w:rFonts w:ascii="Verdana" w:hAnsi="Verdana"/>
          <w:iCs/>
        </w:rPr>
        <w:t>.)</w:t>
      </w:r>
    </w:p>
    <w:p w14:paraId="79EBE686" w14:textId="77777777" w:rsidR="00D60B11" w:rsidRPr="006F096C" w:rsidRDefault="00D60B11" w:rsidP="00D60B11">
      <w:pPr>
        <w:spacing w:after="0" w:line="240" w:lineRule="auto"/>
        <w:rPr>
          <w:rFonts w:ascii="Verdana" w:hAnsi="Verdana"/>
          <w:iCs/>
        </w:rPr>
      </w:pPr>
    </w:p>
    <w:p w14:paraId="69F798B1" w14:textId="15F1731A" w:rsidR="00D60B11" w:rsidRPr="006F096C" w:rsidRDefault="00D60B11" w:rsidP="00D60B11">
      <w:pPr>
        <w:spacing w:after="0" w:line="240" w:lineRule="auto"/>
        <w:rPr>
          <w:rFonts w:ascii="Verdana" w:hAnsi="Verdana"/>
          <w:iCs/>
        </w:rPr>
      </w:pPr>
      <w:r w:rsidRPr="006F096C">
        <w:rPr>
          <w:rFonts w:ascii="Verdana" w:hAnsi="Verdana"/>
          <w:iCs/>
        </w:rPr>
        <w:t xml:space="preserve">The </w:t>
      </w:r>
      <w:r w:rsidR="00092CF3">
        <w:rPr>
          <w:rFonts w:ascii="Verdana" w:hAnsi="Verdana"/>
          <w:iCs/>
        </w:rPr>
        <w:t>NIHRC</w:t>
      </w:r>
      <w:r w:rsidRPr="006F096C">
        <w:rPr>
          <w:rFonts w:ascii="Verdana" w:hAnsi="Verdana"/>
          <w:iCs/>
        </w:rPr>
        <w:t xml:space="preserve"> may share your data with criminal justice and relevant enforcement agencies for the prevention or detection of crime.</w:t>
      </w:r>
    </w:p>
    <w:p w14:paraId="5AA99B6F" w14:textId="77777777" w:rsidR="00D60B11" w:rsidRPr="006F096C" w:rsidRDefault="00D60B11" w:rsidP="00D60B11">
      <w:pPr>
        <w:spacing w:after="0" w:line="240" w:lineRule="auto"/>
        <w:rPr>
          <w:rFonts w:ascii="Verdana" w:hAnsi="Verdana"/>
          <w:iCs/>
        </w:rPr>
      </w:pPr>
    </w:p>
    <w:p w14:paraId="6545C854" w14:textId="77777777" w:rsidR="00D60B11" w:rsidRDefault="00D60B11" w:rsidP="00D60B11">
      <w:pPr>
        <w:spacing w:after="0" w:line="240" w:lineRule="auto"/>
        <w:rPr>
          <w:rFonts w:ascii="Verdana" w:hAnsi="Verdana"/>
          <w:b/>
          <w:sz w:val="24"/>
          <w:szCs w:val="24"/>
        </w:rPr>
      </w:pPr>
      <w:r>
        <w:rPr>
          <w:rFonts w:ascii="Verdana" w:hAnsi="Verdana" w:cs="Arial"/>
          <w:b/>
          <w:color w:val="77328A"/>
          <w:sz w:val="30"/>
          <w:szCs w:val="30"/>
        </w:rPr>
        <w:t>What rights do I have?</w:t>
      </w:r>
    </w:p>
    <w:p w14:paraId="41231D3A" w14:textId="77777777" w:rsidR="00D60B11" w:rsidRDefault="00D60B11" w:rsidP="00D60B11">
      <w:pPr>
        <w:spacing w:after="0" w:line="240" w:lineRule="auto"/>
        <w:rPr>
          <w:rFonts w:ascii="Verdana" w:hAnsi="Verdana"/>
          <w:b/>
          <w:sz w:val="24"/>
          <w:szCs w:val="24"/>
        </w:rPr>
      </w:pPr>
    </w:p>
    <w:p w14:paraId="7B250452" w14:textId="77777777" w:rsidR="00D60B11" w:rsidRPr="006F096C" w:rsidRDefault="00D60B11" w:rsidP="00D60B11">
      <w:pPr>
        <w:spacing w:after="0" w:line="240" w:lineRule="auto"/>
        <w:rPr>
          <w:rFonts w:ascii="Verdana" w:hAnsi="Verdana"/>
        </w:rPr>
      </w:pPr>
      <w:r w:rsidRPr="006F096C">
        <w:rPr>
          <w:rFonts w:ascii="Verdana" w:hAnsi="Verdana"/>
        </w:rPr>
        <w:t xml:space="preserve">The General Data Protection Regulation provides the following rights for individuals </w:t>
      </w:r>
      <w:hyperlink r:id="rId13" w:history="1">
        <w:r w:rsidRPr="006F096C">
          <w:rPr>
            <w:rStyle w:val="Hyperlink"/>
            <w:rFonts w:ascii="Verdana" w:hAnsi="Verdana"/>
          </w:rPr>
          <w:t>https://ico.org.uk/for-organisations/guide-to-the-general-data-protection-regulation-gdpr/individual-rights/</w:t>
        </w:r>
      </w:hyperlink>
      <w:r w:rsidRPr="006F096C">
        <w:rPr>
          <w:rFonts w:ascii="Verdana" w:hAnsi="Verdana"/>
        </w:rPr>
        <w:t>:</w:t>
      </w:r>
    </w:p>
    <w:p w14:paraId="5623BE37" w14:textId="77777777" w:rsidR="00D60B11" w:rsidRPr="006F096C" w:rsidRDefault="00D60B11" w:rsidP="00D60B11">
      <w:pPr>
        <w:spacing w:after="0" w:line="240" w:lineRule="auto"/>
        <w:rPr>
          <w:rFonts w:ascii="Verdana" w:hAnsi="Verdana"/>
        </w:rPr>
      </w:pPr>
    </w:p>
    <w:p w14:paraId="34452AB5"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the right to obtain confirmation that your data is being processed, and access to your personal data;</w:t>
      </w:r>
    </w:p>
    <w:p w14:paraId="5C843CB7"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are entitled to have personal data rectified if it is inaccurate or incomplete;</w:t>
      </w:r>
    </w:p>
    <w:p w14:paraId="581A25F3"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a right to have personal data erased and to prevent processing, in specific circumstances;</w:t>
      </w:r>
    </w:p>
    <w:p w14:paraId="7E2EC393"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the right to ‘block’ or suppress processing of personal data, in specific circumstances;</w:t>
      </w:r>
    </w:p>
    <w:p w14:paraId="6311D89C"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the right to data portability, in specific circumstances</w:t>
      </w:r>
    </w:p>
    <w:p w14:paraId="3EAFBC67"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the right to object to the processing, in specific circumstances;</w:t>
      </w:r>
    </w:p>
    <w:p w14:paraId="76DB8C30" w14:textId="77777777" w:rsidR="00D60B11" w:rsidRPr="006F096C" w:rsidRDefault="00D60B11" w:rsidP="00D60B11">
      <w:pPr>
        <w:pStyle w:val="ListParagraph"/>
        <w:numPr>
          <w:ilvl w:val="0"/>
          <w:numId w:val="40"/>
        </w:numPr>
        <w:spacing w:after="0" w:line="240" w:lineRule="auto"/>
        <w:rPr>
          <w:rFonts w:ascii="Verdana" w:hAnsi="Verdana"/>
        </w:rPr>
      </w:pPr>
      <w:r w:rsidRPr="006F096C">
        <w:rPr>
          <w:rFonts w:ascii="Verdana" w:hAnsi="Verdana"/>
        </w:rPr>
        <w:t>You have rights in relation to automated decision making and profiling.</w:t>
      </w:r>
    </w:p>
    <w:p w14:paraId="5F9E064C" w14:textId="77777777" w:rsidR="00D60B11" w:rsidRDefault="00D60B11" w:rsidP="00D60B11">
      <w:pPr>
        <w:spacing w:after="0" w:line="240" w:lineRule="auto"/>
        <w:rPr>
          <w:rFonts w:ascii="Verdana" w:hAnsi="Verdana"/>
          <w:b/>
          <w:sz w:val="24"/>
          <w:szCs w:val="24"/>
        </w:rPr>
      </w:pPr>
    </w:p>
    <w:p w14:paraId="1DDBD76D" w14:textId="77777777" w:rsidR="003022C7" w:rsidRDefault="003022C7" w:rsidP="00D60B11">
      <w:pPr>
        <w:spacing w:after="0" w:line="240" w:lineRule="auto"/>
        <w:rPr>
          <w:rFonts w:ascii="Verdana" w:hAnsi="Verdana" w:cs="Arial"/>
          <w:b/>
          <w:color w:val="77328A"/>
          <w:sz w:val="30"/>
          <w:szCs w:val="30"/>
        </w:rPr>
      </w:pPr>
    </w:p>
    <w:p w14:paraId="6D9ECF2F" w14:textId="77777777" w:rsidR="003022C7" w:rsidRDefault="003022C7" w:rsidP="00D60B11">
      <w:pPr>
        <w:spacing w:after="0" w:line="240" w:lineRule="auto"/>
        <w:rPr>
          <w:rFonts w:ascii="Verdana" w:hAnsi="Verdana" w:cs="Arial"/>
          <w:b/>
          <w:color w:val="77328A"/>
          <w:sz w:val="30"/>
          <w:szCs w:val="30"/>
        </w:rPr>
      </w:pPr>
    </w:p>
    <w:p w14:paraId="27F3101A" w14:textId="77777777" w:rsidR="003022C7" w:rsidRDefault="003022C7" w:rsidP="00D60B11">
      <w:pPr>
        <w:spacing w:after="0" w:line="240" w:lineRule="auto"/>
        <w:rPr>
          <w:rFonts w:ascii="Verdana" w:hAnsi="Verdana" w:cs="Arial"/>
          <w:b/>
          <w:color w:val="77328A"/>
          <w:sz w:val="30"/>
          <w:szCs w:val="30"/>
        </w:rPr>
      </w:pPr>
    </w:p>
    <w:p w14:paraId="4369AD3A" w14:textId="007F1FC9" w:rsidR="00D60B11" w:rsidRDefault="00D60B11" w:rsidP="00D60B11">
      <w:pPr>
        <w:spacing w:after="0" w:line="240" w:lineRule="auto"/>
        <w:rPr>
          <w:rFonts w:ascii="Verdana" w:hAnsi="Verdana" w:cs="Arial"/>
          <w:b/>
          <w:color w:val="77328A"/>
          <w:sz w:val="30"/>
          <w:szCs w:val="30"/>
        </w:rPr>
      </w:pPr>
      <w:r>
        <w:rPr>
          <w:rFonts w:ascii="Verdana" w:hAnsi="Verdana" w:cs="Arial"/>
          <w:b/>
          <w:color w:val="77328A"/>
          <w:sz w:val="30"/>
          <w:szCs w:val="30"/>
        </w:rPr>
        <w:lastRenderedPageBreak/>
        <w:t>Visitors to our website</w:t>
      </w:r>
    </w:p>
    <w:p w14:paraId="482755D3" w14:textId="77777777" w:rsidR="00D60B11" w:rsidRDefault="00D60B11" w:rsidP="00D60B11">
      <w:pPr>
        <w:spacing w:after="0" w:line="240" w:lineRule="auto"/>
        <w:rPr>
          <w:rFonts w:ascii="Verdana" w:hAnsi="Verdana" w:cs="Arial"/>
          <w:b/>
          <w:color w:val="77328A"/>
          <w:sz w:val="30"/>
          <w:szCs w:val="30"/>
        </w:rPr>
      </w:pPr>
    </w:p>
    <w:p w14:paraId="28144BA2" w14:textId="77777777" w:rsidR="00D60B11" w:rsidRPr="006F096C" w:rsidRDefault="00D60B11" w:rsidP="00D60B11">
      <w:pPr>
        <w:spacing w:after="0" w:line="240" w:lineRule="auto"/>
        <w:rPr>
          <w:rFonts w:ascii="Verdana" w:hAnsi="Verdana"/>
        </w:rPr>
      </w:pPr>
      <w:r w:rsidRPr="006F096C">
        <w:rPr>
          <w:rFonts w:ascii="Verdana" w:hAnsi="Verdana"/>
        </w:rPr>
        <w:t>When someone visits our website, we collect internet log information and details of visitor behaviour patterns.  We do this to monitor the number of visitors to the various parts of the site but collect this information in a way which does not identify anyone.</w:t>
      </w:r>
    </w:p>
    <w:p w14:paraId="2DA6405F" w14:textId="77777777" w:rsidR="00D60B11" w:rsidRPr="006F096C" w:rsidRDefault="00D60B11" w:rsidP="00D60B11">
      <w:pPr>
        <w:spacing w:after="0" w:line="240" w:lineRule="auto"/>
        <w:rPr>
          <w:rFonts w:ascii="Verdana" w:hAnsi="Verdana"/>
        </w:rPr>
      </w:pPr>
    </w:p>
    <w:p w14:paraId="5E005108" w14:textId="77777777" w:rsidR="00D60B11" w:rsidRPr="006F096C" w:rsidRDefault="00D60B11" w:rsidP="00D60B11">
      <w:pPr>
        <w:spacing w:after="0" w:line="240" w:lineRule="auto"/>
        <w:rPr>
          <w:rFonts w:ascii="Verdana" w:hAnsi="Verdana"/>
        </w:rPr>
      </w:pPr>
      <w:r w:rsidRPr="006F096C">
        <w:rPr>
          <w:rFonts w:ascii="Verdana" w:hAnsi="Verdana"/>
        </w:rPr>
        <w:t>When we want to collect personally identifiable information through our website, we will be up front about this (for example, website forms).  We will make it clear when we collect personal information and we will explain what we intend to do with it.</w:t>
      </w:r>
    </w:p>
    <w:p w14:paraId="63BBED42" w14:textId="77777777" w:rsidR="006F096C" w:rsidRDefault="006F096C" w:rsidP="00D60B11">
      <w:pPr>
        <w:spacing w:after="0" w:line="240" w:lineRule="auto"/>
        <w:rPr>
          <w:rFonts w:ascii="Verdana" w:hAnsi="Verdana"/>
          <w:sz w:val="24"/>
          <w:szCs w:val="24"/>
        </w:rPr>
      </w:pPr>
    </w:p>
    <w:p w14:paraId="73906373" w14:textId="2BDD4C11" w:rsidR="00D60B11" w:rsidRDefault="00D60B11" w:rsidP="00D60B11">
      <w:pPr>
        <w:spacing w:after="0" w:line="240" w:lineRule="auto"/>
        <w:rPr>
          <w:rFonts w:ascii="Verdana" w:hAnsi="Verdana" w:cs="Arial"/>
          <w:b/>
          <w:color w:val="77328A"/>
          <w:sz w:val="30"/>
          <w:szCs w:val="30"/>
        </w:rPr>
      </w:pPr>
      <w:r>
        <w:rPr>
          <w:rFonts w:ascii="Verdana" w:hAnsi="Verdana" w:cs="Arial"/>
          <w:b/>
          <w:color w:val="77328A"/>
          <w:sz w:val="30"/>
          <w:szCs w:val="30"/>
        </w:rPr>
        <w:t xml:space="preserve">Use of cookies </w:t>
      </w:r>
    </w:p>
    <w:p w14:paraId="05441EC1" w14:textId="77777777" w:rsidR="00D60B11" w:rsidRDefault="00D60B11" w:rsidP="00D60B11">
      <w:pPr>
        <w:spacing w:after="0" w:line="240" w:lineRule="auto"/>
        <w:rPr>
          <w:rFonts w:ascii="Verdana" w:hAnsi="Verdana" w:cs="Arial"/>
          <w:b/>
          <w:color w:val="77328A"/>
          <w:sz w:val="30"/>
          <w:szCs w:val="30"/>
        </w:rPr>
      </w:pPr>
    </w:p>
    <w:p w14:paraId="215C8A3D" w14:textId="33526F1A" w:rsidR="00D60B11" w:rsidRPr="006F096C" w:rsidRDefault="00D60B11" w:rsidP="00D60B11">
      <w:pPr>
        <w:spacing w:after="0" w:line="240" w:lineRule="auto"/>
        <w:rPr>
          <w:rFonts w:ascii="Verdana" w:hAnsi="Verdana" w:cs="Arial"/>
        </w:rPr>
      </w:pPr>
      <w:r w:rsidRPr="006F096C">
        <w:rPr>
          <w:rFonts w:ascii="Verdana" w:hAnsi="Verdana" w:cs="Arial"/>
        </w:rPr>
        <w:t xml:space="preserve">The </w:t>
      </w:r>
      <w:r w:rsidR="00092CF3">
        <w:rPr>
          <w:rFonts w:ascii="Verdana" w:hAnsi="Verdana" w:cs="Arial"/>
        </w:rPr>
        <w:t>NIHRC</w:t>
      </w:r>
      <w:r w:rsidRPr="006F096C">
        <w:rPr>
          <w:rFonts w:ascii="Verdana" w:hAnsi="Verdana" w:cs="Arial"/>
        </w:rPr>
        <w:t xml:space="preserve"> will not use cookies to collect personably identifiable information about you.  However, if you wish to restrict or block the cookies which are set by the </w:t>
      </w:r>
      <w:r w:rsidR="00092CF3">
        <w:rPr>
          <w:rFonts w:ascii="Verdana" w:hAnsi="Verdana" w:cs="Arial"/>
        </w:rPr>
        <w:t>NIHRC</w:t>
      </w:r>
      <w:r w:rsidRPr="006F096C">
        <w:rPr>
          <w:rFonts w:ascii="Verdana" w:hAnsi="Verdana" w:cs="Arial"/>
        </w:rPr>
        <w:t>’s website, or indeed any other website, you can do this through your browser settings.  The Help function within your browser should tell you how.</w:t>
      </w:r>
    </w:p>
    <w:p w14:paraId="762FFB82" w14:textId="77777777" w:rsidR="00D60B11" w:rsidRPr="006F096C" w:rsidRDefault="00D60B11" w:rsidP="00D60B11">
      <w:pPr>
        <w:spacing w:after="0" w:line="240" w:lineRule="auto"/>
        <w:rPr>
          <w:rFonts w:ascii="Verdana" w:hAnsi="Verdana" w:cs="Arial"/>
        </w:rPr>
      </w:pPr>
    </w:p>
    <w:p w14:paraId="29D090A8" w14:textId="6344E26F" w:rsidR="00D60B11" w:rsidRPr="006F096C" w:rsidRDefault="00D60B11" w:rsidP="00D60B11">
      <w:pPr>
        <w:spacing w:after="0" w:line="240" w:lineRule="auto"/>
        <w:rPr>
          <w:rFonts w:ascii="Verdana" w:hAnsi="Verdana" w:cs="Arial"/>
        </w:rPr>
      </w:pPr>
      <w:r w:rsidRPr="006F096C">
        <w:rPr>
          <w:rFonts w:ascii="Verdana" w:hAnsi="Verdana" w:cs="Arial"/>
        </w:rPr>
        <w:t xml:space="preserve">The </w:t>
      </w:r>
      <w:r w:rsidR="00092CF3">
        <w:rPr>
          <w:rFonts w:ascii="Verdana" w:hAnsi="Verdana" w:cs="Arial"/>
        </w:rPr>
        <w:t>NIHRC</w:t>
      </w:r>
      <w:r w:rsidRPr="006F096C">
        <w:rPr>
          <w:rFonts w:ascii="Verdana" w:hAnsi="Verdana" w:cs="Arial"/>
        </w:rPr>
        <w:t xml:space="preserve"> uses Google Analytics, a web analytics service provided by Google, Inc.  Google Analytics sets cookies on the </w:t>
      </w:r>
      <w:r w:rsidR="00092CF3">
        <w:rPr>
          <w:rFonts w:ascii="Verdana" w:hAnsi="Verdana" w:cs="Arial"/>
        </w:rPr>
        <w:t>NIHRC</w:t>
      </w:r>
      <w:r w:rsidRPr="006F096C">
        <w:rPr>
          <w:rFonts w:ascii="Verdana" w:hAnsi="Verdana" w:cs="Arial"/>
        </w:rPr>
        <w:t xml:space="preserve">’s website on its behalf </w:t>
      </w:r>
      <w:proofErr w:type="gramStart"/>
      <w:r w:rsidRPr="006F096C">
        <w:rPr>
          <w:rFonts w:ascii="Verdana" w:hAnsi="Verdana" w:cs="Arial"/>
        </w:rPr>
        <w:t>in order to</w:t>
      </w:r>
      <w:proofErr w:type="gramEnd"/>
      <w:r w:rsidRPr="006F096C">
        <w:rPr>
          <w:rFonts w:ascii="Verdana" w:hAnsi="Verdana" w:cs="Arial"/>
        </w:rPr>
        <w:t xml:space="preserve"> compile reports for us on user activity and how visitors use our site.</w:t>
      </w:r>
    </w:p>
    <w:p w14:paraId="414A3C32" w14:textId="77777777" w:rsidR="00D60B11" w:rsidRPr="006F096C" w:rsidRDefault="00D60B11" w:rsidP="00D60B11">
      <w:pPr>
        <w:spacing w:after="0" w:line="240" w:lineRule="auto"/>
        <w:rPr>
          <w:rFonts w:ascii="Verdana" w:hAnsi="Verdana" w:cs="Arial"/>
        </w:rPr>
      </w:pPr>
    </w:p>
    <w:p w14:paraId="57F428B9" w14:textId="77777777" w:rsidR="00D60B11" w:rsidRPr="006F096C" w:rsidRDefault="00D60B11" w:rsidP="00D60B11">
      <w:pPr>
        <w:spacing w:after="0" w:line="240" w:lineRule="auto"/>
        <w:rPr>
          <w:rFonts w:ascii="Verdana" w:hAnsi="Verdana" w:cs="Arial"/>
        </w:rPr>
      </w:pPr>
      <w:r w:rsidRPr="006F096C">
        <w:rPr>
          <w:rFonts w:ascii="Verdana" w:hAnsi="Verdana" w:cs="Arial"/>
        </w:rPr>
        <w:t>The cookies collect information in an anonymous form, including the number of visitors to the site, where visitors have come to the site from and the pages they visited.  This is used to help us improve the website.  More information is available online from Google.</w:t>
      </w:r>
    </w:p>
    <w:p w14:paraId="4CCB23E3" w14:textId="77777777" w:rsidR="00D60B11" w:rsidRPr="006F096C" w:rsidRDefault="00D60B11" w:rsidP="00D60B11">
      <w:pPr>
        <w:spacing w:after="0" w:line="240" w:lineRule="auto"/>
        <w:rPr>
          <w:rFonts w:ascii="Verdana" w:hAnsi="Verdana" w:cs="Arial"/>
        </w:rPr>
      </w:pPr>
    </w:p>
    <w:p w14:paraId="282C9DC6" w14:textId="77777777" w:rsidR="00D60B11" w:rsidRPr="006F096C" w:rsidRDefault="00D60B11" w:rsidP="00D60B11">
      <w:pPr>
        <w:spacing w:after="0" w:line="240" w:lineRule="auto"/>
        <w:rPr>
          <w:rFonts w:ascii="Verdana" w:hAnsi="Verdana" w:cs="Arial"/>
        </w:rPr>
      </w:pPr>
      <w:r w:rsidRPr="006F096C">
        <w:rPr>
          <w:rFonts w:ascii="Verdana" w:hAnsi="Verdana" w:cs="Arial"/>
        </w:rPr>
        <w:t>Google may transfer this information to third parties where required to do so by law or where such third parties process the information on Google’s behalf.  Google will not associate your IP address with any other data held by Google.</w:t>
      </w:r>
    </w:p>
    <w:p w14:paraId="52AD7465" w14:textId="77777777" w:rsidR="00D60B11" w:rsidRPr="006F096C" w:rsidRDefault="00D60B11" w:rsidP="00D60B11">
      <w:pPr>
        <w:spacing w:after="0" w:line="240" w:lineRule="auto"/>
        <w:rPr>
          <w:rFonts w:ascii="Verdana" w:hAnsi="Verdana" w:cs="Arial"/>
        </w:rPr>
      </w:pPr>
    </w:p>
    <w:p w14:paraId="63571AC2" w14:textId="77777777" w:rsidR="00D60B11" w:rsidRPr="006F096C" w:rsidRDefault="00D60B11" w:rsidP="00D60B11">
      <w:pPr>
        <w:spacing w:after="0" w:line="240" w:lineRule="auto"/>
        <w:rPr>
          <w:rFonts w:ascii="Verdana" w:hAnsi="Verdana" w:cs="Arial"/>
        </w:rPr>
      </w:pPr>
      <w:r w:rsidRPr="006F096C">
        <w:rPr>
          <w:rFonts w:ascii="Verdana" w:hAnsi="Verdana" w:cs="Arial"/>
        </w:rPr>
        <w:t xml:space="preserve">If you would like more information about the cookies used by Google Analytics, please see their </w:t>
      </w:r>
      <w:hyperlink r:id="rId14" w:history="1">
        <w:r w:rsidRPr="006F096C">
          <w:rPr>
            <w:rStyle w:val="Hyperlink"/>
            <w:rFonts w:ascii="Verdana" w:hAnsi="Verdana" w:cs="Arial"/>
          </w:rPr>
          <w:t>individual privacy policy</w:t>
        </w:r>
      </w:hyperlink>
      <w:r w:rsidRPr="006F096C">
        <w:rPr>
          <w:rFonts w:ascii="Verdana" w:hAnsi="Verdana" w:cs="Arial"/>
        </w:rPr>
        <w:t xml:space="preserve">.  You can also </w:t>
      </w:r>
      <w:hyperlink r:id="rId15" w:history="1">
        <w:r w:rsidRPr="006F096C">
          <w:rPr>
            <w:rStyle w:val="Hyperlink"/>
            <w:rFonts w:ascii="Verdana" w:hAnsi="Verdana" w:cs="Arial"/>
          </w:rPr>
          <w:t>opt out</w:t>
        </w:r>
      </w:hyperlink>
      <w:r w:rsidRPr="006F096C">
        <w:rPr>
          <w:rFonts w:ascii="Verdana" w:hAnsi="Verdana" w:cs="Arial"/>
        </w:rPr>
        <w:t xml:space="preserve"> of being tracked by Google Analytics.</w:t>
      </w:r>
    </w:p>
    <w:p w14:paraId="1FAA7D0A" w14:textId="77777777" w:rsidR="00D60B11" w:rsidRPr="006F096C" w:rsidRDefault="00D60B11" w:rsidP="00D60B11">
      <w:pPr>
        <w:spacing w:after="0" w:line="240" w:lineRule="auto"/>
        <w:rPr>
          <w:rFonts w:ascii="Verdana" w:hAnsi="Verdana" w:cs="Arial"/>
        </w:rPr>
      </w:pPr>
    </w:p>
    <w:p w14:paraId="6A8BA612" w14:textId="64AFA825" w:rsidR="00D60B11" w:rsidRPr="006F096C" w:rsidRDefault="00D60B11" w:rsidP="00D60B11">
      <w:pPr>
        <w:spacing w:after="0" w:line="240" w:lineRule="auto"/>
        <w:rPr>
          <w:rFonts w:ascii="Verdana" w:hAnsi="Verdana" w:cs="Arial"/>
        </w:rPr>
      </w:pPr>
      <w:r w:rsidRPr="006F096C">
        <w:rPr>
          <w:rFonts w:ascii="Verdana" w:hAnsi="Verdana" w:cs="Arial"/>
        </w:rPr>
        <w:t xml:space="preserve">The </w:t>
      </w:r>
      <w:r w:rsidR="00092CF3">
        <w:rPr>
          <w:rFonts w:ascii="Verdana" w:hAnsi="Verdana" w:cs="Arial"/>
        </w:rPr>
        <w:t>NIHRC</w:t>
      </w:r>
      <w:r w:rsidRPr="006F096C">
        <w:rPr>
          <w:rFonts w:ascii="Verdana" w:hAnsi="Verdana" w:cs="Arial"/>
        </w:rPr>
        <w:t xml:space="preserve">’s Cookie Policy can be found at </w:t>
      </w:r>
      <w:hyperlink r:id="rId16" w:history="1">
        <w:r w:rsidRPr="006F096C">
          <w:rPr>
            <w:rStyle w:val="Hyperlink"/>
            <w:rFonts w:ascii="Verdana" w:hAnsi="Verdana" w:cs="Arial"/>
          </w:rPr>
          <w:t>https://nihrc.org/cookie-policy</w:t>
        </w:r>
      </w:hyperlink>
    </w:p>
    <w:p w14:paraId="0A6EFEA6" w14:textId="77777777" w:rsidR="00D60B11" w:rsidRDefault="00D60B11" w:rsidP="00D60B11">
      <w:pPr>
        <w:spacing w:after="0" w:line="240" w:lineRule="auto"/>
        <w:rPr>
          <w:rFonts w:ascii="Verdana" w:hAnsi="Verdana" w:cs="Arial"/>
          <w:sz w:val="24"/>
          <w:szCs w:val="24"/>
        </w:rPr>
      </w:pPr>
    </w:p>
    <w:p w14:paraId="5F2BCE51" w14:textId="77777777" w:rsidR="00D60B11" w:rsidRDefault="00D60B11" w:rsidP="00D60B11">
      <w:pPr>
        <w:spacing w:after="0" w:line="240" w:lineRule="auto"/>
        <w:rPr>
          <w:rFonts w:ascii="Verdana" w:hAnsi="Verdana" w:cs="Arial"/>
          <w:b/>
          <w:color w:val="77328A"/>
          <w:sz w:val="30"/>
          <w:szCs w:val="30"/>
        </w:rPr>
      </w:pPr>
      <w:r>
        <w:rPr>
          <w:rFonts w:ascii="Verdana" w:hAnsi="Verdana" w:cs="Arial"/>
          <w:b/>
          <w:color w:val="77328A"/>
          <w:sz w:val="30"/>
          <w:szCs w:val="30"/>
        </w:rPr>
        <w:t>Cookies set by Third Party Sites</w:t>
      </w:r>
    </w:p>
    <w:p w14:paraId="2E96D31E" w14:textId="77777777" w:rsidR="00D60B11" w:rsidRDefault="00D60B11" w:rsidP="00D60B11">
      <w:pPr>
        <w:spacing w:after="0" w:line="240" w:lineRule="auto"/>
        <w:rPr>
          <w:rFonts w:ascii="Verdana" w:hAnsi="Verdana" w:cs="Arial"/>
          <w:b/>
          <w:color w:val="77328A"/>
          <w:sz w:val="30"/>
          <w:szCs w:val="30"/>
        </w:rPr>
      </w:pPr>
    </w:p>
    <w:p w14:paraId="6B2DE9A2" w14:textId="41D27BE4" w:rsidR="00D60B11" w:rsidRPr="006F096C" w:rsidRDefault="00D60B11" w:rsidP="00D60B11">
      <w:pPr>
        <w:spacing w:after="0" w:line="240" w:lineRule="auto"/>
        <w:rPr>
          <w:rFonts w:ascii="Verdana" w:hAnsi="Verdana" w:cs="Arial"/>
        </w:rPr>
      </w:pPr>
      <w:r w:rsidRPr="006F096C">
        <w:rPr>
          <w:rFonts w:ascii="Verdana" w:hAnsi="Verdana" w:cs="Arial"/>
        </w:rPr>
        <w:t xml:space="preserve">When you visit a page with content embedded from, for example, Facebook, YouTube or Twitter, you may be presented with cookies from these websites.  The </w:t>
      </w:r>
      <w:r w:rsidR="00092CF3">
        <w:rPr>
          <w:rFonts w:ascii="Verdana" w:hAnsi="Verdana" w:cs="Arial"/>
        </w:rPr>
        <w:t>NIHRC</w:t>
      </w:r>
      <w:r w:rsidRPr="006F096C">
        <w:rPr>
          <w:rFonts w:ascii="Verdana" w:hAnsi="Verdana" w:cs="Arial"/>
        </w:rPr>
        <w:t xml:space="preserve"> does not control the dissemination of these cookies.  You should check the relevant </w:t>
      </w:r>
      <w:proofErr w:type="gramStart"/>
      <w:r w:rsidRPr="006F096C">
        <w:rPr>
          <w:rFonts w:ascii="Verdana" w:hAnsi="Verdana" w:cs="Arial"/>
        </w:rPr>
        <w:t>third party</w:t>
      </w:r>
      <w:proofErr w:type="gramEnd"/>
      <w:r w:rsidRPr="006F096C">
        <w:rPr>
          <w:rFonts w:ascii="Verdana" w:hAnsi="Verdana" w:cs="Arial"/>
        </w:rPr>
        <w:t xml:space="preserve"> website for more information about these and we would urge you to review these, as they will govern the use of information you </w:t>
      </w:r>
      <w:proofErr w:type="gramStart"/>
      <w:r w:rsidRPr="006F096C">
        <w:rPr>
          <w:rFonts w:ascii="Verdana" w:hAnsi="Verdana" w:cs="Arial"/>
        </w:rPr>
        <w:t>submit</w:t>
      </w:r>
      <w:proofErr w:type="gramEnd"/>
      <w:r w:rsidRPr="006F096C">
        <w:rPr>
          <w:rFonts w:ascii="Verdana" w:hAnsi="Verdana" w:cs="Arial"/>
        </w:rPr>
        <w:t xml:space="preserve"> or which is collected by cookies whilst visiting these websites.</w:t>
      </w:r>
    </w:p>
    <w:p w14:paraId="5B68CD7B" w14:textId="77777777" w:rsidR="00D60B11" w:rsidRPr="006F096C" w:rsidRDefault="00D60B11" w:rsidP="00D60B11">
      <w:pPr>
        <w:spacing w:after="0" w:line="240" w:lineRule="auto"/>
        <w:rPr>
          <w:rFonts w:ascii="Verdana" w:hAnsi="Verdana" w:cs="Arial"/>
        </w:rPr>
      </w:pPr>
    </w:p>
    <w:p w14:paraId="5E9FDB99" w14:textId="77777777" w:rsidR="00D60B11" w:rsidRPr="006F096C" w:rsidRDefault="00D60B11" w:rsidP="00D60B11">
      <w:pPr>
        <w:pStyle w:val="ListParagraph"/>
        <w:numPr>
          <w:ilvl w:val="0"/>
          <w:numId w:val="41"/>
        </w:numPr>
        <w:spacing w:after="0" w:line="240" w:lineRule="auto"/>
        <w:rPr>
          <w:rFonts w:ascii="Verdana" w:hAnsi="Verdana" w:cs="Arial"/>
        </w:rPr>
      </w:pPr>
      <w:hyperlink r:id="rId17" w:history="1">
        <w:r w:rsidRPr="006F096C">
          <w:rPr>
            <w:rStyle w:val="Hyperlink"/>
            <w:rFonts w:ascii="Verdana" w:hAnsi="Verdana" w:cs="Arial"/>
          </w:rPr>
          <w:t>Facebook</w:t>
        </w:r>
      </w:hyperlink>
    </w:p>
    <w:p w14:paraId="35B85659" w14:textId="77777777" w:rsidR="00D60B11" w:rsidRPr="006F096C" w:rsidRDefault="00D60B11" w:rsidP="00D60B11">
      <w:pPr>
        <w:pStyle w:val="ListParagraph"/>
        <w:numPr>
          <w:ilvl w:val="0"/>
          <w:numId w:val="41"/>
        </w:numPr>
        <w:spacing w:after="0" w:line="240" w:lineRule="auto"/>
        <w:rPr>
          <w:rFonts w:ascii="Verdana" w:hAnsi="Verdana" w:cs="Arial"/>
        </w:rPr>
      </w:pPr>
      <w:hyperlink r:id="rId18" w:history="1">
        <w:r w:rsidRPr="006F096C">
          <w:rPr>
            <w:rStyle w:val="Hyperlink"/>
            <w:rFonts w:ascii="Verdana" w:hAnsi="Verdana" w:cs="Arial"/>
          </w:rPr>
          <w:t>Twitter</w:t>
        </w:r>
      </w:hyperlink>
    </w:p>
    <w:p w14:paraId="7BD55F08" w14:textId="77777777" w:rsidR="00D60B11" w:rsidRPr="006F096C" w:rsidRDefault="00D60B11" w:rsidP="00D60B11">
      <w:pPr>
        <w:pStyle w:val="ListParagraph"/>
        <w:numPr>
          <w:ilvl w:val="0"/>
          <w:numId w:val="41"/>
        </w:numPr>
        <w:spacing w:after="0" w:line="240" w:lineRule="auto"/>
        <w:rPr>
          <w:rFonts w:ascii="Verdana" w:hAnsi="Verdana" w:cs="Arial"/>
        </w:rPr>
      </w:pPr>
      <w:hyperlink r:id="rId19" w:history="1">
        <w:r w:rsidRPr="006F096C">
          <w:rPr>
            <w:rStyle w:val="Hyperlink"/>
            <w:rFonts w:ascii="Verdana" w:hAnsi="Verdana" w:cs="Arial"/>
          </w:rPr>
          <w:t>You Tube</w:t>
        </w:r>
      </w:hyperlink>
    </w:p>
    <w:p w14:paraId="43ABB9C8" w14:textId="77777777" w:rsidR="00D60B11" w:rsidRPr="006F096C" w:rsidRDefault="00D60B11" w:rsidP="00D60B11">
      <w:pPr>
        <w:spacing w:after="0" w:line="240" w:lineRule="auto"/>
        <w:rPr>
          <w:rFonts w:ascii="Verdana" w:hAnsi="Verdana" w:cs="Arial"/>
        </w:rPr>
      </w:pPr>
    </w:p>
    <w:p w14:paraId="2E02FB82" w14:textId="77777777" w:rsidR="00D60B11" w:rsidRPr="006F096C" w:rsidRDefault="00D60B11" w:rsidP="00D60B11">
      <w:pPr>
        <w:spacing w:after="0" w:line="240" w:lineRule="auto"/>
        <w:rPr>
          <w:rFonts w:ascii="Verdana" w:hAnsi="Verdana" w:cs="Arial"/>
        </w:rPr>
      </w:pPr>
      <w:r w:rsidRPr="006F096C">
        <w:rPr>
          <w:rFonts w:ascii="Verdana" w:hAnsi="Verdana" w:cs="Arial"/>
        </w:rPr>
        <w:t xml:space="preserve">To find out more about cookies, including how to see what cookies have been set and how to manage and delete them, visit </w:t>
      </w:r>
      <w:hyperlink r:id="rId20" w:history="1">
        <w:r w:rsidRPr="006F096C">
          <w:rPr>
            <w:rStyle w:val="Hyperlink"/>
            <w:rFonts w:ascii="Verdana" w:hAnsi="Verdana" w:cs="Arial"/>
          </w:rPr>
          <w:t>www.allaboutcookies.org</w:t>
        </w:r>
      </w:hyperlink>
      <w:r w:rsidRPr="006F096C">
        <w:rPr>
          <w:rStyle w:val="Hyperlink"/>
          <w:rFonts w:ascii="Verdana" w:hAnsi="Verdana" w:cs="Arial"/>
        </w:rPr>
        <w:br/>
      </w:r>
    </w:p>
    <w:p w14:paraId="43777980" w14:textId="77777777" w:rsidR="00D60B11" w:rsidRDefault="00D60B11" w:rsidP="00D60B11">
      <w:pPr>
        <w:spacing w:after="0" w:line="240" w:lineRule="auto"/>
        <w:rPr>
          <w:rFonts w:ascii="Verdana" w:hAnsi="Verdana"/>
          <w:b/>
          <w:sz w:val="24"/>
          <w:szCs w:val="24"/>
        </w:rPr>
      </w:pPr>
      <w:r>
        <w:rPr>
          <w:rFonts w:ascii="Verdana" w:hAnsi="Verdana" w:cs="Arial"/>
          <w:b/>
          <w:color w:val="77328A"/>
          <w:sz w:val="30"/>
          <w:szCs w:val="30"/>
        </w:rPr>
        <w:t>How do I complain if I am not happy?</w:t>
      </w:r>
    </w:p>
    <w:p w14:paraId="597D0415" w14:textId="77777777" w:rsidR="00D60B11" w:rsidRDefault="00D60B11" w:rsidP="00D60B11">
      <w:pPr>
        <w:spacing w:after="0" w:line="240" w:lineRule="auto"/>
        <w:rPr>
          <w:rFonts w:ascii="Verdana" w:hAnsi="Verdana"/>
          <w:sz w:val="24"/>
          <w:szCs w:val="24"/>
        </w:rPr>
      </w:pPr>
      <w:r>
        <w:rPr>
          <w:rFonts w:ascii="Verdana" w:hAnsi="Verdana"/>
          <w:sz w:val="24"/>
          <w:szCs w:val="24"/>
        </w:rPr>
        <w:t xml:space="preserve"> </w:t>
      </w:r>
    </w:p>
    <w:p w14:paraId="2C1278A4" w14:textId="42E7BB9C" w:rsidR="00D60B11" w:rsidRPr="006F096C" w:rsidRDefault="00D60B11" w:rsidP="00D60B11">
      <w:pPr>
        <w:spacing w:after="0" w:line="240" w:lineRule="auto"/>
        <w:rPr>
          <w:rFonts w:ascii="Verdana" w:hAnsi="Verdana"/>
          <w:i/>
          <w:iCs/>
        </w:rPr>
      </w:pPr>
      <w:r w:rsidRPr="006F096C">
        <w:rPr>
          <w:rFonts w:ascii="Verdana" w:hAnsi="Verdana"/>
        </w:rPr>
        <w:t xml:space="preserve">If you are unhappy with how any aspect of this privacy notice, or how your personal information is being processed, please contact the </w:t>
      </w:r>
      <w:r w:rsidR="00092CF3">
        <w:rPr>
          <w:rFonts w:ascii="Verdana" w:hAnsi="Verdana"/>
          <w:i/>
          <w:iCs/>
        </w:rPr>
        <w:t>NIHRC</w:t>
      </w:r>
      <w:r w:rsidRPr="006F096C">
        <w:rPr>
          <w:rFonts w:ascii="Verdana" w:hAnsi="Verdana"/>
          <w:i/>
          <w:iCs/>
        </w:rPr>
        <w:t>’s Data Protection Officer at:</w:t>
      </w:r>
    </w:p>
    <w:p w14:paraId="5BAAEB57" w14:textId="77777777" w:rsidR="00D60B11" w:rsidRPr="006F096C" w:rsidRDefault="00D60B11" w:rsidP="00D60B11">
      <w:pPr>
        <w:spacing w:after="0" w:line="240" w:lineRule="auto"/>
        <w:rPr>
          <w:rFonts w:ascii="Verdana" w:hAnsi="Verdana"/>
          <w:i/>
          <w:iCs/>
        </w:rPr>
      </w:pPr>
    </w:p>
    <w:p w14:paraId="4713588C" w14:textId="77777777" w:rsidR="00D60B11" w:rsidRPr="006F096C" w:rsidRDefault="00D60B11" w:rsidP="00D60B11">
      <w:pPr>
        <w:spacing w:after="0" w:line="240" w:lineRule="auto"/>
        <w:rPr>
          <w:rFonts w:ascii="Verdana" w:hAnsi="Verdana"/>
          <w:iCs/>
        </w:rPr>
      </w:pPr>
      <w:r w:rsidRPr="006F096C">
        <w:rPr>
          <w:rFonts w:ascii="Verdana" w:hAnsi="Verdana"/>
          <w:iCs/>
        </w:rPr>
        <w:t>Northern Ireland Human Rights Commission</w:t>
      </w:r>
    </w:p>
    <w:p w14:paraId="4C38DAEF" w14:textId="77777777" w:rsidR="00D60B11" w:rsidRPr="006F096C" w:rsidRDefault="00D60B11" w:rsidP="00D60B11">
      <w:pPr>
        <w:spacing w:after="0" w:line="240" w:lineRule="auto"/>
        <w:rPr>
          <w:rFonts w:ascii="Verdana" w:hAnsi="Verdana"/>
          <w:iCs/>
        </w:rPr>
      </w:pPr>
      <w:r w:rsidRPr="006F096C">
        <w:rPr>
          <w:rFonts w:ascii="Verdana" w:hAnsi="Verdana"/>
          <w:iCs/>
        </w:rPr>
        <w:t>4</w:t>
      </w:r>
      <w:r w:rsidRPr="006F096C">
        <w:rPr>
          <w:rFonts w:ascii="Verdana" w:hAnsi="Verdana"/>
          <w:iCs/>
          <w:vertAlign w:val="superscript"/>
        </w:rPr>
        <w:t>th</w:t>
      </w:r>
      <w:r w:rsidRPr="006F096C">
        <w:rPr>
          <w:rFonts w:ascii="Verdana" w:hAnsi="Verdana"/>
          <w:iCs/>
        </w:rPr>
        <w:t xml:space="preserve"> Floor, Alfred House</w:t>
      </w:r>
    </w:p>
    <w:p w14:paraId="3C33E821" w14:textId="77777777" w:rsidR="00D60B11" w:rsidRPr="006F096C" w:rsidRDefault="00D60B11" w:rsidP="00D60B11">
      <w:pPr>
        <w:spacing w:after="0" w:line="240" w:lineRule="auto"/>
        <w:rPr>
          <w:rFonts w:ascii="Verdana" w:hAnsi="Verdana"/>
          <w:iCs/>
        </w:rPr>
      </w:pPr>
      <w:r w:rsidRPr="006F096C">
        <w:rPr>
          <w:rFonts w:ascii="Verdana" w:hAnsi="Verdana"/>
          <w:iCs/>
        </w:rPr>
        <w:t>19-21 Alfred Street</w:t>
      </w:r>
    </w:p>
    <w:p w14:paraId="2E5D03A5" w14:textId="77777777" w:rsidR="00D60B11" w:rsidRPr="006F096C" w:rsidRDefault="00D60B11" w:rsidP="00D60B11">
      <w:pPr>
        <w:spacing w:after="0" w:line="240" w:lineRule="auto"/>
        <w:rPr>
          <w:rFonts w:ascii="Verdana" w:hAnsi="Verdana"/>
          <w:iCs/>
        </w:rPr>
      </w:pPr>
      <w:r w:rsidRPr="006F096C">
        <w:rPr>
          <w:rFonts w:ascii="Verdana" w:hAnsi="Verdana"/>
          <w:iCs/>
        </w:rPr>
        <w:t>Belfast</w:t>
      </w:r>
    </w:p>
    <w:p w14:paraId="4161999F" w14:textId="77777777" w:rsidR="00D60B11" w:rsidRPr="006F096C" w:rsidRDefault="00D60B11" w:rsidP="00D60B11">
      <w:pPr>
        <w:spacing w:after="0" w:line="240" w:lineRule="auto"/>
        <w:rPr>
          <w:rFonts w:ascii="Verdana" w:hAnsi="Verdana"/>
          <w:iCs/>
        </w:rPr>
      </w:pPr>
      <w:r w:rsidRPr="006F096C">
        <w:rPr>
          <w:rFonts w:ascii="Verdana" w:hAnsi="Verdana"/>
          <w:iCs/>
        </w:rPr>
        <w:t>BT2 8ED</w:t>
      </w:r>
    </w:p>
    <w:p w14:paraId="584F49F1" w14:textId="77777777" w:rsidR="00D60B11" w:rsidRPr="006F096C" w:rsidRDefault="00D60B11" w:rsidP="00D60B11">
      <w:pPr>
        <w:spacing w:after="0" w:line="240" w:lineRule="auto"/>
        <w:rPr>
          <w:rFonts w:ascii="Verdana" w:hAnsi="Verdana"/>
          <w:iCs/>
        </w:rPr>
      </w:pPr>
    </w:p>
    <w:p w14:paraId="74D492F1" w14:textId="77777777" w:rsidR="00D60B11" w:rsidRPr="006F096C" w:rsidRDefault="00D60B11" w:rsidP="00D60B11">
      <w:pPr>
        <w:spacing w:after="0" w:line="240" w:lineRule="auto"/>
        <w:rPr>
          <w:rFonts w:ascii="Verdana" w:hAnsi="Verdana"/>
          <w:iCs/>
        </w:rPr>
      </w:pPr>
      <w:r w:rsidRPr="006F096C">
        <w:rPr>
          <w:rFonts w:ascii="Verdana" w:hAnsi="Verdana"/>
          <w:iCs/>
        </w:rPr>
        <w:t>Tel: +44 (0) 28 9024 3987</w:t>
      </w:r>
    </w:p>
    <w:p w14:paraId="1A161313" w14:textId="77777777" w:rsidR="00D60B11" w:rsidRPr="006F096C" w:rsidRDefault="00D60B11" w:rsidP="00D60B11">
      <w:pPr>
        <w:spacing w:after="0" w:line="240" w:lineRule="auto"/>
        <w:rPr>
          <w:rFonts w:ascii="Verdana" w:hAnsi="Verdana"/>
          <w:iCs/>
        </w:rPr>
      </w:pPr>
    </w:p>
    <w:p w14:paraId="5BE68C8D" w14:textId="77777777" w:rsidR="00D60B11" w:rsidRPr="006F096C" w:rsidRDefault="00D60B11" w:rsidP="00D60B11">
      <w:pPr>
        <w:spacing w:after="0" w:line="240" w:lineRule="auto"/>
        <w:rPr>
          <w:rFonts w:ascii="Verdana" w:hAnsi="Verdana"/>
          <w:iCs/>
        </w:rPr>
      </w:pPr>
      <w:r w:rsidRPr="006F096C">
        <w:rPr>
          <w:rFonts w:ascii="Verdana" w:hAnsi="Verdana"/>
          <w:iCs/>
        </w:rPr>
        <w:t xml:space="preserve">Email: </w:t>
      </w:r>
      <w:hyperlink r:id="rId21" w:history="1">
        <w:r w:rsidRPr="006F096C">
          <w:rPr>
            <w:rStyle w:val="Hyperlink"/>
            <w:rFonts w:ascii="Verdana" w:hAnsi="Verdana"/>
            <w:iCs/>
          </w:rPr>
          <w:t>info@nihrc.org</w:t>
        </w:r>
      </w:hyperlink>
    </w:p>
    <w:p w14:paraId="36AAF675" w14:textId="77777777" w:rsidR="00D60B11" w:rsidRPr="006F096C" w:rsidRDefault="00D60B11" w:rsidP="00D60B11">
      <w:pPr>
        <w:spacing w:after="0" w:line="240" w:lineRule="auto"/>
        <w:rPr>
          <w:rFonts w:ascii="Verdana" w:hAnsi="Verdana"/>
          <w:iCs/>
        </w:rPr>
      </w:pPr>
    </w:p>
    <w:p w14:paraId="57BDBC4C" w14:textId="77777777" w:rsidR="00D60B11" w:rsidRPr="006F096C" w:rsidRDefault="00D60B11" w:rsidP="00D60B11">
      <w:pPr>
        <w:spacing w:after="0" w:line="240" w:lineRule="auto"/>
        <w:rPr>
          <w:rFonts w:ascii="Verdana" w:hAnsi="Verdana"/>
        </w:rPr>
      </w:pPr>
      <w:hyperlink r:id="rId22" w:history="1">
        <w:r w:rsidRPr="006F096C">
          <w:rPr>
            <w:rStyle w:val="Hyperlink"/>
            <w:rFonts w:ascii="Verdana" w:hAnsi="Verdana"/>
          </w:rPr>
          <w:t>http://www.nihrc.org/</w:t>
        </w:r>
      </w:hyperlink>
    </w:p>
    <w:p w14:paraId="24ED88A0" w14:textId="77777777" w:rsidR="00D60B11" w:rsidRPr="006F096C" w:rsidRDefault="00D60B11" w:rsidP="00D60B11">
      <w:pPr>
        <w:spacing w:after="0" w:line="240" w:lineRule="auto"/>
        <w:rPr>
          <w:rFonts w:ascii="Verdana" w:hAnsi="Verdana"/>
        </w:rPr>
      </w:pPr>
    </w:p>
    <w:p w14:paraId="479F33DF" w14:textId="77777777" w:rsidR="00D60B11" w:rsidRPr="006F096C" w:rsidRDefault="00D60B11" w:rsidP="00D60B11">
      <w:pPr>
        <w:spacing w:after="0" w:line="240" w:lineRule="auto"/>
        <w:rPr>
          <w:rFonts w:ascii="Verdana" w:hAnsi="Verdana"/>
        </w:rPr>
      </w:pPr>
      <w:r w:rsidRPr="006F096C">
        <w:rPr>
          <w:rFonts w:ascii="Verdana" w:hAnsi="Verdana"/>
        </w:rPr>
        <w:t>If you are still not happy, you have the right to lodge a complaint with the Information Commissioner’s Office:</w:t>
      </w:r>
    </w:p>
    <w:p w14:paraId="4195D25F" w14:textId="77777777" w:rsidR="00D60B11" w:rsidRPr="006F096C" w:rsidRDefault="00D60B11" w:rsidP="00D60B11">
      <w:pPr>
        <w:spacing w:after="0" w:line="240" w:lineRule="auto"/>
        <w:rPr>
          <w:rFonts w:ascii="Verdana" w:hAnsi="Verdana"/>
        </w:rPr>
      </w:pPr>
    </w:p>
    <w:p w14:paraId="2BB4509E" w14:textId="77777777" w:rsidR="00D60B11" w:rsidRPr="006F096C" w:rsidRDefault="00D60B11" w:rsidP="00D60B11">
      <w:pPr>
        <w:spacing w:after="0" w:line="240" w:lineRule="auto"/>
        <w:rPr>
          <w:rFonts w:ascii="Verdana" w:hAnsi="Verdana"/>
        </w:rPr>
      </w:pPr>
      <w:r w:rsidRPr="006F096C">
        <w:rPr>
          <w:rFonts w:ascii="Verdana" w:hAnsi="Verdana"/>
        </w:rPr>
        <w:t>Information Commissioner’s Office</w:t>
      </w:r>
    </w:p>
    <w:p w14:paraId="3F858987" w14:textId="77777777" w:rsidR="00D60B11" w:rsidRPr="006F096C" w:rsidRDefault="00D60B11" w:rsidP="00D60B11">
      <w:pPr>
        <w:spacing w:after="0" w:line="240" w:lineRule="auto"/>
        <w:rPr>
          <w:rFonts w:ascii="Verdana" w:hAnsi="Verdana"/>
        </w:rPr>
      </w:pPr>
      <w:r w:rsidRPr="006F096C">
        <w:rPr>
          <w:rFonts w:ascii="Verdana" w:hAnsi="Verdana"/>
        </w:rPr>
        <w:t>Wycliffe House</w:t>
      </w:r>
    </w:p>
    <w:p w14:paraId="00F9C881" w14:textId="77777777" w:rsidR="00D60B11" w:rsidRPr="006F096C" w:rsidRDefault="00D60B11" w:rsidP="00D60B11">
      <w:pPr>
        <w:spacing w:after="0" w:line="240" w:lineRule="auto"/>
        <w:rPr>
          <w:rFonts w:ascii="Verdana" w:hAnsi="Verdana"/>
        </w:rPr>
      </w:pPr>
      <w:r w:rsidRPr="006F096C">
        <w:rPr>
          <w:rFonts w:ascii="Verdana" w:hAnsi="Verdana"/>
        </w:rPr>
        <w:t>Water Lane</w:t>
      </w:r>
    </w:p>
    <w:p w14:paraId="098DA2C8" w14:textId="77777777" w:rsidR="00D60B11" w:rsidRPr="006F096C" w:rsidRDefault="00D60B11" w:rsidP="00D60B11">
      <w:pPr>
        <w:spacing w:after="0" w:line="240" w:lineRule="auto"/>
        <w:rPr>
          <w:rFonts w:ascii="Verdana" w:hAnsi="Verdana"/>
        </w:rPr>
      </w:pPr>
      <w:r w:rsidRPr="006F096C">
        <w:rPr>
          <w:rFonts w:ascii="Verdana" w:hAnsi="Verdana"/>
        </w:rPr>
        <w:t>Wilmslow</w:t>
      </w:r>
    </w:p>
    <w:p w14:paraId="19AA82B0" w14:textId="77777777" w:rsidR="00D60B11" w:rsidRPr="006F096C" w:rsidRDefault="00D60B11" w:rsidP="00D60B11">
      <w:pPr>
        <w:spacing w:after="0" w:line="240" w:lineRule="auto"/>
        <w:rPr>
          <w:rFonts w:ascii="Verdana" w:hAnsi="Verdana"/>
        </w:rPr>
      </w:pPr>
      <w:r w:rsidRPr="006F096C">
        <w:rPr>
          <w:rFonts w:ascii="Verdana" w:hAnsi="Verdana"/>
        </w:rPr>
        <w:t>Cheshire</w:t>
      </w:r>
    </w:p>
    <w:p w14:paraId="3D646979" w14:textId="77777777" w:rsidR="00D60B11" w:rsidRPr="006F096C" w:rsidRDefault="00D60B11" w:rsidP="00D60B11">
      <w:pPr>
        <w:spacing w:after="0" w:line="240" w:lineRule="auto"/>
        <w:rPr>
          <w:rFonts w:ascii="Verdana" w:hAnsi="Verdana"/>
        </w:rPr>
      </w:pPr>
      <w:r w:rsidRPr="006F096C">
        <w:rPr>
          <w:rFonts w:ascii="Verdana" w:hAnsi="Verdana"/>
        </w:rPr>
        <w:t>SK9 5AF</w:t>
      </w:r>
    </w:p>
    <w:p w14:paraId="502F2CBF" w14:textId="77777777" w:rsidR="00D60B11" w:rsidRPr="006F096C" w:rsidRDefault="00D60B11" w:rsidP="00D60B11">
      <w:pPr>
        <w:spacing w:after="0" w:line="240" w:lineRule="auto"/>
        <w:rPr>
          <w:rFonts w:ascii="Verdana" w:hAnsi="Verdana"/>
        </w:rPr>
      </w:pPr>
    </w:p>
    <w:p w14:paraId="3CD47F31" w14:textId="77777777" w:rsidR="00D60B11" w:rsidRPr="006F096C" w:rsidRDefault="00D60B11" w:rsidP="00D60B11">
      <w:pPr>
        <w:spacing w:after="0" w:line="240" w:lineRule="auto"/>
        <w:rPr>
          <w:rFonts w:ascii="Verdana" w:hAnsi="Verdana"/>
        </w:rPr>
      </w:pPr>
      <w:r w:rsidRPr="006F096C">
        <w:rPr>
          <w:rFonts w:ascii="Verdana" w:hAnsi="Verdana"/>
        </w:rPr>
        <w:t>Tel: 0303 123 1113</w:t>
      </w:r>
    </w:p>
    <w:p w14:paraId="3F20528B" w14:textId="77777777" w:rsidR="00D60B11" w:rsidRPr="006F096C" w:rsidRDefault="00D60B11" w:rsidP="00D60B11">
      <w:pPr>
        <w:spacing w:after="0" w:line="240" w:lineRule="auto"/>
        <w:rPr>
          <w:rFonts w:ascii="Verdana" w:hAnsi="Verdana"/>
        </w:rPr>
      </w:pPr>
    </w:p>
    <w:p w14:paraId="560B6CDF" w14:textId="77777777" w:rsidR="00D60B11" w:rsidRPr="006F096C" w:rsidRDefault="00D60B11" w:rsidP="00D60B11">
      <w:pPr>
        <w:spacing w:after="0" w:line="240" w:lineRule="auto"/>
        <w:rPr>
          <w:rFonts w:ascii="Verdana" w:hAnsi="Verdana"/>
        </w:rPr>
      </w:pPr>
      <w:r w:rsidRPr="006F096C">
        <w:rPr>
          <w:rFonts w:ascii="Verdana" w:hAnsi="Verdana"/>
        </w:rPr>
        <w:t xml:space="preserve">Email: </w:t>
      </w:r>
      <w:hyperlink r:id="rId23" w:history="1">
        <w:r w:rsidRPr="006F096C">
          <w:rPr>
            <w:rStyle w:val="Hyperlink"/>
            <w:rFonts w:ascii="Verdana" w:hAnsi="Verdana"/>
          </w:rPr>
          <w:t>casework@ico.org.uk</w:t>
        </w:r>
      </w:hyperlink>
    </w:p>
    <w:p w14:paraId="0F5C80B4" w14:textId="77777777" w:rsidR="00D60B11" w:rsidRPr="006F096C" w:rsidRDefault="00D60B11" w:rsidP="00D60B11">
      <w:pPr>
        <w:spacing w:after="0" w:line="240" w:lineRule="auto"/>
        <w:rPr>
          <w:rFonts w:ascii="Verdana" w:hAnsi="Verdana"/>
        </w:rPr>
      </w:pPr>
      <w:hyperlink r:id="rId24" w:history="1">
        <w:r w:rsidRPr="006F096C">
          <w:rPr>
            <w:rStyle w:val="Hyperlink"/>
            <w:rFonts w:ascii="Verdana" w:hAnsi="Verdana"/>
          </w:rPr>
          <w:t>https://ico.org.uk/global/contact-us/</w:t>
        </w:r>
      </w:hyperlink>
    </w:p>
    <w:p w14:paraId="6AC23D20" w14:textId="77777777" w:rsidR="00D60B11" w:rsidRDefault="00D60B11" w:rsidP="00D60B11">
      <w:pPr>
        <w:spacing w:after="0" w:line="240" w:lineRule="auto"/>
        <w:rPr>
          <w:rFonts w:ascii="Verdana" w:hAnsi="Verdana"/>
          <w:sz w:val="24"/>
          <w:szCs w:val="24"/>
        </w:rPr>
      </w:pPr>
    </w:p>
    <w:p w14:paraId="38AFD642" w14:textId="77777777" w:rsidR="00D60B11" w:rsidRDefault="00D60B11" w:rsidP="00D60B11">
      <w:pPr>
        <w:spacing w:after="0" w:line="240" w:lineRule="auto"/>
        <w:rPr>
          <w:rFonts w:ascii="Verdana" w:hAnsi="Verdana"/>
          <w:sz w:val="24"/>
          <w:szCs w:val="24"/>
        </w:rPr>
      </w:pPr>
    </w:p>
    <w:p w14:paraId="4CBB6F74" w14:textId="77777777" w:rsidR="00D60B11" w:rsidRPr="00331C61" w:rsidRDefault="00D60B11" w:rsidP="00D60B11">
      <w:pPr>
        <w:spacing w:line="288" w:lineRule="auto"/>
        <w:jc w:val="center"/>
        <w:rPr>
          <w:rFonts w:ascii="Verdana" w:hAnsi="Verdana" w:cs="Arial"/>
          <w:color w:val="232120"/>
          <w:sz w:val="28"/>
          <w:szCs w:val="28"/>
        </w:rPr>
      </w:pPr>
      <w:hyperlink r:id="rId25" w:history="1">
        <w:r w:rsidRPr="00331C61">
          <w:rPr>
            <w:rStyle w:val="Hyperlink"/>
            <w:rFonts w:ascii="Verdana" w:hAnsi="Verdana" w:cs="Arial"/>
            <w:color w:val="232120"/>
            <w:sz w:val="28"/>
            <w:szCs w:val="28"/>
            <w:lang w:val="en-US"/>
          </w:rPr>
          <w:t>www.nihrc.org</w:t>
        </w:r>
      </w:hyperlink>
      <w:r w:rsidRPr="00331C61">
        <w:rPr>
          <w:rFonts w:ascii="Verdana" w:hAnsi="Verdana" w:cs="Arial"/>
          <w:color w:val="232120"/>
          <w:sz w:val="28"/>
          <w:szCs w:val="28"/>
          <w:lang w:val="en-US"/>
        </w:rPr>
        <w:t xml:space="preserve">  |  </w:t>
      </w:r>
      <w:hyperlink r:id="rId26" w:history="1">
        <w:r w:rsidRPr="00331C61">
          <w:rPr>
            <w:rStyle w:val="Hyperlink"/>
            <w:rFonts w:ascii="Verdana" w:hAnsi="Verdana" w:cs="Arial"/>
            <w:color w:val="232120"/>
            <w:sz w:val="28"/>
            <w:szCs w:val="28"/>
            <w:lang w:val="en-US"/>
          </w:rPr>
          <w:t>info@nihrc.org</w:t>
        </w:r>
      </w:hyperlink>
      <w:r w:rsidRPr="00331C61">
        <w:rPr>
          <w:rFonts w:ascii="Verdana" w:hAnsi="Verdana" w:cs="Arial"/>
          <w:color w:val="232120"/>
          <w:sz w:val="28"/>
          <w:szCs w:val="28"/>
          <w:lang w:val="en-US"/>
        </w:rPr>
        <w:t xml:space="preserve">  |  +44 (0)28 9024 3987</w:t>
      </w:r>
    </w:p>
    <w:p w14:paraId="4DAF87F0" w14:textId="77777777" w:rsidR="00D60B11" w:rsidRPr="00331C61" w:rsidRDefault="00D60B11" w:rsidP="00D60B1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C91EFE">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692AAB71" w14:textId="77777777" w:rsidR="00D60B11" w:rsidRPr="00D606D6" w:rsidRDefault="00D60B11" w:rsidP="00D60B11">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24FFF1EF" wp14:editId="09F1162D">
            <wp:extent cx="1515406" cy="274540"/>
            <wp:effectExtent l="0" t="0" r="8890" b="5080"/>
            <wp:docPr id="614592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B8273F7" w14:textId="77777777" w:rsidR="003022C7" w:rsidRDefault="003022C7" w:rsidP="0000034F">
      <w:pPr>
        <w:pStyle w:val="ListParagraph"/>
        <w:ind w:left="0"/>
        <w:rPr>
          <w:rFonts w:ascii="Verdana" w:hAnsi="Verdana"/>
          <w:b/>
          <w:color w:val="7030A0"/>
        </w:rPr>
      </w:pPr>
    </w:p>
    <w:p w14:paraId="24CAE008" w14:textId="77777777" w:rsidR="003022C7" w:rsidRDefault="003022C7" w:rsidP="0000034F">
      <w:pPr>
        <w:pStyle w:val="ListParagraph"/>
        <w:ind w:left="0"/>
        <w:rPr>
          <w:rFonts w:ascii="Verdana" w:hAnsi="Verdana"/>
          <w:b/>
          <w:color w:val="7030A0"/>
        </w:rPr>
      </w:pPr>
    </w:p>
    <w:p w14:paraId="4E9ED99A" w14:textId="77777777" w:rsidR="003022C7" w:rsidRDefault="003022C7" w:rsidP="0000034F">
      <w:pPr>
        <w:pStyle w:val="ListParagraph"/>
        <w:ind w:left="0"/>
        <w:rPr>
          <w:rFonts w:ascii="Verdana" w:hAnsi="Verdana"/>
          <w:b/>
          <w:color w:val="7030A0"/>
        </w:rPr>
      </w:pPr>
    </w:p>
    <w:p w14:paraId="36AC2FAA" w14:textId="77777777" w:rsidR="003022C7" w:rsidRDefault="003022C7" w:rsidP="0000034F">
      <w:pPr>
        <w:pStyle w:val="ListParagraph"/>
        <w:ind w:left="0"/>
        <w:rPr>
          <w:rFonts w:ascii="Verdana" w:hAnsi="Verdana"/>
          <w:b/>
          <w:color w:val="7030A0"/>
        </w:rPr>
      </w:pPr>
    </w:p>
    <w:p w14:paraId="429C8BE7" w14:textId="77777777" w:rsidR="003022C7" w:rsidRDefault="003022C7" w:rsidP="0000034F">
      <w:pPr>
        <w:pStyle w:val="ListParagraph"/>
        <w:ind w:left="0"/>
        <w:rPr>
          <w:rFonts w:ascii="Verdana" w:hAnsi="Verdana"/>
          <w:b/>
          <w:color w:val="7030A0"/>
        </w:rPr>
      </w:pPr>
    </w:p>
    <w:p w14:paraId="1E2C8489" w14:textId="77777777" w:rsidR="003022C7" w:rsidRDefault="003022C7" w:rsidP="0000034F">
      <w:pPr>
        <w:pStyle w:val="ListParagraph"/>
        <w:ind w:left="0"/>
        <w:rPr>
          <w:rFonts w:ascii="Verdana" w:hAnsi="Verdana"/>
          <w:b/>
          <w:color w:val="7030A0"/>
        </w:rPr>
      </w:pPr>
    </w:p>
    <w:p w14:paraId="42E84B49" w14:textId="0AB007EB" w:rsidR="005F0F9B" w:rsidRDefault="005F0F9B" w:rsidP="0000034F">
      <w:pPr>
        <w:pStyle w:val="ListParagraph"/>
        <w:ind w:left="0"/>
        <w:rPr>
          <w:rFonts w:ascii="Verdana" w:hAnsi="Verdana"/>
          <w:b/>
          <w:color w:val="7030A0"/>
        </w:rPr>
      </w:pPr>
      <w:r>
        <w:rPr>
          <w:rFonts w:ascii="Verdana" w:hAnsi="Verdana"/>
          <w:b/>
          <w:color w:val="7030A0"/>
        </w:rPr>
        <w:lastRenderedPageBreak/>
        <w:t>Appendix 3</w:t>
      </w:r>
      <w:r w:rsidR="003E0FE8">
        <w:rPr>
          <w:rFonts w:ascii="Verdana" w:hAnsi="Verdana"/>
          <w:b/>
          <w:color w:val="7030A0"/>
        </w:rPr>
        <w:t>.</w:t>
      </w:r>
      <w:r>
        <w:rPr>
          <w:rFonts w:ascii="Verdana" w:hAnsi="Verdana"/>
          <w:b/>
          <w:color w:val="7030A0"/>
        </w:rPr>
        <w:t xml:space="preserve"> The Northern Ireland Human Rights Commission </w:t>
      </w:r>
    </w:p>
    <w:p w14:paraId="649D19EA" w14:textId="77777777" w:rsidR="005F0F9B" w:rsidRDefault="005F0F9B" w:rsidP="0000034F">
      <w:pPr>
        <w:pStyle w:val="ListParagraph"/>
        <w:ind w:left="0"/>
        <w:rPr>
          <w:rFonts w:ascii="Verdana" w:hAnsi="Verdana"/>
          <w:b/>
          <w:color w:val="7030A0"/>
        </w:rPr>
      </w:pPr>
      <w:r>
        <w:rPr>
          <w:rFonts w:ascii="Verdana" w:hAnsi="Verdana"/>
          <w:b/>
          <w:color w:val="7030A0"/>
        </w:rPr>
        <w:tab/>
      </w:r>
      <w:r>
        <w:rPr>
          <w:rFonts w:ascii="Verdana" w:hAnsi="Verdana"/>
          <w:b/>
          <w:color w:val="7030A0"/>
        </w:rPr>
        <w:tab/>
      </w:r>
      <w:r w:rsidR="003E0FE8">
        <w:rPr>
          <w:rFonts w:ascii="Verdana" w:hAnsi="Verdana"/>
          <w:b/>
          <w:color w:val="7030A0"/>
        </w:rPr>
        <w:t xml:space="preserve">  </w:t>
      </w:r>
    </w:p>
    <w:p w14:paraId="79F82382" w14:textId="77777777" w:rsidR="005F0F9B" w:rsidRDefault="005F0F9B" w:rsidP="005F0F9B">
      <w:pPr>
        <w:pStyle w:val="ListParagraph"/>
        <w:ind w:left="0"/>
        <w:jc w:val="center"/>
        <w:rPr>
          <w:rFonts w:ascii="Verdana" w:hAnsi="Verdana"/>
          <w:b/>
          <w:color w:val="7030A0"/>
        </w:rPr>
      </w:pPr>
      <w:r>
        <w:rPr>
          <w:rFonts w:ascii="Verdana" w:hAnsi="Verdana"/>
          <w:b/>
          <w:color w:val="7030A0"/>
        </w:rPr>
        <w:t>Breach of Data Security Report Form</w:t>
      </w:r>
    </w:p>
    <w:p w14:paraId="3F773BF2" w14:textId="77777777" w:rsidR="005F0F9B" w:rsidRDefault="005F0F9B" w:rsidP="005F0F9B">
      <w:pPr>
        <w:pStyle w:val="ListParagraph"/>
        <w:ind w:left="0"/>
        <w:jc w:val="center"/>
        <w:rPr>
          <w:rFonts w:ascii="Verdana" w:hAnsi="Verdana"/>
          <w:b/>
          <w:color w:val="7030A0"/>
        </w:rPr>
      </w:pPr>
      <w:r>
        <w:rPr>
          <w:rFonts w:ascii="Verdana" w:hAnsi="Verdana"/>
          <w:b/>
          <w:color w:val="7030A0"/>
        </w:rPr>
        <w:t>Staff Report</w:t>
      </w:r>
    </w:p>
    <w:p w14:paraId="5C43875B" w14:textId="77777777" w:rsidR="005F0F9B" w:rsidRDefault="005F0F9B" w:rsidP="005F0F9B">
      <w:pPr>
        <w:pStyle w:val="ListParagraph"/>
        <w:ind w:left="0"/>
        <w:jc w:val="center"/>
        <w:rPr>
          <w:rFonts w:ascii="Verdana" w:hAnsi="Verdana"/>
          <w:b/>
          <w:color w:val="7030A0"/>
        </w:rPr>
      </w:pPr>
    </w:p>
    <w:p w14:paraId="25ACA319" w14:textId="77777777" w:rsidR="005F0F9B" w:rsidRDefault="005F0F9B" w:rsidP="005F0F9B">
      <w:pPr>
        <w:pStyle w:val="ListParagraph"/>
        <w:ind w:left="0"/>
        <w:rPr>
          <w:rFonts w:ascii="Verdana" w:hAnsi="Verdana"/>
          <w:b/>
          <w:color w:val="7030A0"/>
        </w:rPr>
      </w:pPr>
    </w:p>
    <w:p w14:paraId="6AF9C547" w14:textId="77777777" w:rsidR="005F0F9B" w:rsidRDefault="005F0F9B" w:rsidP="005F0F9B">
      <w:pPr>
        <w:pStyle w:val="ListParagraph"/>
        <w:ind w:left="0"/>
        <w:rPr>
          <w:rFonts w:ascii="Verdana" w:hAnsi="Verdana"/>
          <w:b/>
          <w:color w:val="7030A0"/>
        </w:rPr>
      </w:pPr>
    </w:p>
    <w:p w14:paraId="0B1234C6" w14:textId="77777777" w:rsidR="005F0F9B" w:rsidRPr="0050441E" w:rsidRDefault="005F0F9B" w:rsidP="005F0F9B">
      <w:pPr>
        <w:pStyle w:val="ListParagraph"/>
        <w:ind w:left="0"/>
        <w:rPr>
          <w:rFonts w:ascii="Verdana" w:hAnsi="Verdana"/>
          <w:b/>
          <w:color w:val="000000" w:themeColor="text1"/>
        </w:rPr>
      </w:pPr>
      <w:r w:rsidRPr="0050441E">
        <w:rPr>
          <w:rFonts w:ascii="Verdana" w:hAnsi="Verdana"/>
          <w:b/>
          <w:color w:val="000000" w:themeColor="text1"/>
        </w:rPr>
        <w:t>Name ……………………………………………………………</w:t>
      </w:r>
      <w:proofErr w:type="gramStart"/>
      <w:r w:rsidRPr="0050441E">
        <w:rPr>
          <w:rFonts w:ascii="Verdana" w:hAnsi="Verdana"/>
          <w:b/>
          <w:color w:val="000000" w:themeColor="text1"/>
        </w:rPr>
        <w:t>…..</w:t>
      </w:r>
      <w:proofErr w:type="gramEnd"/>
    </w:p>
    <w:p w14:paraId="547F4CB2" w14:textId="77777777" w:rsidR="005F0F9B" w:rsidRPr="0050441E" w:rsidRDefault="005F0F9B" w:rsidP="005F0F9B">
      <w:pPr>
        <w:pStyle w:val="ListParagraph"/>
        <w:ind w:left="0"/>
        <w:rPr>
          <w:rFonts w:ascii="Verdana" w:hAnsi="Verdana"/>
          <w:b/>
          <w:color w:val="000000" w:themeColor="text1"/>
        </w:rPr>
      </w:pPr>
    </w:p>
    <w:p w14:paraId="32AE2E6B" w14:textId="77777777" w:rsidR="005F0F9B" w:rsidRPr="0050441E" w:rsidRDefault="005F0F9B" w:rsidP="005F0F9B">
      <w:pPr>
        <w:pStyle w:val="ListParagraph"/>
        <w:ind w:left="0"/>
        <w:rPr>
          <w:rFonts w:ascii="Verdana" w:hAnsi="Verdana"/>
          <w:b/>
          <w:color w:val="000000" w:themeColor="text1"/>
        </w:rPr>
      </w:pPr>
      <w:r w:rsidRPr="0050441E">
        <w:rPr>
          <w:rFonts w:ascii="Verdana" w:hAnsi="Verdana"/>
          <w:b/>
          <w:color w:val="000000" w:themeColor="text1"/>
        </w:rPr>
        <w:t>Position …………………………………………………………….</w:t>
      </w:r>
    </w:p>
    <w:p w14:paraId="5F378BF9" w14:textId="77777777" w:rsidR="005F0F9B" w:rsidRPr="0050441E" w:rsidRDefault="005F0F9B" w:rsidP="005F0F9B">
      <w:pPr>
        <w:pStyle w:val="ListParagraph"/>
        <w:ind w:left="0"/>
        <w:rPr>
          <w:rFonts w:ascii="Verdana" w:hAnsi="Verdana"/>
          <w:b/>
          <w:color w:val="000000" w:themeColor="text1"/>
        </w:rPr>
      </w:pPr>
    </w:p>
    <w:p w14:paraId="7101A5C6" w14:textId="77777777" w:rsidR="005F0F9B" w:rsidRPr="0050441E" w:rsidRDefault="005F0F9B" w:rsidP="005F0F9B">
      <w:pPr>
        <w:pStyle w:val="ListParagraph"/>
        <w:ind w:left="0"/>
        <w:rPr>
          <w:rFonts w:ascii="Verdana" w:hAnsi="Verdana"/>
          <w:b/>
          <w:color w:val="000000" w:themeColor="text1"/>
        </w:rPr>
      </w:pPr>
      <w:r w:rsidRPr="0050441E">
        <w:rPr>
          <w:rFonts w:ascii="Verdana" w:hAnsi="Verdana"/>
          <w:b/>
          <w:color w:val="000000" w:themeColor="text1"/>
        </w:rPr>
        <w:t>Email Address ……………………………………………………</w:t>
      </w:r>
    </w:p>
    <w:p w14:paraId="6741805C" w14:textId="77777777" w:rsidR="005F0F9B" w:rsidRDefault="005F0F9B" w:rsidP="005F0F9B">
      <w:pPr>
        <w:pStyle w:val="ListParagraph"/>
        <w:ind w:left="0"/>
        <w:rPr>
          <w:rFonts w:ascii="Verdana" w:hAnsi="Verdana"/>
          <w:b/>
          <w:color w:val="7030A0"/>
        </w:rPr>
      </w:pPr>
    </w:p>
    <w:p w14:paraId="56E624C2" w14:textId="77777777" w:rsidR="005F0F9B" w:rsidRPr="005F0F9B" w:rsidRDefault="005F0F9B" w:rsidP="005F0F9B">
      <w:pPr>
        <w:pStyle w:val="ListParagraph"/>
        <w:numPr>
          <w:ilvl w:val="0"/>
          <w:numId w:val="36"/>
        </w:numPr>
        <w:ind w:left="567" w:hanging="567"/>
        <w:rPr>
          <w:rFonts w:ascii="Verdana" w:hAnsi="Verdana"/>
          <w:color w:val="7030A0"/>
        </w:rPr>
      </w:pPr>
      <w:r w:rsidRPr="005F0F9B">
        <w:rPr>
          <w:rFonts w:ascii="Verdana" w:hAnsi="Verdana"/>
          <w:color w:val="000000" w:themeColor="text1"/>
        </w:rPr>
        <w:t>When did you first become aware of the incident?</w:t>
      </w:r>
    </w:p>
    <w:p w14:paraId="561D106D" w14:textId="77777777" w:rsidR="0000034F" w:rsidRDefault="0000034F" w:rsidP="0000034F">
      <w:pPr>
        <w:pStyle w:val="ListParagraph"/>
        <w:ind w:left="0"/>
        <w:rPr>
          <w:rFonts w:ascii="Verdana" w:hAnsi="Verdana"/>
          <w:b/>
          <w:color w:val="7030A0"/>
        </w:rPr>
      </w:pPr>
    </w:p>
    <w:p w14:paraId="340BF94B" w14:textId="77777777" w:rsidR="0000034F" w:rsidRPr="00254A73" w:rsidRDefault="005F0F9B" w:rsidP="0000034F">
      <w:pPr>
        <w:pStyle w:val="ListParagraph"/>
        <w:ind w:left="0"/>
        <w:rPr>
          <w:rFonts w:ascii="Verdana" w:hAnsi="Verdana"/>
          <w:color w:val="000000" w:themeColor="text1"/>
        </w:rPr>
      </w:pPr>
      <w:r>
        <w:rPr>
          <w:rFonts w:ascii="Verdana" w:hAnsi="Verdana"/>
          <w:noProof/>
          <w:color w:val="000000" w:themeColor="text1"/>
          <w:lang w:eastAsia="en-GB"/>
        </w:rPr>
        <mc:AlternateContent>
          <mc:Choice Requires="wps">
            <w:drawing>
              <wp:anchor distT="0" distB="0" distL="114300" distR="114300" simplePos="0" relativeHeight="251659264" behindDoc="0" locked="0" layoutInCell="1" allowOverlap="1" wp14:anchorId="30C17AAE" wp14:editId="098C29B3">
                <wp:simplePos x="0" y="0"/>
                <wp:positionH relativeFrom="column">
                  <wp:posOffset>85725</wp:posOffset>
                </wp:positionH>
                <wp:positionV relativeFrom="paragraph">
                  <wp:posOffset>7620</wp:posOffset>
                </wp:positionV>
                <wp:extent cx="5400675" cy="1609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00675" cy="1609725"/>
                        </a:xfrm>
                        <a:prstGeom prst="rect">
                          <a:avLst/>
                        </a:prstGeom>
                        <a:solidFill>
                          <a:schemeClr val="lt1"/>
                        </a:solidFill>
                        <a:ln w="6350">
                          <a:solidFill>
                            <a:prstClr val="black"/>
                          </a:solidFill>
                        </a:ln>
                      </wps:spPr>
                      <wps:txbx>
                        <w:txbxContent>
                          <w:p w14:paraId="7860ECE0" w14:textId="77777777" w:rsidR="005F0F9B" w:rsidRDefault="005F0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17AAE" id="_x0000_t202" coordsize="21600,21600" o:spt="202" path="m,l,21600r21600,l21600,xe">
                <v:stroke joinstyle="miter"/>
                <v:path gradientshapeok="t" o:connecttype="rect"/>
              </v:shapetype>
              <v:shape id="Text Box 2" o:spid="_x0000_s1026" type="#_x0000_t202" style="position:absolute;margin-left:6.75pt;margin-top:.6pt;width:425.25pt;height:12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T5OAIAAH0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" fillcolor="white [3201]" strokeweight=".5pt">
                <v:textbox>
                  <w:txbxContent>
                    <w:p w14:paraId="7860ECE0" w14:textId="77777777" w:rsidR="005F0F9B" w:rsidRDefault="005F0F9B"/>
                  </w:txbxContent>
                </v:textbox>
              </v:shape>
            </w:pict>
          </mc:Fallback>
        </mc:AlternateContent>
      </w:r>
      <w:r w:rsidR="0000034F">
        <w:rPr>
          <w:rFonts w:ascii="Verdana" w:hAnsi="Verdana"/>
          <w:color w:val="000000" w:themeColor="text1"/>
        </w:rPr>
        <w:t xml:space="preserve"> </w:t>
      </w:r>
    </w:p>
    <w:p w14:paraId="396C4CFB" w14:textId="77777777" w:rsidR="00D5692C" w:rsidRDefault="00D5692C" w:rsidP="00B62DD5">
      <w:pPr>
        <w:pStyle w:val="ListParagraph"/>
        <w:ind w:left="0"/>
        <w:rPr>
          <w:rFonts w:ascii="Verdana" w:hAnsi="Verdana"/>
          <w:b/>
          <w:color w:val="7030A0"/>
        </w:rPr>
      </w:pPr>
    </w:p>
    <w:p w14:paraId="0AD1F98D" w14:textId="77777777" w:rsidR="00D5692C" w:rsidRPr="00D5692C" w:rsidRDefault="00D5692C" w:rsidP="00B62DD5">
      <w:pPr>
        <w:pStyle w:val="ListParagraph"/>
        <w:ind w:left="0"/>
        <w:rPr>
          <w:rFonts w:ascii="Verdana" w:hAnsi="Verdana"/>
          <w:b/>
          <w:color w:val="7030A0"/>
        </w:rPr>
      </w:pPr>
    </w:p>
    <w:p w14:paraId="345F4AD3" w14:textId="77777777" w:rsidR="00D5692C" w:rsidRDefault="00D5692C" w:rsidP="00B62DD5">
      <w:pPr>
        <w:pStyle w:val="ListParagraph"/>
        <w:ind w:left="0"/>
        <w:rPr>
          <w:rFonts w:ascii="Verdana" w:hAnsi="Verdana"/>
          <w:b/>
          <w:color w:val="7030A0"/>
        </w:rPr>
      </w:pPr>
    </w:p>
    <w:p w14:paraId="46C647C2" w14:textId="77777777" w:rsidR="005F0F9B" w:rsidRDefault="00B62DD5" w:rsidP="00B62DD5">
      <w:pPr>
        <w:pStyle w:val="ListParagraph"/>
        <w:ind w:left="0"/>
        <w:rPr>
          <w:rFonts w:ascii="Verdana" w:hAnsi="Verdana"/>
          <w:color w:val="000000" w:themeColor="text1"/>
        </w:rPr>
      </w:pPr>
      <w:r>
        <w:rPr>
          <w:rFonts w:ascii="Verdana" w:hAnsi="Verdana"/>
          <w:color w:val="000000" w:themeColor="text1"/>
        </w:rPr>
        <w:t xml:space="preserve"> </w:t>
      </w:r>
    </w:p>
    <w:p w14:paraId="3FBBC5C7" w14:textId="77777777" w:rsidR="005F0F9B" w:rsidRPr="005F0F9B" w:rsidRDefault="005F0F9B" w:rsidP="005F0F9B"/>
    <w:p w14:paraId="219F3724" w14:textId="77777777" w:rsidR="005F0F9B" w:rsidRPr="005F0F9B" w:rsidRDefault="005F0F9B" w:rsidP="005F0F9B"/>
    <w:p w14:paraId="74131D5E" w14:textId="77777777" w:rsidR="005F0F9B" w:rsidRDefault="005F0F9B" w:rsidP="005F0F9B"/>
    <w:p w14:paraId="1C5A8F52" w14:textId="77777777" w:rsidR="00B62DD5" w:rsidRDefault="005F0F9B" w:rsidP="005F0F9B">
      <w:pPr>
        <w:pStyle w:val="ListParagraph"/>
        <w:numPr>
          <w:ilvl w:val="0"/>
          <w:numId w:val="36"/>
        </w:numPr>
        <w:ind w:left="567" w:hanging="567"/>
        <w:rPr>
          <w:rFonts w:ascii="Verdana" w:hAnsi="Verdana"/>
        </w:rPr>
      </w:pPr>
      <w:r w:rsidRPr="005F0F9B">
        <w:rPr>
          <w:rFonts w:ascii="Verdana" w:hAnsi="Verdana"/>
        </w:rPr>
        <w:t xml:space="preserve">Provide a </w:t>
      </w:r>
      <w:r>
        <w:rPr>
          <w:rFonts w:ascii="Verdana" w:hAnsi="Verdana"/>
        </w:rPr>
        <w:t>description of the incident</w:t>
      </w:r>
    </w:p>
    <w:p w14:paraId="5938ED1E" w14:textId="77777777" w:rsidR="007E6DED" w:rsidRDefault="007E6DED" w:rsidP="005F0F9B">
      <w:pPr>
        <w:pStyle w:val="ListParagraph"/>
        <w:ind w:left="567"/>
        <w:rPr>
          <w:rFonts w:ascii="Verdana" w:hAnsi="Verdana"/>
        </w:rPr>
      </w:pPr>
      <w:r>
        <w:rPr>
          <w:rFonts w:ascii="Verdana" w:hAnsi="Verdana"/>
          <w:noProof/>
          <w:lang w:eastAsia="en-GB"/>
        </w:rPr>
        <mc:AlternateContent>
          <mc:Choice Requires="wps">
            <w:drawing>
              <wp:anchor distT="0" distB="0" distL="114300" distR="114300" simplePos="0" relativeHeight="251660288" behindDoc="0" locked="0" layoutInCell="1" allowOverlap="1" wp14:anchorId="61286C40" wp14:editId="66CDC43D">
                <wp:simplePos x="0" y="0"/>
                <wp:positionH relativeFrom="column">
                  <wp:posOffset>133350</wp:posOffset>
                </wp:positionH>
                <wp:positionV relativeFrom="paragraph">
                  <wp:posOffset>187960</wp:posOffset>
                </wp:positionV>
                <wp:extent cx="5419725" cy="16097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419725" cy="1609725"/>
                        </a:xfrm>
                        <a:prstGeom prst="rect">
                          <a:avLst/>
                        </a:prstGeom>
                        <a:solidFill>
                          <a:schemeClr val="lt1"/>
                        </a:solidFill>
                        <a:ln w="6350">
                          <a:solidFill>
                            <a:prstClr val="black"/>
                          </a:solidFill>
                        </a:ln>
                      </wps:spPr>
                      <wps:txbx>
                        <w:txbxContent>
                          <w:p w14:paraId="3D85E47D" w14:textId="77777777" w:rsidR="007E6DED" w:rsidRDefault="007E6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286C40" id="Text Box 3" o:spid="_x0000_s1027" type="#_x0000_t202" style="position:absolute;left:0;text-align:left;margin-left:10.5pt;margin-top:14.8pt;width:426.75pt;height:12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" fillcolor="white [3201]" strokeweight=".5pt">
                <v:textbox>
                  <w:txbxContent>
                    <w:p w14:paraId="3D85E47D" w14:textId="77777777" w:rsidR="007E6DED" w:rsidRDefault="007E6DED"/>
                  </w:txbxContent>
                </v:textbox>
              </v:shape>
            </w:pict>
          </mc:Fallback>
        </mc:AlternateContent>
      </w:r>
    </w:p>
    <w:p w14:paraId="549B5CA9" w14:textId="77777777" w:rsidR="007E6DED" w:rsidRPr="007E6DED" w:rsidRDefault="007E6DED" w:rsidP="007E6DED"/>
    <w:p w14:paraId="673EA3A6" w14:textId="77777777" w:rsidR="007E6DED" w:rsidRPr="007E6DED" w:rsidRDefault="007E6DED" w:rsidP="007E6DED"/>
    <w:p w14:paraId="6918F27E" w14:textId="77777777" w:rsidR="007E6DED" w:rsidRPr="007E6DED" w:rsidRDefault="007E6DED" w:rsidP="007E6DED"/>
    <w:p w14:paraId="7D1BA7C8" w14:textId="77777777" w:rsidR="007E6DED" w:rsidRPr="007E6DED" w:rsidRDefault="007E6DED" w:rsidP="007E6DED"/>
    <w:p w14:paraId="2900A5F5" w14:textId="77777777" w:rsidR="007E6DED" w:rsidRPr="007E6DED" w:rsidRDefault="007E6DED" w:rsidP="007E6DED"/>
    <w:p w14:paraId="18EB7D0D" w14:textId="77777777" w:rsidR="007E6DED" w:rsidRDefault="007E6DED" w:rsidP="007E6DED"/>
    <w:p w14:paraId="1D29156B" w14:textId="77777777" w:rsidR="005F0F9B" w:rsidRDefault="007E6DED" w:rsidP="007E6DED">
      <w:pPr>
        <w:pStyle w:val="ListParagraph"/>
        <w:numPr>
          <w:ilvl w:val="0"/>
          <w:numId w:val="36"/>
        </w:numPr>
        <w:ind w:left="567" w:hanging="567"/>
        <w:rPr>
          <w:rFonts w:ascii="Verdana" w:hAnsi="Verdana"/>
        </w:rPr>
      </w:pPr>
      <w:r>
        <w:rPr>
          <w:rFonts w:ascii="Verdana" w:hAnsi="Verdana"/>
        </w:rPr>
        <w:t>How did you become aware of the incident?</w:t>
      </w:r>
    </w:p>
    <w:p w14:paraId="4C277E77" w14:textId="77777777" w:rsidR="007E6DED" w:rsidRDefault="007E6DED" w:rsidP="007E6DED">
      <w:pPr>
        <w:pStyle w:val="ListParagraph"/>
        <w:ind w:left="567"/>
        <w:rPr>
          <w:rFonts w:ascii="Verdana" w:hAnsi="Verdana"/>
        </w:rPr>
      </w:pPr>
    </w:p>
    <w:p w14:paraId="222B77D8" w14:textId="77777777" w:rsidR="007E6DED" w:rsidRDefault="007E6DED" w:rsidP="007E6DED">
      <w:pPr>
        <w:pStyle w:val="ListParagraph"/>
        <w:ind w:left="567"/>
        <w:rPr>
          <w:rFonts w:ascii="Verdana" w:hAnsi="Verdana"/>
        </w:rPr>
      </w:pPr>
      <w:r>
        <w:rPr>
          <w:rFonts w:ascii="Verdana" w:hAnsi="Verdana"/>
          <w:noProof/>
          <w:lang w:eastAsia="en-GB"/>
        </w:rPr>
        <mc:AlternateContent>
          <mc:Choice Requires="wps">
            <w:drawing>
              <wp:anchor distT="0" distB="0" distL="114300" distR="114300" simplePos="0" relativeHeight="251662336" behindDoc="0" locked="0" layoutInCell="1" allowOverlap="1" wp14:anchorId="7EEE5510" wp14:editId="18423F26">
                <wp:simplePos x="0" y="0"/>
                <wp:positionH relativeFrom="column">
                  <wp:posOffset>200025</wp:posOffset>
                </wp:positionH>
                <wp:positionV relativeFrom="paragraph">
                  <wp:posOffset>118745</wp:posOffset>
                </wp:positionV>
                <wp:extent cx="5381625" cy="1381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381625" cy="1381125"/>
                        </a:xfrm>
                        <a:prstGeom prst="rect">
                          <a:avLst/>
                        </a:prstGeom>
                        <a:solidFill>
                          <a:schemeClr val="lt1"/>
                        </a:solidFill>
                        <a:ln w="6350">
                          <a:solidFill>
                            <a:prstClr val="black"/>
                          </a:solidFill>
                        </a:ln>
                      </wps:spPr>
                      <wps:txbx>
                        <w:txbxContent>
                          <w:p w14:paraId="445A2C9B" w14:textId="77777777" w:rsidR="007E6DED" w:rsidRDefault="007E6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E5510" id="Text Box 5" o:spid="_x0000_s1028" type="#_x0000_t202" style="position:absolute;left:0;text-align:left;margin-left:15.75pt;margin-top:9.35pt;width:423.75pt;height:10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" fillcolor="white [3201]" strokeweight=".5pt">
                <v:textbox>
                  <w:txbxContent>
                    <w:p w14:paraId="445A2C9B" w14:textId="77777777" w:rsidR="007E6DED" w:rsidRDefault="007E6DED"/>
                  </w:txbxContent>
                </v:textbox>
              </v:shape>
            </w:pict>
          </mc:Fallback>
        </mc:AlternateContent>
      </w:r>
    </w:p>
    <w:p w14:paraId="526E00C9" w14:textId="77777777" w:rsidR="007E6DED" w:rsidRDefault="007E6DED" w:rsidP="007E6DED">
      <w:pPr>
        <w:pStyle w:val="ListParagraph"/>
        <w:ind w:left="567"/>
        <w:rPr>
          <w:rFonts w:ascii="Verdana" w:hAnsi="Verdana"/>
        </w:rPr>
      </w:pPr>
    </w:p>
    <w:p w14:paraId="61210DFD" w14:textId="77777777" w:rsidR="007E6DED" w:rsidRDefault="007E6DED" w:rsidP="007E6DED">
      <w:pPr>
        <w:pStyle w:val="ListParagraph"/>
        <w:ind w:left="567"/>
        <w:rPr>
          <w:rFonts w:ascii="Verdana" w:hAnsi="Verdana"/>
        </w:rPr>
      </w:pPr>
    </w:p>
    <w:p w14:paraId="4C227D20" w14:textId="77777777" w:rsidR="007E6DED" w:rsidRDefault="007E6DED" w:rsidP="007E6DED">
      <w:pPr>
        <w:pStyle w:val="ListParagraph"/>
        <w:ind w:left="567"/>
        <w:rPr>
          <w:rFonts w:ascii="Verdana" w:hAnsi="Verdana"/>
        </w:rPr>
      </w:pPr>
    </w:p>
    <w:p w14:paraId="622702C6" w14:textId="77777777" w:rsidR="007E6DED" w:rsidRDefault="007E6DED" w:rsidP="007E6DED">
      <w:pPr>
        <w:pStyle w:val="ListParagraph"/>
        <w:ind w:left="567"/>
        <w:rPr>
          <w:rFonts w:ascii="Verdana" w:hAnsi="Verdana"/>
        </w:rPr>
      </w:pPr>
    </w:p>
    <w:p w14:paraId="0DA25115" w14:textId="77777777" w:rsidR="007E6DED" w:rsidRDefault="007E6DED" w:rsidP="007E6DED">
      <w:pPr>
        <w:pStyle w:val="ListParagraph"/>
        <w:ind w:left="567"/>
        <w:rPr>
          <w:rFonts w:ascii="Verdana" w:hAnsi="Verdana"/>
        </w:rPr>
      </w:pPr>
    </w:p>
    <w:p w14:paraId="270D3C5E" w14:textId="77777777" w:rsidR="007E6DED" w:rsidRDefault="007E6DED" w:rsidP="007E6DED">
      <w:pPr>
        <w:pStyle w:val="ListParagraph"/>
        <w:ind w:left="567"/>
        <w:rPr>
          <w:rFonts w:ascii="Verdana" w:hAnsi="Verdana"/>
        </w:rPr>
      </w:pPr>
    </w:p>
    <w:p w14:paraId="41D19C4B" w14:textId="77777777" w:rsidR="007E6DED" w:rsidRDefault="007E6DED" w:rsidP="007E6DED">
      <w:pPr>
        <w:pStyle w:val="ListParagraph"/>
        <w:ind w:left="567"/>
        <w:rPr>
          <w:rFonts w:ascii="Verdana" w:hAnsi="Verdana"/>
        </w:rPr>
      </w:pPr>
    </w:p>
    <w:p w14:paraId="2165C14A" w14:textId="77777777" w:rsidR="003E0FE8" w:rsidRDefault="003E0FE8" w:rsidP="003E0FE8">
      <w:pPr>
        <w:pStyle w:val="ListParagraph"/>
        <w:ind w:left="567"/>
        <w:rPr>
          <w:rFonts w:ascii="Verdana" w:hAnsi="Verdana"/>
        </w:rPr>
      </w:pPr>
    </w:p>
    <w:p w14:paraId="57B4F7C4" w14:textId="77777777" w:rsidR="007E6DED" w:rsidRDefault="007E6DED" w:rsidP="007E6DED">
      <w:pPr>
        <w:pStyle w:val="ListParagraph"/>
        <w:numPr>
          <w:ilvl w:val="0"/>
          <w:numId w:val="36"/>
        </w:numPr>
        <w:ind w:left="567" w:hanging="567"/>
        <w:rPr>
          <w:rFonts w:ascii="Verdana" w:hAnsi="Verdana"/>
        </w:rPr>
      </w:pPr>
      <w:r>
        <w:rPr>
          <w:rFonts w:ascii="Verdana" w:hAnsi="Verdana"/>
          <w:noProof/>
          <w:lang w:eastAsia="en-GB"/>
        </w:rPr>
        <w:lastRenderedPageBreak/>
        <mc:AlternateContent>
          <mc:Choice Requires="wps">
            <w:drawing>
              <wp:anchor distT="0" distB="0" distL="114300" distR="114300" simplePos="0" relativeHeight="251661312" behindDoc="0" locked="0" layoutInCell="1" allowOverlap="1" wp14:anchorId="407D63DB" wp14:editId="256C943D">
                <wp:simplePos x="0" y="0"/>
                <wp:positionH relativeFrom="column">
                  <wp:posOffset>200025</wp:posOffset>
                </wp:positionH>
                <wp:positionV relativeFrom="paragraph">
                  <wp:posOffset>223520</wp:posOffset>
                </wp:positionV>
                <wp:extent cx="5372100" cy="1162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72100" cy="1162050"/>
                        </a:xfrm>
                        <a:prstGeom prst="rect">
                          <a:avLst/>
                        </a:prstGeom>
                        <a:solidFill>
                          <a:schemeClr val="lt1"/>
                        </a:solidFill>
                        <a:ln w="6350">
                          <a:solidFill>
                            <a:prstClr val="black"/>
                          </a:solidFill>
                        </a:ln>
                      </wps:spPr>
                      <wps:txbx>
                        <w:txbxContent>
                          <w:p w14:paraId="34923CCE" w14:textId="77777777" w:rsidR="007E6DED" w:rsidRDefault="007E6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7D63DB" id="Text Box 4" o:spid="_x0000_s1029" type="#_x0000_t202" style="position:absolute;left:0;text-align:left;margin-left:15.75pt;margin-top:17.6pt;width:423pt;height: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" fillcolor="white [3201]" strokeweight=".5pt">
                <v:textbox>
                  <w:txbxContent>
                    <w:p w14:paraId="34923CCE" w14:textId="77777777" w:rsidR="007E6DED" w:rsidRDefault="007E6DED"/>
                  </w:txbxContent>
                </v:textbox>
              </v:shape>
            </w:pict>
          </mc:Fallback>
        </mc:AlternateContent>
      </w:r>
      <w:r>
        <w:rPr>
          <w:rFonts w:ascii="Verdana" w:hAnsi="Verdana"/>
        </w:rPr>
        <w:t>Confirm the incident has been reported to your line manager</w:t>
      </w:r>
    </w:p>
    <w:p w14:paraId="6933729E" w14:textId="77777777" w:rsidR="007E6DED" w:rsidRPr="007E6DED" w:rsidRDefault="007E6DED" w:rsidP="007E6DED"/>
    <w:p w14:paraId="75C0FD30" w14:textId="77777777" w:rsidR="007E6DED" w:rsidRPr="007E6DED" w:rsidRDefault="007E6DED" w:rsidP="007E6DED"/>
    <w:p w14:paraId="07BDFE3F" w14:textId="77777777" w:rsidR="007E6DED" w:rsidRPr="007E6DED" w:rsidRDefault="007E6DED" w:rsidP="007E6DED"/>
    <w:p w14:paraId="1ECF6844" w14:textId="77777777" w:rsidR="007E6DED" w:rsidRDefault="007E6DED" w:rsidP="007E6DED"/>
    <w:p w14:paraId="15DFC715" w14:textId="77777777" w:rsidR="007E6DED" w:rsidRDefault="007E6DED" w:rsidP="007E6DED"/>
    <w:p w14:paraId="44E523F4" w14:textId="77777777" w:rsidR="007E6DED" w:rsidRDefault="007E6DED" w:rsidP="007E6DED">
      <w:pPr>
        <w:pStyle w:val="ListParagraph"/>
        <w:numPr>
          <w:ilvl w:val="0"/>
          <w:numId w:val="36"/>
        </w:numPr>
        <w:ind w:left="567" w:hanging="567"/>
        <w:rPr>
          <w:rFonts w:ascii="Verdana" w:hAnsi="Verdana"/>
        </w:rPr>
      </w:pPr>
      <w:r>
        <w:rPr>
          <w:rFonts w:ascii="Verdana" w:hAnsi="Verdana"/>
        </w:rPr>
        <w:t>Supporting Documents – Please attach any supporting documentation</w:t>
      </w:r>
    </w:p>
    <w:p w14:paraId="25A131BE" w14:textId="77777777" w:rsidR="007E6DED" w:rsidRDefault="007E6DED" w:rsidP="007E6DED">
      <w:pPr>
        <w:pStyle w:val="ListParagraph"/>
        <w:ind w:left="567"/>
        <w:rPr>
          <w:rFonts w:ascii="Verdana" w:hAnsi="Verdana"/>
        </w:rPr>
      </w:pPr>
    </w:p>
    <w:p w14:paraId="33FE014B" w14:textId="77777777" w:rsidR="007E6DED" w:rsidRDefault="007E6DED" w:rsidP="007E6DED">
      <w:pPr>
        <w:pStyle w:val="ListParagraph"/>
        <w:ind w:left="567"/>
        <w:rPr>
          <w:rFonts w:ascii="Verdana" w:hAnsi="Verdana"/>
        </w:rPr>
      </w:pPr>
    </w:p>
    <w:p w14:paraId="328467B9" w14:textId="77777777" w:rsidR="007E6DED" w:rsidRDefault="007E6DED" w:rsidP="007E6DED">
      <w:pPr>
        <w:pStyle w:val="ListParagraph"/>
        <w:ind w:left="567"/>
        <w:rPr>
          <w:rFonts w:ascii="Verdana" w:hAnsi="Verdana"/>
        </w:rPr>
      </w:pPr>
    </w:p>
    <w:p w14:paraId="1C8BF701" w14:textId="77777777" w:rsidR="007E6DED" w:rsidRDefault="007E6DED" w:rsidP="007E6DED">
      <w:pPr>
        <w:pStyle w:val="ListParagraph"/>
        <w:ind w:left="567"/>
        <w:rPr>
          <w:rFonts w:ascii="Verdana" w:hAnsi="Verdana"/>
        </w:rPr>
      </w:pPr>
    </w:p>
    <w:p w14:paraId="408FB030" w14:textId="77777777" w:rsidR="007E6DED" w:rsidRDefault="007E6DED" w:rsidP="007E6DED">
      <w:pPr>
        <w:pStyle w:val="ListParagraph"/>
        <w:ind w:left="567"/>
        <w:rPr>
          <w:rFonts w:ascii="Verdana" w:hAnsi="Verdana"/>
        </w:rPr>
      </w:pPr>
    </w:p>
    <w:p w14:paraId="6366FE92" w14:textId="77777777" w:rsidR="007E6DED" w:rsidRPr="0050441E" w:rsidRDefault="007E6DED" w:rsidP="007E6DED">
      <w:pPr>
        <w:pStyle w:val="ListParagraph"/>
        <w:ind w:left="567" w:hanging="567"/>
        <w:rPr>
          <w:rFonts w:ascii="Verdana" w:hAnsi="Verdana"/>
          <w:b/>
          <w:color w:val="000000" w:themeColor="text1"/>
        </w:rPr>
      </w:pPr>
      <w:r w:rsidRPr="0050441E">
        <w:rPr>
          <w:rFonts w:ascii="Verdana" w:hAnsi="Verdana"/>
          <w:b/>
          <w:color w:val="000000" w:themeColor="text1"/>
        </w:rPr>
        <w:t>Signed …………………………………………………………………………………….</w:t>
      </w:r>
    </w:p>
    <w:p w14:paraId="01411EC7" w14:textId="77777777" w:rsidR="007E6DED" w:rsidRPr="0050441E" w:rsidRDefault="007E6DED" w:rsidP="007E6DED">
      <w:pPr>
        <w:pStyle w:val="ListParagraph"/>
        <w:ind w:left="567" w:hanging="567"/>
        <w:rPr>
          <w:rFonts w:ascii="Verdana" w:hAnsi="Verdana"/>
          <w:b/>
          <w:color w:val="000000" w:themeColor="text1"/>
        </w:rPr>
      </w:pPr>
    </w:p>
    <w:p w14:paraId="3A4675CF" w14:textId="77777777" w:rsidR="007E6DED" w:rsidRPr="0050441E" w:rsidRDefault="007E6DED" w:rsidP="007E6DED">
      <w:pPr>
        <w:pStyle w:val="ListParagraph"/>
        <w:ind w:left="567" w:hanging="567"/>
        <w:rPr>
          <w:rFonts w:ascii="Verdana" w:hAnsi="Verdana"/>
          <w:b/>
          <w:color w:val="000000" w:themeColor="text1"/>
        </w:rPr>
      </w:pPr>
    </w:p>
    <w:p w14:paraId="3C2264E9" w14:textId="77777777" w:rsidR="007E6DED" w:rsidRPr="0050441E" w:rsidRDefault="007E6DED" w:rsidP="007E6DED">
      <w:pPr>
        <w:pStyle w:val="ListParagraph"/>
        <w:ind w:left="567" w:hanging="567"/>
        <w:rPr>
          <w:rFonts w:ascii="Verdana" w:hAnsi="Verdana"/>
          <w:b/>
          <w:color w:val="000000" w:themeColor="text1"/>
        </w:rPr>
      </w:pPr>
      <w:r w:rsidRPr="0050441E">
        <w:rPr>
          <w:rFonts w:ascii="Verdana" w:hAnsi="Verdana"/>
          <w:b/>
          <w:color w:val="000000" w:themeColor="text1"/>
        </w:rPr>
        <w:t>Date ………………………………………………….</w:t>
      </w:r>
    </w:p>
    <w:p w14:paraId="0E86145E" w14:textId="77777777" w:rsidR="007E6DED" w:rsidRPr="0050441E" w:rsidRDefault="007E6DED" w:rsidP="007E6DED">
      <w:pPr>
        <w:pStyle w:val="ListParagraph"/>
        <w:ind w:left="567" w:hanging="567"/>
        <w:rPr>
          <w:rFonts w:ascii="Verdana" w:hAnsi="Verdana"/>
          <w:b/>
          <w:color w:val="000000" w:themeColor="text1"/>
        </w:rPr>
      </w:pPr>
    </w:p>
    <w:p w14:paraId="48C805D5" w14:textId="476AFA8B" w:rsidR="007E6DED" w:rsidRDefault="007E6DED" w:rsidP="007E6DED">
      <w:pPr>
        <w:pStyle w:val="ListParagraph"/>
        <w:ind w:left="0"/>
        <w:rPr>
          <w:rFonts w:ascii="Verdana" w:hAnsi="Verdana"/>
          <w:color w:val="000000" w:themeColor="text1"/>
        </w:rPr>
      </w:pPr>
      <w:r>
        <w:rPr>
          <w:rFonts w:ascii="Verdana" w:hAnsi="Verdana"/>
          <w:color w:val="000000" w:themeColor="text1"/>
        </w:rPr>
        <w:t xml:space="preserve">When completed this form should be returned to the Director </w:t>
      </w:r>
      <w:r w:rsidR="006F096C">
        <w:rPr>
          <w:rFonts w:ascii="Verdana" w:hAnsi="Verdana"/>
          <w:color w:val="000000" w:themeColor="text1"/>
        </w:rPr>
        <w:t>(</w:t>
      </w:r>
      <w:r>
        <w:rPr>
          <w:rFonts w:ascii="Verdana" w:hAnsi="Verdana"/>
          <w:color w:val="000000" w:themeColor="text1"/>
        </w:rPr>
        <w:t>Finance, Personnel</w:t>
      </w:r>
      <w:r w:rsidR="00A65173">
        <w:rPr>
          <w:rFonts w:ascii="Verdana" w:hAnsi="Verdana"/>
          <w:color w:val="000000" w:themeColor="text1"/>
        </w:rPr>
        <w:t xml:space="preserve"> and Corporate Affairs)</w:t>
      </w:r>
      <w:r>
        <w:rPr>
          <w:rFonts w:ascii="Verdana" w:hAnsi="Verdana"/>
          <w:color w:val="000000" w:themeColor="text1"/>
        </w:rPr>
        <w:t xml:space="preserve"> in the capacity of the Data Protection Officer, by emailing </w:t>
      </w:r>
      <w:hyperlink r:id="rId28" w:history="1">
        <w:r w:rsidR="00A65173" w:rsidRPr="00E66E73">
          <w:rPr>
            <w:rStyle w:val="Hyperlink"/>
            <w:rFonts w:ascii="Verdana" w:hAnsi="Verdana"/>
          </w:rPr>
          <w:t>info@nihrc.org</w:t>
        </w:r>
      </w:hyperlink>
    </w:p>
    <w:p w14:paraId="3C94923F" w14:textId="77777777" w:rsidR="007E6DED" w:rsidRDefault="007E6DED" w:rsidP="007E6DED">
      <w:pPr>
        <w:pStyle w:val="ListParagraph"/>
        <w:ind w:left="0"/>
        <w:rPr>
          <w:rFonts w:ascii="Verdana" w:hAnsi="Verdana"/>
          <w:color w:val="000000" w:themeColor="text1"/>
        </w:rPr>
      </w:pPr>
    </w:p>
    <w:p w14:paraId="2ABB5ADF" w14:textId="77777777" w:rsidR="007E6DED" w:rsidRDefault="007E6DED" w:rsidP="007E6DED">
      <w:pPr>
        <w:pStyle w:val="ListParagraph"/>
        <w:ind w:left="0"/>
        <w:rPr>
          <w:rFonts w:ascii="Verdana" w:hAnsi="Verdana"/>
          <w:color w:val="000000" w:themeColor="text1"/>
        </w:rPr>
      </w:pPr>
      <w:r>
        <w:rPr>
          <w:rFonts w:ascii="Verdana" w:hAnsi="Verdana"/>
          <w:color w:val="000000" w:themeColor="text1"/>
        </w:rPr>
        <w:t xml:space="preserve">Or </w:t>
      </w:r>
      <w:r w:rsidR="00EF7F0B">
        <w:rPr>
          <w:rFonts w:ascii="Verdana" w:hAnsi="Verdana"/>
          <w:color w:val="000000" w:themeColor="text1"/>
        </w:rPr>
        <w:t>by post to</w:t>
      </w:r>
      <w:r>
        <w:rPr>
          <w:rFonts w:ascii="Verdana" w:hAnsi="Verdana"/>
          <w:color w:val="000000" w:themeColor="text1"/>
        </w:rPr>
        <w:t xml:space="preserve">: </w:t>
      </w:r>
    </w:p>
    <w:p w14:paraId="7099EAA3" w14:textId="77777777" w:rsidR="007E6DED" w:rsidRDefault="007E6DED" w:rsidP="007E6DED">
      <w:pPr>
        <w:pStyle w:val="ListParagraph"/>
        <w:ind w:left="0"/>
        <w:rPr>
          <w:rFonts w:ascii="Verdana" w:hAnsi="Verdana"/>
          <w:color w:val="000000" w:themeColor="text1"/>
        </w:rPr>
      </w:pPr>
    </w:p>
    <w:p w14:paraId="21C6E3F0" w14:textId="001CCB4C" w:rsidR="007E6DED" w:rsidRDefault="007E6DED" w:rsidP="007E6DED">
      <w:pPr>
        <w:pStyle w:val="ListParagraph"/>
        <w:ind w:left="0"/>
        <w:rPr>
          <w:rFonts w:ascii="Verdana" w:hAnsi="Verdana"/>
          <w:color w:val="000000" w:themeColor="text1"/>
        </w:rPr>
      </w:pPr>
      <w:r>
        <w:rPr>
          <w:rFonts w:ascii="Verdana" w:hAnsi="Verdana"/>
          <w:color w:val="000000" w:themeColor="text1"/>
        </w:rPr>
        <w:t xml:space="preserve">Director </w:t>
      </w:r>
      <w:r w:rsidR="00A65173">
        <w:rPr>
          <w:rFonts w:ascii="Verdana" w:hAnsi="Verdana"/>
          <w:color w:val="000000" w:themeColor="text1"/>
        </w:rPr>
        <w:t>(</w:t>
      </w:r>
      <w:r>
        <w:rPr>
          <w:rFonts w:ascii="Verdana" w:hAnsi="Verdana"/>
          <w:color w:val="000000" w:themeColor="text1"/>
        </w:rPr>
        <w:t>Finance, Personnel</w:t>
      </w:r>
      <w:r w:rsidR="00A65173">
        <w:rPr>
          <w:rFonts w:ascii="Verdana" w:hAnsi="Verdana"/>
          <w:color w:val="000000" w:themeColor="text1"/>
        </w:rPr>
        <w:t xml:space="preserve"> and Corporate Affairs)</w:t>
      </w:r>
    </w:p>
    <w:p w14:paraId="66232CAD" w14:textId="77777777" w:rsidR="007E6DED" w:rsidRDefault="007E6DED" w:rsidP="007E6DED">
      <w:pPr>
        <w:pStyle w:val="ListParagraph"/>
        <w:ind w:left="0"/>
        <w:rPr>
          <w:rFonts w:ascii="Verdana" w:hAnsi="Verdana"/>
          <w:color w:val="000000" w:themeColor="text1"/>
        </w:rPr>
      </w:pPr>
      <w:r>
        <w:rPr>
          <w:rFonts w:ascii="Verdana" w:hAnsi="Verdana"/>
          <w:color w:val="000000" w:themeColor="text1"/>
        </w:rPr>
        <w:t xml:space="preserve">Northern Ireland Human Rights Commission </w:t>
      </w:r>
    </w:p>
    <w:p w14:paraId="6E75D56B" w14:textId="77777777" w:rsidR="00EF7F0B" w:rsidRDefault="00F235F9" w:rsidP="007E6DED">
      <w:pPr>
        <w:pStyle w:val="ListParagraph"/>
        <w:ind w:left="0"/>
        <w:rPr>
          <w:rFonts w:ascii="Verdana" w:hAnsi="Verdana"/>
          <w:color w:val="000000" w:themeColor="text1"/>
        </w:rPr>
      </w:pPr>
      <w:r>
        <w:rPr>
          <w:rFonts w:ascii="Verdana" w:hAnsi="Verdana"/>
          <w:color w:val="000000" w:themeColor="text1"/>
        </w:rPr>
        <w:t>4</w:t>
      </w:r>
      <w:r w:rsidRPr="00F235F9">
        <w:rPr>
          <w:rFonts w:ascii="Verdana" w:hAnsi="Verdana"/>
          <w:color w:val="000000" w:themeColor="text1"/>
          <w:vertAlign w:val="superscript"/>
        </w:rPr>
        <w:t>th</w:t>
      </w:r>
      <w:r>
        <w:rPr>
          <w:rFonts w:ascii="Verdana" w:hAnsi="Verdana"/>
          <w:color w:val="000000" w:themeColor="text1"/>
        </w:rPr>
        <w:t xml:space="preserve"> Floor, Alfred House</w:t>
      </w:r>
    </w:p>
    <w:p w14:paraId="39894B47" w14:textId="77777777" w:rsidR="00F235F9" w:rsidRDefault="00F235F9" w:rsidP="007E6DED">
      <w:pPr>
        <w:pStyle w:val="ListParagraph"/>
        <w:ind w:left="0"/>
        <w:rPr>
          <w:rFonts w:ascii="Verdana" w:hAnsi="Verdana"/>
          <w:color w:val="000000" w:themeColor="text1"/>
        </w:rPr>
      </w:pPr>
      <w:r>
        <w:rPr>
          <w:rFonts w:ascii="Verdana" w:hAnsi="Verdana"/>
          <w:color w:val="000000" w:themeColor="text1"/>
        </w:rPr>
        <w:t>19-21 Alfred Street</w:t>
      </w:r>
    </w:p>
    <w:p w14:paraId="6319C1BA" w14:textId="77777777" w:rsidR="00F235F9" w:rsidRDefault="00F235F9" w:rsidP="007E6DED">
      <w:pPr>
        <w:pStyle w:val="ListParagraph"/>
        <w:ind w:left="0"/>
        <w:rPr>
          <w:rFonts w:ascii="Verdana" w:hAnsi="Verdana"/>
          <w:color w:val="000000" w:themeColor="text1"/>
        </w:rPr>
      </w:pPr>
      <w:r>
        <w:rPr>
          <w:rFonts w:ascii="Verdana" w:hAnsi="Verdana"/>
          <w:color w:val="000000" w:themeColor="text1"/>
        </w:rPr>
        <w:t>Belfast</w:t>
      </w:r>
    </w:p>
    <w:p w14:paraId="6E29DBBA" w14:textId="77777777" w:rsidR="00F235F9" w:rsidRDefault="00F235F9" w:rsidP="007E6DED">
      <w:pPr>
        <w:pStyle w:val="ListParagraph"/>
        <w:ind w:left="0"/>
        <w:rPr>
          <w:rFonts w:ascii="Verdana" w:hAnsi="Verdana"/>
          <w:color w:val="000000" w:themeColor="text1"/>
        </w:rPr>
      </w:pPr>
      <w:r>
        <w:rPr>
          <w:rFonts w:ascii="Verdana" w:hAnsi="Verdana"/>
          <w:color w:val="000000" w:themeColor="text1"/>
        </w:rPr>
        <w:t>BT2 8ED</w:t>
      </w:r>
    </w:p>
    <w:p w14:paraId="56DF62A2" w14:textId="1A0EA368" w:rsidR="00317529" w:rsidRDefault="00317529">
      <w:pPr>
        <w:spacing w:line="259" w:lineRule="auto"/>
        <w:rPr>
          <w:rFonts w:ascii="Verdana" w:hAnsi="Verdana"/>
          <w:color w:val="000000" w:themeColor="text1"/>
        </w:rPr>
      </w:pPr>
      <w:r>
        <w:rPr>
          <w:rFonts w:ascii="Verdana" w:hAnsi="Verdana"/>
          <w:color w:val="000000" w:themeColor="text1"/>
        </w:rPr>
        <w:br w:type="page"/>
      </w:r>
    </w:p>
    <w:p w14:paraId="0BC2A1B8" w14:textId="27D5D2E6" w:rsidR="00317529" w:rsidRDefault="00317529" w:rsidP="000E6507">
      <w:pPr>
        <w:pStyle w:val="ListParagraph"/>
        <w:ind w:left="0"/>
        <w:jc w:val="center"/>
        <w:rPr>
          <w:rFonts w:ascii="Verdana" w:hAnsi="Verdana"/>
          <w:b/>
          <w:color w:val="7030A0"/>
        </w:rPr>
      </w:pPr>
      <w:r>
        <w:rPr>
          <w:rFonts w:ascii="Verdana" w:hAnsi="Verdana"/>
          <w:b/>
          <w:color w:val="7030A0"/>
        </w:rPr>
        <w:lastRenderedPageBreak/>
        <w:t>Appendix 4. The Northern Ireland Human Rights Commission</w:t>
      </w:r>
    </w:p>
    <w:p w14:paraId="44C2C6B1" w14:textId="77777777" w:rsidR="00317529" w:rsidRDefault="00317529" w:rsidP="00317529">
      <w:pPr>
        <w:pStyle w:val="ListParagraph"/>
        <w:ind w:left="0"/>
        <w:rPr>
          <w:rFonts w:ascii="Verdana" w:hAnsi="Verdana"/>
          <w:b/>
          <w:color w:val="7030A0"/>
        </w:rPr>
      </w:pPr>
      <w:r>
        <w:rPr>
          <w:rFonts w:ascii="Verdana" w:hAnsi="Verdana"/>
          <w:b/>
          <w:color w:val="7030A0"/>
        </w:rPr>
        <w:tab/>
      </w:r>
      <w:r>
        <w:rPr>
          <w:rFonts w:ascii="Verdana" w:hAnsi="Verdana"/>
          <w:b/>
          <w:color w:val="7030A0"/>
        </w:rPr>
        <w:tab/>
        <w:t xml:space="preserve">  </w:t>
      </w:r>
    </w:p>
    <w:p w14:paraId="3E9F9923" w14:textId="3BB9A330" w:rsidR="00EF7F0B" w:rsidRDefault="003C7A01" w:rsidP="003C7A01">
      <w:pPr>
        <w:pStyle w:val="ListParagraph"/>
        <w:ind w:left="0"/>
        <w:jc w:val="center"/>
        <w:rPr>
          <w:rFonts w:ascii="Verdana" w:hAnsi="Verdana"/>
          <w:b/>
          <w:color w:val="7030A0"/>
        </w:rPr>
      </w:pPr>
      <w:r>
        <w:rPr>
          <w:rFonts w:ascii="Verdana" w:hAnsi="Verdana"/>
          <w:b/>
          <w:color w:val="7030A0"/>
        </w:rPr>
        <w:t>Complying with a Subject Access Request</w:t>
      </w:r>
    </w:p>
    <w:p w14:paraId="3D2D3333" w14:textId="77777777" w:rsidR="005F1C99" w:rsidRDefault="005F1C99" w:rsidP="003C7A01">
      <w:pPr>
        <w:pStyle w:val="ListParagraph"/>
        <w:ind w:left="0"/>
        <w:jc w:val="center"/>
        <w:rPr>
          <w:rFonts w:ascii="Verdana" w:hAnsi="Verdana"/>
          <w:b/>
          <w:color w:val="7030A0"/>
        </w:rPr>
      </w:pPr>
    </w:p>
    <w:p w14:paraId="722524A5" w14:textId="7A22B58B" w:rsidR="005F1C99" w:rsidRDefault="002F3A2D" w:rsidP="005F1C99">
      <w:pPr>
        <w:pStyle w:val="ListParagraph"/>
        <w:ind w:left="0"/>
        <w:rPr>
          <w:rFonts w:ascii="Verdana" w:hAnsi="Verdana"/>
          <w:bCs/>
        </w:rPr>
      </w:pPr>
      <w:r>
        <w:rPr>
          <w:rFonts w:ascii="Verdana" w:hAnsi="Verdana"/>
          <w:bCs/>
        </w:rPr>
        <w:t>T</w:t>
      </w:r>
      <w:r w:rsidR="007D6ACC">
        <w:rPr>
          <w:rFonts w:ascii="Verdana" w:hAnsi="Verdana"/>
          <w:bCs/>
        </w:rPr>
        <w:t xml:space="preserve">o comply with Subject Access Requests, the </w:t>
      </w:r>
      <w:r w:rsidR="00092CF3">
        <w:rPr>
          <w:rFonts w:ascii="Verdana" w:hAnsi="Verdana"/>
          <w:bCs/>
        </w:rPr>
        <w:t>NIHRC</w:t>
      </w:r>
      <w:r w:rsidR="007D6ACC">
        <w:rPr>
          <w:rFonts w:ascii="Verdana" w:hAnsi="Verdana"/>
          <w:bCs/>
        </w:rPr>
        <w:t xml:space="preserve"> has the following checklist in place:</w:t>
      </w:r>
    </w:p>
    <w:p w14:paraId="13812B3F" w14:textId="77777777" w:rsidR="007D6ACC" w:rsidRDefault="007D6ACC" w:rsidP="005F1C99">
      <w:pPr>
        <w:pStyle w:val="ListParagraph"/>
        <w:ind w:left="0"/>
        <w:rPr>
          <w:rFonts w:ascii="Verdana" w:hAnsi="Verdana"/>
          <w:bCs/>
        </w:rPr>
      </w:pPr>
    </w:p>
    <w:p w14:paraId="7ECCCB43" w14:textId="209B8B6F" w:rsidR="007D6ACC" w:rsidRDefault="004E302A" w:rsidP="007D6ACC">
      <w:pPr>
        <w:pStyle w:val="ListParagraph"/>
        <w:numPr>
          <w:ilvl w:val="0"/>
          <w:numId w:val="38"/>
        </w:numPr>
        <w:rPr>
          <w:rFonts w:ascii="Verdana" w:hAnsi="Verdana"/>
          <w:bCs/>
        </w:rPr>
      </w:pPr>
      <w:r>
        <w:rPr>
          <w:rFonts w:ascii="Verdana" w:hAnsi="Verdana"/>
          <w:bCs/>
        </w:rPr>
        <w:t>Respond to a subject access request without undue delay and within one month of receipt.</w:t>
      </w:r>
      <w:r w:rsidR="007B46A8">
        <w:rPr>
          <w:rFonts w:ascii="Verdana" w:hAnsi="Verdana"/>
          <w:bCs/>
        </w:rPr>
        <w:t xml:space="preserve">  This can be extended by a further two months if the request is complex or the </w:t>
      </w:r>
      <w:r w:rsidR="00092CF3">
        <w:rPr>
          <w:rFonts w:ascii="Verdana" w:hAnsi="Verdana"/>
          <w:bCs/>
        </w:rPr>
        <w:t>NIHRC</w:t>
      </w:r>
      <w:r w:rsidR="007B46A8">
        <w:rPr>
          <w:rFonts w:ascii="Verdana" w:hAnsi="Verdana"/>
          <w:bCs/>
        </w:rPr>
        <w:t xml:space="preserve"> has received </w:t>
      </w:r>
      <w:proofErr w:type="gramStart"/>
      <w:r w:rsidR="007B46A8">
        <w:rPr>
          <w:rFonts w:ascii="Verdana" w:hAnsi="Verdana"/>
          <w:bCs/>
        </w:rPr>
        <w:t>a number of</w:t>
      </w:r>
      <w:proofErr w:type="gramEnd"/>
      <w:r w:rsidR="007B46A8">
        <w:rPr>
          <w:rFonts w:ascii="Verdana" w:hAnsi="Verdana"/>
          <w:bCs/>
        </w:rPr>
        <w:t xml:space="preserve"> requests from the individual</w:t>
      </w:r>
      <w:r w:rsidR="003C2DD3">
        <w:rPr>
          <w:rFonts w:ascii="Verdana" w:hAnsi="Verdana"/>
          <w:bCs/>
        </w:rPr>
        <w:t xml:space="preserve">, </w:t>
      </w:r>
      <w:proofErr w:type="spellStart"/>
      <w:r w:rsidR="003C2DD3">
        <w:rPr>
          <w:rFonts w:ascii="Verdana" w:hAnsi="Verdana"/>
          <w:bCs/>
        </w:rPr>
        <w:t>eg</w:t>
      </w:r>
      <w:proofErr w:type="spellEnd"/>
      <w:r w:rsidR="003C2DD3">
        <w:rPr>
          <w:rFonts w:ascii="Verdana" w:hAnsi="Verdana"/>
          <w:bCs/>
        </w:rPr>
        <w:t xml:space="preserve"> other types of requests relating to individuals’ rights.</w:t>
      </w:r>
      <w:r w:rsidR="00632279">
        <w:rPr>
          <w:rFonts w:ascii="Verdana" w:hAnsi="Verdana"/>
          <w:bCs/>
        </w:rPr>
        <w:br/>
      </w:r>
    </w:p>
    <w:p w14:paraId="4D23D12B" w14:textId="79665222" w:rsidR="00632279" w:rsidRDefault="00632279" w:rsidP="007D6ACC">
      <w:pPr>
        <w:pStyle w:val="ListParagraph"/>
        <w:numPr>
          <w:ilvl w:val="0"/>
          <w:numId w:val="38"/>
        </w:numPr>
        <w:rPr>
          <w:rFonts w:ascii="Verdana" w:hAnsi="Verdana"/>
          <w:bCs/>
        </w:rPr>
      </w:pPr>
      <w:r>
        <w:rPr>
          <w:rFonts w:ascii="Verdana" w:hAnsi="Verdana"/>
          <w:bCs/>
        </w:rPr>
        <w:t>Understand how to perform a reasonable search for the information.</w:t>
      </w:r>
      <w:r w:rsidR="00DB67F5">
        <w:rPr>
          <w:rFonts w:ascii="Verdana" w:hAnsi="Verdana"/>
          <w:bCs/>
        </w:rPr>
        <w:t xml:space="preserve">  The </w:t>
      </w:r>
      <w:r w:rsidR="00092CF3">
        <w:rPr>
          <w:rFonts w:ascii="Verdana" w:hAnsi="Verdana"/>
          <w:bCs/>
        </w:rPr>
        <w:t>NIHRC</w:t>
      </w:r>
      <w:r w:rsidR="00DB67F5">
        <w:rPr>
          <w:rFonts w:ascii="Verdana" w:hAnsi="Verdana"/>
          <w:bCs/>
        </w:rPr>
        <w:t xml:space="preserve"> should make reasonable efforts to find and retrieve the requested information</w:t>
      </w:r>
      <w:r w:rsidR="005F41F2">
        <w:rPr>
          <w:rFonts w:ascii="Verdana" w:hAnsi="Verdana"/>
          <w:bCs/>
        </w:rPr>
        <w:t xml:space="preserve">.  However, the </w:t>
      </w:r>
      <w:r w:rsidR="00092CF3">
        <w:rPr>
          <w:rFonts w:ascii="Verdana" w:hAnsi="Verdana"/>
          <w:bCs/>
        </w:rPr>
        <w:t>NIHRC</w:t>
      </w:r>
      <w:r w:rsidR="005F41F2">
        <w:rPr>
          <w:rFonts w:ascii="Verdana" w:hAnsi="Verdana"/>
          <w:bCs/>
        </w:rPr>
        <w:t xml:space="preserve"> is not required to conduct searches that would be unreasonable or disproportionate to the importance of providing access to the information.</w:t>
      </w:r>
      <w:r>
        <w:rPr>
          <w:rFonts w:ascii="Verdana" w:hAnsi="Verdana"/>
          <w:bCs/>
        </w:rPr>
        <w:br/>
      </w:r>
    </w:p>
    <w:p w14:paraId="49C4BDF3" w14:textId="6569E819" w:rsidR="00632279" w:rsidRDefault="00632279" w:rsidP="007D6ACC">
      <w:pPr>
        <w:pStyle w:val="ListParagraph"/>
        <w:numPr>
          <w:ilvl w:val="0"/>
          <w:numId w:val="38"/>
        </w:numPr>
        <w:rPr>
          <w:rFonts w:ascii="Verdana" w:hAnsi="Verdana"/>
          <w:bCs/>
        </w:rPr>
      </w:pPr>
      <w:r>
        <w:rPr>
          <w:rFonts w:ascii="Verdana" w:hAnsi="Verdana"/>
          <w:bCs/>
        </w:rPr>
        <w:t>Understand what we need to consider if a third party makes a request on behalf of an individual.</w:t>
      </w:r>
      <w:r w:rsidR="003C14C0">
        <w:rPr>
          <w:rFonts w:ascii="Verdana" w:hAnsi="Verdana"/>
          <w:bCs/>
        </w:rPr>
        <w:t xml:space="preserve">  The </w:t>
      </w:r>
      <w:r w:rsidR="00092CF3">
        <w:rPr>
          <w:rFonts w:ascii="Verdana" w:hAnsi="Verdana"/>
          <w:bCs/>
        </w:rPr>
        <w:t>NIHRC</w:t>
      </w:r>
      <w:r w:rsidR="003C14C0">
        <w:rPr>
          <w:rFonts w:ascii="Verdana" w:hAnsi="Verdana"/>
          <w:bCs/>
        </w:rPr>
        <w:t xml:space="preserve"> </w:t>
      </w:r>
      <w:r w:rsidR="00902482">
        <w:rPr>
          <w:rFonts w:ascii="Verdana" w:hAnsi="Verdana"/>
          <w:bCs/>
        </w:rPr>
        <w:t>needs to be satisfied that the third party making the request is entitled to act on behalf of the individual</w:t>
      </w:r>
      <w:r w:rsidR="00AF4EB8">
        <w:rPr>
          <w:rFonts w:ascii="Verdana" w:hAnsi="Verdana"/>
          <w:bCs/>
        </w:rPr>
        <w:t>.</w:t>
      </w:r>
      <w:r w:rsidR="00F47D6C">
        <w:rPr>
          <w:rFonts w:ascii="Verdana" w:hAnsi="Verdana"/>
          <w:bCs/>
        </w:rPr>
        <w:t xml:space="preserve"> It is the third party’s responsibility to provide evidence of their authority.</w:t>
      </w:r>
      <w:r>
        <w:rPr>
          <w:rFonts w:ascii="Verdana" w:hAnsi="Verdana"/>
          <w:bCs/>
        </w:rPr>
        <w:br/>
      </w:r>
    </w:p>
    <w:p w14:paraId="7222F9EA" w14:textId="4F9D3145" w:rsidR="00632279" w:rsidRDefault="006518D2" w:rsidP="007D6ACC">
      <w:pPr>
        <w:pStyle w:val="ListParagraph"/>
        <w:numPr>
          <w:ilvl w:val="0"/>
          <w:numId w:val="38"/>
        </w:numPr>
        <w:rPr>
          <w:rFonts w:ascii="Verdana" w:hAnsi="Verdana"/>
          <w:bCs/>
        </w:rPr>
      </w:pPr>
      <w:r>
        <w:rPr>
          <w:rFonts w:ascii="Verdana" w:hAnsi="Verdana"/>
          <w:bCs/>
        </w:rPr>
        <w:t>Are</w:t>
      </w:r>
      <w:r w:rsidR="00F3798A">
        <w:rPr>
          <w:rFonts w:ascii="Verdana" w:hAnsi="Verdana"/>
          <w:bCs/>
        </w:rPr>
        <w:t xml:space="preserve"> aware of the circumstances in which the </w:t>
      </w:r>
      <w:r w:rsidR="00092CF3">
        <w:rPr>
          <w:rFonts w:ascii="Verdana" w:hAnsi="Verdana"/>
          <w:bCs/>
        </w:rPr>
        <w:t>NIHRC</w:t>
      </w:r>
      <w:r w:rsidR="00F3798A">
        <w:rPr>
          <w:rFonts w:ascii="Verdana" w:hAnsi="Verdana"/>
          <w:bCs/>
        </w:rPr>
        <w:t xml:space="preserve"> can extend the time limit to respond to a request.</w:t>
      </w:r>
      <w:r w:rsidR="001641DA">
        <w:rPr>
          <w:rFonts w:ascii="Verdana" w:hAnsi="Verdana"/>
          <w:bCs/>
        </w:rPr>
        <w:t xml:space="preserve">  The </w:t>
      </w:r>
      <w:r w:rsidR="00092CF3">
        <w:rPr>
          <w:rFonts w:ascii="Verdana" w:hAnsi="Verdana"/>
          <w:bCs/>
        </w:rPr>
        <w:t>NIHRC</w:t>
      </w:r>
      <w:r w:rsidR="001641DA">
        <w:rPr>
          <w:rFonts w:ascii="Verdana" w:hAnsi="Verdana"/>
          <w:bCs/>
        </w:rPr>
        <w:t xml:space="preserve"> can extend by a further two months if the request is complex or the </w:t>
      </w:r>
      <w:r w:rsidR="00092CF3">
        <w:rPr>
          <w:rFonts w:ascii="Verdana" w:hAnsi="Verdana"/>
          <w:bCs/>
        </w:rPr>
        <w:t>NIHRC</w:t>
      </w:r>
      <w:r w:rsidR="001641DA">
        <w:rPr>
          <w:rFonts w:ascii="Verdana" w:hAnsi="Verdana"/>
          <w:bCs/>
        </w:rPr>
        <w:t xml:space="preserve"> has received </w:t>
      </w:r>
      <w:proofErr w:type="gramStart"/>
      <w:r w:rsidR="001641DA">
        <w:rPr>
          <w:rFonts w:ascii="Verdana" w:hAnsi="Verdana"/>
          <w:bCs/>
        </w:rPr>
        <w:t>a number of</w:t>
      </w:r>
      <w:proofErr w:type="gramEnd"/>
      <w:r w:rsidR="001641DA">
        <w:rPr>
          <w:rFonts w:ascii="Verdana" w:hAnsi="Verdana"/>
          <w:bCs/>
        </w:rPr>
        <w:t xml:space="preserve"> requests from the individual, </w:t>
      </w:r>
      <w:proofErr w:type="spellStart"/>
      <w:r w:rsidR="001641DA">
        <w:rPr>
          <w:rFonts w:ascii="Verdana" w:hAnsi="Verdana"/>
          <w:bCs/>
        </w:rPr>
        <w:t>eg</w:t>
      </w:r>
      <w:proofErr w:type="spellEnd"/>
      <w:r w:rsidR="001641DA">
        <w:rPr>
          <w:rFonts w:ascii="Verdana" w:hAnsi="Verdana"/>
          <w:bCs/>
        </w:rPr>
        <w:t xml:space="preserve"> other types of requests relating to individuals’ rights.</w:t>
      </w:r>
      <w:r w:rsidR="001641DA">
        <w:rPr>
          <w:rFonts w:ascii="Verdana" w:hAnsi="Verdana"/>
          <w:bCs/>
        </w:rPr>
        <w:br/>
      </w:r>
    </w:p>
    <w:p w14:paraId="39575C6A" w14:textId="017728EA" w:rsidR="00F3798A" w:rsidRDefault="00141962" w:rsidP="007D6ACC">
      <w:pPr>
        <w:pStyle w:val="ListParagraph"/>
        <w:numPr>
          <w:ilvl w:val="0"/>
          <w:numId w:val="38"/>
        </w:numPr>
        <w:rPr>
          <w:rFonts w:ascii="Verdana" w:hAnsi="Verdana"/>
          <w:bCs/>
        </w:rPr>
      </w:pPr>
      <w:r>
        <w:rPr>
          <w:rFonts w:ascii="Verdana" w:hAnsi="Verdana"/>
          <w:bCs/>
        </w:rPr>
        <w:t>Understand how to assess whether a child is mature enough to understand their rights.</w:t>
      </w:r>
      <w:r w:rsidR="00E30A86">
        <w:rPr>
          <w:rFonts w:ascii="Verdana" w:hAnsi="Verdana"/>
          <w:bCs/>
        </w:rPr>
        <w:t xml:space="preserve">  The </w:t>
      </w:r>
      <w:r w:rsidR="00092CF3">
        <w:rPr>
          <w:rFonts w:ascii="Verdana" w:hAnsi="Verdana"/>
          <w:bCs/>
        </w:rPr>
        <w:t>NIHRC</w:t>
      </w:r>
      <w:r w:rsidR="00E30A86">
        <w:rPr>
          <w:rFonts w:ascii="Verdana" w:hAnsi="Verdana"/>
          <w:bCs/>
        </w:rPr>
        <w:t xml:space="preserve"> will respond </w:t>
      </w:r>
      <w:r w:rsidR="0032692D">
        <w:rPr>
          <w:rFonts w:ascii="Verdana" w:hAnsi="Verdana"/>
          <w:bCs/>
        </w:rPr>
        <w:t xml:space="preserve">directly to the child if </w:t>
      </w:r>
      <w:r w:rsidR="003936FA">
        <w:rPr>
          <w:rFonts w:ascii="Verdana" w:hAnsi="Verdana"/>
          <w:bCs/>
        </w:rPr>
        <w:t xml:space="preserve">it is confident that the child </w:t>
      </w:r>
      <w:r w:rsidR="009B64DC">
        <w:rPr>
          <w:rFonts w:ascii="Verdana" w:hAnsi="Verdana"/>
          <w:bCs/>
        </w:rPr>
        <w:t xml:space="preserve">can understand their rights.  </w:t>
      </w:r>
      <w:r w:rsidR="009911CB">
        <w:rPr>
          <w:rFonts w:ascii="Verdana" w:hAnsi="Verdana"/>
          <w:bCs/>
        </w:rPr>
        <w:t xml:space="preserve">The </w:t>
      </w:r>
      <w:r w:rsidR="00092CF3">
        <w:rPr>
          <w:rFonts w:ascii="Verdana" w:hAnsi="Verdana"/>
          <w:bCs/>
        </w:rPr>
        <w:t>NIHRC</w:t>
      </w:r>
      <w:r w:rsidR="009911CB">
        <w:rPr>
          <w:rFonts w:ascii="Verdana" w:hAnsi="Verdana"/>
          <w:bCs/>
        </w:rPr>
        <w:t xml:space="preserve"> may all</w:t>
      </w:r>
      <w:r w:rsidR="007C2A33">
        <w:rPr>
          <w:rFonts w:ascii="Verdana" w:hAnsi="Verdana"/>
          <w:bCs/>
        </w:rPr>
        <w:t>ow the parent or guardian to exercise the child’s rights on their behalf if the child authorises it, or if it is evident that this is</w:t>
      </w:r>
      <w:r w:rsidR="006A0E7F">
        <w:rPr>
          <w:rFonts w:ascii="Verdana" w:hAnsi="Verdana"/>
          <w:bCs/>
        </w:rPr>
        <w:t xml:space="preserve"> in the best interests of the child.  If a child is competent, they may authorise someone else, other than a parent or guardian, to make the request on their behalf.</w:t>
      </w:r>
    </w:p>
    <w:p w14:paraId="4AFFE5A5" w14:textId="77777777" w:rsidR="00141962" w:rsidRPr="00141962" w:rsidRDefault="00141962" w:rsidP="00141962">
      <w:pPr>
        <w:pStyle w:val="ListParagraph"/>
        <w:rPr>
          <w:rFonts w:ascii="Verdana" w:hAnsi="Verdana"/>
          <w:bCs/>
        </w:rPr>
      </w:pPr>
    </w:p>
    <w:p w14:paraId="637D817C" w14:textId="53695673" w:rsidR="00141962" w:rsidRPr="00141962" w:rsidRDefault="00141962" w:rsidP="00141962">
      <w:pPr>
        <w:pStyle w:val="ListParagraph"/>
        <w:numPr>
          <w:ilvl w:val="0"/>
          <w:numId w:val="38"/>
        </w:numPr>
        <w:rPr>
          <w:rFonts w:ascii="Verdana" w:hAnsi="Verdana"/>
          <w:bCs/>
        </w:rPr>
      </w:pPr>
      <w:r>
        <w:rPr>
          <w:rFonts w:ascii="Verdana" w:hAnsi="Verdana"/>
          <w:bCs/>
        </w:rPr>
        <w:t xml:space="preserve">Understand that there is a particular emphasis on using clear and plain language if the </w:t>
      </w:r>
      <w:r w:rsidR="00092CF3">
        <w:rPr>
          <w:rFonts w:ascii="Verdana" w:hAnsi="Verdana"/>
          <w:bCs/>
        </w:rPr>
        <w:t>NIHRC</w:t>
      </w:r>
      <w:r>
        <w:rPr>
          <w:rFonts w:ascii="Verdana" w:hAnsi="Verdana"/>
          <w:bCs/>
        </w:rPr>
        <w:t xml:space="preserve"> is disclosing information to a child.</w:t>
      </w:r>
      <w:r>
        <w:rPr>
          <w:rFonts w:ascii="Verdana" w:hAnsi="Verdana"/>
          <w:bCs/>
        </w:rPr>
        <w:br/>
      </w:r>
    </w:p>
    <w:p w14:paraId="38E8C25F" w14:textId="78078561" w:rsidR="00371CBE" w:rsidRDefault="00371CBE" w:rsidP="00371CBE">
      <w:pPr>
        <w:pStyle w:val="ListParagraph"/>
        <w:numPr>
          <w:ilvl w:val="0"/>
          <w:numId w:val="38"/>
        </w:numPr>
        <w:rPr>
          <w:rFonts w:ascii="Verdana" w:hAnsi="Verdana"/>
          <w:bCs/>
        </w:rPr>
      </w:pPr>
      <w:r>
        <w:rPr>
          <w:rFonts w:ascii="Verdana" w:hAnsi="Verdana"/>
          <w:bCs/>
        </w:rPr>
        <w:t xml:space="preserve">Understand that the </w:t>
      </w:r>
      <w:r w:rsidR="00092CF3">
        <w:rPr>
          <w:rFonts w:ascii="Verdana" w:hAnsi="Verdana"/>
          <w:bCs/>
        </w:rPr>
        <w:t>NIHRC</w:t>
      </w:r>
      <w:r>
        <w:rPr>
          <w:rFonts w:ascii="Verdana" w:hAnsi="Verdana"/>
          <w:bCs/>
        </w:rPr>
        <w:t xml:space="preserve"> needs to consider if a request includes information about others.</w:t>
      </w:r>
      <w:r w:rsidR="00461951">
        <w:rPr>
          <w:rFonts w:ascii="Verdana" w:hAnsi="Verdana"/>
          <w:bCs/>
        </w:rPr>
        <w:t xml:space="preserve">  The </w:t>
      </w:r>
      <w:r w:rsidR="00092CF3">
        <w:rPr>
          <w:rFonts w:ascii="Verdana" w:hAnsi="Verdana"/>
          <w:bCs/>
        </w:rPr>
        <w:t>NIHRC</w:t>
      </w:r>
      <w:r w:rsidR="00461951">
        <w:rPr>
          <w:rFonts w:ascii="Verdana" w:hAnsi="Verdana"/>
          <w:bCs/>
        </w:rPr>
        <w:t xml:space="preserve"> should understand whether it is possible to comply with the request without disclosing information that identifies another individual.</w:t>
      </w:r>
      <w:r w:rsidR="0050761B">
        <w:rPr>
          <w:rFonts w:ascii="Verdana" w:hAnsi="Verdana"/>
          <w:bCs/>
        </w:rPr>
        <w:t xml:space="preserve">  If this is not possible, the </w:t>
      </w:r>
      <w:r w:rsidR="00092CF3">
        <w:rPr>
          <w:rFonts w:ascii="Verdana" w:hAnsi="Verdana"/>
          <w:bCs/>
        </w:rPr>
        <w:t>NIHRC</w:t>
      </w:r>
      <w:r w:rsidR="0050761B">
        <w:rPr>
          <w:rFonts w:ascii="Verdana" w:hAnsi="Verdana"/>
          <w:bCs/>
        </w:rPr>
        <w:t xml:space="preserve"> does not have to comply with the request except where the other individual consents to the disclosure or it is reasonable to comply with the request without that individual’s consent.</w:t>
      </w:r>
      <w:r w:rsidR="00E86CD8">
        <w:rPr>
          <w:rFonts w:ascii="Verdana" w:hAnsi="Verdana"/>
          <w:bCs/>
        </w:rPr>
        <w:t xml:space="preserve">  The </w:t>
      </w:r>
      <w:r w:rsidR="00092CF3">
        <w:rPr>
          <w:rFonts w:ascii="Verdana" w:hAnsi="Verdana"/>
          <w:bCs/>
        </w:rPr>
        <w:t>NIHRC</w:t>
      </w:r>
      <w:r w:rsidR="00E86CD8">
        <w:rPr>
          <w:rFonts w:ascii="Verdana" w:hAnsi="Verdana"/>
          <w:bCs/>
        </w:rPr>
        <w:t xml:space="preserve"> will respond to the requester </w:t>
      </w:r>
      <w:proofErr w:type="gramStart"/>
      <w:r w:rsidR="00847E4D">
        <w:rPr>
          <w:rFonts w:ascii="Verdana" w:hAnsi="Verdana"/>
          <w:bCs/>
        </w:rPr>
        <w:t>whether or not</w:t>
      </w:r>
      <w:proofErr w:type="gramEnd"/>
      <w:r w:rsidR="00847E4D">
        <w:rPr>
          <w:rFonts w:ascii="Verdana" w:hAnsi="Verdana"/>
          <w:bCs/>
        </w:rPr>
        <w:t xml:space="preserve"> it decides to disclose information about a third party.  The </w:t>
      </w:r>
      <w:r w:rsidR="00092CF3">
        <w:rPr>
          <w:rFonts w:ascii="Verdana" w:hAnsi="Verdana"/>
          <w:bCs/>
        </w:rPr>
        <w:t>NIHRC</w:t>
      </w:r>
      <w:r w:rsidR="00847E4D">
        <w:rPr>
          <w:rFonts w:ascii="Verdana" w:hAnsi="Verdana"/>
          <w:bCs/>
        </w:rPr>
        <w:t xml:space="preserve"> must be able to justify</w:t>
      </w:r>
      <w:r w:rsidR="00974A9D">
        <w:rPr>
          <w:rFonts w:ascii="Verdana" w:hAnsi="Verdana"/>
          <w:bCs/>
        </w:rPr>
        <w:t xml:space="preserve"> the decision to disclose or </w:t>
      </w:r>
      <w:r w:rsidR="00974A9D">
        <w:rPr>
          <w:rFonts w:ascii="Verdana" w:hAnsi="Verdana"/>
          <w:bCs/>
        </w:rPr>
        <w:lastRenderedPageBreak/>
        <w:t>withhold information about a third party, and a record will be kept of what has been decided and why.</w:t>
      </w:r>
      <w:r>
        <w:rPr>
          <w:rFonts w:ascii="Verdana" w:hAnsi="Verdana"/>
          <w:bCs/>
        </w:rPr>
        <w:br/>
      </w:r>
    </w:p>
    <w:p w14:paraId="635341A5" w14:textId="048C42CA" w:rsidR="00371CBE" w:rsidRPr="00371CBE" w:rsidRDefault="00D41AB9" w:rsidP="00371CBE">
      <w:pPr>
        <w:pStyle w:val="ListParagraph"/>
        <w:numPr>
          <w:ilvl w:val="0"/>
          <w:numId w:val="38"/>
        </w:numPr>
        <w:rPr>
          <w:rFonts w:ascii="Verdana" w:hAnsi="Verdana"/>
          <w:bCs/>
        </w:rPr>
      </w:pPr>
      <w:r>
        <w:rPr>
          <w:rFonts w:ascii="Verdana" w:hAnsi="Verdana"/>
          <w:bCs/>
        </w:rPr>
        <w:t xml:space="preserve">The </w:t>
      </w:r>
      <w:r w:rsidR="00092CF3">
        <w:rPr>
          <w:rFonts w:ascii="Verdana" w:hAnsi="Verdana"/>
          <w:bCs/>
        </w:rPr>
        <w:t>NIHRC</w:t>
      </w:r>
      <w:r>
        <w:rPr>
          <w:rFonts w:ascii="Verdana" w:hAnsi="Verdana"/>
          <w:bCs/>
        </w:rPr>
        <w:t xml:space="preserve"> </w:t>
      </w:r>
      <w:proofErr w:type="gramStart"/>
      <w:r>
        <w:rPr>
          <w:rFonts w:ascii="Verdana" w:hAnsi="Verdana"/>
          <w:bCs/>
        </w:rPr>
        <w:t>is able to</w:t>
      </w:r>
      <w:proofErr w:type="gramEnd"/>
      <w:r>
        <w:rPr>
          <w:rFonts w:ascii="Verdana" w:hAnsi="Verdana"/>
          <w:bCs/>
        </w:rPr>
        <w:t xml:space="preserve"> deliver the information securely to an individual, and in the correct format.</w:t>
      </w:r>
      <w:r w:rsidR="001F1E83">
        <w:rPr>
          <w:rFonts w:ascii="Verdana" w:hAnsi="Verdana"/>
          <w:bCs/>
        </w:rPr>
        <w:t xml:space="preserve">  </w:t>
      </w:r>
      <w:r w:rsidR="008E2496">
        <w:rPr>
          <w:rFonts w:ascii="Verdana" w:hAnsi="Verdana"/>
          <w:bCs/>
        </w:rPr>
        <w:t xml:space="preserve">The method in which the </w:t>
      </w:r>
      <w:r w:rsidR="00092CF3">
        <w:rPr>
          <w:rFonts w:ascii="Verdana" w:hAnsi="Verdana"/>
          <w:bCs/>
        </w:rPr>
        <w:t>NIHRC</w:t>
      </w:r>
      <w:r w:rsidR="008E2496">
        <w:rPr>
          <w:rFonts w:ascii="Verdana" w:hAnsi="Verdana"/>
          <w:bCs/>
        </w:rPr>
        <w:t xml:space="preserve"> provides the information to the individual will, in part, be guided by any request they have made about what format they would like to receive it</w:t>
      </w:r>
      <w:r w:rsidR="00EF175A">
        <w:rPr>
          <w:rFonts w:ascii="Verdana" w:hAnsi="Verdana"/>
          <w:bCs/>
        </w:rPr>
        <w:t xml:space="preserve">.  If the </w:t>
      </w:r>
      <w:r w:rsidR="00092CF3">
        <w:rPr>
          <w:rFonts w:ascii="Verdana" w:hAnsi="Verdana"/>
          <w:bCs/>
        </w:rPr>
        <w:t>NIHRC</w:t>
      </w:r>
      <w:r w:rsidR="00EF175A">
        <w:rPr>
          <w:rFonts w:ascii="Verdana" w:hAnsi="Verdana"/>
          <w:bCs/>
        </w:rPr>
        <w:t xml:space="preserve"> has any concern</w:t>
      </w:r>
      <w:r w:rsidR="00A25D00">
        <w:rPr>
          <w:rFonts w:ascii="Verdana" w:hAnsi="Verdana"/>
          <w:bCs/>
        </w:rPr>
        <w:t>s over the method that the individual has requested to be used</w:t>
      </w:r>
      <w:r w:rsidR="00342F90">
        <w:rPr>
          <w:rFonts w:ascii="Verdana" w:hAnsi="Verdana"/>
          <w:bCs/>
        </w:rPr>
        <w:t>, it will contact them, explain the concerns and ask for an alternative address or method of providing the information.</w:t>
      </w:r>
      <w:r w:rsidR="00C11DA9">
        <w:rPr>
          <w:rFonts w:ascii="Verdana" w:hAnsi="Verdana"/>
          <w:bCs/>
        </w:rPr>
        <w:t xml:space="preserve">  If this is not possible, and the information is being provided electronically</w:t>
      </w:r>
      <w:r w:rsidR="00562DB6">
        <w:rPr>
          <w:rFonts w:ascii="Verdana" w:hAnsi="Verdana"/>
          <w:bCs/>
        </w:rPr>
        <w:t xml:space="preserve">, consideration will be given to providing it in an encrypted form, followed by a password </w:t>
      </w:r>
      <w:r w:rsidR="00EE3393">
        <w:rPr>
          <w:rFonts w:ascii="Verdana" w:hAnsi="Verdana"/>
          <w:bCs/>
        </w:rPr>
        <w:t xml:space="preserve">being shared separately.  The </w:t>
      </w:r>
      <w:r w:rsidR="00092CF3">
        <w:rPr>
          <w:rFonts w:ascii="Verdana" w:hAnsi="Verdana"/>
          <w:bCs/>
        </w:rPr>
        <w:t>NIHRC</w:t>
      </w:r>
      <w:r w:rsidR="00EE3393">
        <w:rPr>
          <w:rFonts w:ascii="Verdana" w:hAnsi="Verdana"/>
          <w:bCs/>
        </w:rPr>
        <w:t xml:space="preserve"> notes that this depends on the nature and sensitivity of the information.</w:t>
      </w:r>
      <w:r w:rsidR="002D249D">
        <w:rPr>
          <w:rFonts w:ascii="Verdana" w:hAnsi="Verdana"/>
          <w:bCs/>
        </w:rPr>
        <w:t xml:space="preserve">  The </w:t>
      </w:r>
      <w:r w:rsidR="00092CF3">
        <w:rPr>
          <w:rFonts w:ascii="Verdana" w:hAnsi="Verdana"/>
          <w:bCs/>
        </w:rPr>
        <w:t>NIHRC</w:t>
      </w:r>
      <w:r w:rsidR="002D249D">
        <w:rPr>
          <w:rFonts w:ascii="Verdana" w:hAnsi="Verdana"/>
          <w:bCs/>
        </w:rPr>
        <w:t xml:space="preserve"> may also consider delivery by post and consideration will be given to special delivery or courier service</w:t>
      </w:r>
      <w:r w:rsidR="00AF10D5">
        <w:rPr>
          <w:rFonts w:ascii="Verdana" w:hAnsi="Verdana"/>
          <w:bCs/>
        </w:rPr>
        <w:t>, depending on the nature and sensitivity of the information.</w:t>
      </w:r>
      <w:r w:rsidR="004465E8">
        <w:rPr>
          <w:rFonts w:ascii="Verdana" w:hAnsi="Verdana"/>
          <w:bCs/>
        </w:rPr>
        <w:t xml:space="preserve"> </w:t>
      </w:r>
    </w:p>
    <w:sectPr w:rsidR="00371CBE" w:rsidRPr="00371CBE">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748E" w14:textId="77777777" w:rsidR="001512A1" w:rsidRDefault="001512A1" w:rsidP="008D3A99">
      <w:pPr>
        <w:spacing w:after="0" w:line="240" w:lineRule="auto"/>
      </w:pPr>
      <w:r>
        <w:separator/>
      </w:r>
    </w:p>
  </w:endnote>
  <w:endnote w:type="continuationSeparator" w:id="0">
    <w:p w14:paraId="3554C219" w14:textId="77777777" w:rsidR="001512A1" w:rsidRDefault="001512A1" w:rsidP="008D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374375"/>
      <w:docPartObj>
        <w:docPartGallery w:val="Page Numbers (Bottom of Page)"/>
        <w:docPartUnique/>
      </w:docPartObj>
    </w:sdtPr>
    <w:sdtEndPr>
      <w:rPr>
        <w:noProof/>
      </w:rPr>
    </w:sdtEndPr>
    <w:sdtContent>
      <w:p w14:paraId="244232E1" w14:textId="77777777" w:rsidR="005F0F9B" w:rsidRDefault="005F0F9B">
        <w:pPr>
          <w:pStyle w:val="Footer"/>
          <w:jc w:val="right"/>
        </w:pPr>
        <w:r>
          <w:fldChar w:fldCharType="begin"/>
        </w:r>
        <w:r>
          <w:instrText xml:space="preserve"> PAGE   \* MERGEFORMAT </w:instrText>
        </w:r>
        <w:r>
          <w:fldChar w:fldCharType="separate"/>
        </w:r>
        <w:r w:rsidR="00566AC5">
          <w:rPr>
            <w:noProof/>
          </w:rPr>
          <w:t>21</w:t>
        </w:r>
        <w:r>
          <w:rPr>
            <w:noProof/>
          </w:rPr>
          <w:fldChar w:fldCharType="end"/>
        </w:r>
      </w:p>
    </w:sdtContent>
  </w:sdt>
  <w:p w14:paraId="1AA6A8EC" w14:textId="77777777" w:rsidR="005F0F9B" w:rsidRDefault="005F0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BEB3" w14:textId="77777777" w:rsidR="001512A1" w:rsidRDefault="001512A1" w:rsidP="008D3A99">
      <w:pPr>
        <w:spacing w:after="0" w:line="240" w:lineRule="auto"/>
      </w:pPr>
      <w:r>
        <w:separator/>
      </w:r>
    </w:p>
  </w:footnote>
  <w:footnote w:type="continuationSeparator" w:id="0">
    <w:p w14:paraId="61D090BA" w14:textId="77777777" w:rsidR="001512A1" w:rsidRDefault="001512A1" w:rsidP="008D3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45F"/>
    <w:multiLevelType w:val="hybridMultilevel"/>
    <w:tmpl w:val="C2BA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74EB0"/>
    <w:multiLevelType w:val="hybridMultilevel"/>
    <w:tmpl w:val="169A8DE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 w15:restartNumberingAfterBreak="0">
    <w:nsid w:val="0CF836B2"/>
    <w:multiLevelType w:val="hybridMultilevel"/>
    <w:tmpl w:val="54A6B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35B2E"/>
    <w:multiLevelType w:val="hybridMultilevel"/>
    <w:tmpl w:val="9EB4DDF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 w15:restartNumberingAfterBreak="0">
    <w:nsid w:val="18E6598C"/>
    <w:multiLevelType w:val="hybridMultilevel"/>
    <w:tmpl w:val="B33803E0"/>
    <w:lvl w:ilvl="0" w:tplc="149C2DA2">
      <w:start w:val="1"/>
      <w:numFmt w:val="decimal"/>
      <w:lvlText w:val="%1."/>
      <w:lvlJc w:val="left"/>
      <w:pPr>
        <w:ind w:left="1004" w:hanging="360"/>
      </w:pPr>
      <w:rPr>
        <w:b/>
        <w:color w:val="7030A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E236E02"/>
    <w:multiLevelType w:val="hybridMultilevel"/>
    <w:tmpl w:val="07EC4064"/>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1FF66993"/>
    <w:multiLevelType w:val="hybridMultilevel"/>
    <w:tmpl w:val="F1E8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B7899"/>
    <w:multiLevelType w:val="hybridMultilevel"/>
    <w:tmpl w:val="CC268BEE"/>
    <w:lvl w:ilvl="0" w:tplc="316675F6">
      <w:start w:val="1"/>
      <w:numFmt w:val="bullet"/>
      <w:lvlText w:val=""/>
      <w:lvlJc w:val="left"/>
      <w:pPr>
        <w:ind w:left="1042" w:hanging="360"/>
      </w:pPr>
      <w:rPr>
        <w:rFonts w:ascii="Symbol" w:hAnsi="Symbol" w:hint="default"/>
        <w:color w:val="000000" w:themeColor="text1"/>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2CAA2091"/>
    <w:multiLevelType w:val="hybridMultilevel"/>
    <w:tmpl w:val="5830B1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333C1D"/>
    <w:multiLevelType w:val="hybridMultilevel"/>
    <w:tmpl w:val="757EC324"/>
    <w:lvl w:ilvl="0" w:tplc="F476E2E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F06E03"/>
    <w:multiLevelType w:val="hybridMultilevel"/>
    <w:tmpl w:val="8C2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9771C"/>
    <w:multiLevelType w:val="hybridMultilevel"/>
    <w:tmpl w:val="5F0C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45A3A"/>
    <w:multiLevelType w:val="hybridMultilevel"/>
    <w:tmpl w:val="35B4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450F1"/>
    <w:multiLevelType w:val="hybridMultilevel"/>
    <w:tmpl w:val="CD34E662"/>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14" w15:restartNumberingAfterBreak="0">
    <w:nsid w:val="363971E1"/>
    <w:multiLevelType w:val="multilevel"/>
    <w:tmpl w:val="29B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AD3B49"/>
    <w:multiLevelType w:val="hybridMultilevel"/>
    <w:tmpl w:val="64AC95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3F2A5F52"/>
    <w:multiLevelType w:val="hybridMultilevel"/>
    <w:tmpl w:val="2A92AC56"/>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7759A"/>
    <w:multiLevelType w:val="hybridMultilevel"/>
    <w:tmpl w:val="BEC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60689"/>
    <w:multiLevelType w:val="hybridMultilevel"/>
    <w:tmpl w:val="C608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D0BD0"/>
    <w:multiLevelType w:val="hybridMultilevel"/>
    <w:tmpl w:val="64208DF2"/>
    <w:lvl w:ilvl="0" w:tplc="FCA26496">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F1C2A"/>
    <w:multiLevelType w:val="hybridMultilevel"/>
    <w:tmpl w:val="7952A17A"/>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1" w15:restartNumberingAfterBreak="0">
    <w:nsid w:val="44FF3276"/>
    <w:multiLevelType w:val="hybridMultilevel"/>
    <w:tmpl w:val="436CE800"/>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E2F94"/>
    <w:multiLevelType w:val="hybridMultilevel"/>
    <w:tmpl w:val="10DC3F82"/>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1685B"/>
    <w:multiLevelType w:val="hybridMultilevel"/>
    <w:tmpl w:val="B3380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14615F"/>
    <w:multiLevelType w:val="hybridMultilevel"/>
    <w:tmpl w:val="76DA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84006"/>
    <w:multiLevelType w:val="hybridMultilevel"/>
    <w:tmpl w:val="B5F4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234CB"/>
    <w:multiLevelType w:val="hybridMultilevel"/>
    <w:tmpl w:val="55D2B79C"/>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929D2"/>
    <w:multiLevelType w:val="hybridMultilevel"/>
    <w:tmpl w:val="118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A0B3A"/>
    <w:multiLevelType w:val="hybridMultilevel"/>
    <w:tmpl w:val="E35E4384"/>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9" w15:restartNumberingAfterBreak="0">
    <w:nsid w:val="632C5BB9"/>
    <w:multiLevelType w:val="hybridMultilevel"/>
    <w:tmpl w:val="9A44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8E38D4"/>
    <w:multiLevelType w:val="hybridMultilevel"/>
    <w:tmpl w:val="9CE6A89E"/>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946EF"/>
    <w:multiLevelType w:val="hybridMultilevel"/>
    <w:tmpl w:val="9B94E47A"/>
    <w:lvl w:ilvl="0" w:tplc="6FEC1C72">
      <w:start w:val="1"/>
      <w:numFmt w:val="decimal"/>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6362F"/>
    <w:multiLevelType w:val="hybridMultilevel"/>
    <w:tmpl w:val="F454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06AD3"/>
    <w:multiLevelType w:val="hybridMultilevel"/>
    <w:tmpl w:val="024A3CC0"/>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83596"/>
    <w:multiLevelType w:val="hybridMultilevel"/>
    <w:tmpl w:val="3842AAAC"/>
    <w:lvl w:ilvl="0" w:tplc="316675F6">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F90297F"/>
    <w:multiLevelType w:val="hybridMultilevel"/>
    <w:tmpl w:val="49EA1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495F6E"/>
    <w:multiLevelType w:val="hybridMultilevel"/>
    <w:tmpl w:val="A3CC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4192B"/>
    <w:multiLevelType w:val="hybridMultilevel"/>
    <w:tmpl w:val="8F3A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16019"/>
    <w:multiLevelType w:val="hybridMultilevel"/>
    <w:tmpl w:val="CC9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E5EE7"/>
    <w:multiLevelType w:val="hybridMultilevel"/>
    <w:tmpl w:val="0156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B05A9"/>
    <w:multiLevelType w:val="hybridMultilevel"/>
    <w:tmpl w:val="4DF4F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420891">
    <w:abstractNumId w:val="4"/>
  </w:num>
  <w:num w:numId="2" w16cid:durableId="1174146938">
    <w:abstractNumId w:val="32"/>
  </w:num>
  <w:num w:numId="3" w16cid:durableId="963273620">
    <w:abstractNumId w:val="17"/>
  </w:num>
  <w:num w:numId="4" w16cid:durableId="1482650099">
    <w:abstractNumId w:val="9"/>
  </w:num>
  <w:num w:numId="5" w16cid:durableId="1621835392">
    <w:abstractNumId w:val="23"/>
  </w:num>
  <w:num w:numId="6" w16cid:durableId="1657415700">
    <w:abstractNumId w:val="35"/>
  </w:num>
  <w:num w:numId="7" w16cid:durableId="899289025">
    <w:abstractNumId w:val="29"/>
  </w:num>
  <w:num w:numId="8" w16cid:durableId="1814249770">
    <w:abstractNumId w:val="2"/>
  </w:num>
  <w:num w:numId="9" w16cid:durableId="2082367985">
    <w:abstractNumId w:val="37"/>
  </w:num>
  <w:num w:numId="10" w16cid:durableId="1322268702">
    <w:abstractNumId w:val="25"/>
  </w:num>
  <w:num w:numId="11" w16cid:durableId="966397866">
    <w:abstractNumId w:val="36"/>
  </w:num>
  <w:num w:numId="12" w16cid:durableId="1767771663">
    <w:abstractNumId w:val="15"/>
  </w:num>
  <w:num w:numId="13" w16cid:durableId="1758598384">
    <w:abstractNumId w:val="13"/>
  </w:num>
  <w:num w:numId="14" w16cid:durableId="2087993900">
    <w:abstractNumId w:val="3"/>
  </w:num>
  <w:num w:numId="15" w16cid:durableId="1091388129">
    <w:abstractNumId w:val="12"/>
  </w:num>
  <w:num w:numId="16" w16cid:durableId="1914005549">
    <w:abstractNumId w:val="0"/>
  </w:num>
  <w:num w:numId="17" w16cid:durableId="965967176">
    <w:abstractNumId w:val="6"/>
  </w:num>
  <w:num w:numId="18" w16cid:durableId="1615554340">
    <w:abstractNumId w:val="1"/>
  </w:num>
  <w:num w:numId="19" w16cid:durableId="1248998930">
    <w:abstractNumId w:val="10"/>
  </w:num>
  <w:num w:numId="20" w16cid:durableId="1628777734">
    <w:abstractNumId w:val="20"/>
  </w:num>
  <w:num w:numId="21" w16cid:durableId="756097504">
    <w:abstractNumId w:val="5"/>
  </w:num>
  <w:num w:numId="22" w16cid:durableId="1921089024">
    <w:abstractNumId w:val="18"/>
  </w:num>
  <w:num w:numId="23" w16cid:durableId="214392606">
    <w:abstractNumId w:val="39"/>
  </w:num>
  <w:num w:numId="24" w16cid:durableId="58329295">
    <w:abstractNumId w:val="28"/>
  </w:num>
  <w:num w:numId="25" w16cid:durableId="1608198338">
    <w:abstractNumId w:val="24"/>
  </w:num>
  <w:num w:numId="26" w16cid:durableId="1168207770">
    <w:abstractNumId w:val="27"/>
  </w:num>
  <w:num w:numId="27" w16cid:durableId="2091342413">
    <w:abstractNumId w:val="34"/>
  </w:num>
  <w:num w:numId="28" w16cid:durableId="2015107449">
    <w:abstractNumId w:val="33"/>
  </w:num>
  <w:num w:numId="29" w16cid:durableId="68045029">
    <w:abstractNumId w:val="21"/>
  </w:num>
  <w:num w:numId="30" w16cid:durableId="39935746">
    <w:abstractNumId w:val="7"/>
  </w:num>
  <w:num w:numId="31" w16cid:durableId="155345111">
    <w:abstractNumId w:val="26"/>
  </w:num>
  <w:num w:numId="32" w16cid:durableId="1010566411">
    <w:abstractNumId w:val="30"/>
  </w:num>
  <w:num w:numId="33" w16cid:durableId="2048336992">
    <w:abstractNumId w:val="16"/>
  </w:num>
  <w:num w:numId="34" w16cid:durableId="416512373">
    <w:abstractNumId w:val="40"/>
  </w:num>
  <w:num w:numId="35" w16cid:durableId="272328052">
    <w:abstractNumId w:val="22"/>
  </w:num>
  <w:num w:numId="36" w16cid:durableId="410323160">
    <w:abstractNumId w:val="19"/>
  </w:num>
  <w:num w:numId="37" w16cid:durableId="740103314">
    <w:abstractNumId w:val="31"/>
  </w:num>
  <w:num w:numId="38" w16cid:durableId="911357432">
    <w:abstractNumId w:val="11"/>
  </w:num>
  <w:num w:numId="39" w16cid:durableId="1139498401">
    <w:abstractNumId w:val="14"/>
  </w:num>
  <w:num w:numId="40" w16cid:durableId="696008184">
    <w:abstractNumId w:val="8"/>
  </w:num>
  <w:num w:numId="41" w16cid:durableId="14593696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DB"/>
    <w:rsid w:val="0000034F"/>
    <w:rsid w:val="000027DE"/>
    <w:rsid w:val="00002FF9"/>
    <w:rsid w:val="00011E8F"/>
    <w:rsid w:val="00012C75"/>
    <w:rsid w:val="00024197"/>
    <w:rsid w:val="00062B07"/>
    <w:rsid w:val="00080857"/>
    <w:rsid w:val="00083E9A"/>
    <w:rsid w:val="0008726D"/>
    <w:rsid w:val="000905D3"/>
    <w:rsid w:val="00092CF3"/>
    <w:rsid w:val="000A1114"/>
    <w:rsid w:val="000C12E9"/>
    <w:rsid w:val="000E6507"/>
    <w:rsid w:val="000F1D90"/>
    <w:rsid w:val="000F6F6E"/>
    <w:rsid w:val="0011397E"/>
    <w:rsid w:val="00122600"/>
    <w:rsid w:val="0013671E"/>
    <w:rsid w:val="00141962"/>
    <w:rsid w:val="001512A1"/>
    <w:rsid w:val="00161F32"/>
    <w:rsid w:val="001641DA"/>
    <w:rsid w:val="00166564"/>
    <w:rsid w:val="00195696"/>
    <w:rsid w:val="001A0594"/>
    <w:rsid w:val="001D2816"/>
    <w:rsid w:val="001D5AFA"/>
    <w:rsid w:val="001E3F48"/>
    <w:rsid w:val="001E45C6"/>
    <w:rsid w:val="001E53D0"/>
    <w:rsid w:val="001F1E83"/>
    <w:rsid w:val="002518BC"/>
    <w:rsid w:val="00254A73"/>
    <w:rsid w:val="00255594"/>
    <w:rsid w:val="00262369"/>
    <w:rsid w:val="0026787D"/>
    <w:rsid w:val="002719E8"/>
    <w:rsid w:val="00296045"/>
    <w:rsid w:val="002B43F6"/>
    <w:rsid w:val="002C2BDB"/>
    <w:rsid w:val="002D249D"/>
    <w:rsid w:val="002F3A2D"/>
    <w:rsid w:val="002F57C7"/>
    <w:rsid w:val="00301FB8"/>
    <w:rsid w:val="003022C7"/>
    <w:rsid w:val="00306A37"/>
    <w:rsid w:val="00317529"/>
    <w:rsid w:val="0032692D"/>
    <w:rsid w:val="00331AAF"/>
    <w:rsid w:val="00342F90"/>
    <w:rsid w:val="00347729"/>
    <w:rsid w:val="00363D70"/>
    <w:rsid w:val="00371CBE"/>
    <w:rsid w:val="00392042"/>
    <w:rsid w:val="0039273D"/>
    <w:rsid w:val="003936FA"/>
    <w:rsid w:val="00393BA5"/>
    <w:rsid w:val="003A0B34"/>
    <w:rsid w:val="003A4E18"/>
    <w:rsid w:val="003C14C0"/>
    <w:rsid w:val="003C2DD3"/>
    <w:rsid w:val="003C4F15"/>
    <w:rsid w:val="003C7A01"/>
    <w:rsid w:val="003D08A8"/>
    <w:rsid w:val="003E0FE8"/>
    <w:rsid w:val="003E4AB6"/>
    <w:rsid w:val="003F46C9"/>
    <w:rsid w:val="00422189"/>
    <w:rsid w:val="004465E8"/>
    <w:rsid w:val="00461951"/>
    <w:rsid w:val="00480084"/>
    <w:rsid w:val="004876D2"/>
    <w:rsid w:val="004B79F0"/>
    <w:rsid w:val="004C075C"/>
    <w:rsid w:val="004D2507"/>
    <w:rsid w:val="004E302A"/>
    <w:rsid w:val="004E7343"/>
    <w:rsid w:val="004F0759"/>
    <w:rsid w:val="005031EC"/>
    <w:rsid w:val="0050326E"/>
    <w:rsid w:val="0050441E"/>
    <w:rsid w:val="0050761B"/>
    <w:rsid w:val="0051082E"/>
    <w:rsid w:val="00525638"/>
    <w:rsid w:val="00526F63"/>
    <w:rsid w:val="005453E5"/>
    <w:rsid w:val="00562DB6"/>
    <w:rsid w:val="0056639C"/>
    <w:rsid w:val="00566AC5"/>
    <w:rsid w:val="005B1D77"/>
    <w:rsid w:val="005D6344"/>
    <w:rsid w:val="005D6414"/>
    <w:rsid w:val="005E2D0A"/>
    <w:rsid w:val="005E7F56"/>
    <w:rsid w:val="005F0F9B"/>
    <w:rsid w:val="005F183A"/>
    <w:rsid w:val="005F1C99"/>
    <w:rsid w:val="005F41F2"/>
    <w:rsid w:val="0062632B"/>
    <w:rsid w:val="00632279"/>
    <w:rsid w:val="006518D2"/>
    <w:rsid w:val="00656C97"/>
    <w:rsid w:val="006633A5"/>
    <w:rsid w:val="00666892"/>
    <w:rsid w:val="006A0E7F"/>
    <w:rsid w:val="006A53CB"/>
    <w:rsid w:val="006B2FCF"/>
    <w:rsid w:val="006C179D"/>
    <w:rsid w:val="006C2A0F"/>
    <w:rsid w:val="006E4AFE"/>
    <w:rsid w:val="006E7181"/>
    <w:rsid w:val="006F096C"/>
    <w:rsid w:val="006F54E2"/>
    <w:rsid w:val="00704DA3"/>
    <w:rsid w:val="00713CCC"/>
    <w:rsid w:val="0073488B"/>
    <w:rsid w:val="007364A6"/>
    <w:rsid w:val="00750EED"/>
    <w:rsid w:val="00752F68"/>
    <w:rsid w:val="007575F2"/>
    <w:rsid w:val="00784FFF"/>
    <w:rsid w:val="007B46A8"/>
    <w:rsid w:val="007C1DF5"/>
    <w:rsid w:val="007C2A33"/>
    <w:rsid w:val="007C3719"/>
    <w:rsid w:val="007D6ACC"/>
    <w:rsid w:val="007E5DDF"/>
    <w:rsid w:val="007E6DED"/>
    <w:rsid w:val="00800D68"/>
    <w:rsid w:val="00812636"/>
    <w:rsid w:val="0082426A"/>
    <w:rsid w:val="008278C8"/>
    <w:rsid w:val="0083072D"/>
    <w:rsid w:val="00847E4D"/>
    <w:rsid w:val="0086093D"/>
    <w:rsid w:val="00883D6D"/>
    <w:rsid w:val="008A4C05"/>
    <w:rsid w:val="008C1826"/>
    <w:rsid w:val="008C76CA"/>
    <w:rsid w:val="008D3A99"/>
    <w:rsid w:val="008E2496"/>
    <w:rsid w:val="008E3C95"/>
    <w:rsid w:val="008F2ABA"/>
    <w:rsid w:val="00902482"/>
    <w:rsid w:val="00910FE1"/>
    <w:rsid w:val="009127C6"/>
    <w:rsid w:val="0091540E"/>
    <w:rsid w:val="00916CE3"/>
    <w:rsid w:val="009179E1"/>
    <w:rsid w:val="00920A70"/>
    <w:rsid w:val="009302C6"/>
    <w:rsid w:val="0093482E"/>
    <w:rsid w:val="00952ECE"/>
    <w:rsid w:val="009530DC"/>
    <w:rsid w:val="00974A9D"/>
    <w:rsid w:val="009911CB"/>
    <w:rsid w:val="00992D23"/>
    <w:rsid w:val="009B5981"/>
    <w:rsid w:val="009B64DC"/>
    <w:rsid w:val="009D55BC"/>
    <w:rsid w:val="009E38D6"/>
    <w:rsid w:val="009F15D5"/>
    <w:rsid w:val="00A01E8E"/>
    <w:rsid w:val="00A07B38"/>
    <w:rsid w:val="00A24F98"/>
    <w:rsid w:val="00A25D00"/>
    <w:rsid w:val="00A36C6F"/>
    <w:rsid w:val="00A619AE"/>
    <w:rsid w:val="00A63910"/>
    <w:rsid w:val="00A65173"/>
    <w:rsid w:val="00A66946"/>
    <w:rsid w:val="00AA18B3"/>
    <w:rsid w:val="00AA4C5E"/>
    <w:rsid w:val="00AF10D5"/>
    <w:rsid w:val="00AF4EB8"/>
    <w:rsid w:val="00B54662"/>
    <w:rsid w:val="00B62DD5"/>
    <w:rsid w:val="00B7742B"/>
    <w:rsid w:val="00B86666"/>
    <w:rsid w:val="00BB6B85"/>
    <w:rsid w:val="00BE215B"/>
    <w:rsid w:val="00BF76BF"/>
    <w:rsid w:val="00C018B4"/>
    <w:rsid w:val="00C10AC5"/>
    <w:rsid w:val="00C11DA9"/>
    <w:rsid w:val="00C20D66"/>
    <w:rsid w:val="00C609A1"/>
    <w:rsid w:val="00C6245E"/>
    <w:rsid w:val="00C77ACF"/>
    <w:rsid w:val="00C84760"/>
    <w:rsid w:val="00C90137"/>
    <w:rsid w:val="00C910E5"/>
    <w:rsid w:val="00CA2DC3"/>
    <w:rsid w:val="00CC47DD"/>
    <w:rsid w:val="00CD13AE"/>
    <w:rsid w:val="00CE526B"/>
    <w:rsid w:val="00CF7052"/>
    <w:rsid w:val="00D03392"/>
    <w:rsid w:val="00D241A4"/>
    <w:rsid w:val="00D34019"/>
    <w:rsid w:val="00D3724F"/>
    <w:rsid w:val="00D41AB9"/>
    <w:rsid w:val="00D5692C"/>
    <w:rsid w:val="00D60B11"/>
    <w:rsid w:val="00D91120"/>
    <w:rsid w:val="00D96E80"/>
    <w:rsid w:val="00DA6F71"/>
    <w:rsid w:val="00DB24CC"/>
    <w:rsid w:val="00DB2996"/>
    <w:rsid w:val="00DB67F5"/>
    <w:rsid w:val="00DE66D3"/>
    <w:rsid w:val="00E03A13"/>
    <w:rsid w:val="00E15C24"/>
    <w:rsid w:val="00E16C41"/>
    <w:rsid w:val="00E21361"/>
    <w:rsid w:val="00E30A86"/>
    <w:rsid w:val="00E33DB3"/>
    <w:rsid w:val="00E86390"/>
    <w:rsid w:val="00E86CD8"/>
    <w:rsid w:val="00EA0319"/>
    <w:rsid w:val="00ED2995"/>
    <w:rsid w:val="00ED7054"/>
    <w:rsid w:val="00EE21CC"/>
    <w:rsid w:val="00EE262B"/>
    <w:rsid w:val="00EE3393"/>
    <w:rsid w:val="00EF175A"/>
    <w:rsid w:val="00EF27A5"/>
    <w:rsid w:val="00EF7F0B"/>
    <w:rsid w:val="00F11143"/>
    <w:rsid w:val="00F152E7"/>
    <w:rsid w:val="00F15F54"/>
    <w:rsid w:val="00F16D76"/>
    <w:rsid w:val="00F235F9"/>
    <w:rsid w:val="00F26A3D"/>
    <w:rsid w:val="00F277A0"/>
    <w:rsid w:val="00F33980"/>
    <w:rsid w:val="00F3798A"/>
    <w:rsid w:val="00F47D6C"/>
    <w:rsid w:val="00F55DBA"/>
    <w:rsid w:val="00F57DA5"/>
    <w:rsid w:val="00FA300D"/>
    <w:rsid w:val="00FB6B3F"/>
    <w:rsid w:val="00FE0955"/>
    <w:rsid w:val="00FE52A6"/>
    <w:rsid w:val="00FF5392"/>
    <w:rsid w:val="00FF6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78FA"/>
  <w15:chartTrackingRefBased/>
  <w15:docId w15:val="{18B57946-9314-488E-B06F-39B67754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BD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3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99"/>
  </w:style>
  <w:style w:type="paragraph" w:styleId="Footer">
    <w:name w:val="footer"/>
    <w:basedOn w:val="Normal"/>
    <w:link w:val="FooterChar"/>
    <w:uiPriority w:val="99"/>
    <w:unhideWhenUsed/>
    <w:rsid w:val="008D3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99"/>
  </w:style>
  <w:style w:type="paragraph" w:styleId="ListParagraph">
    <w:name w:val="List Paragraph"/>
    <w:basedOn w:val="Normal"/>
    <w:uiPriority w:val="34"/>
    <w:qFormat/>
    <w:rsid w:val="0051082E"/>
    <w:pPr>
      <w:ind w:left="720"/>
      <w:contextualSpacing/>
    </w:pPr>
  </w:style>
  <w:style w:type="character" w:styleId="Hyperlink">
    <w:name w:val="Hyperlink"/>
    <w:basedOn w:val="DefaultParagraphFont"/>
    <w:uiPriority w:val="99"/>
    <w:unhideWhenUsed/>
    <w:rsid w:val="00A07B38"/>
    <w:rPr>
      <w:color w:val="0563C1" w:themeColor="hyperlink"/>
      <w:u w:val="single"/>
    </w:rPr>
  </w:style>
  <w:style w:type="paragraph" w:styleId="BalloonText">
    <w:name w:val="Balloon Text"/>
    <w:basedOn w:val="Normal"/>
    <w:link w:val="BalloonTextChar"/>
    <w:uiPriority w:val="99"/>
    <w:semiHidden/>
    <w:unhideWhenUsed/>
    <w:rsid w:val="00545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3E5"/>
    <w:rPr>
      <w:rFonts w:ascii="Segoe UI" w:hAnsi="Segoe UI" w:cs="Segoe UI"/>
      <w:sz w:val="18"/>
      <w:szCs w:val="18"/>
    </w:rPr>
  </w:style>
  <w:style w:type="character" w:styleId="CommentReference">
    <w:name w:val="annotation reference"/>
    <w:basedOn w:val="DefaultParagraphFont"/>
    <w:uiPriority w:val="99"/>
    <w:semiHidden/>
    <w:unhideWhenUsed/>
    <w:rsid w:val="00566AC5"/>
    <w:rPr>
      <w:sz w:val="16"/>
      <w:szCs w:val="16"/>
    </w:rPr>
  </w:style>
  <w:style w:type="paragraph" w:styleId="CommentText">
    <w:name w:val="annotation text"/>
    <w:basedOn w:val="Normal"/>
    <w:link w:val="CommentTextChar"/>
    <w:uiPriority w:val="99"/>
    <w:unhideWhenUsed/>
    <w:rsid w:val="00566AC5"/>
    <w:pPr>
      <w:spacing w:line="240" w:lineRule="auto"/>
    </w:pPr>
    <w:rPr>
      <w:sz w:val="20"/>
      <w:szCs w:val="20"/>
    </w:rPr>
  </w:style>
  <w:style w:type="character" w:customStyle="1" w:styleId="CommentTextChar">
    <w:name w:val="Comment Text Char"/>
    <w:basedOn w:val="DefaultParagraphFont"/>
    <w:link w:val="CommentText"/>
    <w:uiPriority w:val="99"/>
    <w:rsid w:val="00566AC5"/>
    <w:rPr>
      <w:sz w:val="20"/>
      <w:szCs w:val="20"/>
    </w:rPr>
  </w:style>
  <w:style w:type="paragraph" w:styleId="CommentSubject">
    <w:name w:val="annotation subject"/>
    <w:basedOn w:val="CommentText"/>
    <w:next w:val="CommentText"/>
    <w:link w:val="CommentSubjectChar"/>
    <w:uiPriority w:val="99"/>
    <w:semiHidden/>
    <w:unhideWhenUsed/>
    <w:rsid w:val="00566AC5"/>
    <w:rPr>
      <w:b/>
      <w:bCs/>
    </w:rPr>
  </w:style>
  <w:style w:type="character" w:customStyle="1" w:styleId="CommentSubjectChar">
    <w:name w:val="Comment Subject Char"/>
    <w:basedOn w:val="CommentTextChar"/>
    <w:link w:val="CommentSubject"/>
    <w:uiPriority w:val="99"/>
    <w:semiHidden/>
    <w:rsid w:val="00566AC5"/>
    <w:rPr>
      <w:b/>
      <w:bCs/>
      <w:sz w:val="20"/>
      <w:szCs w:val="20"/>
    </w:rPr>
  </w:style>
  <w:style w:type="paragraph" w:customStyle="1" w:styleId="BasicParagraph">
    <w:name w:val="[Basic Paragraph]"/>
    <w:basedOn w:val="Normal"/>
    <w:uiPriority w:val="99"/>
    <w:rsid w:val="00D60B1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UnresolvedMention">
    <w:name w:val="Unresolved Mention"/>
    <w:basedOn w:val="DefaultParagraphFont"/>
    <w:uiPriority w:val="99"/>
    <w:semiHidden/>
    <w:unhideWhenUsed/>
    <w:rsid w:val="00A65173"/>
    <w:rPr>
      <w:color w:val="605E5C"/>
      <w:shd w:val="clear" w:color="auto" w:fill="E1DFDD"/>
    </w:rPr>
  </w:style>
  <w:style w:type="paragraph" w:styleId="Revision">
    <w:name w:val="Revision"/>
    <w:hidden/>
    <w:uiPriority w:val="99"/>
    <w:semiHidden/>
    <w:rsid w:val="002F57C7"/>
    <w:pPr>
      <w:spacing w:after="0" w:line="240" w:lineRule="auto"/>
    </w:pPr>
  </w:style>
  <w:style w:type="paragraph" w:styleId="BodyText">
    <w:name w:val="Body Text"/>
    <w:basedOn w:val="Normal"/>
    <w:link w:val="BodyTextChar"/>
    <w:uiPriority w:val="1"/>
    <w:qFormat/>
    <w:rsid w:val="00092CF3"/>
    <w:pPr>
      <w:widowControl w:val="0"/>
      <w:autoSpaceDE w:val="0"/>
      <w:autoSpaceDN w:val="0"/>
      <w:spacing w:after="0" w:line="240" w:lineRule="auto"/>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092CF3"/>
    <w:rPr>
      <w:rFonts w:ascii="Verdana" w:eastAsia="Verdana" w:hAnsi="Verdana" w:cs="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https://twitter.com/en/privacy" TargetMode="External"/><Relationship Id="rId26" Type="http://schemas.openxmlformats.org/officeDocument/2006/relationships/hyperlink" Target="mailto:info@nihrc.org" TargetMode="External"/><Relationship Id="rId3" Type="http://schemas.openxmlformats.org/officeDocument/2006/relationships/customXml" Target="../customXml/item3.xml"/><Relationship Id="rId21" Type="http://schemas.openxmlformats.org/officeDocument/2006/relationships/hyperlink" Target="mailto:info@nihrc.org" TargetMode="External"/><Relationship Id="rId7" Type="http://schemas.openxmlformats.org/officeDocument/2006/relationships/settings" Target="settings.xml"/><Relationship Id="rId12" Type="http://schemas.openxmlformats.org/officeDocument/2006/relationships/hyperlink" Target="mailto:info@nihrc.org" TargetMode="External"/><Relationship Id="rId17" Type="http://schemas.openxmlformats.org/officeDocument/2006/relationships/hyperlink" Target="https://www.facebook.com/about/privacy" TargetMode="External"/><Relationship Id="rId25" Type="http://schemas.openxmlformats.org/officeDocument/2006/relationships/hyperlink" Target="http://www.nihrc.org" TargetMode="External"/><Relationship Id="rId2" Type="http://schemas.openxmlformats.org/officeDocument/2006/relationships/customXml" Target="../customXml/item2.xml"/><Relationship Id="rId16" Type="http://schemas.openxmlformats.org/officeDocument/2006/relationships/hyperlink" Target="https://nihrc.org/cookie-policy" TargetMode="External"/><Relationship Id="rId20" Type="http://schemas.openxmlformats.org/officeDocument/2006/relationships/hyperlink" Target="http://www.allaboutcookie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tools.google.com/dlpage/gaoptout" TargetMode="External"/><Relationship Id="rId23" Type="http://schemas.openxmlformats.org/officeDocument/2006/relationships/hyperlink" Target="mailto:casework@ico.org.uk" TargetMode="External"/><Relationship Id="rId28"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hyperlink" Target="https://policies.google.com/privacy?hl=en&amp;gl=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google.com/privacy?hl=en" TargetMode="External"/><Relationship Id="rId22" Type="http://schemas.openxmlformats.org/officeDocument/2006/relationships/hyperlink" Target="http://www.nihrc.org/"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daab8b30142d374ae42466f231ec49e9">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16fa7a5c208df5f1d86ea22d455dc5d6"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86ACE-4B1A-4F39-896F-0DDC425400F3}">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D77EAB3E-4A14-4289-95BB-2C7AE8306430}">
  <ds:schemaRefs>
    <ds:schemaRef ds:uri="http://schemas.openxmlformats.org/officeDocument/2006/bibliography"/>
  </ds:schemaRefs>
</ds:datastoreItem>
</file>

<file path=customXml/itemProps3.xml><?xml version="1.0" encoding="utf-8"?>
<ds:datastoreItem xmlns:ds="http://schemas.openxmlformats.org/officeDocument/2006/customXml" ds:itemID="{CBC59B96-5875-4322-B94B-50CAF6139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FCD71-2E36-4BDD-9B06-99B4E738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9393</Words>
  <Characters>49340</Characters>
  <Application>Microsoft Office Word</Application>
  <DocSecurity>0</DocSecurity>
  <Lines>1534</Lines>
  <Paragraphs>588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58564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Begley</dc:creator>
  <cp:keywords/>
  <dc:description/>
  <cp:lastModifiedBy>Natalia Gima</cp:lastModifiedBy>
  <cp:revision>4</cp:revision>
  <cp:lastPrinted>2019-12-09T14:01:00Z</cp:lastPrinted>
  <dcterms:created xsi:type="dcterms:W3CDTF">2025-10-31T14:51:00Z</dcterms:created>
  <dcterms:modified xsi:type="dcterms:W3CDTF">2025-11-03T10:05:00Z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126600</vt:r8>
  </property>
  <property fmtid="{D5CDD505-2E9C-101B-9397-08002B2CF9AE}" pid="4" name="MediaServiceImageTags">
    <vt:lpwstr/>
  </property>
</Properties>
</file>