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DF1D" w14:textId="77777777" w:rsidR="00437963" w:rsidRDefault="00437963" w:rsidP="00437963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hAnsi="Verdana"/>
          <w:noProof/>
          <w:lang w:eastAsia="en-GB"/>
        </w:rPr>
        <w:drawing>
          <wp:inline distT="0" distB="0" distL="0" distR="0" wp14:anchorId="2A20CA01" wp14:editId="46F25098">
            <wp:extent cx="5276850" cy="1186180"/>
            <wp:effectExtent l="0" t="0" r="0" b="0"/>
            <wp:docPr id="1196072588" name="Picture 1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0BF0" w14:textId="39A6D52A" w:rsidR="00437963" w:rsidRDefault="009E3C9E" w:rsidP="00437963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25 March</w:t>
      </w:r>
      <w:r w:rsidR="00437963">
        <w:rPr>
          <w:rFonts w:ascii="Verdana" w:eastAsia="Times New Roman" w:hAnsi="Verdana" w:cs="Arial"/>
          <w:b/>
          <w:color w:val="232120"/>
        </w:rPr>
        <w:t xml:space="preserve"> 2024</w:t>
      </w:r>
    </w:p>
    <w:p w14:paraId="4138DD10" w14:textId="77777777" w:rsidR="00437963" w:rsidRDefault="00437963" w:rsidP="00437963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3D8597CA" w14:textId="6F0D4B7C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26</w:t>
      </w:r>
      <w:r w:rsidR="009E3C9E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5</w:t>
      </w:r>
      <w:r w:rsidRPr="006D59C4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th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COMMISSION MEETING</w:t>
      </w:r>
    </w:p>
    <w:p w14:paraId="491CE637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Held in the Commission’s Offices, </w:t>
      </w:r>
    </w:p>
    <w:p w14:paraId="74B8B0E8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 and via Teams</w:t>
      </w:r>
    </w:p>
    <w:p w14:paraId="6C67A7D1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5F9E00B9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Present:</w:t>
      </w:r>
      <w:r>
        <w:rPr>
          <w:rFonts w:ascii="Verdana" w:eastAsia="Times New Roman" w:hAnsi="Verdana" w:cs="Arial"/>
          <w:color w:val="232120"/>
        </w:rPr>
        <w:tab/>
        <w:t>Alyson Kilpatrick</w:t>
      </w:r>
    </w:p>
    <w:p w14:paraId="4B8EA687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Helen Henderson </w:t>
      </w:r>
    </w:p>
    <w:p w14:paraId="3A976368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</w:p>
    <w:p w14:paraId="5CCD68DE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Justin Kouame</w:t>
      </w:r>
    </w:p>
    <w:p w14:paraId="4F3CEF8E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David Lavery </w:t>
      </w:r>
    </w:p>
    <w:p w14:paraId="6FBEEB6E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Stephen White </w:t>
      </w:r>
    </w:p>
    <w:p w14:paraId="0A5ADACB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5A884CBA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39F45124" w14:textId="77777777" w:rsidR="00437963" w:rsidRPr="006D59C4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bCs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r w:rsidRPr="006D59C4">
        <w:rPr>
          <w:rFonts w:ascii="Verdana" w:eastAsia="Times New Roman" w:hAnsi="Verdana" w:cs="Arial"/>
          <w:bCs/>
          <w:color w:val="232120"/>
        </w:rPr>
        <w:t>Rebecca Magee, Executive Assistant</w:t>
      </w:r>
    </w:p>
    <w:p w14:paraId="72638D8B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bookmarkStart w:id="0" w:name="_Hlk149299771"/>
      <w:r>
        <w:rPr>
          <w:rFonts w:ascii="Verdana" w:eastAsia="Times New Roman" w:hAnsi="Verdana" w:cs="Arial"/>
          <w:color w:val="232120"/>
        </w:rPr>
        <w:t>Colin Caughey, Director (Advice to Government, Research, and Investigations)</w:t>
      </w:r>
    </w:p>
    <w:bookmarkEnd w:id="0"/>
    <w:p w14:paraId="703A1317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Éilis Haughey, Director (Human Rights after EU Withdrawal)</w:t>
      </w:r>
    </w:p>
    <w:p w14:paraId="7EFB5476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Claire Martin, Director (Engagement and </w:t>
      </w:r>
      <w:r>
        <w:rPr>
          <w:rFonts w:ascii="Verdana" w:eastAsia="Times New Roman" w:hAnsi="Verdana" w:cs="Arial"/>
          <w:color w:val="232120"/>
        </w:rPr>
        <w:tab/>
        <w:t xml:space="preserve">Communications) </w:t>
      </w:r>
    </w:p>
    <w:p w14:paraId="7CCA7A98" w14:textId="77777777" w:rsidR="00437963" w:rsidRDefault="00437963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Vivenne Fitzroy, Boardroom Apprentice</w:t>
      </w:r>
    </w:p>
    <w:p w14:paraId="51634634" w14:textId="33B4EAF7" w:rsidR="00FC075D" w:rsidRDefault="00FC075D" w:rsidP="00437963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Ivanka Antova, Policy and Research Officer</w:t>
      </w:r>
      <w:r w:rsidR="00BE3E5B">
        <w:rPr>
          <w:rFonts w:ascii="Verdana" w:eastAsia="Times New Roman" w:hAnsi="Verdana" w:cs="Arial"/>
          <w:color w:val="232120"/>
        </w:rPr>
        <w:t xml:space="preserve"> (agenda item 8)</w:t>
      </w:r>
    </w:p>
    <w:p w14:paraId="7ECE0410" w14:textId="77777777" w:rsidR="00437963" w:rsidRDefault="00437963" w:rsidP="00437963">
      <w:pPr>
        <w:rPr>
          <w:rFonts w:ascii="Verdana" w:hAnsi="Verdana"/>
        </w:rPr>
      </w:pPr>
    </w:p>
    <w:p w14:paraId="407EDAEA" w14:textId="42022064" w:rsidR="00437963" w:rsidRDefault="006C2828" w:rsidP="006C2828">
      <w:pPr>
        <w:pStyle w:val="BasicParagraph"/>
        <w:suppressAutoHyphens/>
        <w:ind w:firstLine="426"/>
        <w:rPr>
          <w:rFonts w:ascii="Verdana" w:hAnsi="Verdana" w:cs="Arial"/>
          <w:b/>
          <w:color w:val="77328A"/>
          <w:sz w:val="30"/>
          <w:szCs w:val="30"/>
        </w:rPr>
      </w:pPr>
      <w:bookmarkStart w:id="1" w:name="_Hlk152834319"/>
      <w:r>
        <w:rPr>
          <w:rFonts w:ascii="Verdana" w:hAnsi="Verdana" w:cs="Arial"/>
          <w:b/>
          <w:color w:val="77328A"/>
          <w:sz w:val="30"/>
          <w:szCs w:val="30"/>
        </w:rPr>
        <w:t>1.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437963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bookmarkEnd w:id="1"/>
    <w:p w14:paraId="5DA11BA6" w14:textId="77777777" w:rsidR="00437963" w:rsidRDefault="00437963" w:rsidP="00437963">
      <w:pPr>
        <w:ind w:left="709"/>
        <w:rPr>
          <w:rFonts w:ascii="Verdana" w:hAnsi="Verdana"/>
        </w:rPr>
      </w:pPr>
    </w:p>
    <w:p w14:paraId="4D890655" w14:textId="187F0DB6" w:rsidR="00F56145" w:rsidRDefault="00437963" w:rsidP="009E3C9E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Apologies were received from </w:t>
      </w:r>
      <w:r w:rsidRPr="006D59C4">
        <w:rPr>
          <w:rFonts w:ascii="Verdana" w:hAnsi="Verdana"/>
        </w:rPr>
        <w:t>Lorraine Hamill, Director (</w:t>
      </w:r>
      <w:bookmarkStart w:id="2" w:name="_Hlk162518490"/>
      <w:r w:rsidRPr="006D59C4">
        <w:rPr>
          <w:rFonts w:ascii="Verdana" w:hAnsi="Verdana"/>
        </w:rPr>
        <w:t>Finance, Personnel &amp; Corporate Affairs</w:t>
      </w:r>
      <w:bookmarkEnd w:id="2"/>
      <w:r w:rsidRPr="006D59C4">
        <w:rPr>
          <w:rFonts w:ascii="Verdana" w:hAnsi="Verdana"/>
        </w:rPr>
        <w:t>)</w:t>
      </w:r>
      <w:r w:rsidR="009E3C9E">
        <w:rPr>
          <w:rFonts w:ascii="Verdana" w:hAnsi="Verdana"/>
        </w:rPr>
        <w:t xml:space="preserve">and </w:t>
      </w:r>
      <w:r w:rsidR="009E3C9E" w:rsidRPr="009E3C9E">
        <w:rPr>
          <w:rFonts w:ascii="Verdana" w:hAnsi="Verdana"/>
        </w:rPr>
        <w:t>Rhyannon Blythe, Director (Legal Services)</w:t>
      </w:r>
      <w:r w:rsidR="009E3C9E">
        <w:rPr>
          <w:rFonts w:ascii="Verdana" w:hAnsi="Verdana"/>
        </w:rPr>
        <w:t>.</w:t>
      </w:r>
      <w:r w:rsidR="009E3C9E">
        <w:rPr>
          <w:rFonts w:ascii="Verdana" w:hAnsi="Verdana"/>
        </w:rPr>
        <w:br/>
      </w:r>
    </w:p>
    <w:p w14:paraId="26A81879" w14:textId="33D284C9" w:rsidR="009E3C9E" w:rsidRDefault="009E3C9E" w:rsidP="009E3C9E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There were no declarations of interest.</w:t>
      </w:r>
    </w:p>
    <w:p w14:paraId="17FF8F36" w14:textId="77777777" w:rsidR="007958C4" w:rsidRDefault="007958C4" w:rsidP="007958C4">
      <w:pPr>
        <w:rPr>
          <w:rFonts w:ascii="Verdana" w:hAnsi="Verdana"/>
        </w:rPr>
      </w:pPr>
    </w:p>
    <w:p w14:paraId="22F546DE" w14:textId="5D0176DC" w:rsidR="007958C4" w:rsidRDefault="007958C4" w:rsidP="006C2828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 w:rsidRPr="007958C4">
        <w:rPr>
          <w:rFonts w:ascii="Verdana" w:hAnsi="Verdana" w:cs="Arial"/>
          <w:b/>
          <w:color w:val="77328A"/>
          <w:sz w:val="30"/>
          <w:szCs w:val="30"/>
        </w:rPr>
        <w:t>2.</w:t>
      </w:r>
      <w:r w:rsidR="006C2828"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 w:rsidR="006C2828">
        <w:rPr>
          <w:rFonts w:ascii="Verdana" w:hAnsi="Verdana" w:cs="Arial"/>
          <w:b/>
          <w:color w:val="77328A"/>
          <w:sz w:val="30"/>
          <w:szCs w:val="30"/>
        </w:rPr>
        <w:tab/>
        <w:t>Draft minutes of the 264</w:t>
      </w:r>
      <w:r w:rsidR="006C2828" w:rsidRPr="006C2828">
        <w:rPr>
          <w:rFonts w:ascii="Verdana" w:hAnsi="Verdana" w:cs="Arial"/>
          <w:b/>
          <w:color w:val="77328A"/>
          <w:sz w:val="30"/>
          <w:szCs w:val="30"/>
          <w:vertAlign w:val="superscript"/>
        </w:rPr>
        <w:t>th</w:t>
      </w:r>
      <w:r w:rsidR="006C2828">
        <w:rPr>
          <w:rFonts w:ascii="Verdana" w:hAnsi="Verdana" w:cs="Arial"/>
          <w:b/>
          <w:color w:val="77328A"/>
          <w:sz w:val="30"/>
          <w:szCs w:val="30"/>
        </w:rPr>
        <w:t xml:space="preserve"> Commission meeting</w:t>
      </w:r>
    </w:p>
    <w:p w14:paraId="7844501D" w14:textId="77777777" w:rsidR="002324D4" w:rsidRDefault="002324D4" w:rsidP="006C2828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0F2AB891" w14:textId="682F2EBC" w:rsidR="002324D4" w:rsidRDefault="002324D4" w:rsidP="002324D4">
      <w:pPr>
        <w:ind w:left="1439" w:hanging="719"/>
        <w:rPr>
          <w:rFonts w:ascii="Verdana" w:hAnsi="Verdana" w:cs="Arial"/>
          <w:bCs/>
        </w:rPr>
      </w:pPr>
      <w:r w:rsidRPr="002324D4">
        <w:rPr>
          <w:rFonts w:ascii="Verdana" w:hAnsi="Verdana" w:cs="Arial"/>
          <w:bCs/>
        </w:rPr>
        <w:t>2.1</w:t>
      </w:r>
      <w:r w:rsidRPr="002324D4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The minutes of the 264th Commission meeting </w:t>
      </w:r>
      <w:proofErr w:type="gramStart"/>
      <w:r>
        <w:rPr>
          <w:rFonts w:ascii="Verdana" w:hAnsi="Verdana" w:cs="Arial"/>
          <w:bCs/>
        </w:rPr>
        <w:t>were</w:t>
      </w:r>
      <w:proofErr w:type="gramEnd"/>
      <w:r>
        <w:rPr>
          <w:rFonts w:ascii="Verdana" w:hAnsi="Verdana" w:cs="Arial"/>
          <w:bCs/>
        </w:rPr>
        <w:t xml:space="preserve"> agreed following an amendment to </w:t>
      </w:r>
      <w:r w:rsidR="009550B4">
        <w:rPr>
          <w:rFonts w:ascii="Verdana" w:hAnsi="Verdana" w:cs="Arial"/>
          <w:bCs/>
        </w:rPr>
        <w:t>agenda item 9.</w:t>
      </w:r>
    </w:p>
    <w:p w14:paraId="07CC6F20" w14:textId="19073DF8" w:rsidR="009550B4" w:rsidRPr="009550B4" w:rsidRDefault="009550B4" w:rsidP="009550B4">
      <w:pPr>
        <w:ind w:left="709"/>
        <w:rPr>
          <w:rFonts w:ascii="Verdana" w:hAnsi="Verdana" w:cs="Arial"/>
          <w:b/>
        </w:rPr>
      </w:pPr>
      <w:r w:rsidRPr="009550B4">
        <w:rPr>
          <w:rFonts w:ascii="Verdana" w:hAnsi="Verdana" w:cs="Arial"/>
          <w:b/>
        </w:rPr>
        <w:t>Action: Minutes of the 264</w:t>
      </w:r>
      <w:r w:rsidRPr="009550B4">
        <w:rPr>
          <w:rFonts w:ascii="Verdana" w:hAnsi="Verdana" w:cs="Arial"/>
          <w:b/>
          <w:vertAlign w:val="superscript"/>
        </w:rPr>
        <w:t>th</w:t>
      </w:r>
      <w:r w:rsidRPr="009550B4">
        <w:rPr>
          <w:rFonts w:ascii="Verdana" w:hAnsi="Verdana" w:cs="Arial"/>
          <w:b/>
        </w:rPr>
        <w:t xml:space="preserve"> Commission meeting to be uploaded to the website.</w:t>
      </w:r>
    </w:p>
    <w:p w14:paraId="0640C1CA" w14:textId="77777777" w:rsidR="006C2828" w:rsidRDefault="006C2828" w:rsidP="007958C4">
      <w:pPr>
        <w:ind w:left="426"/>
        <w:rPr>
          <w:rFonts w:ascii="Verdana" w:hAnsi="Verdana"/>
        </w:rPr>
      </w:pPr>
    </w:p>
    <w:p w14:paraId="01CA4958" w14:textId="29E83AC6" w:rsidR="009550B4" w:rsidRDefault="009550B4" w:rsidP="009550B4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3</w:t>
      </w:r>
      <w:r w:rsidRPr="007958C4"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Chief Commissioner report</w:t>
      </w:r>
    </w:p>
    <w:p w14:paraId="67576B32" w14:textId="77777777" w:rsidR="009550B4" w:rsidRDefault="009550B4" w:rsidP="009550B4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7D47A34F" w14:textId="1AC35CCB" w:rsidR="009550B4" w:rsidRDefault="009550B4" w:rsidP="009550B4">
      <w:pPr>
        <w:ind w:left="1439" w:hanging="719"/>
        <w:rPr>
          <w:rFonts w:ascii="Verdana" w:hAnsi="Verdana" w:cs="Arial"/>
          <w:bCs/>
        </w:rPr>
      </w:pPr>
      <w:r w:rsidRPr="009550B4">
        <w:rPr>
          <w:rFonts w:ascii="Verdana" w:hAnsi="Verdana" w:cs="Arial"/>
          <w:bCs/>
        </w:rPr>
        <w:t>3.1</w:t>
      </w:r>
      <w:r w:rsidR="00BF225F">
        <w:rPr>
          <w:rFonts w:ascii="Verdana" w:hAnsi="Verdana" w:cs="Arial"/>
          <w:bCs/>
        </w:rPr>
        <w:tab/>
        <w:t xml:space="preserve">The Chief Commissioner’s report was noted. </w:t>
      </w:r>
    </w:p>
    <w:p w14:paraId="7B54FA54" w14:textId="77777777" w:rsidR="00BD3C7F" w:rsidRDefault="00BD3C7F" w:rsidP="00BD3C7F">
      <w:pPr>
        <w:rPr>
          <w:rFonts w:ascii="Verdana" w:hAnsi="Verdana" w:cs="Arial"/>
          <w:bCs/>
        </w:rPr>
      </w:pPr>
    </w:p>
    <w:p w14:paraId="62C316D5" w14:textId="77777777" w:rsidR="00BD3C7F" w:rsidRDefault="00BD3C7F" w:rsidP="00BD3C7F">
      <w:pPr>
        <w:rPr>
          <w:rFonts w:ascii="Verdana" w:hAnsi="Verdana" w:cs="Arial"/>
          <w:bCs/>
        </w:rPr>
      </w:pPr>
    </w:p>
    <w:p w14:paraId="714FD559" w14:textId="4AC33ADB" w:rsidR="00BD3C7F" w:rsidRDefault="00BD3C7F" w:rsidP="00BD3C7F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4</w:t>
      </w:r>
      <w:r w:rsidRPr="007958C4"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Commissioner report</w:t>
      </w:r>
    </w:p>
    <w:p w14:paraId="5ACE5F24" w14:textId="77777777" w:rsidR="00BD3C7F" w:rsidRDefault="00BD3C7F" w:rsidP="00BD3C7F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0962624D" w14:textId="77777777" w:rsidR="00542D54" w:rsidRDefault="00BD3C7F" w:rsidP="00BD3C7F">
      <w:pPr>
        <w:ind w:left="1439" w:hanging="719"/>
        <w:rPr>
          <w:rFonts w:ascii="Verdana" w:hAnsi="Verdana" w:cs="Arial"/>
          <w:bCs/>
        </w:rPr>
      </w:pPr>
      <w:r w:rsidRPr="00BD3C7F">
        <w:rPr>
          <w:rFonts w:ascii="Verdana" w:hAnsi="Verdana" w:cs="Arial"/>
          <w:bCs/>
        </w:rPr>
        <w:t>4.1</w:t>
      </w:r>
      <w:r>
        <w:rPr>
          <w:rFonts w:ascii="Verdana" w:hAnsi="Verdana" w:cs="Arial"/>
          <w:bCs/>
        </w:rPr>
        <w:tab/>
      </w:r>
      <w:r w:rsidR="00A21FCE">
        <w:rPr>
          <w:rFonts w:ascii="Verdana" w:hAnsi="Verdana" w:cs="Arial"/>
          <w:bCs/>
        </w:rPr>
        <w:t xml:space="preserve">Commissioner Lavery reported that the Law Society </w:t>
      </w:r>
      <w:r w:rsidR="00542D54">
        <w:rPr>
          <w:rFonts w:ascii="Verdana" w:hAnsi="Verdana" w:cs="Arial"/>
          <w:bCs/>
        </w:rPr>
        <w:t xml:space="preserve">had developed </w:t>
      </w:r>
      <w:r w:rsidR="00886A89">
        <w:rPr>
          <w:rFonts w:ascii="Verdana" w:hAnsi="Verdana" w:cs="Arial"/>
          <w:bCs/>
        </w:rPr>
        <w:t>a ‘Pledge to uphold the rule of law’ document</w:t>
      </w:r>
      <w:r w:rsidR="00542D54">
        <w:rPr>
          <w:rFonts w:ascii="Verdana" w:hAnsi="Verdana" w:cs="Arial"/>
          <w:bCs/>
        </w:rPr>
        <w:t xml:space="preserve"> which had the support of the Minister of Justice.</w:t>
      </w:r>
    </w:p>
    <w:p w14:paraId="3391339B" w14:textId="2D464445" w:rsidR="00BD3C7F" w:rsidRPr="00542D54" w:rsidRDefault="00542D54" w:rsidP="00BD3C7F">
      <w:pPr>
        <w:ind w:left="1439" w:hanging="719"/>
        <w:rPr>
          <w:rFonts w:ascii="Verdana" w:hAnsi="Verdana" w:cs="Arial"/>
          <w:b/>
        </w:rPr>
      </w:pPr>
      <w:r w:rsidRPr="00542D54">
        <w:rPr>
          <w:rFonts w:ascii="Verdana" w:hAnsi="Verdana" w:cs="Arial"/>
          <w:b/>
        </w:rPr>
        <w:t xml:space="preserve">Action: Commissioner Lavery to share the document. </w:t>
      </w:r>
      <w:r w:rsidR="00886A89" w:rsidRPr="00542D54">
        <w:rPr>
          <w:rFonts w:ascii="Verdana" w:hAnsi="Verdana" w:cs="Arial"/>
          <w:b/>
        </w:rPr>
        <w:t xml:space="preserve"> </w:t>
      </w:r>
    </w:p>
    <w:p w14:paraId="1FCEFCC0" w14:textId="77777777" w:rsidR="00BD3C7F" w:rsidRDefault="00BD3C7F" w:rsidP="00BD3C7F">
      <w:pPr>
        <w:rPr>
          <w:rFonts w:ascii="Verdana" w:hAnsi="Verdana" w:cs="Arial"/>
          <w:bCs/>
        </w:rPr>
      </w:pPr>
    </w:p>
    <w:p w14:paraId="4F83FA17" w14:textId="77777777" w:rsidR="00BF225F" w:rsidRDefault="00BF225F" w:rsidP="00BF225F">
      <w:pPr>
        <w:rPr>
          <w:rFonts w:ascii="Verdana" w:hAnsi="Verdana" w:cs="Arial"/>
          <w:bCs/>
        </w:rPr>
      </w:pPr>
    </w:p>
    <w:p w14:paraId="6763A442" w14:textId="06DD2BEC" w:rsidR="00BF225F" w:rsidRDefault="00BD3C7F" w:rsidP="00BF225F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="00BF225F" w:rsidRPr="007958C4">
        <w:rPr>
          <w:rFonts w:ascii="Verdana" w:hAnsi="Verdana" w:cs="Arial"/>
          <w:b/>
          <w:color w:val="77328A"/>
          <w:sz w:val="30"/>
          <w:szCs w:val="30"/>
        </w:rPr>
        <w:t>.</w:t>
      </w:r>
      <w:r w:rsidR="00BF225F"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 w:rsidR="00BF225F">
        <w:rPr>
          <w:rFonts w:ascii="Verdana" w:hAnsi="Verdana" w:cs="Arial"/>
          <w:b/>
          <w:color w:val="77328A"/>
          <w:sz w:val="30"/>
          <w:szCs w:val="30"/>
        </w:rPr>
        <w:tab/>
        <w:t>Chief Executive report</w:t>
      </w:r>
    </w:p>
    <w:p w14:paraId="6E5420B5" w14:textId="77777777" w:rsidR="00BF225F" w:rsidRDefault="00BF225F" w:rsidP="00BF225F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0849E472" w14:textId="3204174A" w:rsidR="00BF225F" w:rsidRDefault="00BD3C7F" w:rsidP="0007556B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</w:t>
      </w:r>
      <w:r w:rsidR="00BF225F" w:rsidRPr="00BF225F">
        <w:rPr>
          <w:rFonts w:ascii="Verdana" w:hAnsi="Verdana" w:cs="Arial"/>
          <w:bCs/>
        </w:rPr>
        <w:t>.1</w:t>
      </w:r>
      <w:r w:rsidR="00BF225F">
        <w:rPr>
          <w:rFonts w:ascii="Verdana" w:hAnsi="Verdana" w:cs="Arial"/>
          <w:bCs/>
        </w:rPr>
        <w:tab/>
      </w:r>
      <w:r w:rsidR="00DD04CB">
        <w:rPr>
          <w:rFonts w:ascii="Verdana" w:hAnsi="Verdana" w:cs="Arial"/>
          <w:bCs/>
        </w:rPr>
        <w:t xml:space="preserve">The Chief Executive </w:t>
      </w:r>
      <w:r>
        <w:rPr>
          <w:rFonts w:ascii="Verdana" w:hAnsi="Verdana" w:cs="Arial"/>
          <w:bCs/>
        </w:rPr>
        <w:t>provided an update</w:t>
      </w:r>
      <w:r w:rsidR="005941D3">
        <w:rPr>
          <w:rFonts w:ascii="Verdana" w:hAnsi="Verdana" w:cs="Arial"/>
          <w:bCs/>
        </w:rPr>
        <w:t xml:space="preserve"> on </w:t>
      </w:r>
      <w:r w:rsidR="00C67C66">
        <w:rPr>
          <w:rFonts w:ascii="Verdana" w:hAnsi="Verdana" w:cs="Arial"/>
          <w:bCs/>
        </w:rPr>
        <w:t xml:space="preserve">the Economic review, which included </w:t>
      </w:r>
      <w:r w:rsidR="00650782">
        <w:rPr>
          <w:rFonts w:ascii="Verdana" w:hAnsi="Verdana" w:cs="Arial"/>
          <w:bCs/>
        </w:rPr>
        <w:t xml:space="preserve">an update on the first meeting that had taken place with the Chair of the panel and the Chief Commissioner. </w:t>
      </w:r>
    </w:p>
    <w:p w14:paraId="459E4B8D" w14:textId="77777777" w:rsidR="00650782" w:rsidRDefault="00650782" w:rsidP="00BF225F">
      <w:pPr>
        <w:ind w:left="1439" w:hanging="1013"/>
        <w:rPr>
          <w:rFonts w:ascii="Verdana" w:hAnsi="Verdana" w:cs="Arial"/>
          <w:bCs/>
        </w:rPr>
      </w:pPr>
    </w:p>
    <w:p w14:paraId="7C881289" w14:textId="79F001C0" w:rsidR="00650782" w:rsidRDefault="00650782" w:rsidP="0007556B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5.2</w:t>
      </w:r>
      <w:r w:rsidR="00BE138A">
        <w:rPr>
          <w:rFonts w:ascii="Verdana" w:hAnsi="Verdana" w:cs="Arial"/>
          <w:bCs/>
        </w:rPr>
        <w:tab/>
      </w:r>
      <w:r w:rsidR="00EF0676" w:rsidRPr="00EF0676">
        <w:rPr>
          <w:rFonts w:ascii="Verdana" w:hAnsi="Verdana" w:cs="Arial"/>
          <w:bCs/>
        </w:rPr>
        <w:t xml:space="preserve">The Chief Executive </w:t>
      </w:r>
      <w:proofErr w:type="gramStart"/>
      <w:r w:rsidR="00EF0676" w:rsidRPr="00EF0676">
        <w:rPr>
          <w:rFonts w:ascii="Verdana" w:hAnsi="Verdana" w:cs="Arial"/>
          <w:bCs/>
        </w:rPr>
        <w:t>updated</w:t>
      </w:r>
      <w:proofErr w:type="gramEnd"/>
      <w:r w:rsidR="00EF0676" w:rsidRPr="00EF0676">
        <w:rPr>
          <w:rFonts w:ascii="Verdana" w:hAnsi="Verdana" w:cs="Arial"/>
          <w:bCs/>
        </w:rPr>
        <w:t xml:space="preserve"> Commissioners on the business case to the Foreign, Commonwealth &amp; Development Office (FCDO) in relation to the development of a legal entity</w:t>
      </w:r>
      <w:r w:rsidR="00EF0676">
        <w:rPr>
          <w:rFonts w:ascii="Verdana" w:hAnsi="Verdana" w:cs="Arial"/>
          <w:bCs/>
        </w:rPr>
        <w:t xml:space="preserve">, this included an update on </w:t>
      </w:r>
      <w:r w:rsidR="00225034">
        <w:rPr>
          <w:rFonts w:ascii="Verdana" w:hAnsi="Verdana" w:cs="Arial"/>
          <w:bCs/>
        </w:rPr>
        <w:t xml:space="preserve">meetings that took place in London with representatives from the Samoa NHRI and the </w:t>
      </w:r>
      <w:r w:rsidR="00DF3E2C">
        <w:rPr>
          <w:rFonts w:ascii="Verdana" w:hAnsi="Verdana" w:cs="Arial"/>
          <w:bCs/>
        </w:rPr>
        <w:t xml:space="preserve">Rwanda </w:t>
      </w:r>
      <w:r w:rsidR="00225034">
        <w:rPr>
          <w:rFonts w:ascii="Verdana" w:hAnsi="Verdana" w:cs="Arial"/>
          <w:bCs/>
        </w:rPr>
        <w:t xml:space="preserve">NHRI.  </w:t>
      </w:r>
    </w:p>
    <w:p w14:paraId="33DB829F" w14:textId="2F2934B8" w:rsidR="00F967AD" w:rsidRDefault="00F967AD" w:rsidP="007F5FB2">
      <w:pPr>
        <w:ind w:left="426"/>
        <w:rPr>
          <w:rFonts w:ascii="Verdana" w:hAnsi="Verdana" w:cs="Arial"/>
          <w:b/>
        </w:rPr>
      </w:pPr>
      <w:r w:rsidRPr="007F5FB2">
        <w:rPr>
          <w:rFonts w:ascii="Verdana" w:hAnsi="Verdana" w:cs="Arial"/>
          <w:b/>
        </w:rPr>
        <w:t xml:space="preserve">Action: Chief Executive to present a paper on the </w:t>
      </w:r>
      <w:r w:rsidR="007F5FB2" w:rsidRPr="007F5FB2">
        <w:rPr>
          <w:rFonts w:ascii="Verdana" w:hAnsi="Verdana" w:cs="Arial"/>
          <w:b/>
        </w:rPr>
        <w:t>FCDO business case</w:t>
      </w:r>
      <w:r w:rsidR="00327FF6">
        <w:rPr>
          <w:rFonts w:ascii="Verdana" w:hAnsi="Verdana" w:cs="Arial"/>
          <w:b/>
        </w:rPr>
        <w:t xml:space="preserve"> on a legal entity</w:t>
      </w:r>
      <w:r w:rsidR="007F5FB2" w:rsidRPr="007F5FB2">
        <w:rPr>
          <w:rFonts w:ascii="Verdana" w:hAnsi="Verdana" w:cs="Arial"/>
          <w:b/>
        </w:rPr>
        <w:t xml:space="preserve"> for the April Commission meeting.</w:t>
      </w:r>
    </w:p>
    <w:p w14:paraId="4BCCF2E9" w14:textId="77777777" w:rsidR="007F5FB2" w:rsidRDefault="007F5FB2" w:rsidP="007F5FB2">
      <w:pPr>
        <w:ind w:left="426"/>
        <w:rPr>
          <w:rFonts w:ascii="Verdana" w:hAnsi="Verdana" w:cs="Arial"/>
          <w:b/>
        </w:rPr>
      </w:pPr>
    </w:p>
    <w:p w14:paraId="7120E95F" w14:textId="4AE7434E" w:rsidR="0071510D" w:rsidRDefault="0071510D" w:rsidP="0071510D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6</w:t>
      </w:r>
      <w:r w:rsidRPr="007958C4"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>
        <w:rPr>
          <w:rFonts w:ascii="Verdana" w:hAnsi="Verdana" w:cs="Arial"/>
          <w:b/>
          <w:color w:val="77328A"/>
          <w:sz w:val="30"/>
          <w:szCs w:val="30"/>
        </w:rPr>
        <w:tab/>
        <w:t>Finance report</w:t>
      </w:r>
    </w:p>
    <w:p w14:paraId="20508F5A" w14:textId="77777777" w:rsidR="0071510D" w:rsidRDefault="0071510D" w:rsidP="0071510D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601725D4" w14:textId="2FF23DDD" w:rsidR="0071510D" w:rsidRDefault="0071510D" w:rsidP="0071510D">
      <w:pPr>
        <w:ind w:left="1439" w:hanging="719"/>
        <w:rPr>
          <w:rFonts w:ascii="Verdana" w:hAnsi="Verdana" w:cs="Arial"/>
          <w:bCs/>
          <w:color w:val="77328A"/>
          <w:sz w:val="30"/>
          <w:szCs w:val="30"/>
        </w:rPr>
      </w:pPr>
      <w:r w:rsidRPr="0071510D">
        <w:rPr>
          <w:rFonts w:ascii="Verdana" w:hAnsi="Verdana" w:cs="Arial"/>
          <w:bCs/>
        </w:rPr>
        <w:t>6.1</w:t>
      </w:r>
      <w:r w:rsidR="0007556B">
        <w:rPr>
          <w:rFonts w:ascii="Verdana" w:hAnsi="Verdana" w:cs="Arial"/>
          <w:bCs/>
        </w:rPr>
        <w:tab/>
        <w:t>The Chief Executive reported that the Finance report was unavailable for this meeting due to c</w:t>
      </w:r>
      <w:r w:rsidR="00AB297A">
        <w:rPr>
          <w:rFonts w:ascii="Verdana" w:hAnsi="Verdana" w:cs="Arial"/>
          <w:bCs/>
        </w:rPr>
        <w:t>apacity c</w:t>
      </w:r>
      <w:r w:rsidR="0007556B">
        <w:rPr>
          <w:rFonts w:ascii="Verdana" w:hAnsi="Verdana" w:cs="Arial"/>
          <w:bCs/>
        </w:rPr>
        <w:t>onstraints within t</w:t>
      </w:r>
      <w:r w:rsidR="00AB297A">
        <w:rPr>
          <w:rFonts w:ascii="Verdana" w:hAnsi="Verdana" w:cs="Arial"/>
          <w:bCs/>
        </w:rPr>
        <w:t xml:space="preserve">he </w:t>
      </w:r>
      <w:r w:rsidR="00AB297A" w:rsidRPr="00AB297A">
        <w:rPr>
          <w:rFonts w:ascii="Verdana" w:hAnsi="Verdana" w:cs="Arial"/>
          <w:bCs/>
        </w:rPr>
        <w:t>Finance, Personnel &amp; Corporate Affairs</w:t>
      </w:r>
      <w:r w:rsidR="00AB297A">
        <w:rPr>
          <w:rFonts w:ascii="Verdana" w:hAnsi="Verdana" w:cs="Arial"/>
          <w:bCs/>
        </w:rPr>
        <w:t xml:space="preserve"> </w:t>
      </w:r>
      <w:proofErr w:type="gramStart"/>
      <w:r w:rsidR="00AB297A">
        <w:rPr>
          <w:rFonts w:ascii="Verdana" w:hAnsi="Verdana" w:cs="Arial"/>
          <w:bCs/>
        </w:rPr>
        <w:t>team</w:t>
      </w:r>
      <w:proofErr w:type="gramEnd"/>
      <w:r w:rsidR="00CA166A">
        <w:rPr>
          <w:rFonts w:ascii="Verdana" w:hAnsi="Verdana" w:cs="Arial"/>
          <w:bCs/>
        </w:rPr>
        <w:t xml:space="preserve"> and assured </w:t>
      </w:r>
      <w:r w:rsidR="00CA166A">
        <w:rPr>
          <w:rFonts w:ascii="Verdana" w:hAnsi="Verdana" w:cs="Arial"/>
          <w:bCs/>
        </w:rPr>
        <w:lastRenderedPageBreak/>
        <w:t>Commissioners that there had been no significant changes to the finance records from the February report.</w:t>
      </w:r>
      <w:r w:rsidR="0007556B">
        <w:rPr>
          <w:rFonts w:ascii="Verdana" w:hAnsi="Verdana" w:cs="Arial"/>
          <w:bCs/>
        </w:rPr>
        <w:t xml:space="preserve"> </w:t>
      </w:r>
      <w:r w:rsidRPr="0071510D">
        <w:rPr>
          <w:rFonts w:ascii="Verdana" w:hAnsi="Verdana" w:cs="Arial"/>
          <w:bCs/>
          <w:color w:val="77328A"/>
          <w:sz w:val="30"/>
          <w:szCs w:val="30"/>
        </w:rPr>
        <w:tab/>
      </w:r>
    </w:p>
    <w:p w14:paraId="4AB6127B" w14:textId="77777777" w:rsidR="00CA166A" w:rsidRDefault="00CA166A" w:rsidP="0071510D">
      <w:pPr>
        <w:ind w:left="1439" w:hanging="719"/>
        <w:rPr>
          <w:rFonts w:ascii="Verdana" w:hAnsi="Verdana" w:cs="Arial"/>
          <w:bCs/>
          <w:color w:val="77328A"/>
          <w:sz w:val="30"/>
          <w:szCs w:val="30"/>
        </w:rPr>
      </w:pPr>
    </w:p>
    <w:p w14:paraId="1CDF2B2E" w14:textId="10A8A002" w:rsidR="00CA166A" w:rsidRDefault="009429A8" w:rsidP="0071510D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6.2</w:t>
      </w:r>
      <w:r>
        <w:rPr>
          <w:rFonts w:ascii="Verdana" w:hAnsi="Verdana" w:cs="Arial"/>
          <w:bCs/>
        </w:rPr>
        <w:tab/>
        <w:t xml:space="preserve">Commissioners noted the Chief Executive’s reassurance that there had been no significant changes since the February meeting. </w:t>
      </w:r>
    </w:p>
    <w:p w14:paraId="43F62FA8" w14:textId="77777777" w:rsidR="009429A8" w:rsidRDefault="009429A8" w:rsidP="009429A8">
      <w:pPr>
        <w:rPr>
          <w:rFonts w:ascii="Verdana" w:hAnsi="Verdana" w:cs="Arial"/>
          <w:bCs/>
        </w:rPr>
      </w:pPr>
    </w:p>
    <w:p w14:paraId="054B1343" w14:textId="0D40C213" w:rsidR="009429A8" w:rsidRDefault="009429A8" w:rsidP="009429A8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7</w:t>
      </w:r>
      <w:r w:rsidRPr="007958C4"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>
        <w:rPr>
          <w:rFonts w:ascii="Verdana" w:hAnsi="Verdana" w:cs="Arial"/>
          <w:b/>
          <w:color w:val="77328A"/>
          <w:sz w:val="30"/>
          <w:szCs w:val="30"/>
        </w:rPr>
        <w:tab/>
        <w:t>Business Plan 2024-25</w:t>
      </w:r>
    </w:p>
    <w:p w14:paraId="36FFA1DB" w14:textId="77777777" w:rsidR="009429A8" w:rsidRDefault="009429A8" w:rsidP="009429A8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470CC0BB" w14:textId="7F1D7CDB" w:rsidR="009429A8" w:rsidRDefault="009429A8" w:rsidP="009429A8">
      <w:pPr>
        <w:ind w:left="1439" w:hanging="719"/>
        <w:rPr>
          <w:rFonts w:ascii="Verdana" w:hAnsi="Verdana" w:cs="Arial"/>
          <w:bCs/>
        </w:rPr>
      </w:pPr>
      <w:r w:rsidRPr="009429A8">
        <w:rPr>
          <w:rFonts w:ascii="Verdana" w:hAnsi="Verdana" w:cs="Arial"/>
          <w:bCs/>
        </w:rPr>
        <w:t>7.1</w:t>
      </w:r>
      <w:r w:rsidRPr="009429A8">
        <w:rPr>
          <w:rFonts w:ascii="Verdana" w:hAnsi="Verdana" w:cs="Arial"/>
          <w:bCs/>
          <w:color w:val="77328A"/>
          <w:sz w:val="30"/>
          <w:szCs w:val="30"/>
        </w:rPr>
        <w:tab/>
      </w:r>
      <w:r w:rsidRPr="009429A8">
        <w:rPr>
          <w:rFonts w:ascii="Verdana" w:hAnsi="Verdana" w:cs="Arial"/>
          <w:bCs/>
        </w:rPr>
        <w:t>The Chief Executive</w:t>
      </w:r>
      <w:r>
        <w:rPr>
          <w:rFonts w:ascii="Verdana" w:hAnsi="Verdana" w:cs="Arial"/>
          <w:bCs/>
        </w:rPr>
        <w:t xml:space="preserve"> </w:t>
      </w:r>
      <w:proofErr w:type="gramStart"/>
      <w:r>
        <w:rPr>
          <w:rFonts w:ascii="Verdana" w:hAnsi="Verdana" w:cs="Arial"/>
          <w:bCs/>
        </w:rPr>
        <w:t>updated</w:t>
      </w:r>
      <w:proofErr w:type="gramEnd"/>
      <w:r>
        <w:rPr>
          <w:rFonts w:ascii="Verdana" w:hAnsi="Verdana" w:cs="Arial"/>
          <w:bCs/>
        </w:rPr>
        <w:t xml:space="preserve"> Commissioners that the draft of the Business Plan presented was incomplete due to the budget for 2024-25 not yet set by the NIO. </w:t>
      </w:r>
    </w:p>
    <w:p w14:paraId="5F11D4AC" w14:textId="7B457EC0" w:rsidR="00FC075D" w:rsidRDefault="00FC075D" w:rsidP="00FC075D">
      <w:pPr>
        <w:ind w:left="567"/>
        <w:rPr>
          <w:rFonts w:ascii="Verdana" w:hAnsi="Verdana" w:cs="Arial"/>
          <w:b/>
        </w:rPr>
      </w:pPr>
      <w:r w:rsidRPr="00FC075D">
        <w:rPr>
          <w:rFonts w:ascii="Verdana" w:hAnsi="Verdana" w:cs="Arial"/>
          <w:b/>
        </w:rPr>
        <w:t xml:space="preserve">Action: Final draft of Business Plan 2024-25 to be presented once budget is set. </w:t>
      </w:r>
    </w:p>
    <w:p w14:paraId="2240AE80" w14:textId="77777777" w:rsidR="00FC075D" w:rsidRDefault="00FC075D" w:rsidP="00FC075D">
      <w:pPr>
        <w:ind w:left="567"/>
        <w:rPr>
          <w:rFonts w:ascii="Verdana" w:hAnsi="Verdana" w:cs="Arial"/>
          <w:b/>
        </w:rPr>
      </w:pPr>
    </w:p>
    <w:p w14:paraId="2B4002E7" w14:textId="77777777" w:rsidR="00FC075D" w:rsidRDefault="00FC075D" w:rsidP="00FC075D">
      <w:pPr>
        <w:ind w:left="567"/>
        <w:rPr>
          <w:rFonts w:ascii="Verdana" w:hAnsi="Verdana" w:cs="Arial"/>
          <w:b/>
        </w:rPr>
      </w:pPr>
    </w:p>
    <w:p w14:paraId="3B54F695" w14:textId="6331E2F5" w:rsidR="00FC075D" w:rsidRDefault="00FC075D" w:rsidP="00FC075D">
      <w:pPr>
        <w:ind w:left="567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8</w:t>
      </w:r>
      <w:r w:rsidRPr="00FC075D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Pr="00FC075D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KPI Functions – Dedicated Mechanism</w:t>
      </w:r>
    </w:p>
    <w:p w14:paraId="2B901246" w14:textId="77777777" w:rsidR="00FC075D" w:rsidRDefault="00FC075D" w:rsidP="00FC075D">
      <w:pPr>
        <w:ind w:left="567"/>
        <w:rPr>
          <w:rFonts w:ascii="Verdana" w:hAnsi="Verdana" w:cs="Arial"/>
          <w:b/>
          <w:color w:val="77328A"/>
          <w:sz w:val="30"/>
          <w:szCs w:val="30"/>
        </w:rPr>
      </w:pPr>
    </w:p>
    <w:p w14:paraId="63B1019D" w14:textId="74707233" w:rsidR="00FC075D" w:rsidRDefault="00FC075D" w:rsidP="00BB2692">
      <w:pPr>
        <w:ind w:left="1440" w:hanging="720"/>
        <w:rPr>
          <w:rFonts w:ascii="Verdana" w:hAnsi="Verdana" w:cs="Arial"/>
          <w:bCs/>
        </w:rPr>
      </w:pPr>
      <w:r w:rsidRPr="00FC075D">
        <w:rPr>
          <w:rFonts w:ascii="Verdana" w:hAnsi="Verdana" w:cs="Arial"/>
          <w:bCs/>
        </w:rPr>
        <w:t>8.1</w:t>
      </w:r>
      <w:r w:rsidRPr="00FC075D">
        <w:rPr>
          <w:rFonts w:ascii="Verdana" w:hAnsi="Verdana" w:cs="Arial"/>
          <w:bCs/>
        </w:rPr>
        <w:tab/>
      </w:r>
      <w:r w:rsidR="00BE3E5B">
        <w:rPr>
          <w:rFonts w:ascii="Verdana" w:hAnsi="Verdana" w:cs="Arial"/>
          <w:bCs/>
        </w:rPr>
        <w:t xml:space="preserve">The </w:t>
      </w:r>
      <w:r w:rsidR="00BE3E5B" w:rsidRPr="00BE3E5B">
        <w:rPr>
          <w:rFonts w:ascii="Verdana" w:hAnsi="Verdana" w:cs="Arial"/>
          <w:bCs/>
        </w:rPr>
        <w:t>Director (Human Rights after EU Withdrawal)</w:t>
      </w:r>
      <w:r w:rsidR="00BB2692" w:rsidRPr="00BB2692">
        <w:t xml:space="preserve"> </w:t>
      </w:r>
      <w:r w:rsidR="00BB2692" w:rsidRPr="00BB2692">
        <w:rPr>
          <w:rFonts w:ascii="Verdana" w:hAnsi="Verdana" w:cs="Arial"/>
          <w:bCs/>
        </w:rPr>
        <w:t>provided an update on the progress of the key performance indicators for the following areas:</w:t>
      </w:r>
    </w:p>
    <w:p w14:paraId="001AD19E" w14:textId="4015BDCA" w:rsidR="00BB2692" w:rsidRDefault="00D22585" w:rsidP="00BB2692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D22585">
        <w:rPr>
          <w:rFonts w:ascii="Verdana" w:hAnsi="Verdana" w:cs="Arial"/>
          <w:bCs/>
        </w:rPr>
        <w:t>Policy &amp; legislation</w:t>
      </w:r>
    </w:p>
    <w:p w14:paraId="3EBDBDDB" w14:textId="08F25B2C" w:rsidR="00D22585" w:rsidRDefault="00167CA5" w:rsidP="00BB2692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167CA5">
        <w:rPr>
          <w:rFonts w:ascii="Verdana" w:hAnsi="Verdana" w:cs="Arial"/>
          <w:bCs/>
        </w:rPr>
        <w:t>Research</w:t>
      </w:r>
    </w:p>
    <w:p w14:paraId="2781899E" w14:textId="772A45B6" w:rsidR="00167CA5" w:rsidRDefault="007F5E0B" w:rsidP="00BB2692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7F5E0B">
        <w:rPr>
          <w:rFonts w:ascii="Verdana" w:hAnsi="Verdana" w:cs="Arial"/>
          <w:bCs/>
        </w:rPr>
        <w:t>DM legal</w:t>
      </w:r>
    </w:p>
    <w:p w14:paraId="345689EB" w14:textId="2CEFA200" w:rsidR="007F5E0B" w:rsidRDefault="00592458" w:rsidP="00BB2692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592458">
        <w:rPr>
          <w:rFonts w:ascii="Verdana" w:hAnsi="Verdana" w:cs="Arial"/>
          <w:bCs/>
        </w:rPr>
        <w:t>Island of Ireland dimension</w:t>
      </w:r>
    </w:p>
    <w:p w14:paraId="62BACB3B" w14:textId="6995F3E5" w:rsidR="00592458" w:rsidRDefault="00C336F8" w:rsidP="00BB2692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C336F8">
        <w:rPr>
          <w:rFonts w:ascii="Verdana" w:hAnsi="Verdana" w:cs="Arial"/>
          <w:bCs/>
        </w:rPr>
        <w:t>International</w:t>
      </w:r>
    </w:p>
    <w:p w14:paraId="6921D01D" w14:textId="609F9B80" w:rsidR="00C336F8" w:rsidRDefault="007907E7" w:rsidP="00BB2692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7907E7">
        <w:rPr>
          <w:rFonts w:ascii="Verdana" w:hAnsi="Verdana" w:cs="Arial"/>
          <w:bCs/>
        </w:rPr>
        <w:t>Corporate &amp; HR</w:t>
      </w:r>
    </w:p>
    <w:p w14:paraId="132D226C" w14:textId="0BFD9F00" w:rsidR="007907E7" w:rsidRPr="00BB2692" w:rsidRDefault="00D93292" w:rsidP="00BB2692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D93292">
        <w:rPr>
          <w:rFonts w:ascii="Verdana" w:hAnsi="Verdana" w:cs="Arial"/>
          <w:bCs/>
        </w:rPr>
        <w:t>Engagement</w:t>
      </w:r>
    </w:p>
    <w:p w14:paraId="4A08FF85" w14:textId="77777777" w:rsidR="009429A8" w:rsidRPr="009429A8" w:rsidRDefault="009429A8" w:rsidP="009429A8">
      <w:pPr>
        <w:rPr>
          <w:rFonts w:ascii="Verdana" w:hAnsi="Verdana" w:cs="Arial"/>
          <w:bCs/>
        </w:rPr>
      </w:pPr>
    </w:p>
    <w:p w14:paraId="2D3D5A2C" w14:textId="07CF152A" w:rsidR="007F5FB2" w:rsidRPr="007F5FB2" w:rsidRDefault="007F5FB2" w:rsidP="007F5FB2">
      <w:pPr>
        <w:ind w:left="426"/>
        <w:rPr>
          <w:rFonts w:ascii="Verdana" w:hAnsi="Verdana" w:cs="Arial"/>
          <w:bCs/>
        </w:rPr>
      </w:pPr>
    </w:p>
    <w:p w14:paraId="257A7EEA" w14:textId="2110E6F3" w:rsidR="00BF225F" w:rsidRDefault="00D93292" w:rsidP="00D93292">
      <w:pPr>
        <w:ind w:firstLine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9</w:t>
      </w:r>
      <w:r w:rsidRPr="00FC075D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Pr="00FC075D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Team updates</w:t>
      </w:r>
    </w:p>
    <w:p w14:paraId="50144047" w14:textId="77777777" w:rsidR="00D93292" w:rsidRDefault="00D93292" w:rsidP="00D93292">
      <w:pPr>
        <w:ind w:firstLine="720"/>
        <w:rPr>
          <w:rFonts w:ascii="Verdana" w:hAnsi="Verdana" w:cs="Arial"/>
          <w:b/>
          <w:color w:val="77328A"/>
          <w:sz w:val="30"/>
          <w:szCs w:val="30"/>
        </w:rPr>
      </w:pPr>
    </w:p>
    <w:p w14:paraId="1294AD8C" w14:textId="72BEFB89" w:rsidR="00833311" w:rsidRDefault="00833311" w:rsidP="00833311">
      <w:pPr>
        <w:ind w:left="720" w:firstLine="720"/>
        <w:rPr>
          <w:rFonts w:ascii="Verdana" w:hAnsi="Verdana" w:cs="Arial"/>
          <w:b/>
        </w:rPr>
      </w:pPr>
      <w:r w:rsidRPr="00833311">
        <w:rPr>
          <w:rFonts w:ascii="Verdana" w:hAnsi="Verdana" w:cs="Arial"/>
          <w:b/>
        </w:rPr>
        <w:t>Engagement and Communications</w:t>
      </w:r>
    </w:p>
    <w:p w14:paraId="49706573" w14:textId="77777777" w:rsidR="00833311" w:rsidRPr="00833311" w:rsidRDefault="00833311" w:rsidP="00833311">
      <w:pPr>
        <w:ind w:left="720" w:firstLine="720"/>
        <w:rPr>
          <w:rFonts w:ascii="Verdana" w:hAnsi="Verdana" w:cs="Arial"/>
          <w:b/>
        </w:rPr>
      </w:pPr>
    </w:p>
    <w:p w14:paraId="74891D11" w14:textId="5400D756" w:rsidR="00833311" w:rsidRPr="00124BED" w:rsidRDefault="00D93292" w:rsidP="00833311">
      <w:pPr>
        <w:ind w:left="1440" w:hanging="720"/>
        <w:rPr>
          <w:rFonts w:ascii="Verdana" w:hAnsi="Verdana" w:cs="Arial"/>
          <w:bCs/>
        </w:rPr>
      </w:pPr>
      <w:r w:rsidRPr="00D93292">
        <w:rPr>
          <w:rFonts w:ascii="Verdana" w:hAnsi="Verdana" w:cs="Arial"/>
          <w:bCs/>
        </w:rPr>
        <w:t>9.1</w:t>
      </w:r>
      <w:r w:rsidRPr="00D93292">
        <w:rPr>
          <w:rFonts w:ascii="Verdana" w:hAnsi="Verdana" w:cs="Arial"/>
          <w:bCs/>
        </w:rPr>
        <w:tab/>
      </w:r>
      <w:r w:rsidR="00833311">
        <w:rPr>
          <w:rFonts w:ascii="Verdana" w:hAnsi="Verdana" w:cs="Arial"/>
          <w:bCs/>
        </w:rPr>
        <w:t xml:space="preserve">The </w:t>
      </w:r>
      <w:r w:rsidR="00AF7D83" w:rsidRPr="00AF7D83">
        <w:rPr>
          <w:rFonts w:ascii="Verdana" w:hAnsi="Verdana" w:cs="Arial"/>
          <w:bCs/>
        </w:rPr>
        <w:t>Director (Engagement and Communications)</w:t>
      </w:r>
      <w:r w:rsidR="00833311">
        <w:rPr>
          <w:rFonts w:ascii="Verdana" w:hAnsi="Verdana" w:cs="Arial"/>
          <w:bCs/>
        </w:rPr>
        <w:t xml:space="preserve"> provided an </w:t>
      </w:r>
      <w:r w:rsidR="00833311" w:rsidRPr="00124BED">
        <w:rPr>
          <w:rFonts w:ascii="Verdana" w:hAnsi="Verdana" w:cs="Arial"/>
          <w:bCs/>
        </w:rPr>
        <w:t>update on:</w:t>
      </w:r>
    </w:p>
    <w:p w14:paraId="01BDE8E6" w14:textId="0D9F1DFB" w:rsidR="00D93292" w:rsidRDefault="000F19F6" w:rsidP="00833311">
      <w:pPr>
        <w:pStyle w:val="ListParagraph"/>
        <w:numPr>
          <w:ilvl w:val="0"/>
          <w:numId w:val="3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Staffing and r</w:t>
      </w:r>
      <w:r w:rsidR="00124BED" w:rsidRPr="00124BED">
        <w:rPr>
          <w:rFonts w:ascii="Verdana" w:hAnsi="Verdana" w:cs="Arial"/>
          <w:bCs/>
        </w:rPr>
        <w:t>ecruitment</w:t>
      </w:r>
    </w:p>
    <w:p w14:paraId="1831D113" w14:textId="6E02FD31" w:rsidR="00124BED" w:rsidRDefault="00124BED" w:rsidP="00833311">
      <w:pPr>
        <w:pStyle w:val="ListParagraph"/>
        <w:numPr>
          <w:ilvl w:val="0"/>
          <w:numId w:val="3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Business and Human Rights Index</w:t>
      </w:r>
    </w:p>
    <w:p w14:paraId="49B4ADCF" w14:textId="1651BDA4" w:rsidR="000F19F6" w:rsidRDefault="000F19F6" w:rsidP="000F19F6">
      <w:pPr>
        <w:ind w:left="1440"/>
        <w:rPr>
          <w:rFonts w:ascii="Verdana" w:hAnsi="Verdana" w:cs="Arial"/>
          <w:b/>
        </w:rPr>
      </w:pPr>
      <w:r w:rsidRPr="000F19F6">
        <w:rPr>
          <w:rFonts w:ascii="Verdana" w:hAnsi="Verdana" w:cs="Arial"/>
          <w:b/>
        </w:rPr>
        <w:t xml:space="preserve">Action: Business and Human Rights Index to be presented at the April Commission meeting. </w:t>
      </w:r>
    </w:p>
    <w:p w14:paraId="4FB973CB" w14:textId="77777777" w:rsidR="00DD6EFD" w:rsidRDefault="00DD6EFD" w:rsidP="000F19F6">
      <w:pPr>
        <w:ind w:left="1440"/>
        <w:rPr>
          <w:rFonts w:ascii="Verdana" w:hAnsi="Verdana" w:cs="Arial"/>
          <w:b/>
        </w:rPr>
      </w:pPr>
    </w:p>
    <w:p w14:paraId="33D85C78" w14:textId="75E4986B" w:rsidR="00DD6EFD" w:rsidRDefault="00DD6EFD" w:rsidP="000F19F6">
      <w:pPr>
        <w:ind w:left="144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Policy</w:t>
      </w:r>
    </w:p>
    <w:p w14:paraId="4751C61B" w14:textId="77777777" w:rsidR="00DD6EFD" w:rsidRDefault="00DD6EFD" w:rsidP="00DD6EFD">
      <w:pPr>
        <w:rPr>
          <w:rFonts w:ascii="Verdana" w:hAnsi="Verdana" w:cs="Arial"/>
          <w:b/>
        </w:rPr>
      </w:pPr>
    </w:p>
    <w:p w14:paraId="1F4DDEEA" w14:textId="0B6CAA4C" w:rsidR="00DD6EFD" w:rsidRDefault="00DD6EFD" w:rsidP="00112977">
      <w:pPr>
        <w:ind w:left="1440" w:hanging="720"/>
        <w:rPr>
          <w:rFonts w:ascii="Verdana" w:hAnsi="Verdana" w:cs="Arial"/>
          <w:bCs/>
        </w:rPr>
      </w:pPr>
      <w:r w:rsidRPr="00DD6EFD">
        <w:rPr>
          <w:rFonts w:ascii="Verdana" w:hAnsi="Verdana" w:cs="Arial"/>
          <w:bCs/>
        </w:rPr>
        <w:t>9.2</w:t>
      </w:r>
      <w:r w:rsidRPr="00DD6EFD">
        <w:rPr>
          <w:rFonts w:ascii="Verdana" w:hAnsi="Verdana" w:cs="Arial"/>
          <w:bCs/>
        </w:rPr>
        <w:tab/>
      </w:r>
      <w:r w:rsidR="00112977">
        <w:rPr>
          <w:rFonts w:ascii="Verdana" w:hAnsi="Verdana" w:cs="Arial"/>
          <w:bCs/>
        </w:rPr>
        <w:t xml:space="preserve">The </w:t>
      </w:r>
      <w:r w:rsidR="00112977" w:rsidRPr="00112977">
        <w:rPr>
          <w:rFonts w:ascii="Verdana" w:hAnsi="Verdana" w:cs="Arial"/>
          <w:bCs/>
        </w:rPr>
        <w:t>Director (Advice to Government, Research, and Investigations)</w:t>
      </w:r>
      <w:r w:rsidR="00112977">
        <w:rPr>
          <w:rFonts w:ascii="Verdana" w:hAnsi="Verdana" w:cs="Arial"/>
          <w:bCs/>
        </w:rPr>
        <w:t xml:space="preserve"> provided and update on: </w:t>
      </w:r>
    </w:p>
    <w:p w14:paraId="0F0AE749" w14:textId="4777CBED" w:rsidR="00112977" w:rsidRDefault="000E60CF" w:rsidP="00112977">
      <w:pPr>
        <w:pStyle w:val="ListParagraph"/>
        <w:numPr>
          <w:ilvl w:val="0"/>
          <w:numId w:val="4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UNCRPD</w:t>
      </w:r>
    </w:p>
    <w:p w14:paraId="2C1399A5" w14:textId="25F16CCE" w:rsidR="000E60CF" w:rsidRDefault="000E60CF" w:rsidP="00112977">
      <w:pPr>
        <w:pStyle w:val="ListParagraph"/>
        <w:numPr>
          <w:ilvl w:val="0"/>
          <w:numId w:val="4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>Westminster engagement</w:t>
      </w:r>
    </w:p>
    <w:p w14:paraId="0D30413F" w14:textId="77777777" w:rsidR="000E60CF" w:rsidRDefault="000E60CF" w:rsidP="002871B8">
      <w:pPr>
        <w:rPr>
          <w:rFonts w:ascii="Verdana" w:hAnsi="Verdana" w:cs="Arial"/>
          <w:bCs/>
        </w:rPr>
      </w:pPr>
    </w:p>
    <w:p w14:paraId="7980B18F" w14:textId="1AD9D9E9" w:rsidR="00CA36A9" w:rsidRDefault="00CA36A9" w:rsidP="00CA36A9">
      <w:pPr>
        <w:ind w:firstLine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</w:t>
      </w:r>
      <w:r w:rsidRPr="00FC075D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Pr="00FC075D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Any other business</w:t>
      </w:r>
    </w:p>
    <w:p w14:paraId="6031857D" w14:textId="77777777" w:rsidR="00CA36A9" w:rsidRDefault="00CA36A9" w:rsidP="00CA36A9">
      <w:pPr>
        <w:ind w:firstLine="720"/>
        <w:rPr>
          <w:rFonts w:ascii="Verdana" w:hAnsi="Verdana" w:cs="Arial"/>
          <w:b/>
          <w:color w:val="77328A"/>
          <w:sz w:val="30"/>
          <w:szCs w:val="30"/>
        </w:rPr>
      </w:pPr>
    </w:p>
    <w:p w14:paraId="6B75B4EE" w14:textId="77777777" w:rsidR="00B10FA1" w:rsidRDefault="00CA36A9" w:rsidP="00B10FA1">
      <w:pPr>
        <w:ind w:left="1440" w:hanging="720"/>
        <w:rPr>
          <w:rFonts w:ascii="Verdana" w:hAnsi="Verdana" w:cs="Arial"/>
          <w:bCs/>
        </w:rPr>
      </w:pPr>
      <w:r w:rsidRPr="00CA36A9">
        <w:rPr>
          <w:rFonts w:ascii="Verdana" w:hAnsi="Verdana" w:cs="Arial"/>
          <w:bCs/>
        </w:rPr>
        <w:t>10.1</w:t>
      </w:r>
      <w:r w:rsidRPr="00B10FA1">
        <w:rPr>
          <w:rFonts w:ascii="Verdana" w:hAnsi="Verdana" w:cs="Arial"/>
          <w:bCs/>
          <w:sz w:val="30"/>
          <w:szCs w:val="30"/>
        </w:rPr>
        <w:tab/>
      </w:r>
      <w:r w:rsidR="002C60EE" w:rsidRPr="00B10FA1">
        <w:rPr>
          <w:rFonts w:ascii="Verdana" w:hAnsi="Verdana" w:cs="Arial"/>
          <w:bCs/>
        </w:rPr>
        <w:t xml:space="preserve">The Chief Commissioner has requested that the meeting dates for August and October are changed to accommodate </w:t>
      </w:r>
      <w:r w:rsidR="00B10FA1" w:rsidRPr="00B10FA1">
        <w:rPr>
          <w:rFonts w:ascii="Verdana" w:hAnsi="Verdana" w:cs="Arial"/>
          <w:bCs/>
        </w:rPr>
        <w:t>her involvement on the GANHRI and ENNHRI boards.  Commissioners agreed.</w:t>
      </w:r>
    </w:p>
    <w:p w14:paraId="7AB0E986" w14:textId="03F8AFE9" w:rsidR="00CA36A9" w:rsidRPr="00B10FA1" w:rsidRDefault="00B10FA1" w:rsidP="00B10FA1">
      <w:pPr>
        <w:ind w:left="709"/>
        <w:rPr>
          <w:rFonts w:ascii="Verdana" w:hAnsi="Verdana" w:cs="Arial"/>
          <w:b/>
          <w:color w:val="77328A"/>
          <w:sz w:val="30"/>
          <w:szCs w:val="30"/>
        </w:rPr>
      </w:pPr>
      <w:r w:rsidRPr="00B10FA1">
        <w:rPr>
          <w:rFonts w:ascii="Verdana" w:hAnsi="Verdana" w:cs="Arial"/>
          <w:b/>
        </w:rPr>
        <w:t xml:space="preserve">Action: Executive Assistant to reschedule the August and October Commission meetings.  </w:t>
      </w:r>
    </w:p>
    <w:p w14:paraId="14E45E47" w14:textId="1D1897C3" w:rsidR="002871B8" w:rsidRDefault="002871B8" w:rsidP="00CA36A9">
      <w:pPr>
        <w:rPr>
          <w:rFonts w:ascii="Verdana" w:hAnsi="Verdana" w:cs="Arial"/>
          <w:bCs/>
        </w:rPr>
      </w:pPr>
    </w:p>
    <w:p w14:paraId="424ABDE5" w14:textId="77777777" w:rsidR="00CA36A9" w:rsidRDefault="00CA36A9" w:rsidP="00CA36A9">
      <w:pPr>
        <w:rPr>
          <w:rFonts w:ascii="Verdana" w:hAnsi="Verdana" w:cs="Arial"/>
          <w:bCs/>
        </w:rPr>
      </w:pPr>
    </w:p>
    <w:p w14:paraId="65F66CB4" w14:textId="77777777" w:rsidR="00B10FA1" w:rsidRDefault="00B10FA1" w:rsidP="00CA36A9">
      <w:pPr>
        <w:rPr>
          <w:rFonts w:ascii="Verdana" w:hAnsi="Verdana" w:cs="Arial"/>
          <w:bCs/>
        </w:rPr>
      </w:pPr>
    </w:p>
    <w:p w14:paraId="728ED6AC" w14:textId="77777777" w:rsidR="00B10FA1" w:rsidRDefault="00B10FA1" w:rsidP="00CA36A9">
      <w:pPr>
        <w:rPr>
          <w:rFonts w:ascii="Verdana" w:hAnsi="Verdana" w:cs="Arial"/>
          <w:bCs/>
        </w:rPr>
      </w:pPr>
    </w:p>
    <w:p w14:paraId="46C2C858" w14:textId="77777777" w:rsidR="00B10FA1" w:rsidRDefault="00B10FA1" w:rsidP="00CA36A9">
      <w:pPr>
        <w:rPr>
          <w:rFonts w:ascii="Verdana" w:hAnsi="Verdana" w:cs="Arial"/>
          <w:bCs/>
        </w:rPr>
      </w:pPr>
    </w:p>
    <w:p w14:paraId="6554A675" w14:textId="77777777" w:rsidR="00B10FA1" w:rsidRDefault="00B10FA1" w:rsidP="00CA36A9">
      <w:pPr>
        <w:rPr>
          <w:rFonts w:ascii="Verdana" w:hAnsi="Verdana" w:cs="Arial"/>
          <w:bCs/>
        </w:rPr>
      </w:pPr>
    </w:p>
    <w:p w14:paraId="607D2896" w14:textId="77777777" w:rsidR="00B10FA1" w:rsidRDefault="00B10FA1" w:rsidP="00CA36A9">
      <w:pPr>
        <w:rPr>
          <w:rFonts w:ascii="Verdana" w:hAnsi="Verdana" w:cs="Arial"/>
          <w:bCs/>
        </w:rPr>
      </w:pPr>
    </w:p>
    <w:p w14:paraId="38E55B83" w14:textId="77777777" w:rsidR="00B10FA1" w:rsidRDefault="00B10FA1" w:rsidP="00CA36A9">
      <w:pPr>
        <w:rPr>
          <w:rFonts w:ascii="Verdana" w:hAnsi="Verdana" w:cs="Arial"/>
          <w:bCs/>
        </w:rPr>
      </w:pPr>
    </w:p>
    <w:p w14:paraId="2EA021ED" w14:textId="77777777" w:rsidR="00B10FA1" w:rsidRDefault="00B10FA1" w:rsidP="00CA36A9">
      <w:pPr>
        <w:rPr>
          <w:rFonts w:ascii="Verdana" w:hAnsi="Verdana" w:cs="Arial"/>
          <w:bCs/>
        </w:rPr>
      </w:pPr>
    </w:p>
    <w:p w14:paraId="2437C39F" w14:textId="267E1731" w:rsidR="00B10FA1" w:rsidRPr="002871B8" w:rsidRDefault="00B10FA1" w:rsidP="00CA36A9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The meeting closed at 11:40am</w:t>
      </w:r>
    </w:p>
    <w:p w14:paraId="350A3281" w14:textId="77777777" w:rsidR="009550B4" w:rsidRPr="007958C4" w:rsidRDefault="009550B4" w:rsidP="007958C4">
      <w:pPr>
        <w:ind w:left="426"/>
        <w:rPr>
          <w:rFonts w:ascii="Verdana" w:hAnsi="Verdana"/>
        </w:rPr>
      </w:pPr>
    </w:p>
    <w:sectPr w:rsidR="009550B4" w:rsidRPr="007958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9B18" w14:textId="77777777" w:rsidR="00A54061" w:rsidRDefault="00A54061" w:rsidP="00F261D9">
      <w:r>
        <w:separator/>
      </w:r>
    </w:p>
  </w:endnote>
  <w:endnote w:type="continuationSeparator" w:id="0">
    <w:p w14:paraId="6A1CE452" w14:textId="77777777" w:rsidR="00A54061" w:rsidRDefault="00A54061" w:rsidP="00F2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6A1A" w14:textId="77777777" w:rsidR="00F261D9" w:rsidRDefault="00F26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CA0F" w14:textId="77777777" w:rsidR="00F261D9" w:rsidRDefault="00F26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05D1" w14:textId="77777777" w:rsidR="00F261D9" w:rsidRDefault="00F26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C9FD" w14:textId="77777777" w:rsidR="00A54061" w:rsidRDefault="00A54061" w:rsidP="00F261D9">
      <w:r>
        <w:separator/>
      </w:r>
    </w:p>
  </w:footnote>
  <w:footnote w:type="continuationSeparator" w:id="0">
    <w:p w14:paraId="2BF15A44" w14:textId="77777777" w:rsidR="00A54061" w:rsidRDefault="00A54061" w:rsidP="00F2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988F" w14:textId="19BD7FDA" w:rsidR="00F261D9" w:rsidRDefault="00F26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4EC0" w14:textId="15DE9561" w:rsidR="00F261D9" w:rsidRDefault="00F26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350B" w14:textId="6512B52E" w:rsidR="00F261D9" w:rsidRDefault="00F26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0FC"/>
    <w:multiLevelType w:val="multilevel"/>
    <w:tmpl w:val="50C2A5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1" w15:restartNumberingAfterBreak="0">
    <w:nsid w:val="41035707"/>
    <w:multiLevelType w:val="hybridMultilevel"/>
    <w:tmpl w:val="DEE44CEE"/>
    <w:lvl w:ilvl="0" w:tplc="08090001">
      <w:start w:val="1"/>
      <w:numFmt w:val="bullet"/>
      <w:lvlText w:val=""/>
      <w:lvlJc w:val="left"/>
      <w:pPr>
        <w:ind w:left="22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3" w:hanging="360"/>
      </w:pPr>
      <w:rPr>
        <w:rFonts w:ascii="Wingdings" w:hAnsi="Wingdings" w:hint="default"/>
      </w:rPr>
    </w:lvl>
  </w:abstractNum>
  <w:abstractNum w:abstractNumId="2" w15:restartNumberingAfterBreak="0">
    <w:nsid w:val="523B72A5"/>
    <w:multiLevelType w:val="hybridMultilevel"/>
    <w:tmpl w:val="DE84F2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13454FF"/>
    <w:multiLevelType w:val="hybridMultilevel"/>
    <w:tmpl w:val="1F660C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42240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892425">
    <w:abstractNumId w:val="3"/>
  </w:num>
  <w:num w:numId="3" w16cid:durableId="321203080">
    <w:abstractNumId w:val="1"/>
  </w:num>
  <w:num w:numId="4" w16cid:durableId="5913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63"/>
    <w:rsid w:val="0007556B"/>
    <w:rsid w:val="000E60CF"/>
    <w:rsid w:val="000F19F6"/>
    <w:rsid w:val="00112977"/>
    <w:rsid w:val="00124BED"/>
    <w:rsid w:val="00167CA5"/>
    <w:rsid w:val="001D2254"/>
    <w:rsid w:val="00225034"/>
    <w:rsid w:val="002324D4"/>
    <w:rsid w:val="002871B8"/>
    <w:rsid w:val="002C60EE"/>
    <w:rsid w:val="00327FF6"/>
    <w:rsid w:val="004132F6"/>
    <w:rsid w:val="00437963"/>
    <w:rsid w:val="00542D54"/>
    <w:rsid w:val="00592458"/>
    <w:rsid w:val="005941D3"/>
    <w:rsid w:val="00650782"/>
    <w:rsid w:val="006C2828"/>
    <w:rsid w:val="0071510D"/>
    <w:rsid w:val="007907E7"/>
    <w:rsid w:val="007958C4"/>
    <w:rsid w:val="007F5E0B"/>
    <w:rsid w:val="007F5FB2"/>
    <w:rsid w:val="00833311"/>
    <w:rsid w:val="00886A89"/>
    <w:rsid w:val="009429A8"/>
    <w:rsid w:val="009550B4"/>
    <w:rsid w:val="009E3C9E"/>
    <w:rsid w:val="00A21FCE"/>
    <w:rsid w:val="00A54061"/>
    <w:rsid w:val="00AB297A"/>
    <w:rsid w:val="00AF7D83"/>
    <w:rsid w:val="00B10FA1"/>
    <w:rsid w:val="00BB2692"/>
    <w:rsid w:val="00BB31D4"/>
    <w:rsid w:val="00BD3C7F"/>
    <w:rsid w:val="00BE138A"/>
    <w:rsid w:val="00BE3E5B"/>
    <w:rsid w:val="00BF225F"/>
    <w:rsid w:val="00C336F8"/>
    <w:rsid w:val="00C67C66"/>
    <w:rsid w:val="00CA166A"/>
    <w:rsid w:val="00CA36A9"/>
    <w:rsid w:val="00D22585"/>
    <w:rsid w:val="00D93292"/>
    <w:rsid w:val="00DD04CB"/>
    <w:rsid w:val="00DD6EFD"/>
    <w:rsid w:val="00DF3E2C"/>
    <w:rsid w:val="00EF0676"/>
    <w:rsid w:val="00F261D9"/>
    <w:rsid w:val="00F56145"/>
    <w:rsid w:val="00F967AD"/>
    <w:rsid w:val="00FC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68A29"/>
  <w15:chartTrackingRefBased/>
  <w15:docId w15:val="{DEB15AA9-8D66-4576-800C-F53EBD1B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63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96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437963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26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1D9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6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1D9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4FF3-36D2-46A4-875D-605E3090B9FD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2.xml><?xml version="1.0" encoding="utf-8"?>
<ds:datastoreItem xmlns:ds="http://schemas.openxmlformats.org/officeDocument/2006/customXml" ds:itemID="{EC3A93FE-F83E-46A2-9F9C-52C6A4D7F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E1496-A5BF-4556-AD70-6B4ABA08A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B01E8-1AFA-48A9-81ED-4BFB66B5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Rebecca Magee</cp:lastModifiedBy>
  <cp:revision>2</cp:revision>
  <dcterms:created xsi:type="dcterms:W3CDTF">2024-04-29T13:24:00Z</dcterms:created>
  <dcterms:modified xsi:type="dcterms:W3CDTF">2024-04-29T13:24:00Z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0x010100F41320E77E35C644A511CBC5C12B0A0B</vt:lpwstr>
  </property>
</Properties>
</file>