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D44C3" w14:textId="77777777" w:rsidR="002667DD" w:rsidRDefault="002667DD" w:rsidP="002667DD">
      <w:pPr>
        <w:pStyle w:val="BasicParagraph"/>
        <w:suppressAutoHyphens/>
        <w:jc w:val="center"/>
        <w:rPr>
          <w:rFonts w:cs="Arial"/>
          <w:b/>
          <w:bCs/>
          <w:color w:val="77328A"/>
          <w:sz w:val="36"/>
          <w:szCs w:val="36"/>
        </w:rPr>
      </w:pPr>
      <w:r>
        <w:rPr>
          <w:noProof/>
        </w:rPr>
        <w:drawing>
          <wp:inline distT="0" distB="0" distL="0" distR="0" wp14:anchorId="4ADD1D0A" wp14:editId="1FAFF894">
            <wp:extent cx="2908485" cy="3886623"/>
            <wp:effectExtent l="0" t="0" r="0" b="0"/>
            <wp:docPr id="9" name="Picture 9"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1">
                      <a:extLst>
                        <a:ext uri="{28A0092B-C50C-407E-A947-70E740481C1C}">
                          <a14:useLocalDpi xmlns:a14="http://schemas.microsoft.com/office/drawing/2010/main" val="0"/>
                        </a:ext>
                      </a:extLst>
                    </a:blip>
                    <a:stretch>
                      <a:fillRect/>
                    </a:stretch>
                  </pic:blipFill>
                  <pic:spPr>
                    <a:xfrm>
                      <a:off x="0" y="0"/>
                      <a:ext cx="2908485" cy="3886623"/>
                    </a:xfrm>
                    <a:prstGeom prst="rect">
                      <a:avLst/>
                    </a:prstGeom>
                  </pic:spPr>
                </pic:pic>
              </a:graphicData>
            </a:graphic>
          </wp:inline>
        </w:drawing>
      </w:r>
      <w:r w:rsidRPr="3285EAFF">
        <w:rPr>
          <w:rFonts w:cs="Arial"/>
          <w:b/>
          <w:bCs/>
          <w:color w:val="77328A"/>
          <w:sz w:val="36"/>
          <w:szCs w:val="36"/>
        </w:rPr>
        <w:t xml:space="preserve"> </w:t>
      </w:r>
    </w:p>
    <w:p w14:paraId="0DE3D5E5" w14:textId="77777777" w:rsidR="002667DD" w:rsidRDefault="002667DD" w:rsidP="002667DD">
      <w:pPr>
        <w:pStyle w:val="BasicParagraph"/>
        <w:suppressAutoHyphens/>
        <w:jc w:val="center"/>
        <w:rPr>
          <w:rFonts w:cs="Arial"/>
          <w:b/>
          <w:bCs/>
          <w:color w:val="77328A"/>
          <w:sz w:val="36"/>
          <w:szCs w:val="36"/>
        </w:rPr>
      </w:pPr>
    </w:p>
    <w:p w14:paraId="789158A0" w14:textId="77777777" w:rsidR="002667DD" w:rsidRDefault="002667DD" w:rsidP="002667DD">
      <w:pPr>
        <w:pStyle w:val="BasicParagraph"/>
        <w:suppressAutoHyphens/>
        <w:jc w:val="center"/>
        <w:rPr>
          <w:rFonts w:ascii="Verdana" w:hAnsi="Verdana" w:cs="Arial"/>
          <w:b/>
          <w:bCs/>
          <w:color w:val="77328A"/>
          <w:sz w:val="36"/>
          <w:szCs w:val="36"/>
        </w:rPr>
      </w:pPr>
    </w:p>
    <w:p w14:paraId="7B01F94B" w14:textId="77777777" w:rsidR="002667DD" w:rsidRDefault="002667DD" w:rsidP="002667DD">
      <w:pPr>
        <w:pStyle w:val="BasicParagraph"/>
        <w:suppressAutoHyphens/>
        <w:jc w:val="center"/>
        <w:rPr>
          <w:rFonts w:ascii="Verdana" w:hAnsi="Verdana" w:cs="Arial"/>
          <w:b/>
          <w:bCs/>
          <w:color w:val="77328A"/>
          <w:sz w:val="36"/>
          <w:szCs w:val="36"/>
        </w:rPr>
      </w:pPr>
    </w:p>
    <w:p w14:paraId="15C5A62A" w14:textId="77777777" w:rsidR="002667DD" w:rsidRPr="005E31A9" w:rsidRDefault="002667DD" w:rsidP="002667DD">
      <w:pPr>
        <w:pStyle w:val="BasicParagraph"/>
        <w:suppressAutoHyphens/>
        <w:jc w:val="center"/>
        <w:rPr>
          <w:rFonts w:ascii="Verdana" w:hAnsi="Verdana" w:cs="Arial"/>
          <w:b/>
          <w:bCs/>
          <w:color w:val="77328A"/>
          <w:sz w:val="36"/>
          <w:szCs w:val="36"/>
        </w:rPr>
      </w:pPr>
      <w:r w:rsidRPr="005E31A9">
        <w:rPr>
          <w:rFonts w:ascii="Verdana" w:hAnsi="Verdana" w:cs="Arial"/>
          <w:b/>
          <w:bCs/>
          <w:color w:val="77328A"/>
          <w:sz w:val="36"/>
          <w:szCs w:val="36"/>
        </w:rPr>
        <w:t>Annual Report and Accounts</w:t>
      </w:r>
    </w:p>
    <w:p w14:paraId="5A844CBB" w14:textId="77777777" w:rsidR="002667DD" w:rsidRDefault="002667DD" w:rsidP="002667DD">
      <w:pPr>
        <w:pStyle w:val="BasicParagraph"/>
        <w:suppressAutoHyphens/>
        <w:jc w:val="center"/>
        <w:rPr>
          <w:rFonts w:ascii="Verdana" w:hAnsi="Verdana" w:cs="Arial"/>
          <w:b/>
          <w:bCs/>
          <w:color w:val="77328A"/>
          <w:sz w:val="36"/>
          <w:szCs w:val="36"/>
        </w:rPr>
      </w:pPr>
      <w:r>
        <w:rPr>
          <w:rFonts w:ascii="Verdana" w:hAnsi="Verdana" w:cs="Arial"/>
          <w:b/>
          <w:bCs/>
          <w:color w:val="77328A"/>
          <w:sz w:val="36"/>
          <w:szCs w:val="36"/>
        </w:rPr>
        <w:t>2022-23</w:t>
      </w:r>
    </w:p>
    <w:p w14:paraId="208099F9" w14:textId="77777777" w:rsidR="002667DD" w:rsidRDefault="002667DD" w:rsidP="002667DD">
      <w:pPr>
        <w:pStyle w:val="BasicParagraph"/>
        <w:suppressAutoHyphens/>
        <w:jc w:val="center"/>
        <w:rPr>
          <w:rFonts w:ascii="Verdana" w:hAnsi="Verdana" w:cs="Arial"/>
          <w:b/>
          <w:bCs/>
          <w:color w:val="77328A"/>
          <w:sz w:val="36"/>
          <w:szCs w:val="36"/>
        </w:rPr>
      </w:pPr>
    </w:p>
    <w:p w14:paraId="009F987D" w14:textId="77777777" w:rsidR="002667DD" w:rsidRDefault="002667DD" w:rsidP="002667DD">
      <w:pPr>
        <w:pStyle w:val="BasicParagraph"/>
        <w:suppressAutoHyphens/>
        <w:jc w:val="center"/>
        <w:rPr>
          <w:rFonts w:ascii="Verdana" w:hAnsi="Verdana" w:cs="Arial"/>
          <w:b/>
          <w:bCs/>
          <w:color w:val="77328A"/>
          <w:sz w:val="36"/>
          <w:szCs w:val="36"/>
        </w:rPr>
      </w:pPr>
    </w:p>
    <w:p w14:paraId="05A99B47" w14:textId="77777777" w:rsidR="002667DD" w:rsidRDefault="002667DD" w:rsidP="002667DD">
      <w:pPr>
        <w:pStyle w:val="BasicParagraph"/>
        <w:suppressAutoHyphens/>
        <w:jc w:val="center"/>
        <w:rPr>
          <w:rFonts w:ascii="Verdana" w:hAnsi="Verdana" w:cs="Arial"/>
          <w:b/>
          <w:bCs/>
          <w:color w:val="77328A"/>
          <w:sz w:val="36"/>
          <w:szCs w:val="36"/>
        </w:rPr>
      </w:pPr>
    </w:p>
    <w:p w14:paraId="56B6982F" w14:textId="77777777" w:rsidR="002667DD" w:rsidRDefault="002667DD" w:rsidP="002667DD">
      <w:pPr>
        <w:pStyle w:val="BasicParagraph"/>
        <w:suppressAutoHyphens/>
        <w:jc w:val="center"/>
        <w:rPr>
          <w:rFonts w:ascii="Verdana" w:hAnsi="Verdana" w:cs="Arial"/>
          <w:b/>
          <w:bCs/>
          <w:color w:val="77328A"/>
          <w:sz w:val="36"/>
          <w:szCs w:val="36"/>
        </w:rPr>
      </w:pPr>
    </w:p>
    <w:p w14:paraId="35F91A8D" w14:textId="77777777" w:rsidR="002667DD" w:rsidRDefault="002667DD" w:rsidP="002667DD">
      <w:pPr>
        <w:pStyle w:val="BasicParagraph"/>
        <w:suppressAutoHyphens/>
        <w:jc w:val="center"/>
        <w:rPr>
          <w:rFonts w:ascii="Verdana" w:hAnsi="Verdana" w:cs="Arial"/>
          <w:b/>
          <w:bCs/>
          <w:color w:val="77328A"/>
          <w:sz w:val="36"/>
          <w:szCs w:val="36"/>
        </w:rPr>
      </w:pPr>
    </w:p>
    <w:p w14:paraId="307C54C9" w14:textId="77777777" w:rsidR="002667DD" w:rsidRDefault="002667DD" w:rsidP="002667DD">
      <w:pPr>
        <w:pStyle w:val="BasicParagraph"/>
        <w:suppressAutoHyphens/>
        <w:jc w:val="center"/>
        <w:rPr>
          <w:rFonts w:ascii="Verdana" w:hAnsi="Verdana" w:cs="Arial"/>
          <w:b/>
          <w:bCs/>
          <w:color w:val="77328A"/>
          <w:sz w:val="36"/>
          <w:szCs w:val="36"/>
        </w:rPr>
      </w:pPr>
    </w:p>
    <w:p w14:paraId="2CCD7A63" w14:textId="77777777" w:rsidR="002667DD" w:rsidRPr="005E31A9" w:rsidRDefault="002667DD" w:rsidP="002667DD">
      <w:pPr>
        <w:pStyle w:val="BasicParagraph"/>
        <w:suppressAutoHyphens/>
        <w:jc w:val="center"/>
        <w:rPr>
          <w:rFonts w:ascii="Verdana" w:hAnsi="Verdana" w:cs="Arial"/>
          <w:b/>
          <w:bCs/>
          <w:color w:val="77328A"/>
          <w:sz w:val="72"/>
          <w:szCs w:val="72"/>
        </w:rPr>
      </w:pPr>
    </w:p>
    <w:p w14:paraId="61DCF9DC" w14:textId="3313B949" w:rsidR="002667DD" w:rsidRDefault="00080AB2" w:rsidP="002667DD">
      <w:r>
        <w:t>HC</w:t>
      </w:r>
      <w:r w:rsidR="002667DD">
        <w:t xml:space="preserve"> </w:t>
      </w:r>
      <w:r>
        <w:t>1581</w:t>
      </w:r>
    </w:p>
    <w:p w14:paraId="756A5B37" w14:textId="77777777" w:rsidR="002667DD" w:rsidRDefault="002667DD" w:rsidP="002667DD">
      <w:r>
        <w:br w:type="page"/>
      </w:r>
    </w:p>
    <w:p w14:paraId="0C3A3536" w14:textId="77777777" w:rsidR="002667DD" w:rsidRPr="005E31A9" w:rsidRDefault="002667DD" w:rsidP="002667DD">
      <w:pPr>
        <w:rPr>
          <w:rFonts w:cs="Arial"/>
          <w:b/>
          <w:bCs/>
          <w:color w:val="77328A"/>
          <w:sz w:val="36"/>
          <w:szCs w:val="36"/>
        </w:rPr>
      </w:pPr>
      <w:r>
        <w:rPr>
          <w:rFonts w:cs="Arial"/>
          <w:b/>
          <w:bCs/>
          <w:color w:val="77328A"/>
          <w:sz w:val="36"/>
          <w:szCs w:val="36"/>
        </w:rPr>
        <w:lastRenderedPageBreak/>
        <w:br w:type="page"/>
      </w:r>
    </w:p>
    <w:p w14:paraId="23A65CA3" w14:textId="68BF8B52" w:rsidR="002667DD" w:rsidRPr="00B80F07" w:rsidRDefault="00302923" w:rsidP="00302923">
      <w:pPr>
        <w:jc w:val="center"/>
        <w:rPr>
          <w:highlight w:val="yellow"/>
        </w:rPr>
      </w:pPr>
      <w:r>
        <w:rPr>
          <w:noProof/>
          <w:lang w:eastAsia="en-GB"/>
        </w:rPr>
        <w:lastRenderedPageBreak/>
        <w:drawing>
          <wp:inline distT="0" distB="0" distL="0" distR="0" wp14:anchorId="009ED320" wp14:editId="68161D7B">
            <wp:extent cx="2908485" cy="3886623"/>
            <wp:effectExtent l="0" t="0" r="0" b="0"/>
            <wp:docPr id="1547574103" name="Picture 1547574103"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2908485" cy="3886623"/>
                    </a:xfrm>
                    <a:prstGeom prst="rect">
                      <a:avLst/>
                    </a:prstGeom>
                  </pic:spPr>
                </pic:pic>
              </a:graphicData>
            </a:graphic>
          </wp:inline>
        </w:drawing>
      </w:r>
    </w:p>
    <w:p w14:paraId="403C9E86" w14:textId="77777777" w:rsidR="002667DD" w:rsidRPr="005A7FE6" w:rsidRDefault="002667DD" w:rsidP="002667DD">
      <w:pPr>
        <w:rPr>
          <w:b/>
          <w:sz w:val="36"/>
        </w:rPr>
      </w:pPr>
    </w:p>
    <w:p w14:paraId="709A5531" w14:textId="77777777" w:rsidR="002667DD" w:rsidRDefault="002667DD" w:rsidP="002667DD">
      <w:pPr>
        <w:pStyle w:val="BasicParagraph"/>
        <w:suppressAutoHyphens/>
        <w:jc w:val="center"/>
        <w:rPr>
          <w:rFonts w:ascii="Verdana" w:hAnsi="Verdana" w:cs="Arial"/>
          <w:b/>
          <w:bCs/>
          <w:color w:val="77328A"/>
          <w:sz w:val="36"/>
          <w:szCs w:val="36"/>
        </w:rPr>
      </w:pPr>
      <w:r>
        <w:rPr>
          <w:rFonts w:ascii="Verdana" w:hAnsi="Verdana" w:cs="Arial"/>
          <w:b/>
          <w:bCs/>
          <w:color w:val="77328A"/>
          <w:sz w:val="36"/>
          <w:szCs w:val="36"/>
        </w:rPr>
        <w:t>Annual Report and Accounts</w:t>
      </w:r>
    </w:p>
    <w:p w14:paraId="6BC322D2" w14:textId="77777777" w:rsidR="002667DD" w:rsidRPr="005C6D9D" w:rsidRDefault="002667DD" w:rsidP="002667DD">
      <w:pPr>
        <w:widowControl w:val="0"/>
        <w:autoSpaceDE w:val="0"/>
        <w:autoSpaceDN w:val="0"/>
        <w:adjustRightInd w:val="0"/>
        <w:jc w:val="center"/>
        <w:rPr>
          <w:b/>
          <w:sz w:val="36"/>
          <w:szCs w:val="36"/>
        </w:rPr>
      </w:pPr>
      <w:r>
        <w:rPr>
          <w:rFonts w:cs="Arial"/>
          <w:b/>
          <w:bCs/>
          <w:color w:val="77328A"/>
          <w:sz w:val="36"/>
          <w:szCs w:val="36"/>
        </w:rPr>
        <w:t>2022-23</w:t>
      </w:r>
    </w:p>
    <w:p w14:paraId="381BD364" w14:textId="77777777" w:rsidR="002667DD" w:rsidRDefault="002667DD" w:rsidP="002667DD">
      <w:pPr>
        <w:widowControl w:val="0"/>
        <w:autoSpaceDE w:val="0"/>
        <w:autoSpaceDN w:val="0"/>
        <w:adjustRightInd w:val="0"/>
        <w:jc w:val="center"/>
        <w:rPr>
          <w:b/>
          <w:sz w:val="32"/>
          <w:szCs w:val="32"/>
        </w:rPr>
      </w:pPr>
    </w:p>
    <w:p w14:paraId="1E897BF8" w14:textId="77777777" w:rsidR="002667DD" w:rsidRDefault="002667DD" w:rsidP="002667DD">
      <w:pPr>
        <w:widowControl w:val="0"/>
        <w:autoSpaceDE w:val="0"/>
        <w:autoSpaceDN w:val="0"/>
        <w:adjustRightInd w:val="0"/>
        <w:jc w:val="center"/>
        <w:rPr>
          <w:b/>
          <w:sz w:val="32"/>
          <w:szCs w:val="32"/>
        </w:rPr>
      </w:pPr>
    </w:p>
    <w:p w14:paraId="1B65AE5D" w14:textId="77777777" w:rsidR="002667DD" w:rsidRDefault="002667DD" w:rsidP="002667DD">
      <w:pPr>
        <w:widowControl w:val="0"/>
        <w:autoSpaceDE w:val="0"/>
        <w:autoSpaceDN w:val="0"/>
        <w:adjustRightInd w:val="0"/>
        <w:jc w:val="center"/>
        <w:rPr>
          <w:b/>
          <w:sz w:val="32"/>
          <w:szCs w:val="32"/>
        </w:rPr>
      </w:pPr>
    </w:p>
    <w:p w14:paraId="26DEF463" w14:textId="77777777" w:rsidR="002667DD" w:rsidRPr="005A7FE6" w:rsidRDefault="002667DD" w:rsidP="002667DD"/>
    <w:p w14:paraId="52524232" w14:textId="77777777" w:rsidR="002667DD" w:rsidRPr="00EB5423" w:rsidRDefault="002667DD" w:rsidP="002667DD">
      <w:pPr>
        <w:autoSpaceDE w:val="0"/>
        <w:autoSpaceDN w:val="0"/>
        <w:jc w:val="center"/>
        <w:rPr>
          <w:sz w:val="22"/>
          <w:szCs w:val="22"/>
          <w:lang w:val="en-US"/>
        </w:rPr>
      </w:pPr>
      <w:r w:rsidRPr="00EB5423">
        <w:rPr>
          <w:sz w:val="22"/>
          <w:szCs w:val="22"/>
          <w:lang w:val="en-US"/>
        </w:rPr>
        <w:t xml:space="preserve">Presented to Parliament </w:t>
      </w:r>
      <w:r>
        <w:rPr>
          <w:sz w:val="22"/>
          <w:szCs w:val="22"/>
          <w:lang w:val="en-US"/>
        </w:rPr>
        <w:t>pursuant</w:t>
      </w:r>
      <w:r w:rsidRPr="00EB5423">
        <w:rPr>
          <w:sz w:val="22"/>
          <w:szCs w:val="22"/>
          <w:lang w:val="en-US"/>
        </w:rPr>
        <w:t xml:space="preserve"> </w:t>
      </w:r>
      <w:r>
        <w:rPr>
          <w:sz w:val="22"/>
          <w:szCs w:val="22"/>
          <w:lang w:val="en-US"/>
        </w:rPr>
        <w:t>to</w:t>
      </w:r>
      <w:r w:rsidRPr="00EB5423">
        <w:rPr>
          <w:sz w:val="22"/>
          <w:szCs w:val="22"/>
          <w:lang w:val="en-US"/>
        </w:rPr>
        <w:t xml:space="preserve"> paragraph 5(2) </w:t>
      </w:r>
      <w:r>
        <w:rPr>
          <w:sz w:val="22"/>
          <w:szCs w:val="22"/>
          <w:lang w:val="en-US"/>
        </w:rPr>
        <w:t>and</w:t>
      </w:r>
      <w:r w:rsidRPr="00EB5423">
        <w:rPr>
          <w:sz w:val="22"/>
          <w:szCs w:val="22"/>
          <w:lang w:val="en-US"/>
        </w:rPr>
        <w:t xml:space="preserve"> paragraph 7(3)(b) of Schedule 7 to the Northern Ireland Act 1998.</w:t>
      </w:r>
    </w:p>
    <w:p w14:paraId="38C255E6" w14:textId="77777777" w:rsidR="002667DD" w:rsidRDefault="002667DD" w:rsidP="002667DD">
      <w:pPr>
        <w:rPr>
          <w:sz w:val="32"/>
          <w:szCs w:val="44"/>
        </w:rPr>
      </w:pPr>
    </w:p>
    <w:p w14:paraId="12663B50" w14:textId="77777777" w:rsidR="002667DD" w:rsidRDefault="002667DD" w:rsidP="002667DD">
      <w:pPr>
        <w:rPr>
          <w:sz w:val="32"/>
          <w:szCs w:val="44"/>
        </w:rPr>
      </w:pPr>
    </w:p>
    <w:p w14:paraId="76FE2EF8" w14:textId="77777777" w:rsidR="002667DD" w:rsidRDefault="002667DD" w:rsidP="002667DD">
      <w:pPr>
        <w:rPr>
          <w:sz w:val="32"/>
          <w:szCs w:val="44"/>
        </w:rPr>
      </w:pPr>
    </w:p>
    <w:p w14:paraId="105CE82B" w14:textId="77777777" w:rsidR="002667DD" w:rsidRDefault="002667DD" w:rsidP="002667DD">
      <w:pPr>
        <w:pStyle w:val="Pa7"/>
        <w:jc w:val="center"/>
        <w:outlineLvl w:val="0"/>
        <w:rPr>
          <w:rFonts w:ascii="Verdana" w:hAnsi="Verdana" w:cs="Arial"/>
          <w:color w:val="000000"/>
          <w:sz w:val="28"/>
          <w:szCs w:val="28"/>
        </w:rPr>
      </w:pPr>
      <w:r w:rsidRPr="0073049C">
        <w:rPr>
          <w:rFonts w:ascii="Verdana" w:hAnsi="Verdana" w:cs="Arial"/>
          <w:color w:val="000000"/>
          <w:sz w:val="28"/>
          <w:szCs w:val="28"/>
        </w:rPr>
        <w:t>Ordered by the House of Commons to be printed</w:t>
      </w:r>
    </w:p>
    <w:p w14:paraId="574367B3" w14:textId="1D3C1EB9" w:rsidR="002667DD" w:rsidRPr="00671DA5" w:rsidRDefault="002667DD" w:rsidP="002667DD">
      <w:pPr>
        <w:jc w:val="center"/>
        <w:rPr>
          <w:sz w:val="28"/>
          <w:szCs w:val="28"/>
        </w:rPr>
      </w:pPr>
      <w:r w:rsidRPr="00671DA5">
        <w:rPr>
          <w:sz w:val="28"/>
          <w:szCs w:val="28"/>
        </w:rPr>
        <w:t xml:space="preserve">on </w:t>
      </w:r>
      <w:r w:rsidR="00C46896">
        <w:rPr>
          <w:sz w:val="28"/>
          <w:szCs w:val="28"/>
        </w:rPr>
        <w:t>17</w:t>
      </w:r>
      <w:r w:rsidRPr="00671DA5">
        <w:rPr>
          <w:sz w:val="28"/>
          <w:szCs w:val="28"/>
        </w:rPr>
        <w:t xml:space="preserve"> </w:t>
      </w:r>
      <w:r w:rsidR="00C46896">
        <w:rPr>
          <w:sz w:val="28"/>
          <w:szCs w:val="28"/>
        </w:rPr>
        <w:t>July</w:t>
      </w:r>
      <w:r w:rsidRPr="00671DA5">
        <w:rPr>
          <w:sz w:val="28"/>
          <w:szCs w:val="28"/>
        </w:rPr>
        <w:t xml:space="preserve"> 20</w:t>
      </w:r>
      <w:r w:rsidR="005E6D62">
        <w:rPr>
          <w:sz w:val="28"/>
          <w:szCs w:val="28"/>
        </w:rPr>
        <w:t>23</w:t>
      </w:r>
    </w:p>
    <w:p w14:paraId="4FEE3311" w14:textId="77777777" w:rsidR="002667DD" w:rsidRDefault="002667DD" w:rsidP="002667DD">
      <w:pPr>
        <w:pStyle w:val="Header"/>
        <w:jc w:val="center"/>
        <w:rPr>
          <w:rFonts w:cs="ZurichBT-LightCondensed"/>
          <w:sz w:val="28"/>
          <w:szCs w:val="28"/>
          <w:lang w:val="en-US"/>
        </w:rPr>
      </w:pPr>
      <w:r w:rsidRPr="0073049C">
        <w:rPr>
          <w:rFonts w:cs="ZurichBT-LightCondensed"/>
          <w:sz w:val="28"/>
          <w:szCs w:val="28"/>
          <w:lang w:val="en-US"/>
        </w:rPr>
        <w:t xml:space="preserve"> </w:t>
      </w:r>
    </w:p>
    <w:p w14:paraId="0029E261" w14:textId="77777777" w:rsidR="002667DD" w:rsidRDefault="002667DD" w:rsidP="002667DD">
      <w:pPr>
        <w:pStyle w:val="Header"/>
        <w:jc w:val="center"/>
        <w:rPr>
          <w:rFonts w:cs="ZurichBT-LightCondensed"/>
          <w:sz w:val="28"/>
          <w:szCs w:val="28"/>
          <w:lang w:val="en-US"/>
        </w:rPr>
      </w:pPr>
    </w:p>
    <w:p w14:paraId="61DE567D" w14:textId="77777777" w:rsidR="002667DD" w:rsidRDefault="002667DD" w:rsidP="002667DD">
      <w:pPr>
        <w:pStyle w:val="Header"/>
        <w:rPr>
          <w:rFonts w:cs="ZurichBT-LightCondensed"/>
          <w:sz w:val="28"/>
          <w:szCs w:val="28"/>
          <w:lang w:val="en-US"/>
        </w:rPr>
      </w:pPr>
    </w:p>
    <w:p w14:paraId="29A8DC8B" w14:textId="77777777" w:rsidR="002667DD" w:rsidRDefault="002667DD" w:rsidP="002667DD">
      <w:pPr>
        <w:pStyle w:val="Header"/>
        <w:jc w:val="center"/>
        <w:rPr>
          <w:rFonts w:cs="ZurichBT-LightCondensed"/>
          <w:sz w:val="28"/>
          <w:szCs w:val="28"/>
          <w:lang w:val="en-US"/>
        </w:rPr>
      </w:pPr>
    </w:p>
    <w:p w14:paraId="4E218E45" w14:textId="77777777" w:rsidR="002667DD" w:rsidRDefault="002667DD" w:rsidP="002667DD">
      <w:pPr>
        <w:pStyle w:val="Header"/>
        <w:rPr>
          <w:rFonts w:cs="ZurichBT-LightCondensed"/>
          <w:lang w:val="en-US"/>
        </w:rPr>
      </w:pPr>
    </w:p>
    <w:p w14:paraId="785BDBBB" w14:textId="77777777" w:rsidR="002667DD" w:rsidRDefault="002667DD" w:rsidP="002667DD">
      <w:pPr>
        <w:pStyle w:val="Header"/>
        <w:rPr>
          <w:rFonts w:cs="ZurichBT-LightCondensed"/>
          <w:lang w:val="en-US"/>
        </w:rPr>
      </w:pPr>
    </w:p>
    <w:p w14:paraId="77099FFF" w14:textId="77777777" w:rsidR="002667DD" w:rsidRDefault="002667DD" w:rsidP="002667DD">
      <w:pPr>
        <w:pStyle w:val="Header"/>
        <w:rPr>
          <w:rFonts w:cs="ZurichBT-LightCondensed"/>
          <w:lang w:val="en-US"/>
        </w:rPr>
      </w:pPr>
    </w:p>
    <w:p w14:paraId="474BFEA2" w14:textId="7C819410" w:rsidR="002667DD" w:rsidRPr="00684F41" w:rsidRDefault="00080AB2" w:rsidP="002667DD">
      <w:pPr>
        <w:pStyle w:val="Header"/>
      </w:pPr>
      <w:r>
        <w:rPr>
          <w:rFonts w:cs="ZurichBT-LightCondensed"/>
          <w:lang w:val="en-US"/>
        </w:rPr>
        <w:t>HC</w:t>
      </w:r>
      <w:r w:rsidR="002667DD">
        <w:rPr>
          <w:rFonts w:cs="ZurichBT-LightCondensed"/>
          <w:lang w:val="en-US"/>
        </w:rPr>
        <w:t xml:space="preserve"> </w:t>
      </w:r>
      <w:r>
        <w:rPr>
          <w:rFonts w:cs="ZurichBT-LightCondensed"/>
          <w:lang w:val="en-US"/>
        </w:rPr>
        <w:t>1581</w:t>
      </w:r>
    </w:p>
    <w:p w14:paraId="49747693" w14:textId="77777777" w:rsidR="002667DD" w:rsidRPr="005A7FE6" w:rsidRDefault="002667DD" w:rsidP="002667DD">
      <w:pPr>
        <w:pStyle w:val="Header"/>
        <w:jc w:val="center"/>
      </w:pPr>
    </w:p>
    <w:p w14:paraId="13F5CA8F" w14:textId="77777777" w:rsidR="002667DD" w:rsidRPr="005A7FE6" w:rsidRDefault="002667DD" w:rsidP="002667DD">
      <w:pPr>
        <w:pStyle w:val="Header"/>
        <w:jc w:val="center"/>
      </w:pPr>
    </w:p>
    <w:p w14:paraId="57688BAA" w14:textId="77777777" w:rsidR="002667DD" w:rsidRPr="005A7FE6" w:rsidRDefault="002667DD" w:rsidP="002667DD">
      <w:pPr>
        <w:jc w:val="center"/>
        <w:rPr>
          <w:b/>
          <w:caps/>
          <w:sz w:val="28"/>
          <w:szCs w:val="28"/>
        </w:rPr>
      </w:pPr>
    </w:p>
    <w:p w14:paraId="60C2F00B" w14:textId="77777777" w:rsidR="002667DD" w:rsidRPr="005A7FE6" w:rsidRDefault="002667DD" w:rsidP="002667DD">
      <w:pPr>
        <w:jc w:val="center"/>
        <w:rPr>
          <w:b/>
          <w:caps/>
          <w:sz w:val="28"/>
          <w:szCs w:val="28"/>
        </w:rPr>
      </w:pPr>
    </w:p>
    <w:p w14:paraId="317FB66E" w14:textId="77777777" w:rsidR="002667DD" w:rsidRPr="005A7FE6" w:rsidRDefault="002667DD" w:rsidP="002667DD">
      <w:pPr>
        <w:jc w:val="center"/>
        <w:rPr>
          <w:b/>
          <w:caps/>
          <w:sz w:val="28"/>
          <w:szCs w:val="28"/>
        </w:rPr>
      </w:pPr>
    </w:p>
    <w:p w14:paraId="0B866B09" w14:textId="77777777" w:rsidR="002667DD" w:rsidRPr="005A7FE6" w:rsidRDefault="002667DD" w:rsidP="002667DD">
      <w:pPr>
        <w:jc w:val="center"/>
        <w:rPr>
          <w:b/>
          <w:caps/>
          <w:sz w:val="28"/>
          <w:szCs w:val="28"/>
        </w:rPr>
      </w:pPr>
    </w:p>
    <w:p w14:paraId="3EC50047" w14:textId="77777777" w:rsidR="002667DD" w:rsidRPr="005A7FE6" w:rsidRDefault="002667DD" w:rsidP="002667DD">
      <w:pPr>
        <w:jc w:val="center"/>
        <w:rPr>
          <w:b/>
          <w:caps/>
          <w:sz w:val="28"/>
          <w:szCs w:val="28"/>
        </w:rPr>
      </w:pPr>
    </w:p>
    <w:p w14:paraId="26A86CA0" w14:textId="77777777" w:rsidR="002667DD" w:rsidRPr="005A7FE6" w:rsidRDefault="002667DD" w:rsidP="002667DD">
      <w:pPr>
        <w:jc w:val="center"/>
        <w:rPr>
          <w:b/>
          <w:caps/>
          <w:sz w:val="28"/>
          <w:szCs w:val="28"/>
        </w:rPr>
      </w:pPr>
    </w:p>
    <w:p w14:paraId="265BFEE2" w14:textId="77777777" w:rsidR="002667DD" w:rsidRPr="005A7FE6" w:rsidRDefault="002667DD" w:rsidP="002667DD">
      <w:pPr>
        <w:jc w:val="center"/>
        <w:rPr>
          <w:b/>
          <w:caps/>
          <w:sz w:val="28"/>
          <w:szCs w:val="28"/>
        </w:rPr>
      </w:pPr>
    </w:p>
    <w:p w14:paraId="324DE5E4" w14:textId="77777777" w:rsidR="002667DD" w:rsidRPr="005A7FE6" w:rsidRDefault="002667DD" w:rsidP="002667DD">
      <w:pPr>
        <w:jc w:val="center"/>
        <w:rPr>
          <w:b/>
          <w:caps/>
          <w:sz w:val="28"/>
          <w:szCs w:val="28"/>
        </w:rPr>
      </w:pPr>
    </w:p>
    <w:p w14:paraId="717921BC" w14:textId="77777777" w:rsidR="002667DD" w:rsidRPr="005A7FE6" w:rsidRDefault="002667DD" w:rsidP="002667DD">
      <w:pPr>
        <w:jc w:val="center"/>
        <w:rPr>
          <w:b/>
          <w:caps/>
          <w:sz w:val="28"/>
          <w:szCs w:val="28"/>
        </w:rPr>
      </w:pPr>
    </w:p>
    <w:p w14:paraId="4F101531" w14:textId="77777777" w:rsidR="002667DD" w:rsidRPr="005A7FE6" w:rsidRDefault="002667DD" w:rsidP="002667DD">
      <w:pPr>
        <w:jc w:val="center"/>
        <w:rPr>
          <w:b/>
          <w:caps/>
          <w:sz w:val="28"/>
          <w:szCs w:val="28"/>
        </w:rPr>
      </w:pPr>
    </w:p>
    <w:p w14:paraId="3709E838" w14:textId="77777777" w:rsidR="002667DD" w:rsidRDefault="002667DD" w:rsidP="002667DD">
      <w:pPr>
        <w:jc w:val="center"/>
        <w:rPr>
          <w:b/>
          <w:caps/>
          <w:sz w:val="28"/>
          <w:szCs w:val="28"/>
        </w:rPr>
      </w:pPr>
    </w:p>
    <w:p w14:paraId="121E8A02" w14:textId="77777777" w:rsidR="002667DD" w:rsidRDefault="002667DD" w:rsidP="002667DD">
      <w:pPr>
        <w:jc w:val="center"/>
        <w:rPr>
          <w:b/>
          <w:caps/>
          <w:sz w:val="28"/>
          <w:szCs w:val="28"/>
        </w:rPr>
      </w:pPr>
    </w:p>
    <w:p w14:paraId="38A12427" w14:textId="77777777" w:rsidR="002667DD" w:rsidRDefault="002667DD" w:rsidP="002667DD">
      <w:pPr>
        <w:jc w:val="center"/>
        <w:rPr>
          <w:b/>
          <w:caps/>
          <w:sz w:val="28"/>
          <w:szCs w:val="28"/>
        </w:rPr>
      </w:pPr>
    </w:p>
    <w:p w14:paraId="18F4B334" w14:textId="77777777" w:rsidR="002667DD" w:rsidRDefault="002667DD" w:rsidP="002667DD">
      <w:pPr>
        <w:jc w:val="center"/>
        <w:rPr>
          <w:b/>
          <w:caps/>
          <w:sz w:val="28"/>
          <w:szCs w:val="28"/>
        </w:rPr>
      </w:pPr>
    </w:p>
    <w:p w14:paraId="7E8B8CDB" w14:textId="77777777" w:rsidR="002667DD" w:rsidRPr="005A7FE6" w:rsidRDefault="002667DD" w:rsidP="002667DD">
      <w:pPr>
        <w:jc w:val="center"/>
        <w:rPr>
          <w:b/>
          <w:caps/>
          <w:sz w:val="28"/>
          <w:szCs w:val="28"/>
        </w:rPr>
      </w:pPr>
    </w:p>
    <w:p w14:paraId="4AA7ABE3" w14:textId="77777777" w:rsidR="002667DD" w:rsidRPr="005A7FE6" w:rsidRDefault="002667DD" w:rsidP="002667DD">
      <w:pPr>
        <w:rPr>
          <w:b/>
          <w:caps/>
          <w:sz w:val="28"/>
          <w:szCs w:val="28"/>
        </w:rPr>
      </w:pPr>
      <w:r>
        <w:rPr>
          <w:noProof/>
          <w:color w:val="2B579A"/>
          <w:shd w:val="clear" w:color="auto" w:fill="E6E6E6"/>
          <w:lang w:eastAsia="en-GB"/>
        </w:rPr>
        <w:drawing>
          <wp:inline distT="0" distB="0" distL="0" distR="0" wp14:anchorId="00369BC9" wp14:editId="4A031069">
            <wp:extent cx="762000" cy="381000"/>
            <wp:effectExtent l="0" t="0" r="0" b="0"/>
            <wp:docPr id="10" name="Picture 10" descr="OG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2000" cy="381000"/>
                    </a:xfrm>
                    <a:prstGeom prst="rect">
                      <a:avLst/>
                    </a:prstGeom>
                  </pic:spPr>
                </pic:pic>
              </a:graphicData>
            </a:graphic>
          </wp:inline>
        </w:drawing>
      </w:r>
    </w:p>
    <w:p w14:paraId="1D7A06E6" w14:textId="77777777" w:rsidR="002667DD" w:rsidRDefault="002667DD" w:rsidP="002667DD">
      <w:pPr>
        <w:rPr>
          <w:sz w:val="20"/>
          <w:szCs w:val="20"/>
        </w:rPr>
      </w:pPr>
    </w:p>
    <w:p w14:paraId="6D675A74" w14:textId="77777777" w:rsidR="002667DD" w:rsidRPr="0073049C" w:rsidRDefault="002667DD" w:rsidP="002667DD">
      <w:pPr>
        <w:pStyle w:val="NormalWeb"/>
        <w:jc w:val="center"/>
        <w:rPr>
          <w:rStyle w:val="Strong"/>
          <w:rFonts w:ascii="Verdana" w:hAnsi="Verdana" w:cs="Arial"/>
          <w:b w:val="0"/>
          <w:sz w:val="22"/>
          <w:szCs w:val="22"/>
        </w:rPr>
      </w:pPr>
      <w:r w:rsidRPr="0073049C">
        <w:rPr>
          <w:rFonts w:ascii="Verdana" w:hAnsi="Verdana" w:cs="Arial"/>
          <w:sz w:val="22"/>
          <w:szCs w:val="22"/>
        </w:rPr>
        <w:t xml:space="preserve">© Northern Ireland Human Rights Commission copyright </w:t>
      </w:r>
      <w:r w:rsidRPr="00A7712C">
        <w:rPr>
          <w:rStyle w:val="Strong"/>
          <w:rFonts w:ascii="Verdana" w:hAnsi="Verdana" w:cs="Arial"/>
          <w:sz w:val="22"/>
          <w:szCs w:val="22"/>
        </w:rPr>
        <w:t>202</w:t>
      </w:r>
      <w:r>
        <w:rPr>
          <w:rStyle w:val="Strong"/>
          <w:rFonts w:ascii="Verdana" w:hAnsi="Verdana" w:cs="Arial"/>
          <w:sz w:val="22"/>
          <w:szCs w:val="22"/>
        </w:rPr>
        <w:t>3</w:t>
      </w:r>
    </w:p>
    <w:p w14:paraId="3105F71F" w14:textId="77777777" w:rsidR="002667DD" w:rsidRDefault="002667DD" w:rsidP="002667DD">
      <w:pPr>
        <w:pStyle w:val="NormalWeb"/>
        <w:rPr>
          <w:rFonts w:ascii="Verdana" w:hAnsi="Verdana" w:cs="Arial"/>
          <w:sz w:val="22"/>
          <w:szCs w:val="22"/>
        </w:rPr>
      </w:pPr>
      <w:r w:rsidRPr="0073049C">
        <w:rPr>
          <w:rFonts w:ascii="Verdana" w:hAnsi="Verdana" w:cs="Arial"/>
          <w:bCs/>
          <w:sz w:val="22"/>
          <w:szCs w:val="22"/>
        </w:rPr>
        <w:br/>
      </w:r>
    </w:p>
    <w:p w14:paraId="4CE63827" w14:textId="77777777" w:rsidR="002667DD" w:rsidRDefault="002667DD" w:rsidP="002667DD">
      <w:pPr>
        <w:shd w:val="clear" w:color="auto" w:fill="FFFFFF"/>
        <w:spacing w:after="360" w:line="384" w:lineRule="atLeast"/>
        <w:rPr>
          <w:rFonts w:cs="Arial"/>
          <w:sz w:val="22"/>
          <w:szCs w:val="22"/>
        </w:rPr>
      </w:pPr>
      <w:r>
        <w:rPr>
          <w:rFonts w:cs="Arial"/>
          <w:sz w:val="22"/>
          <w:szCs w:val="22"/>
        </w:rPr>
        <w:t xml:space="preserve">This publication is licensed under the terms of the Open Government Licence v3.0 except where otherwise stated.  To view this licence, visit </w:t>
      </w:r>
      <w:hyperlink r:id="rId13" w:history="1">
        <w:r w:rsidRPr="00532501">
          <w:rPr>
            <w:rStyle w:val="Hyperlink"/>
            <w:rFonts w:cs="Arial"/>
            <w:sz w:val="22"/>
            <w:szCs w:val="22"/>
          </w:rPr>
          <w:t>nationalarchives.gov.uk/doc/open-government-licence/version/3</w:t>
        </w:r>
      </w:hyperlink>
    </w:p>
    <w:p w14:paraId="37050C7B" w14:textId="77777777" w:rsidR="002667DD" w:rsidRPr="0073049C" w:rsidRDefault="002667DD" w:rsidP="002667DD">
      <w:pPr>
        <w:pStyle w:val="NormalWeb"/>
        <w:rPr>
          <w:rFonts w:ascii="Verdana" w:hAnsi="Verdana" w:cs="Arial"/>
          <w:sz w:val="22"/>
          <w:szCs w:val="22"/>
        </w:rPr>
      </w:pPr>
      <w:r w:rsidRPr="0073049C">
        <w:rPr>
          <w:rFonts w:ascii="Verdana" w:hAnsi="Verdana" w:cs="Arial"/>
          <w:sz w:val="22"/>
          <w:szCs w:val="22"/>
        </w:rPr>
        <w:t xml:space="preserve">Where </w:t>
      </w:r>
      <w:r>
        <w:rPr>
          <w:rFonts w:ascii="Verdana" w:hAnsi="Verdana" w:cs="Arial"/>
          <w:sz w:val="22"/>
          <w:szCs w:val="22"/>
        </w:rPr>
        <w:t xml:space="preserve">we have identified any </w:t>
      </w:r>
      <w:r w:rsidRPr="0073049C">
        <w:rPr>
          <w:rFonts w:ascii="Verdana" w:hAnsi="Verdana" w:cs="Arial"/>
          <w:sz w:val="22"/>
          <w:szCs w:val="22"/>
        </w:rPr>
        <w:t xml:space="preserve">third-party </w:t>
      </w:r>
      <w:r>
        <w:rPr>
          <w:rFonts w:ascii="Verdana" w:hAnsi="Verdana" w:cs="Arial"/>
          <w:sz w:val="22"/>
          <w:szCs w:val="22"/>
        </w:rPr>
        <w:t>copyright information you will need to obtain</w:t>
      </w:r>
      <w:r w:rsidRPr="0073049C">
        <w:rPr>
          <w:rFonts w:ascii="Verdana" w:hAnsi="Verdana" w:cs="Arial"/>
          <w:sz w:val="22"/>
          <w:szCs w:val="22"/>
        </w:rPr>
        <w:t xml:space="preserve"> permission from the copyright holder</w:t>
      </w:r>
      <w:r>
        <w:rPr>
          <w:rFonts w:ascii="Verdana" w:hAnsi="Verdana" w:cs="Arial"/>
          <w:sz w:val="22"/>
          <w:szCs w:val="22"/>
        </w:rPr>
        <w:t>s</w:t>
      </w:r>
      <w:r w:rsidRPr="0073049C">
        <w:rPr>
          <w:rFonts w:ascii="Verdana" w:hAnsi="Verdana" w:cs="Arial"/>
          <w:sz w:val="22"/>
          <w:szCs w:val="22"/>
        </w:rPr>
        <w:t xml:space="preserve"> </w:t>
      </w:r>
      <w:r>
        <w:rPr>
          <w:rFonts w:ascii="Verdana" w:hAnsi="Verdana" w:cs="Arial"/>
          <w:sz w:val="22"/>
          <w:szCs w:val="22"/>
        </w:rPr>
        <w:t>concerned</w:t>
      </w:r>
      <w:r w:rsidRPr="0073049C">
        <w:rPr>
          <w:rFonts w:ascii="Verdana" w:hAnsi="Verdana" w:cs="Arial"/>
          <w:sz w:val="22"/>
          <w:szCs w:val="22"/>
        </w:rPr>
        <w:t>.</w:t>
      </w:r>
    </w:p>
    <w:p w14:paraId="57BC9C21" w14:textId="77777777" w:rsidR="002667DD" w:rsidRPr="00A77DAC" w:rsidRDefault="002667DD" w:rsidP="002667DD">
      <w:pPr>
        <w:pStyle w:val="NormalWeb"/>
        <w:rPr>
          <w:rStyle w:val="Hyperlink"/>
          <w:sz w:val="22"/>
          <w:szCs w:val="22"/>
        </w:rPr>
      </w:pPr>
      <w:r w:rsidRPr="0073049C">
        <w:rPr>
          <w:rFonts w:ascii="Verdana" w:hAnsi="Verdana" w:cs="Arial"/>
          <w:sz w:val="22"/>
          <w:szCs w:val="22"/>
        </w:rPr>
        <w:t xml:space="preserve">This publication is available </w:t>
      </w:r>
      <w:r w:rsidRPr="00A77DAC">
        <w:rPr>
          <w:rFonts w:ascii="Verdana" w:hAnsi="Verdana" w:cs="Arial"/>
          <w:sz w:val="22"/>
          <w:szCs w:val="22"/>
        </w:rPr>
        <w:t xml:space="preserve">at </w:t>
      </w:r>
      <w:hyperlink r:id="rId14" w:history="1">
        <w:r w:rsidRPr="006E3F7E">
          <w:rPr>
            <w:rStyle w:val="Hyperlink"/>
            <w:rFonts w:ascii="Verdana" w:hAnsi="Verdana"/>
            <w:sz w:val="22"/>
            <w:szCs w:val="22"/>
            <w:lang w:eastAsia="en-GB"/>
          </w:rPr>
          <w:t>www.gov.uk/official-documents</w:t>
        </w:r>
      </w:hyperlink>
      <w:r w:rsidRPr="006E3F7E">
        <w:rPr>
          <w:rFonts w:ascii="Verdana" w:hAnsi="Verdana" w:cs="Arial"/>
          <w:sz w:val="22"/>
          <w:szCs w:val="22"/>
          <w:lang w:eastAsia="en-GB"/>
        </w:rPr>
        <w:t>.</w:t>
      </w:r>
    </w:p>
    <w:p w14:paraId="79BE88D5" w14:textId="77777777" w:rsidR="002667DD" w:rsidRPr="0073049C" w:rsidRDefault="002667DD" w:rsidP="002667DD">
      <w:pPr>
        <w:pStyle w:val="NormalWeb"/>
        <w:ind w:right="-514"/>
        <w:rPr>
          <w:rFonts w:ascii="Verdana" w:hAnsi="Verdana" w:cs="Arial"/>
          <w:sz w:val="22"/>
          <w:szCs w:val="22"/>
        </w:rPr>
      </w:pPr>
      <w:r w:rsidRPr="0073049C">
        <w:rPr>
          <w:rFonts w:ascii="Verdana" w:hAnsi="Verdana" w:cs="Arial"/>
          <w:sz w:val="22"/>
          <w:szCs w:val="22"/>
        </w:rPr>
        <w:t xml:space="preserve">Any enquiries </w:t>
      </w:r>
      <w:r>
        <w:rPr>
          <w:rFonts w:ascii="Verdana" w:hAnsi="Verdana" w:cs="Arial"/>
          <w:sz w:val="22"/>
          <w:szCs w:val="22"/>
        </w:rPr>
        <w:t>regarding</w:t>
      </w:r>
      <w:r w:rsidRPr="0073049C">
        <w:rPr>
          <w:rFonts w:ascii="Verdana" w:hAnsi="Verdana" w:cs="Arial"/>
          <w:sz w:val="22"/>
          <w:szCs w:val="22"/>
        </w:rPr>
        <w:t xml:space="preserve"> this publication should be sent to us at </w:t>
      </w:r>
      <w:r>
        <w:rPr>
          <w:rFonts w:ascii="Verdana" w:hAnsi="Verdana" w:cs="Arial"/>
          <w:sz w:val="22"/>
          <w:szCs w:val="22"/>
        </w:rPr>
        <w:t>info</w:t>
      </w:r>
      <w:r w:rsidRPr="001601E5">
        <w:rPr>
          <w:rFonts w:ascii="Verdana" w:hAnsi="Verdana" w:cs="Arial"/>
          <w:sz w:val="22"/>
          <w:szCs w:val="22"/>
        </w:rPr>
        <w:t>@nihrc.org</w:t>
      </w:r>
    </w:p>
    <w:p w14:paraId="1D945455" w14:textId="77777777" w:rsidR="002667DD" w:rsidRDefault="002667DD" w:rsidP="002667DD">
      <w:pPr>
        <w:pStyle w:val="NormalWeb"/>
        <w:rPr>
          <w:rFonts w:ascii="Arial" w:hAnsi="Arial" w:cs="Arial"/>
          <w:sz w:val="22"/>
          <w:szCs w:val="22"/>
        </w:rPr>
      </w:pPr>
    </w:p>
    <w:p w14:paraId="5E740B95" w14:textId="700F8E16" w:rsidR="002667DD" w:rsidRPr="00EB5423" w:rsidRDefault="002667DD" w:rsidP="002667DD">
      <w:pPr>
        <w:jc w:val="center"/>
        <w:outlineLvl w:val="0"/>
        <w:rPr>
          <w:rFonts w:cs="Arial"/>
          <w:sz w:val="22"/>
          <w:szCs w:val="22"/>
        </w:rPr>
      </w:pPr>
      <w:r w:rsidRPr="00EB5423">
        <w:rPr>
          <w:rFonts w:cs="Arial"/>
          <w:sz w:val="22"/>
          <w:szCs w:val="22"/>
        </w:rPr>
        <w:t>ISBN</w:t>
      </w:r>
      <w:r>
        <w:rPr>
          <w:rFonts w:cs="Arial"/>
          <w:sz w:val="22"/>
          <w:szCs w:val="22"/>
        </w:rPr>
        <w:t xml:space="preserve"> 978-</w:t>
      </w:r>
      <w:r w:rsidR="001314E3">
        <w:rPr>
          <w:rFonts w:cs="Arial"/>
          <w:sz w:val="22"/>
          <w:szCs w:val="22"/>
        </w:rPr>
        <w:t>1-5286-4265-1</w:t>
      </w:r>
    </w:p>
    <w:p w14:paraId="24ED30A4" w14:textId="77777777" w:rsidR="002667DD" w:rsidRDefault="002667DD" w:rsidP="002667DD">
      <w:pPr>
        <w:jc w:val="center"/>
        <w:rPr>
          <w:rFonts w:cs="Arial"/>
          <w:sz w:val="22"/>
          <w:szCs w:val="22"/>
        </w:rPr>
      </w:pPr>
    </w:p>
    <w:p w14:paraId="3A6FD16E" w14:textId="30DE43D7" w:rsidR="002667DD" w:rsidRPr="001E26EF" w:rsidRDefault="002667DD" w:rsidP="002667DD">
      <w:pPr>
        <w:jc w:val="center"/>
        <w:rPr>
          <w:sz w:val="22"/>
          <w:szCs w:val="22"/>
        </w:rPr>
      </w:pPr>
      <w:r>
        <w:rPr>
          <w:sz w:val="22"/>
          <w:szCs w:val="22"/>
        </w:rPr>
        <w:t>E-Number E02</w:t>
      </w:r>
      <w:r w:rsidR="001314E3">
        <w:rPr>
          <w:sz w:val="22"/>
          <w:szCs w:val="22"/>
        </w:rPr>
        <w:t>934391</w:t>
      </w:r>
    </w:p>
    <w:p w14:paraId="6EC2383C" w14:textId="77777777" w:rsidR="002667DD" w:rsidRDefault="002667DD" w:rsidP="002667DD">
      <w:pPr>
        <w:jc w:val="center"/>
        <w:rPr>
          <w:rFonts w:cs="Arial"/>
          <w:sz w:val="22"/>
          <w:szCs w:val="22"/>
        </w:rPr>
      </w:pPr>
    </w:p>
    <w:p w14:paraId="2BF43662" w14:textId="77777777" w:rsidR="002667DD" w:rsidRPr="00EB5423" w:rsidRDefault="002667DD" w:rsidP="002667DD">
      <w:pPr>
        <w:rPr>
          <w:rFonts w:cs="Arial"/>
          <w:sz w:val="22"/>
          <w:szCs w:val="22"/>
        </w:rPr>
      </w:pPr>
      <w:r>
        <w:rPr>
          <w:rFonts w:cs="Arial"/>
          <w:sz w:val="22"/>
          <w:szCs w:val="22"/>
        </w:rPr>
        <w:t>Printed on paper containing 40% recycled fibre content minimum.</w:t>
      </w:r>
    </w:p>
    <w:p w14:paraId="52D70652" w14:textId="77777777" w:rsidR="002667DD" w:rsidRPr="00EB5423" w:rsidRDefault="002667DD" w:rsidP="002667DD">
      <w:pPr>
        <w:rPr>
          <w:rFonts w:cs="Arial"/>
          <w:sz w:val="22"/>
          <w:szCs w:val="22"/>
        </w:rPr>
      </w:pPr>
    </w:p>
    <w:p w14:paraId="1E1A64E3" w14:textId="4C3AD61C" w:rsidR="002667DD" w:rsidRPr="009D540E" w:rsidRDefault="002667DD" w:rsidP="002667DD">
      <w:pPr>
        <w:rPr>
          <w:rFonts w:cs="Arial"/>
          <w:sz w:val="22"/>
          <w:szCs w:val="22"/>
        </w:rPr>
      </w:pPr>
      <w:r w:rsidRPr="00EB5423">
        <w:rPr>
          <w:rFonts w:cs="Arial"/>
          <w:sz w:val="22"/>
          <w:szCs w:val="22"/>
        </w:rPr>
        <w:t xml:space="preserve">Printed in the UK by </w:t>
      </w:r>
      <w:r>
        <w:rPr>
          <w:rFonts w:cs="Arial"/>
          <w:sz w:val="22"/>
          <w:szCs w:val="22"/>
        </w:rPr>
        <w:t>HH Associates Ltd</w:t>
      </w:r>
      <w:r w:rsidR="001314E3">
        <w:rPr>
          <w:rFonts w:cs="Arial"/>
          <w:sz w:val="22"/>
          <w:szCs w:val="22"/>
        </w:rPr>
        <w:t>.</w:t>
      </w:r>
      <w:r w:rsidRPr="009D540E">
        <w:rPr>
          <w:rFonts w:cs="Arial"/>
          <w:sz w:val="22"/>
          <w:szCs w:val="22"/>
        </w:rPr>
        <w:t xml:space="preserve"> on behalf of the Controller of H</w:t>
      </w:r>
      <w:r>
        <w:rPr>
          <w:rFonts w:cs="Arial"/>
          <w:sz w:val="22"/>
          <w:szCs w:val="22"/>
        </w:rPr>
        <w:t>is</w:t>
      </w:r>
      <w:r w:rsidRPr="009D540E">
        <w:rPr>
          <w:rFonts w:cs="Arial"/>
          <w:sz w:val="22"/>
          <w:szCs w:val="22"/>
        </w:rPr>
        <w:t xml:space="preserve"> Majesty’s Stationery Office.</w:t>
      </w:r>
    </w:p>
    <w:p w14:paraId="759D1DEC" w14:textId="77777777" w:rsidR="002667DD" w:rsidRDefault="002667DD" w:rsidP="002667DD">
      <w:pPr>
        <w:tabs>
          <w:tab w:val="left" w:pos="0"/>
        </w:tabs>
        <w:jc w:val="center"/>
        <w:rPr>
          <w:rFonts w:cs="ZurichBT-LightCondensed"/>
          <w:lang w:val="en-US"/>
        </w:rPr>
      </w:pPr>
    </w:p>
    <w:p w14:paraId="2791CF30" w14:textId="77777777" w:rsidR="002667DD" w:rsidRDefault="002667DD" w:rsidP="002667DD">
      <w:pPr>
        <w:tabs>
          <w:tab w:val="left" w:pos="0"/>
        </w:tabs>
        <w:rPr>
          <w:sz w:val="22"/>
          <w:szCs w:val="22"/>
        </w:rPr>
      </w:pPr>
    </w:p>
    <w:p w14:paraId="1FC62002" w14:textId="77777777" w:rsidR="002667DD" w:rsidRDefault="002667DD" w:rsidP="002667DD">
      <w:pPr>
        <w:tabs>
          <w:tab w:val="left" w:pos="0"/>
        </w:tabs>
        <w:rPr>
          <w:sz w:val="22"/>
          <w:szCs w:val="22"/>
        </w:rPr>
      </w:pPr>
    </w:p>
    <w:p w14:paraId="0EC6AFB7" w14:textId="77777777" w:rsidR="002667DD" w:rsidRDefault="002667DD" w:rsidP="002667DD">
      <w:pPr>
        <w:tabs>
          <w:tab w:val="left" w:pos="0"/>
        </w:tabs>
        <w:rPr>
          <w:sz w:val="22"/>
          <w:szCs w:val="22"/>
        </w:rPr>
      </w:pPr>
    </w:p>
    <w:p w14:paraId="774FC1CA" w14:textId="77777777" w:rsidR="002667DD" w:rsidRDefault="002667DD" w:rsidP="002667DD">
      <w:pPr>
        <w:tabs>
          <w:tab w:val="left" w:pos="0"/>
        </w:tabs>
        <w:rPr>
          <w:sz w:val="22"/>
          <w:szCs w:val="22"/>
        </w:rPr>
      </w:pPr>
    </w:p>
    <w:p w14:paraId="49CA5912" w14:textId="77777777" w:rsidR="002667DD" w:rsidRDefault="002667DD" w:rsidP="002667DD">
      <w:pPr>
        <w:tabs>
          <w:tab w:val="left" w:pos="0"/>
        </w:tabs>
        <w:rPr>
          <w:sz w:val="22"/>
          <w:szCs w:val="22"/>
        </w:rPr>
      </w:pPr>
    </w:p>
    <w:p w14:paraId="72C7D696" w14:textId="77777777" w:rsidR="002667DD" w:rsidRDefault="002667DD" w:rsidP="002667DD">
      <w:pPr>
        <w:tabs>
          <w:tab w:val="left" w:pos="0"/>
        </w:tabs>
        <w:rPr>
          <w:sz w:val="22"/>
          <w:szCs w:val="22"/>
        </w:rPr>
      </w:pPr>
    </w:p>
    <w:p w14:paraId="77802A88" w14:textId="77777777" w:rsidR="002667DD" w:rsidRDefault="002667DD" w:rsidP="002667DD">
      <w:pPr>
        <w:tabs>
          <w:tab w:val="left" w:pos="0"/>
        </w:tabs>
        <w:rPr>
          <w:sz w:val="22"/>
          <w:szCs w:val="22"/>
        </w:rPr>
      </w:pPr>
    </w:p>
    <w:p w14:paraId="0AEC8EEF" w14:textId="77777777" w:rsidR="002667DD" w:rsidRPr="007F2DCD" w:rsidRDefault="002667DD" w:rsidP="002667DD">
      <w:pPr>
        <w:tabs>
          <w:tab w:val="left" w:pos="0"/>
        </w:tabs>
        <w:rPr>
          <w:sz w:val="22"/>
          <w:szCs w:val="22"/>
        </w:rPr>
      </w:pPr>
    </w:p>
    <w:p w14:paraId="30340D1D" w14:textId="77777777" w:rsidR="002667DD" w:rsidRPr="007F2DCD" w:rsidRDefault="002667DD" w:rsidP="002667DD">
      <w:pPr>
        <w:tabs>
          <w:tab w:val="left" w:pos="0"/>
        </w:tabs>
        <w:rPr>
          <w:sz w:val="22"/>
          <w:szCs w:val="22"/>
        </w:rPr>
      </w:pPr>
    </w:p>
    <w:p w14:paraId="57E7E468" w14:textId="77777777" w:rsidR="002667DD" w:rsidRPr="007F2DCD" w:rsidRDefault="002667DD" w:rsidP="002667DD">
      <w:pPr>
        <w:tabs>
          <w:tab w:val="left" w:pos="0"/>
        </w:tabs>
        <w:rPr>
          <w:sz w:val="22"/>
          <w:szCs w:val="22"/>
        </w:rPr>
      </w:pPr>
    </w:p>
    <w:p w14:paraId="76323F92" w14:textId="6753D779" w:rsidR="002667DD" w:rsidRPr="007F2DCD" w:rsidRDefault="00C46896" w:rsidP="002667DD">
      <w:pPr>
        <w:tabs>
          <w:tab w:val="left" w:pos="0"/>
        </w:tabs>
        <w:rPr>
          <w:sz w:val="22"/>
          <w:szCs w:val="22"/>
        </w:rPr>
      </w:pPr>
      <w:r>
        <w:rPr>
          <w:sz w:val="22"/>
          <w:szCs w:val="22"/>
        </w:rPr>
        <w:t>4</w:t>
      </w:r>
      <w:r w:rsidR="002667DD">
        <w:rPr>
          <w:sz w:val="22"/>
          <w:szCs w:val="22"/>
        </w:rPr>
        <w:t xml:space="preserve"> </w:t>
      </w:r>
      <w:r>
        <w:rPr>
          <w:sz w:val="22"/>
          <w:szCs w:val="22"/>
        </w:rPr>
        <w:t>July</w:t>
      </w:r>
      <w:r w:rsidR="002667DD">
        <w:rPr>
          <w:sz w:val="22"/>
          <w:szCs w:val="22"/>
        </w:rPr>
        <w:t xml:space="preserve"> 20</w:t>
      </w:r>
      <w:r w:rsidR="005E6D62">
        <w:rPr>
          <w:sz w:val="22"/>
          <w:szCs w:val="22"/>
        </w:rPr>
        <w:t>23</w:t>
      </w:r>
    </w:p>
    <w:p w14:paraId="00BDC36C" w14:textId="77777777" w:rsidR="002667DD" w:rsidRPr="007F2DCD" w:rsidRDefault="002667DD" w:rsidP="002667DD">
      <w:pPr>
        <w:tabs>
          <w:tab w:val="left" w:pos="0"/>
        </w:tabs>
        <w:rPr>
          <w:sz w:val="22"/>
          <w:szCs w:val="22"/>
        </w:rPr>
      </w:pPr>
    </w:p>
    <w:p w14:paraId="0AFEB19F" w14:textId="77777777" w:rsidR="002667DD" w:rsidRPr="007F2DCD" w:rsidRDefault="002667DD" w:rsidP="002667DD">
      <w:pPr>
        <w:tabs>
          <w:tab w:val="left" w:pos="0"/>
        </w:tabs>
        <w:rPr>
          <w:sz w:val="22"/>
          <w:szCs w:val="22"/>
        </w:rPr>
      </w:pPr>
      <w:r w:rsidRPr="007F2DCD">
        <w:rPr>
          <w:sz w:val="22"/>
          <w:szCs w:val="22"/>
        </w:rPr>
        <w:t xml:space="preserve">Rt Hon </w:t>
      </w:r>
      <w:r>
        <w:rPr>
          <w:sz w:val="22"/>
          <w:szCs w:val="22"/>
        </w:rPr>
        <w:t>Chris Heaton-Harris</w:t>
      </w:r>
      <w:r w:rsidRPr="007F2DCD">
        <w:rPr>
          <w:sz w:val="22"/>
          <w:szCs w:val="22"/>
        </w:rPr>
        <w:t xml:space="preserve"> MP</w:t>
      </w:r>
    </w:p>
    <w:p w14:paraId="67F0DAC1" w14:textId="77777777" w:rsidR="002667DD" w:rsidRPr="007F2DCD" w:rsidRDefault="002667DD" w:rsidP="002667DD">
      <w:pPr>
        <w:tabs>
          <w:tab w:val="left" w:pos="0"/>
        </w:tabs>
        <w:rPr>
          <w:sz w:val="22"/>
          <w:szCs w:val="22"/>
        </w:rPr>
      </w:pPr>
      <w:r w:rsidRPr="007F2DCD">
        <w:rPr>
          <w:sz w:val="22"/>
          <w:szCs w:val="22"/>
        </w:rPr>
        <w:t>Secretary of State for Northern Ireland</w:t>
      </w:r>
    </w:p>
    <w:p w14:paraId="1E051A16" w14:textId="77777777" w:rsidR="002667DD" w:rsidRDefault="002667DD" w:rsidP="002667DD">
      <w:pPr>
        <w:tabs>
          <w:tab w:val="left" w:pos="0"/>
        </w:tabs>
        <w:rPr>
          <w:sz w:val="22"/>
          <w:szCs w:val="22"/>
        </w:rPr>
      </w:pPr>
      <w:r>
        <w:rPr>
          <w:sz w:val="22"/>
          <w:szCs w:val="22"/>
        </w:rPr>
        <w:t>Erskine House</w:t>
      </w:r>
    </w:p>
    <w:p w14:paraId="44C67271" w14:textId="77777777" w:rsidR="002667DD" w:rsidRDefault="002667DD" w:rsidP="002667DD">
      <w:pPr>
        <w:tabs>
          <w:tab w:val="left" w:pos="0"/>
        </w:tabs>
        <w:rPr>
          <w:sz w:val="22"/>
          <w:szCs w:val="22"/>
        </w:rPr>
      </w:pPr>
      <w:r>
        <w:rPr>
          <w:sz w:val="22"/>
          <w:szCs w:val="22"/>
        </w:rPr>
        <w:t>20-32 Chichester Street</w:t>
      </w:r>
    </w:p>
    <w:p w14:paraId="0C213896" w14:textId="77777777" w:rsidR="002667DD" w:rsidRDefault="002667DD" w:rsidP="002667DD">
      <w:pPr>
        <w:tabs>
          <w:tab w:val="left" w:pos="0"/>
        </w:tabs>
        <w:rPr>
          <w:sz w:val="22"/>
          <w:szCs w:val="22"/>
        </w:rPr>
      </w:pPr>
      <w:r>
        <w:rPr>
          <w:sz w:val="22"/>
          <w:szCs w:val="22"/>
        </w:rPr>
        <w:t>Belfast</w:t>
      </w:r>
    </w:p>
    <w:p w14:paraId="71849CAB" w14:textId="77777777" w:rsidR="002667DD" w:rsidRPr="007F2DCD" w:rsidRDefault="002667DD" w:rsidP="002667DD">
      <w:pPr>
        <w:tabs>
          <w:tab w:val="left" w:pos="0"/>
        </w:tabs>
        <w:rPr>
          <w:sz w:val="22"/>
          <w:szCs w:val="22"/>
        </w:rPr>
      </w:pPr>
      <w:r>
        <w:rPr>
          <w:sz w:val="22"/>
          <w:szCs w:val="22"/>
        </w:rPr>
        <w:t>BT1 4GF</w:t>
      </w:r>
    </w:p>
    <w:p w14:paraId="077B4595" w14:textId="77777777" w:rsidR="002667DD" w:rsidRPr="007F2DCD" w:rsidRDefault="002667DD" w:rsidP="002667DD">
      <w:pPr>
        <w:tabs>
          <w:tab w:val="left" w:pos="0"/>
        </w:tabs>
        <w:rPr>
          <w:sz w:val="22"/>
          <w:szCs w:val="22"/>
        </w:rPr>
      </w:pPr>
    </w:p>
    <w:p w14:paraId="1F29298A" w14:textId="77777777" w:rsidR="002667DD" w:rsidRPr="007F2DCD" w:rsidRDefault="002667DD" w:rsidP="002667DD">
      <w:pPr>
        <w:tabs>
          <w:tab w:val="left" w:pos="0"/>
        </w:tabs>
        <w:rPr>
          <w:sz w:val="22"/>
          <w:szCs w:val="22"/>
        </w:rPr>
      </w:pPr>
    </w:p>
    <w:p w14:paraId="092B66C2" w14:textId="77777777" w:rsidR="002667DD" w:rsidRPr="007F2DCD" w:rsidRDefault="002667DD" w:rsidP="002667DD">
      <w:pPr>
        <w:tabs>
          <w:tab w:val="left" w:pos="0"/>
        </w:tabs>
        <w:rPr>
          <w:sz w:val="22"/>
          <w:szCs w:val="22"/>
        </w:rPr>
      </w:pPr>
    </w:p>
    <w:p w14:paraId="6111C8DC" w14:textId="77777777" w:rsidR="002667DD" w:rsidRPr="007F2DCD" w:rsidRDefault="002667DD" w:rsidP="002667DD">
      <w:pPr>
        <w:tabs>
          <w:tab w:val="left" w:pos="0"/>
        </w:tabs>
        <w:rPr>
          <w:sz w:val="22"/>
          <w:szCs w:val="22"/>
        </w:rPr>
      </w:pPr>
      <w:r w:rsidRPr="007F2DCD">
        <w:rPr>
          <w:sz w:val="22"/>
          <w:szCs w:val="22"/>
        </w:rPr>
        <w:t>Dear Secretary of State</w:t>
      </w:r>
    </w:p>
    <w:p w14:paraId="02539C75" w14:textId="77777777" w:rsidR="002667DD" w:rsidRPr="007F2DCD" w:rsidRDefault="002667DD" w:rsidP="002667DD">
      <w:pPr>
        <w:tabs>
          <w:tab w:val="left" w:pos="0"/>
        </w:tabs>
        <w:rPr>
          <w:sz w:val="22"/>
          <w:szCs w:val="22"/>
        </w:rPr>
      </w:pPr>
    </w:p>
    <w:p w14:paraId="5CA5E3A2" w14:textId="77777777" w:rsidR="002667DD" w:rsidRPr="007F2DCD" w:rsidRDefault="002667DD" w:rsidP="002667DD">
      <w:pPr>
        <w:tabs>
          <w:tab w:val="left" w:pos="0"/>
        </w:tabs>
        <w:rPr>
          <w:sz w:val="22"/>
          <w:szCs w:val="22"/>
        </w:rPr>
      </w:pPr>
      <w:r w:rsidRPr="007F2DCD">
        <w:rPr>
          <w:sz w:val="22"/>
          <w:szCs w:val="22"/>
        </w:rPr>
        <w:t xml:space="preserve">I have pleasure in submitting to you, as required by paragraph 5(1) of Schedule 7 of the Northern Ireland Act 1998, the </w:t>
      </w:r>
      <w:r>
        <w:rPr>
          <w:sz w:val="22"/>
          <w:szCs w:val="22"/>
        </w:rPr>
        <w:t>twenty third</w:t>
      </w:r>
      <w:r w:rsidRPr="007F2DCD">
        <w:rPr>
          <w:sz w:val="22"/>
          <w:szCs w:val="22"/>
        </w:rPr>
        <w:t xml:space="preserve"> Annual Report of the Northern Ireland Human Rights Commission.  It shows how the Commission has performed its functions during the year 1 April 20</w:t>
      </w:r>
      <w:r>
        <w:rPr>
          <w:sz w:val="22"/>
          <w:szCs w:val="22"/>
        </w:rPr>
        <w:t>22 to 31 March 2023</w:t>
      </w:r>
      <w:r w:rsidRPr="007F2DCD">
        <w:rPr>
          <w:sz w:val="22"/>
          <w:szCs w:val="22"/>
        </w:rPr>
        <w:t>.</w:t>
      </w:r>
    </w:p>
    <w:p w14:paraId="631AA15B" w14:textId="77777777" w:rsidR="002667DD" w:rsidRPr="007F2DCD" w:rsidRDefault="002667DD" w:rsidP="002667DD">
      <w:pPr>
        <w:tabs>
          <w:tab w:val="left" w:pos="0"/>
        </w:tabs>
        <w:rPr>
          <w:sz w:val="22"/>
          <w:szCs w:val="22"/>
        </w:rPr>
      </w:pPr>
    </w:p>
    <w:p w14:paraId="0FAD194C" w14:textId="0D43F3DE" w:rsidR="002667DD" w:rsidRDefault="002667DD" w:rsidP="002667DD">
      <w:pPr>
        <w:tabs>
          <w:tab w:val="left" w:pos="0"/>
        </w:tabs>
        <w:rPr>
          <w:sz w:val="22"/>
          <w:szCs w:val="22"/>
        </w:rPr>
      </w:pPr>
      <w:r w:rsidRPr="007F2DCD">
        <w:rPr>
          <w:sz w:val="22"/>
          <w:szCs w:val="22"/>
        </w:rPr>
        <w:t xml:space="preserve">The Annual Report </w:t>
      </w:r>
      <w:r>
        <w:rPr>
          <w:sz w:val="22"/>
          <w:szCs w:val="22"/>
        </w:rPr>
        <w:t xml:space="preserve">and Accounts </w:t>
      </w:r>
      <w:r w:rsidRPr="007F2DCD">
        <w:rPr>
          <w:sz w:val="22"/>
          <w:szCs w:val="22"/>
        </w:rPr>
        <w:t xml:space="preserve">includes the Commission’s financial statements </w:t>
      </w:r>
      <w:r>
        <w:rPr>
          <w:sz w:val="22"/>
          <w:szCs w:val="22"/>
        </w:rPr>
        <w:t>for the year ending 31 March 2023</w:t>
      </w:r>
      <w:r w:rsidRPr="007F2DCD">
        <w:rPr>
          <w:sz w:val="22"/>
          <w:szCs w:val="22"/>
        </w:rPr>
        <w:t>, which have been prepared in accordance with Paragraph 7 of Schedule 7 of the Northern Ireland Act 1998, and which were certified by the Comptroller and Auditor General</w:t>
      </w:r>
      <w:r>
        <w:rPr>
          <w:sz w:val="22"/>
          <w:szCs w:val="22"/>
        </w:rPr>
        <w:t xml:space="preserve"> on </w:t>
      </w:r>
      <w:r w:rsidR="00EC5246">
        <w:rPr>
          <w:sz w:val="22"/>
          <w:szCs w:val="22"/>
        </w:rPr>
        <w:t>3</w:t>
      </w:r>
      <w:r>
        <w:rPr>
          <w:sz w:val="22"/>
          <w:szCs w:val="22"/>
        </w:rPr>
        <w:t xml:space="preserve"> </w:t>
      </w:r>
      <w:r w:rsidR="00EC5246">
        <w:rPr>
          <w:sz w:val="22"/>
          <w:szCs w:val="22"/>
        </w:rPr>
        <w:t>July</w:t>
      </w:r>
      <w:r>
        <w:rPr>
          <w:sz w:val="22"/>
          <w:szCs w:val="22"/>
        </w:rPr>
        <w:t xml:space="preserve"> 20</w:t>
      </w:r>
      <w:r w:rsidR="00F7529E">
        <w:rPr>
          <w:sz w:val="22"/>
          <w:szCs w:val="22"/>
        </w:rPr>
        <w:t>23</w:t>
      </w:r>
      <w:r>
        <w:rPr>
          <w:sz w:val="22"/>
          <w:szCs w:val="22"/>
        </w:rPr>
        <w:t>.</w:t>
      </w:r>
    </w:p>
    <w:p w14:paraId="7EB02809" w14:textId="77777777" w:rsidR="002667DD" w:rsidRPr="007F2DCD" w:rsidRDefault="002667DD" w:rsidP="002667DD">
      <w:pPr>
        <w:tabs>
          <w:tab w:val="left" w:pos="0"/>
        </w:tabs>
        <w:rPr>
          <w:sz w:val="22"/>
          <w:szCs w:val="22"/>
        </w:rPr>
      </w:pPr>
    </w:p>
    <w:p w14:paraId="46FCE0A6" w14:textId="77777777" w:rsidR="002667DD" w:rsidRPr="007F2DCD" w:rsidRDefault="002667DD" w:rsidP="002667DD">
      <w:pPr>
        <w:tabs>
          <w:tab w:val="left" w:pos="0"/>
        </w:tabs>
        <w:rPr>
          <w:sz w:val="22"/>
          <w:szCs w:val="22"/>
        </w:rPr>
      </w:pPr>
      <w:r w:rsidRPr="007F2DCD">
        <w:rPr>
          <w:sz w:val="22"/>
          <w:szCs w:val="22"/>
        </w:rPr>
        <w:t>Yours sincerely</w:t>
      </w:r>
    </w:p>
    <w:p w14:paraId="6E43120D" w14:textId="77777777" w:rsidR="002667DD" w:rsidRPr="007F2DCD" w:rsidRDefault="002667DD" w:rsidP="002667DD">
      <w:pPr>
        <w:tabs>
          <w:tab w:val="left" w:pos="0"/>
        </w:tabs>
        <w:rPr>
          <w:sz w:val="22"/>
          <w:szCs w:val="22"/>
        </w:rPr>
      </w:pPr>
    </w:p>
    <w:p w14:paraId="1E185D15" w14:textId="77777777" w:rsidR="002667DD" w:rsidRDefault="002667DD" w:rsidP="002667DD">
      <w:pPr>
        <w:tabs>
          <w:tab w:val="left" w:pos="0"/>
        </w:tabs>
        <w:rPr>
          <w:noProof/>
          <w:lang w:eastAsia="en-GB"/>
        </w:rPr>
      </w:pPr>
    </w:p>
    <w:p w14:paraId="27B7B8E2" w14:textId="77777777" w:rsidR="002667DD" w:rsidRDefault="002667DD" w:rsidP="002667DD">
      <w:pPr>
        <w:tabs>
          <w:tab w:val="left" w:pos="0"/>
        </w:tabs>
        <w:rPr>
          <w:noProof/>
          <w:lang w:eastAsia="en-GB"/>
        </w:rPr>
      </w:pPr>
    </w:p>
    <w:p w14:paraId="4E3C902A" w14:textId="77777777" w:rsidR="002667DD" w:rsidRDefault="002667DD" w:rsidP="002667DD">
      <w:pPr>
        <w:tabs>
          <w:tab w:val="left" w:pos="0"/>
        </w:tabs>
        <w:rPr>
          <w:noProof/>
          <w:lang w:eastAsia="en-GB"/>
        </w:rPr>
      </w:pPr>
    </w:p>
    <w:p w14:paraId="047381D7" w14:textId="77777777" w:rsidR="002667DD" w:rsidRPr="007F2DCD" w:rsidRDefault="002667DD" w:rsidP="002667DD">
      <w:pPr>
        <w:tabs>
          <w:tab w:val="left" w:pos="0"/>
        </w:tabs>
        <w:rPr>
          <w:sz w:val="22"/>
          <w:szCs w:val="22"/>
        </w:rPr>
      </w:pPr>
    </w:p>
    <w:p w14:paraId="5E48BBC4" w14:textId="77777777" w:rsidR="002667DD" w:rsidRPr="007F2DCD" w:rsidRDefault="002667DD" w:rsidP="002667DD">
      <w:pPr>
        <w:tabs>
          <w:tab w:val="left" w:pos="0"/>
        </w:tabs>
        <w:rPr>
          <w:sz w:val="22"/>
          <w:szCs w:val="22"/>
        </w:rPr>
      </w:pPr>
    </w:p>
    <w:p w14:paraId="275843EB" w14:textId="77777777" w:rsidR="002667DD" w:rsidRPr="007F2DCD" w:rsidRDefault="002667DD" w:rsidP="002667DD">
      <w:pPr>
        <w:tabs>
          <w:tab w:val="left" w:pos="0"/>
        </w:tabs>
        <w:rPr>
          <w:b/>
          <w:sz w:val="22"/>
          <w:szCs w:val="22"/>
        </w:rPr>
      </w:pPr>
      <w:r>
        <w:rPr>
          <w:b/>
          <w:sz w:val="22"/>
          <w:szCs w:val="22"/>
        </w:rPr>
        <w:t>Alyson Kilpatrick</w:t>
      </w:r>
    </w:p>
    <w:p w14:paraId="00324F90" w14:textId="77777777" w:rsidR="002667DD" w:rsidRPr="007F2DCD" w:rsidRDefault="002667DD" w:rsidP="002667DD">
      <w:pPr>
        <w:rPr>
          <w:b/>
          <w:sz w:val="22"/>
          <w:szCs w:val="22"/>
        </w:rPr>
      </w:pPr>
      <w:r w:rsidRPr="007F2DCD">
        <w:rPr>
          <w:b/>
          <w:sz w:val="22"/>
          <w:szCs w:val="22"/>
        </w:rPr>
        <w:t>Chief Commissioner</w:t>
      </w:r>
    </w:p>
    <w:p w14:paraId="2522FBD7" w14:textId="77777777" w:rsidR="002667DD" w:rsidRPr="007F2DCD" w:rsidRDefault="002667DD" w:rsidP="002667DD">
      <w:pPr>
        <w:rPr>
          <w:b/>
          <w:sz w:val="22"/>
          <w:szCs w:val="22"/>
        </w:rPr>
      </w:pPr>
    </w:p>
    <w:p w14:paraId="4A24273F" w14:textId="77777777" w:rsidR="002667DD" w:rsidRPr="007F2DCD" w:rsidRDefault="002667DD" w:rsidP="002667DD">
      <w:pPr>
        <w:rPr>
          <w:b/>
          <w:sz w:val="22"/>
          <w:szCs w:val="22"/>
        </w:rPr>
      </w:pPr>
    </w:p>
    <w:p w14:paraId="68027054" w14:textId="77777777" w:rsidR="002667DD" w:rsidRPr="007F2DCD" w:rsidRDefault="002667DD" w:rsidP="002667DD">
      <w:pPr>
        <w:rPr>
          <w:b/>
          <w:sz w:val="22"/>
          <w:szCs w:val="22"/>
        </w:rPr>
      </w:pPr>
    </w:p>
    <w:p w14:paraId="409C3B8E" w14:textId="77777777" w:rsidR="002667DD" w:rsidRPr="007F2DCD" w:rsidRDefault="002667DD" w:rsidP="002667DD">
      <w:pPr>
        <w:rPr>
          <w:b/>
          <w:sz w:val="22"/>
          <w:szCs w:val="22"/>
        </w:rPr>
      </w:pPr>
    </w:p>
    <w:p w14:paraId="44A585C9" w14:textId="77777777" w:rsidR="002667DD" w:rsidRPr="007F2DCD" w:rsidRDefault="002667DD" w:rsidP="002667DD">
      <w:pPr>
        <w:rPr>
          <w:b/>
          <w:sz w:val="22"/>
          <w:szCs w:val="22"/>
        </w:rPr>
      </w:pPr>
    </w:p>
    <w:p w14:paraId="1D0A49A3" w14:textId="77777777" w:rsidR="002667DD" w:rsidRDefault="002667DD" w:rsidP="002667DD">
      <w:pPr>
        <w:rPr>
          <w:b/>
          <w:sz w:val="22"/>
          <w:szCs w:val="22"/>
        </w:rPr>
      </w:pPr>
    </w:p>
    <w:p w14:paraId="2EB7AEFC" w14:textId="77777777" w:rsidR="002667DD" w:rsidRPr="007F2DCD" w:rsidRDefault="002667DD" w:rsidP="002667DD">
      <w:pPr>
        <w:rPr>
          <w:b/>
          <w:sz w:val="22"/>
          <w:szCs w:val="22"/>
        </w:rPr>
      </w:pPr>
    </w:p>
    <w:p w14:paraId="57C0B8EF" w14:textId="77777777" w:rsidR="002667DD" w:rsidRPr="007F2DCD" w:rsidRDefault="002667DD" w:rsidP="002667DD">
      <w:pPr>
        <w:rPr>
          <w:b/>
          <w:sz w:val="22"/>
          <w:szCs w:val="22"/>
        </w:rPr>
      </w:pPr>
    </w:p>
    <w:p w14:paraId="17839C4B" w14:textId="77777777" w:rsidR="002667DD" w:rsidRPr="007F2DCD" w:rsidRDefault="002667DD" w:rsidP="002667DD">
      <w:pPr>
        <w:rPr>
          <w:b/>
          <w:sz w:val="22"/>
          <w:szCs w:val="22"/>
        </w:rPr>
      </w:pPr>
    </w:p>
    <w:p w14:paraId="2F0F9934" w14:textId="77777777" w:rsidR="002667DD" w:rsidRPr="007F2DCD" w:rsidRDefault="002667DD" w:rsidP="002667DD">
      <w:pPr>
        <w:rPr>
          <w:sz w:val="22"/>
          <w:szCs w:val="22"/>
        </w:rPr>
      </w:pPr>
    </w:p>
    <w:p w14:paraId="04751CF6" w14:textId="77777777" w:rsidR="002667DD" w:rsidRPr="007F2DCD" w:rsidRDefault="002667DD" w:rsidP="002667DD">
      <w:pPr>
        <w:rPr>
          <w:sz w:val="22"/>
          <w:szCs w:val="22"/>
        </w:rPr>
      </w:pPr>
    </w:p>
    <w:p w14:paraId="1BE4BE45" w14:textId="77777777" w:rsidR="002667DD" w:rsidRPr="007F2DCD" w:rsidRDefault="002667DD" w:rsidP="002667DD">
      <w:pPr>
        <w:rPr>
          <w:sz w:val="22"/>
          <w:szCs w:val="22"/>
        </w:rPr>
      </w:pPr>
    </w:p>
    <w:p w14:paraId="316419AF" w14:textId="77777777" w:rsidR="002667DD" w:rsidRPr="007F2DCD" w:rsidRDefault="002667DD" w:rsidP="002667DD">
      <w:pPr>
        <w:rPr>
          <w:sz w:val="22"/>
          <w:szCs w:val="22"/>
        </w:rPr>
      </w:pPr>
    </w:p>
    <w:p w14:paraId="683A2663" w14:textId="77777777" w:rsidR="002667DD" w:rsidRPr="007F2DCD" w:rsidRDefault="002667DD" w:rsidP="002667DD">
      <w:pPr>
        <w:rPr>
          <w:sz w:val="22"/>
          <w:szCs w:val="22"/>
        </w:rPr>
      </w:pPr>
    </w:p>
    <w:p w14:paraId="19DF9FAD" w14:textId="77777777" w:rsidR="002667DD" w:rsidRPr="007F2DCD" w:rsidRDefault="002667DD" w:rsidP="002667DD">
      <w:pPr>
        <w:rPr>
          <w:sz w:val="22"/>
          <w:szCs w:val="22"/>
        </w:rPr>
      </w:pPr>
    </w:p>
    <w:p w14:paraId="32FD5F0E" w14:textId="77777777" w:rsidR="002667DD" w:rsidRPr="007F2DCD" w:rsidRDefault="002667DD" w:rsidP="002667DD">
      <w:pPr>
        <w:rPr>
          <w:sz w:val="22"/>
          <w:szCs w:val="22"/>
        </w:rPr>
      </w:pPr>
    </w:p>
    <w:p w14:paraId="3D346032" w14:textId="77777777" w:rsidR="002667DD" w:rsidRPr="007F2DCD" w:rsidRDefault="002667DD" w:rsidP="002667DD">
      <w:pPr>
        <w:rPr>
          <w:sz w:val="22"/>
          <w:szCs w:val="22"/>
        </w:rPr>
        <w:sectPr w:rsidR="002667DD" w:rsidRPr="007F2DCD" w:rsidSect="001958BD">
          <w:headerReference w:type="even" r:id="rId15"/>
          <w:headerReference w:type="default" r:id="rId16"/>
          <w:footerReference w:type="even" r:id="rId17"/>
          <w:footerReference w:type="default" r:id="rId18"/>
          <w:headerReference w:type="first" r:id="rId19"/>
          <w:footerReference w:type="first" r:id="rId20"/>
          <w:pgSz w:w="11907" w:h="16840" w:code="9"/>
          <w:pgMar w:top="1418" w:right="1418" w:bottom="851" w:left="1418" w:header="709" w:footer="709" w:gutter="0"/>
          <w:pgNumType w:start="0"/>
          <w:cols w:space="708"/>
          <w:titlePg/>
          <w:docGrid w:linePitch="360"/>
        </w:sectPr>
      </w:pPr>
      <w:bookmarkStart w:id="0" w:name="_Hlk104795679"/>
    </w:p>
    <w:p w14:paraId="1D5B3C47" w14:textId="77777777" w:rsidR="002667DD" w:rsidRPr="005049F6" w:rsidRDefault="002667DD" w:rsidP="002667DD">
      <w:pPr>
        <w:jc w:val="center"/>
        <w:rPr>
          <w:b/>
          <w:sz w:val="28"/>
          <w:szCs w:val="28"/>
        </w:rPr>
      </w:pPr>
      <w:r w:rsidRPr="0045027A">
        <w:rPr>
          <w:rFonts w:cs="Arial"/>
          <w:b/>
          <w:color w:val="77328A"/>
          <w:sz w:val="36"/>
          <w:szCs w:val="36"/>
        </w:rPr>
        <w:lastRenderedPageBreak/>
        <w:t xml:space="preserve"> </w:t>
      </w:r>
      <w:r w:rsidRPr="003B7D0E">
        <w:rPr>
          <w:rFonts w:cs="Arial"/>
          <w:b/>
          <w:color w:val="77328A"/>
          <w:sz w:val="36"/>
          <w:szCs w:val="36"/>
        </w:rPr>
        <w:t>Contents</w:t>
      </w:r>
      <w:r>
        <w:rPr>
          <w:rStyle w:val="CommentReference"/>
        </w:rPr>
        <w:t xml:space="preserve"> </w:t>
      </w:r>
    </w:p>
    <w:p w14:paraId="502428AA" w14:textId="77777777" w:rsidR="002667DD" w:rsidRPr="007F2DCD" w:rsidRDefault="002667DD" w:rsidP="002667DD">
      <w:pPr>
        <w:rPr>
          <w:sz w:val="22"/>
          <w:szCs w:val="22"/>
        </w:rPr>
      </w:pPr>
    </w:p>
    <w:p w14:paraId="1638D66E" w14:textId="77777777" w:rsidR="002667DD" w:rsidRPr="007F2DCD" w:rsidRDefault="002667DD" w:rsidP="002667DD">
      <w:pPr>
        <w:rPr>
          <w:b/>
          <w:sz w:val="22"/>
          <w:szCs w:val="22"/>
        </w:rPr>
      </w:pPr>
    </w:p>
    <w:p w14:paraId="1D86F72E" w14:textId="77777777" w:rsidR="002667DD" w:rsidRPr="007F2DCD" w:rsidRDefault="002667DD" w:rsidP="002667DD">
      <w:pPr>
        <w:tabs>
          <w:tab w:val="right" w:pos="8820"/>
        </w:tabs>
        <w:ind w:right="113"/>
        <w:jc w:val="right"/>
        <w:rPr>
          <w:b/>
          <w:sz w:val="22"/>
          <w:szCs w:val="22"/>
        </w:rPr>
      </w:pPr>
      <w:r w:rsidRPr="007F2DCD">
        <w:rPr>
          <w:b/>
          <w:sz w:val="22"/>
          <w:szCs w:val="22"/>
        </w:rPr>
        <w:t>Page</w:t>
      </w:r>
    </w:p>
    <w:p w14:paraId="5DC5628C" w14:textId="77777777" w:rsidR="002667DD" w:rsidRPr="009C7EA6" w:rsidRDefault="002667DD" w:rsidP="002667DD">
      <w:pPr>
        <w:tabs>
          <w:tab w:val="right" w:pos="8820"/>
        </w:tabs>
        <w:ind w:right="113"/>
        <w:jc w:val="right"/>
        <w:rPr>
          <w:b/>
          <w:color w:val="auto"/>
          <w:sz w:val="22"/>
          <w:szCs w:val="22"/>
        </w:rPr>
      </w:pPr>
    </w:p>
    <w:p w14:paraId="78626F98" w14:textId="6384128F" w:rsidR="002667DD" w:rsidRPr="009C7EA6" w:rsidRDefault="009F2BA5" w:rsidP="002667DD">
      <w:pPr>
        <w:tabs>
          <w:tab w:val="right" w:pos="8820"/>
        </w:tabs>
        <w:rPr>
          <w:color w:val="auto"/>
          <w:sz w:val="22"/>
          <w:szCs w:val="22"/>
        </w:rPr>
      </w:pPr>
      <w:hyperlink w:anchor="PerformanceReport" w:history="1">
        <w:r w:rsidR="002667DD" w:rsidRPr="009C7EA6">
          <w:rPr>
            <w:rStyle w:val="Hyperlink"/>
            <w:b/>
            <w:color w:val="auto"/>
            <w:sz w:val="22"/>
            <w:szCs w:val="22"/>
          </w:rPr>
          <w:t>Performance Report</w:t>
        </w:r>
      </w:hyperlink>
      <w:r w:rsidR="002667DD" w:rsidRPr="009C7EA6">
        <w:rPr>
          <w:color w:val="auto"/>
          <w:sz w:val="22"/>
          <w:szCs w:val="22"/>
        </w:rPr>
        <w:tab/>
      </w:r>
      <w:r w:rsidR="00D853A2">
        <w:rPr>
          <w:color w:val="auto"/>
          <w:sz w:val="22"/>
          <w:szCs w:val="22"/>
        </w:rPr>
        <w:t>8</w:t>
      </w:r>
    </w:p>
    <w:p w14:paraId="73601925" w14:textId="77777777" w:rsidR="002667DD" w:rsidRPr="009C7EA6" w:rsidRDefault="002667DD" w:rsidP="002667DD">
      <w:pPr>
        <w:tabs>
          <w:tab w:val="right" w:pos="8820"/>
        </w:tabs>
        <w:rPr>
          <w:color w:val="auto"/>
          <w:sz w:val="22"/>
          <w:szCs w:val="22"/>
        </w:rPr>
      </w:pPr>
    </w:p>
    <w:p w14:paraId="48B19541" w14:textId="202A984A" w:rsidR="002667DD" w:rsidRPr="009C7EA6" w:rsidRDefault="009F2BA5" w:rsidP="002667DD">
      <w:pPr>
        <w:pStyle w:val="ListParagraph"/>
        <w:numPr>
          <w:ilvl w:val="0"/>
          <w:numId w:val="10"/>
        </w:numPr>
        <w:tabs>
          <w:tab w:val="right" w:pos="8820"/>
        </w:tabs>
        <w:rPr>
          <w:color w:val="auto"/>
          <w:sz w:val="22"/>
          <w:szCs w:val="22"/>
        </w:rPr>
      </w:pPr>
      <w:hyperlink w:anchor="Overview" w:history="1">
        <w:r w:rsidR="002667DD" w:rsidRPr="009C7EA6">
          <w:rPr>
            <w:rStyle w:val="Hyperlink"/>
            <w:b/>
            <w:color w:val="auto"/>
            <w:sz w:val="22"/>
            <w:szCs w:val="22"/>
          </w:rPr>
          <w:t>Overview</w:t>
        </w:r>
      </w:hyperlink>
      <w:r w:rsidR="002667DD" w:rsidRPr="009C7EA6">
        <w:rPr>
          <w:color w:val="auto"/>
          <w:sz w:val="22"/>
          <w:szCs w:val="22"/>
        </w:rPr>
        <w:tab/>
      </w:r>
      <w:r w:rsidR="00D853A2">
        <w:rPr>
          <w:color w:val="auto"/>
          <w:sz w:val="22"/>
          <w:szCs w:val="22"/>
        </w:rPr>
        <w:t>8</w:t>
      </w:r>
    </w:p>
    <w:p w14:paraId="5FB7BF58" w14:textId="179DA700" w:rsidR="002667DD" w:rsidRPr="0045027A" w:rsidRDefault="009F2BA5" w:rsidP="002667DD">
      <w:pPr>
        <w:pStyle w:val="ListParagraph"/>
        <w:numPr>
          <w:ilvl w:val="1"/>
          <w:numId w:val="8"/>
        </w:numPr>
        <w:tabs>
          <w:tab w:val="right" w:pos="8820"/>
        </w:tabs>
        <w:rPr>
          <w:color w:val="auto"/>
          <w:sz w:val="20"/>
          <w:szCs w:val="20"/>
        </w:rPr>
      </w:pPr>
      <w:hyperlink w:anchor="ChiefCommissionersForeword" w:history="1">
        <w:r w:rsidR="002667DD" w:rsidRPr="0045027A">
          <w:rPr>
            <w:rStyle w:val="Hyperlink"/>
            <w:color w:val="auto"/>
            <w:sz w:val="20"/>
            <w:szCs w:val="20"/>
          </w:rPr>
          <w:t>Chief Commissioner’s Foreword</w:t>
        </w:r>
      </w:hyperlink>
      <w:r w:rsidR="002667DD" w:rsidRPr="0045027A">
        <w:rPr>
          <w:color w:val="auto"/>
          <w:sz w:val="20"/>
          <w:szCs w:val="20"/>
        </w:rPr>
        <w:tab/>
      </w:r>
      <w:r w:rsidR="00D853A2">
        <w:rPr>
          <w:color w:val="auto"/>
          <w:sz w:val="20"/>
          <w:szCs w:val="20"/>
        </w:rPr>
        <w:t>8</w:t>
      </w:r>
    </w:p>
    <w:p w14:paraId="27347FEB" w14:textId="1C35F308" w:rsidR="002667DD" w:rsidRPr="0045027A" w:rsidRDefault="009F2BA5" w:rsidP="002667DD">
      <w:pPr>
        <w:pStyle w:val="ListParagraph"/>
        <w:numPr>
          <w:ilvl w:val="1"/>
          <w:numId w:val="8"/>
        </w:numPr>
        <w:tabs>
          <w:tab w:val="right" w:pos="8820"/>
        </w:tabs>
        <w:rPr>
          <w:color w:val="auto"/>
          <w:sz w:val="20"/>
          <w:szCs w:val="20"/>
        </w:rPr>
      </w:pPr>
      <w:hyperlink w:anchor="StatementofPurposeandActivities" w:history="1">
        <w:r w:rsidR="002667DD" w:rsidRPr="0045027A">
          <w:rPr>
            <w:rStyle w:val="Hyperlink"/>
            <w:color w:val="auto"/>
            <w:sz w:val="20"/>
            <w:szCs w:val="20"/>
          </w:rPr>
          <w:t>Statement of Purpose and Activities of the Organisation</w:t>
        </w:r>
      </w:hyperlink>
      <w:r w:rsidR="002667DD" w:rsidRPr="0045027A">
        <w:rPr>
          <w:color w:val="auto"/>
          <w:sz w:val="20"/>
          <w:szCs w:val="20"/>
        </w:rPr>
        <w:tab/>
      </w:r>
      <w:r w:rsidR="00D853A2">
        <w:rPr>
          <w:color w:val="auto"/>
          <w:sz w:val="20"/>
          <w:szCs w:val="20"/>
        </w:rPr>
        <w:t>10</w:t>
      </w:r>
    </w:p>
    <w:p w14:paraId="7728B9B9" w14:textId="77777777" w:rsidR="00D853A2" w:rsidRPr="00D853A2" w:rsidRDefault="009F2BA5" w:rsidP="002667DD">
      <w:pPr>
        <w:pStyle w:val="ListParagraph"/>
        <w:numPr>
          <w:ilvl w:val="1"/>
          <w:numId w:val="8"/>
        </w:numPr>
        <w:tabs>
          <w:tab w:val="right" w:pos="8820"/>
        </w:tabs>
        <w:rPr>
          <w:rStyle w:val="Hyperlink"/>
          <w:color w:val="auto"/>
          <w:sz w:val="22"/>
          <w:szCs w:val="22"/>
          <w:u w:val="none"/>
        </w:rPr>
      </w:pPr>
      <w:hyperlink w:anchor="KeyRisks" w:history="1">
        <w:r w:rsidR="002667DD" w:rsidRPr="0045027A">
          <w:rPr>
            <w:rStyle w:val="Hyperlink"/>
            <w:color w:val="auto"/>
            <w:sz w:val="20"/>
            <w:szCs w:val="20"/>
          </w:rPr>
          <w:t>Key Risks facing the Northern Ireland Human Rights</w:t>
        </w:r>
        <w:r w:rsidR="002667DD" w:rsidRPr="00FD3F1B">
          <w:rPr>
            <w:rStyle w:val="Hyperlink"/>
            <w:color w:val="auto"/>
            <w:sz w:val="20"/>
            <w:szCs w:val="20"/>
            <w:u w:val="none"/>
          </w:rPr>
          <w:t xml:space="preserve"> </w:t>
        </w:r>
        <w:r w:rsidR="002667DD" w:rsidRPr="00FD3F1B">
          <w:rPr>
            <w:rStyle w:val="Hyperlink"/>
            <w:color w:val="auto"/>
            <w:sz w:val="20"/>
            <w:szCs w:val="20"/>
            <w:u w:val="none"/>
          </w:rPr>
          <w:tab/>
        </w:r>
        <w:r w:rsidR="00D853A2">
          <w:rPr>
            <w:rStyle w:val="Hyperlink"/>
            <w:color w:val="auto"/>
            <w:sz w:val="20"/>
            <w:szCs w:val="20"/>
            <w:u w:val="none"/>
          </w:rPr>
          <w:t>21</w:t>
        </w:r>
        <w:r w:rsidR="002667DD" w:rsidRPr="0045027A">
          <w:rPr>
            <w:rStyle w:val="Hyperlink"/>
            <w:color w:val="auto"/>
            <w:sz w:val="20"/>
            <w:szCs w:val="20"/>
          </w:rPr>
          <w:br/>
          <w:t>Commission</w:t>
        </w:r>
      </w:hyperlink>
    </w:p>
    <w:p w14:paraId="636313DC" w14:textId="46366F6A" w:rsidR="00D853A2" w:rsidRPr="0045027A" w:rsidRDefault="00D853A2" w:rsidP="00D853A2">
      <w:pPr>
        <w:pStyle w:val="ListParagraph"/>
        <w:numPr>
          <w:ilvl w:val="1"/>
          <w:numId w:val="8"/>
        </w:numPr>
        <w:tabs>
          <w:tab w:val="right" w:pos="8820"/>
        </w:tabs>
        <w:rPr>
          <w:color w:val="auto"/>
          <w:sz w:val="20"/>
          <w:szCs w:val="20"/>
        </w:rPr>
      </w:pPr>
      <w:r>
        <w:rPr>
          <w:color w:val="auto"/>
          <w:sz w:val="20"/>
          <w:szCs w:val="20"/>
          <w:u w:val="single"/>
        </w:rPr>
        <w:t>Sustainability Report</w:t>
      </w:r>
      <w:r w:rsidRPr="0045027A">
        <w:rPr>
          <w:color w:val="auto"/>
          <w:sz w:val="20"/>
          <w:szCs w:val="20"/>
        </w:rPr>
        <w:tab/>
      </w:r>
      <w:r>
        <w:rPr>
          <w:color w:val="auto"/>
          <w:sz w:val="20"/>
          <w:szCs w:val="20"/>
        </w:rPr>
        <w:t>23</w:t>
      </w:r>
    </w:p>
    <w:p w14:paraId="63E74885" w14:textId="77777777" w:rsidR="002667DD" w:rsidRPr="009C7EA6" w:rsidRDefault="002667DD" w:rsidP="002667DD">
      <w:pPr>
        <w:tabs>
          <w:tab w:val="right" w:pos="8820"/>
        </w:tabs>
        <w:rPr>
          <w:color w:val="auto"/>
          <w:sz w:val="22"/>
          <w:szCs w:val="22"/>
        </w:rPr>
      </w:pPr>
    </w:p>
    <w:p w14:paraId="3AD5F759" w14:textId="615ABCC0" w:rsidR="002667DD" w:rsidRPr="009C7EA6" w:rsidRDefault="009F2BA5" w:rsidP="002667DD">
      <w:pPr>
        <w:pStyle w:val="ListParagraph"/>
        <w:numPr>
          <w:ilvl w:val="0"/>
          <w:numId w:val="8"/>
        </w:numPr>
        <w:tabs>
          <w:tab w:val="right" w:pos="8820"/>
        </w:tabs>
        <w:rPr>
          <w:color w:val="auto"/>
          <w:sz w:val="22"/>
          <w:szCs w:val="22"/>
        </w:rPr>
      </w:pPr>
      <w:hyperlink w:anchor="PerformanceAnalysis" w:history="1">
        <w:r w:rsidR="002667DD" w:rsidRPr="009C7EA6">
          <w:rPr>
            <w:rStyle w:val="Hyperlink"/>
            <w:b/>
            <w:color w:val="auto"/>
            <w:sz w:val="22"/>
            <w:szCs w:val="22"/>
          </w:rPr>
          <w:t>Performance Analysis</w:t>
        </w:r>
      </w:hyperlink>
      <w:r w:rsidR="002667DD" w:rsidRPr="009C7EA6">
        <w:rPr>
          <w:color w:val="auto"/>
          <w:sz w:val="22"/>
          <w:szCs w:val="22"/>
        </w:rPr>
        <w:tab/>
      </w:r>
      <w:r w:rsidR="00D853A2">
        <w:rPr>
          <w:color w:val="auto"/>
          <w:sz w:val="22"/>
          <w:szCs w:val="22"/>
        </w:rPr>
        <w:t>24</w:t>
      </w:r>
    </w:p>
    <w:p w14:paraId="3D7EF3CA" w14:textId="77777777" w:rsidR="002667DD" w:rsidRPr="009C7EA6" w:rsidRDefault="002667DD" w:rsidP="002667DD">
      <w:pPr>
        <w:tabs>
          <w:tab w:val="right" w:pos="8820"/>
        </w:tabs>
        <w:rPr>
          <w:color w:val="auto"/>
          <w:sz w:val="22"/>
          <w:szCs w:val="22"/>
        </w:rPr>
      </w:pPr>
    </w:p>
    <w:p w14:paraId="4A5B59C9" w14:textId="5F221789" w:rsidR="002667DD" w:rsidRPr="009C7EA6" w:rsidRDefault="009F2BA5" w:rsidP="002667DD">
      <w:pPr>
        <w:tabs>
          <w:tab w:val="right" w:pos="8820"/>
        </w:tabs>
        <w:rPr>
          <w:color w:val="auto"/>
          <w:sz w:val="22"/>
          <w:szCs w:val="22"/>
        </w:rPr>
      </w:pPr>
      <w:hyperlink w:anchor="AccountabilityReport" w:history="1">
        <w:r w:rsidR="002667DD" w:rsidRPr="009C7EA6">
          <w:rPr>
            <w:rStyle w:val="Hyperlink"/>
            <w:b/>
            <w:color w:val="auto"/>
            <w:sz w:val="22"/>
            <w:szCs w:val="22"/>
          </w:rPr>
          <w:t>Accountability Report</w:t>
        </w:r>
      </w:hyperlink>
      <w:r w:rsidR="002667DD" w:rsidRPr="009C7EA6">
        <w:rPr>
          <w:color w:val="auto"/>
          <w:sz w:val="22"/>
          <w:szCs w:val="22"/>
        </w:rPr>
        <w:tab/>
      </w:r>
      <w:r w:rsidR="00D853A2">
        <w:rPr>
          <w:color w:val="auto"/>
          <w:sz w:val="22"/>
          <w:szCs w:val="22"/>
        </w:rPr>
        <w:t>26</w:t>
      </w:r>
    </w:p>
    <w:p w14:paraId="2D903FD9" w14:textId="77777777" w:rsidR="002667DD" w:rsidRPr="009C7EA6" w:rsidRDefault="002667DD" w:rsidP="002667DD">
      <w:pPr>
        <w:tabs>
          <w:tab w:val="right" w:pos="8820"/>
        </w:tabs>
        <w:rPr>
          <w:color w:val="auto"/>
          <w:sz w:val="22"/>
          <w:szCs w:val="22"/>
        </w:rPr>
      </w:pPr>
    </w:p>
    <w:p w14:paraId="11EE3AC8" w14:textId="590E4038" w:rsidR="002667DD" w:rsidRPr="009C7EA6" w:rsidRDefault="009F2BA5" w:rsidP="002667DD">
      <w:pPr>
        <w:pStyle w:val="ListParagraph"/>
        <w:numPr>
          <w:ilvl w:val="0"/>
          <w:numId w:val="9"/>
        </w:numPr>
        <w:tabs>
          <w:tab w:val="right" w:pos="8820"/>
        </w:tabs>
        <w:rPr>
          <w:color w:val="auto"/>
          <w:sz w:val="22"/>
          <w:szCs w:val="22"/>
        </w:rPr>
      </w:pPr>
      <w:hyperlink w:anchor="CorporateGovernanceReport" w:history="1">
        <w:r w:rsidR="002667DD" w:rsidRPr="009C7EA6">
          <w:rPr>
            <w:rStyle w:val="Hyperlink"/>
            <w:b/>
            <w:color w:val="auto"/>
            <w:sz w:val="22"/>
            <w:szCs w:val="22"/>
          </w:rPr>
          <w:t>Corporate Governance Report</w:t>
        </w:r>
      </w:hyperlink>
      <w:r w:rsidR="002667DD" w:rsidRPr="009C7EA6">
        <w:rPr>
          <w:color w:val="auto"/>
          <w:sz w:val="22"/>
          <w:szCs w:val="22"/>
        </w:rPr>
        <w:tab/>
      </w:r>
      <w:r w:rsidR="00D853A2">
        <w:rPr>
          <w:color w:val="auto"/>
          <w:sz w:val="22"/>
          <w:szCs w:val="22"/>
        </w:rPr>
        <w:t>26</w:t>
      </w:r>
    </w:p>
    <w:p w14:paraId="7B51C10D" w14:textId="2DC46A08" w:rsidR="002667DD" w:rsidRPr="0045027A" w:rsidRDefault="009F2BA5" w:rsidP="002667DD">
      <w:pPr>
        <w:pStyle w:val="ListParagraph"/>
        <w:numPr>
          <w:ilvl w:val="1"/>
          <w:numId w:val="9"/>
        </w:numPr>
        <w:tabs>
          <w:tab w:val="right" w:pos="8820"/>
        </w:tabs>
        <w:rPr>
          <w:color w:val="auto"/>
          <w:sz w:val="20"/>
          <w:szCs w:val="20"/>
        </w:rPr>
      </w:pPr>
      <w:hyperlink w:anchor="DirectorsReport" w:history="1">
        <w:r w:rsidR="002667DD" w:rsidRPr="0045027A">
          <w:rPr>
            <w:rStyle w:val="Hyperlink"/>
            <w:color w:val="auto"/>
            <w:sz w:val="20"/>
            <w:szCs w:val="20"/>
          </w:rPr>
          <w:t>Director’s Report</w:t>
        </w:r>
      </w:hyperlink>
      <w:r w:rsidR="002667DD">
        <w:rPr>
          <w:color w:val="auto"/>
          <w:sz w:val="20"/>
          <w:szCs w:val="20"/>
        </w:rPr>
        <w:tab/>
      </w:r>
      <w:r w:rsidR="00D853A2">
        <w:rPr>
          <w:color w:val="auto"/>
          <w:sz w:val="20"/>
          <w:szCs w:val="20"/>
        </w:rPr>
        <w:t>26</w:t>
      </w:r>
    </w:p>
    <w:p w14:paraId="0A680AFC" w14:textId="1C12E6ED" w:rsidR="002667DD" w:rsidRPr="0045027A" w:rsidRDefault="009F2BA5" w:rsidP="002667DD">
      <w:pPr>
        <w:pStyle w:val="ListParagraph"/>
        <w:numPr>
          <w:ilvl w:val="1"/>
          <w:numId w:val="9"/>
        </w:numPr>
        <w:tabs>
          <w:tab w:val="right" w:pos="8820"/>
        </w:tabs>
        <w:rPr>
          <w:color w:val="auto"/>
          <w:sz w:val="20"/>
          <w:szCs w:val="20"/>
        </w:rPr>
      </w:pPr>
      <w:hyperlink w:anchor="StatementofAccountingOfficer" w:history="1">
        <w:r w:rsidR="002667DD" w:rsidRPr="0045027A">
          <w:rPr>
            <w:rStyle w:val="Hyperlink"/>
            <w:color w:val="auto"/>
            <w:sz w:val="20"/>
            <w:szCs w:val="20"/>
          </w:rPr>
          <w:t>Statement of Accounting Officer’s Responsibilities</w:t>
        </w:r>
      </w:hyperlink>
      <w:r w:rsidR="002667DD">
        <w:rPr>
          <w:color w:val="auto"/>
          <w:sz w:val="20"/>
          <w:szCs w:val="20"/>
        </w:rPr>
        <w:tab/>
      </w:r>
      <w:r w:rsidR="00320CF6">
        <w:rPr>
          <w:color w:val="auto"/>
          <w:sz w:val="20"/>
          <w:szCs w:val="20"/>
        </w:rPr>
        <w:t>30</w:t>
      </w:r>
    </w:p>
    <w:p w14:paraId="547A1161" w14:textId="35EB4926" w:rsidR="002667DD" w:rsidRPr="008C73A2" w:rsidRDefault="009F2BA5" w:rsidP="002667DD">
      <w:pPr>
        <w:pStyle w:val="ListParagraph"/>
        <w:numPr>
          <w:ilvl w:val="1"/>
          <w:numId w:val="9"/>
        </w:numPr>
        <w:tabs>
          <w:tab w:val="right" w:pos="8820"/>
        </w:tabs>
        <w:rPr>
          <w:color w:val="auto"/>
          <w:sz w:val="20"/>
          <w:szCs w:val="20"/>
        </w:rPr>
      </w:pPr>
      <w:hyperlink w:anchor="GovernanceStatement" w:history="1">
        <w:r w:rsidR="002667DD" w:rsidRPr="0045027A">
          <w:rPr>
            <w:rStyle w:val="Hyperlink"/>
            <w:color w:val="auto"/>
            <w:sz w:val="20"/>
            <w:szCs w:val="20"/>
          </w:rPr>
          <w:t>Governance Statement</w:t>
        </w:r>
      </w:hyperlink>
      <w:r w:rsidR="002667DD">
        <w:rPr>
          <w:color w:val="auto"/>
          <w:sz w:val="22"/>
          <w:szCs w:val="22"/>
        </w:rPr>
        <w:tab/>
      </w:r>
      <w:r w:rsidR="00320CF6">
        <w:rPr>
          <w:color w:val="auto"/>
          <w:sz w:val="20"/>
          <w:szCs w:val="20"/>
        </w:rPr>
        <w:t>31</w:t>
      </w:r>
    </w:p>
    <w:p w14:paraId="69F99A0A" w14:textId="77777777" w:rsidR="002667DD" w:rsidRPr="009C7EA6" w:rsidRDefault="002667DD" w:rsidP="002667DD">
      <w:pPr>
        <w:tabs>
          <w:tab w:val="right" w:pos="8820"/>
        </w:tabs>
        <w:rPr>
          <w:color w:val="auto"/>
          <w:sz w:val="22"/>
          <w:szCs w:val="22"/>
        </w:rPr>
      </w:pPr>
    </w:p>
    <w:p w14:paraId="27976FBD" w14:textId="60736299" w:rsidR="002667DD" w:rsidRPr="009C7EA6" w:rsidRDefault="009F2BA5" w:rsidP="002667DD">
      <w:pPr>
        <w:pStyle w:val="ListParagraph"/>
        <w:numPr>
          <w:ilvl w:val="0"/>
          <w:numId w:val="9"/>
        </w:numPr>
        <w:tabs>
          <w:tab w:val="right" w:pos="8820"/>
        </w:tabs>
        <w:rPr>
          <w:color w:val="auto"/>
          <w:sz w:val="22"/>
          <w:szCs w:val="22"/>
        </w:rPr>
      </w:pPr>
      <w:hyperlink w:anchor="RemunerationandStaffReport" w:history="1">
        <w:r w:rsidR="002667DD" w:rsidRPr="009C7EA6">
          <w:rPr>
            <w:rStyle w:val="Hyperlink"/>
            <w:b/>
            <w:color w:val="auto"/>
            <w:sz w:val="22"/>
            <w:szCs w:val="22"/>
          </w:rPr>
          <w:t>Remuneration and Staff Report</w:t>
        </w:r>
      </w:hyperlink>
      <w:r w:rsidR="002667DD">
        <w:rPr>
          <w:color w:val="auto"/>
          <w:sz w:val="22"/>
          <w:szCs w:val="22"/>
        </w:rPr>
        <w:tab/>
      </w:r>
      <w:r w:rsidR="00320CF6">
        <w:rPr>
          <w:color w:val="auto"/>
          <w:sz w:val="22"/>
          <w:szCs w:val="22"/>
        </w:rPr>
        <w:t>40</w:t>
      </w:r>
    </w:p>
    <w:p w14:paraId="77A67408" w14:textId="3710697F" w:rsidR="002667DD" w:rsidRPr="0045027A" w:rsidRDefault="009F2BA5" w:rsidP="002667DD">
      <w:pPr>
        <w:pStyle w:val="ListParagraph"/>
        <w:numPr>
          <w:ilvl w:val="1"/>
          <w:numId w:val="9"/>
        </w:numPr>
        <w:tabs>
          <w:tab w:val="right" w:pos="8820"/>
        </w:tabs>
        <w:rPr>
          <w:color w:val="auto"/>
          <w:sz w:val="20"/>
          <w:szCs w:val="20"/>
        </w:rPr>
      </w:pPr>
      <w:hyperlink w:anchor="RemunerationPolicy" w:history="1">
        <w:r w:rsidR="002667DD" w:rsidRPr="0045027A">
          <w:rPr>
            <w:rStyle w:val="Hyperlink"/>
            <w:color w:val="auto"/>
            <w:sz w:val="20"/>
            <w:szCs w:val="20"/>
          </w:rPr>
          <w:t>Remuneration Policy</w:t>
        </w:r>
      </w:hyperlink>
      <w:r w:rsidR="002667DD">
        <w:rPr>
          <w:color w:val="auto"/>
          <w:sz w:val="20"/>
          <w:szCs w:val="20"/>
        </w:rPr>
        <w:tab/>
      </w:r>
      <w:r w:rsidR="00320CF6">
        <w:rPr>
          <w:color w:val="auto"/>
          <w:sz w:val="20"/>
          <w:szCs w:val="20"/>
        </w:rPr>
        <w:t>40</w:t>
      </w:r>
    </w:p>
    <w:p w14:paraId="47BE56F5" w14:textId="780C522D" w:rsidR="002667DD" w:rsidRPr="0045027A" w:rsidRDefault="009F2BA5" w:rsidP="002667DD">
      <w:pPr>
        <w:pStyle w:val="ListParagraph"/>
        <w:numPr>
          <w:ilvl w:val="1"/>
          <w:numId w:val="9"/>
        </w:numPr>
        <w:tabs>
          <w:tab w:val="right" w:pos="8820"/>
        </w:tabs>
        <w:rPr>
          <w:color w:val="auto"/>
          <w:sz w:val="20"/>
          <w:szCs w:val="20"/>
        </w:rPr>
      </w:pPr>
      <w:hyperlink w:anchor="RemunerationandPensionEntitlements" w:history="1">
        <w:r w:rsidR="002667DD" w:rsidRPr="0045027A">
          <w:rPr>
            <w:rStyle w:val="Hyperlink"/>
            <w:color w:val="auto"/>
            <w:sz w:val="20"/>
            <w:szCs w:val="20"/>
          </w:rPr>
          <w:t>Remuneration and Pension Entitlements</w:t>
        </w:r>
      </w:hyperlink>
      <w:r w:rsidR="002667DD">
        <w:rPr>
          <w:color w:val="auto"/>
          <w:sz w:val="20"/>
          <w:szCs w:val="20"/>
        </w:rPr>
        <w:tab/>
      </w:r>
      <w:r w:rsidR="00320CF6">
        <w:rPr>
          <w:color w:val="auto"/>
          <w:sz w:val="20"/>
          <w:szCs w:val="20"/>
        </w:rPr>
        <w:t>41</w:t>
      </w:r>
    </w:p>
    <w:p w14:paraId="6C1ADF2D" w14:textId="44453C7B" w:rsidR="002667DD" w:rsidRPr="009C7EA6" w:rsidRDefault="009F2BA5" w:rsidP="002667DD">
      <w:pPr>
        <w:pStyle w:val="ListParagraph"/>
        <w:numPr>
          <w:ilvl w:val="1"/>
          <w:numId w:val="9"/>
        </w:numPr>
        <w:tabs>
          <w:tab w:val="right" w:pos="8820"/>
        </w:tabs>
        <w:rPr>
          <w:color w:val="auto"/>
          <w:sz w:val="22"/>
          <w:szCs w:val="22"/>
        </w:rPr>
      </w:pPr>
      <w:hyperlink w:anchor="StaffReport" w:history="1">
        <w:r w:rsidR="002667DD" w:rsidRPr="0045027A">
          <w:rPr>
            <w:rStyle w:val="Hyperlink"/>
            <w:color w:val="auto"/>
            <w:sz w:val="20"/>
            <w:szCs w:val="20"/>
          </w:rPr>
          <w:t>Staff Report</w:t>
        </w:r>
      </w:hyperlink>
      <w:r w:rsidR="002667DD">
        <w:rPr>
          <w:color w:val="auto"/>
          <w:sz w:val="22"/>
          <w:szCs w:val="22"/>
        </w:rPr>
        <w:tab/>
      </w:r>
      <w:r w:rsidR="00320CF6">
        <w:rPr>
          <w:color w:val="auto"/>
          <w:sz w:val="20"/>
          <w:szCs w:val="20"/>
        </w:rPr>
        <w:t>49</w:t>
      </w:r>
    </w:p>
    <w:p w14:paraId="5DF0A9F2" w14:textId="77777777" w:rsidR="002667DD" w:rsidRPr="009C7EA6" w:rsidRDefault="002667DD" w:rsidP="002667DD">
      <w:pPr>
        <w:tabs>
          <w:tab w:val="right" w:pos="8820"/>
        </w:tabs>
        <w:rPr>
          <w:color w:val="auto"/>
          <w:sz w:val="22"/>
          <w:szCs w:val="22"/>
        </w:rPr>
      </w:pPr>
    </w:p>
    <w:p w14:paraId="74B498A1" w14:textId="7FED0332" w:rsidR="002667DD" w:rsidRPr="009C7EA6" w:rsidRDefault="009F2BA5" w:rsidP="002667DD">
      <w:pPr>
        <w:pStyle w:val="ListParagraph"/>
        <w:numPr>
          <w:ilvl w:val="0"/>
          <w:numId w:val="11"/>
        </w:numPr>
        <w:tabs>
          <w:tab w:val="right" w:pos="8820"/>
        </w:tabs>
        <w:rPr>
          <w:b/>
          <w:color w:val="auto"/>
          <w:sz w:val="22"/>
          <w:szCs w:val="22"/>
        </w:rPr>
      </w:pPr>
      <w:hyperlink w:anchor="ParliamentaryAccountability" w:history="1">
        <w:r w:rsidR="002667DD" w:rsidRPr="009C7EA6">
          <w:rPr>
            <w:rStyle w:val="Hyperlink"/>
            <w:b/>
            <w:color w:val="auto"/>
            <w:sz w:val="22"/>
            <w:szCs w:val="22"/>
          </w:rPr>
          <w:t>Parliamentary Accountability and Audit Report</w:t>
        </w:r>
      </w:hyperlink>
      <w:r w:rsidR="002667DD" w:rsidRPr="009C7EA6">
        <w:rPr>
          <w:color w:val="auto"/>
          <w:sz w:val="22"/>
          <w:szCs w:val="22"/>
        </w:rPr>
        <w:tab/>
      </w:r>
      <w:r w:rsidR="00320CF6">
        <w:rPr>
          <w:color w:val="auto"/>
          <w:sz w:val="22"/>
          <w:szCs w:val="22"/>
        </w:rPr>
        <w:t>53</w:t>
      </w:r>
    </w:p>
    <w:p w14:paraId="4F505205" w14:textId="381A8C43" w:rsidR="002667DD" w:rsidRPr="009C7EA6" w:rsidRDefault="009F2BA5" w:rsidP="002667DD">
      <w:pPr>
        <w:pStyle w:val="ListParagraph"/>
        <w:numPr>
          <w:ilvl w:val="1"/>
          <w:numId w:val="11"/>
        </w:numPr>
        <w:tabs>
          <w:tab w:val="right" w:pos="8820"/>
        </w:tabs>
        <w:rPr>
          <w:b/>
          <w:color w:val="auto"/>
          <w:sz w:val="22"/>
          <w:szCs w:val="22"/>
        </w:rPr>
      </w:pPr>
      <w:hyperlink w:anchor="CertificateoftheComptroller" w:history="1">
        <w:r w:rsidR="002667DD" w:rsidRPr="0045027A">
          <w:rPr>
            <w:rStyle w:val="Hyperlink"/>
            <w:color w:val="auto"/>
            <w:sz w:val="20"/>
            <w:szCs w:val="20"/>
          </w:rPr>
          <w:t>Certificate and Report of the Comptroller and Auditor General</w:t>
        </w:r>
      </w:hyperlink>
      <w:r w:rsidR="002667DD" w:rsidRPr="009C7EA6">
        <w:rPr>
          <w:color w:val="auto"/>
          <w:sz w:val="22"/>
          <w:szCs w:val="22"/>
        </w:rPr>
        <w:tab/>
      </w:r>
      <w:r w:rsidR="00320CF6">
        <w:rPr>
          <w:color w:val="auto"/>
          <w:sz w:val="20"/>
          <w:szCs w:val="20"/>
        </w:rPr>
        <w:t>55</w:t>
      </w:r>
    </w:p>
    <w:p w14:paraId="57677BA2" w14:textId="77777777" w:rsidR="002667DD" w:rsidRPr="009C7EA6" w:rsidRDefault="002667DD" w:rsidP="002667DD">
      <w:pPr>
        <w:tabs>
          <w:tab w:val="right" w:pos="8820"/>
        </w:tabs>
        <w:rPr>
          <w:b/>
          <w:color w:val="auto"/>
          <w:sz w:val="22"/>
          <w:szCs w:val="22"/>
        </w:rPr>
      </w:pPr>
    </w:p>
    <w:p w14:paraId="37FECC52" w14:textId="3DEE1ED6" w:rsidR="002667DD" w:rsidRPr="009C7EA6" w:rsidRDefault="009F2BA5" w:rsidP="002667DD">
      <w:pPr>
        <w:tabs>
          <w:tab w:val="right" w:pos="8820"/>
        </w:tabs>
        <w:rPr>
          <w:color w:val="auto"/>
          <w:sz w:val="22"/>
          <w:szCs w:val="22"/>
        </w:rPr>
      </w:pPr>
      <w:hyperlink w:anchor="FinancialStatements" w:history="1">
        <w:r w:rsidR="002667DD" w:rsidRPr="009C7EA6">
          <w:rPr>
            <w:rStyle w:val="Hyperlink"/>
            <w:b/>
            <w:color w:val="auto"/>
            <w:sz w:val="22"/>
            <w:szCs w:val="22"/>
          </w:rPr>
          <w:t>Financial Statements</w:t>
        </w:r>
      </w:hyperlink>
      <w:r w:rsidR="002667DD" w:rsidRPr="009C7EA6">
        <w:rPr>
          <w:b/>
          <w:color w:val="auto"/>
          <w:sz w:val="22"/>
          <w:szCs w:val="22"/>
        </w:rPr>
        <w:tab/>
      </w:r>
      <w:r w:rsidR="00320CF6">
        <w:rPr>
          <w:color w:val="auto"/>
          <w:sz w:val="22"/>
          <w:szCs w:val="22"/>
        </w:rPr>
        <w:t>62</w:t>
      </w:r>
    </w:p>
    <w:p w14:paraId="44F130CB" w14:textId="77777777" w:rsidR="002667DD" w:rsidRPr="009C7EA6" w:rsidRDefault="002667DD" w:rsidP="002667DD">
      <w:pPr>
        <w:tabs>
          <w:tab w:val="right" w:pos="8820"/>
        </w:tabs>
        <w:rPr>
          <w:color w:val="auto"/>
          <w:sz w:val="22"/>
          <w:szCs w:val="22"/>
        </w:rPr>
      </w:pPr>
    </w:p>
    <w:p w14:paraId="73E9AEC4" w14:textId="7C2F0013" w:rsidR="002667DD" w:rsidRPr="009C7EA6" w:rsidRDefault="009F2BA5" w:rsidP="002667DD">
      <w:pPr>
        <w:pStyle w:val="ListParagraph"/>
        <w:numPr>
          <w:ilvl w:val="0"/>
          <w:numId w:val="11"/>
        </w:numPr>
        <w:tabs>
          <w:tab w:val="right" w:pos="8820"/>
        </w:tabs>
        <w:rPr>
          <w:color w:val="auto"/>
          <w:sz w:val="22"/>
          <w:szCs w:val="22"/>
        </w:rPr>
      </w:pPr>
      <w:hyperlink w:anchor="StatementofComprehensiveNetExpenditure" w:history="1">
        <w:r w:rsidR="002667DD" w:rsidRPr="009C7EA6">
          <w:rPr>
            <w:rStyle w:val="Hyperlink"/>
            <w:b/>
            <w:color w:val="auto"/>
            <w:sz w:val="22"/>
            <w:szCs w:val="22"/>
          </w:rPr>
          <w:t>Statement of Comprehensive Net Expenditure</w:t>
        </w:r>
      </w:hyperlink>
      <w:r w:rsidR="002667DD" w:rsidRPr="009C7EA6">
        <w:rPr>
          <w:b/>
          <w:color w:val="auto"/>
          <w:sz w:val="22"/>
          <w:szCs w:val="22"/>
        </w:rPr>
        <w:tab/>
      </w:r>
      <w:r w:rsidR="00320CF6">
        <w:rPr>
          <w:color w:val="auto"/>
          <w:sz w:val="22"/>
          <w:szCs w:val="22"/>
        </w:rPr>
        <w:t>62</w:t>
      </w:r>
      <w:r w:rsidR="002667DD" w:rsidRPr="009C7EA6">
        <w:rPr>
          <w:color w:val="auto"/>
          <w:sz w:val="22"/>
          <w:szCs w:val="22"/>
        </w:rPr>
        <w:br/>
      </w:r>
    </w:p>
    <w:p w14:paraId="66E278EE" w14:textId="351DBABF" w:rsidR="002667DD" w:rsidRPr="009C7EA6" w:rsidRDefault="009F2BA5" w:rsidP="002667DD">
      <w:pPr>
        <w:pStyle w:val="ListParagraph"/>
        <w:numPr>
          <w:ilvl w:val="0"/>
          <w:numId w:val="11"/>
        </w:numPr>
        <w:tabs>
          <w:tab w:val="right" w:pos="8820"/>
        </w:tabs>
        <w:rPr>
          <w:color w:val="auto"/>
          <w:sz w:val="22"/>
          <w:szCs w:val="22"/>
        </w:rPr>
      </w:pPr>
      <w:hyperlink w:anchor="StatementofFinancialPosition" w:history="1">
        <w:r w:rsidR="002667DD" w:rsidRPr="009C7EA6">
          <w:rPr>
            <w:rStyle w:val="Hyperlink"/>
            <w:b/>
            <w:color w:val="auto"/>
            <w:sz w:val="22"/>
            <w:szCs w:val="22"/>
          </w:rPr>
          <w:t>Statement of Financial Position</w:t>
        </w:r>
      </w:hyperlink>
      <w:r w:rsidR="002667DD" w:rsidRPr="009C7EA6">
        <w:rPr>
          <w:b/>
          <w:color w:val="auto"/>
          <w:sz w:val="22"/>
          <w:szCs w:val="22"/>
        </w:rPr>
        <w:tab/>
      </w:r>
      <w:r w:rsidR="00320CF6">
        <w:rPr>
          <w:color w:val="auto"/>
          <w:sz w:val="22"/>
          <w:szCs w:val="22"/>
        </w:rPr>
        <w:t>63</w:t>
      </w:r>
      <w:r w:rsidR="002667DD" w:rsidRPr="009C7EA6">
        <w:rPr>
          <w:color w:val="auto"/>
          <w:sz w:val="22"/>
          <w:szCs w:val="22"/>
        </w:rPr>
        <w:br/>
      </w:r>
    </w:p>
    <w:p w14:paraId="194639AD" w14:textId="55C00A38" w:rsidR="002667DD" w:rsidRPr="009C7EA6" w:rsidRDefault="009F2BA5" w:rsidP="002667DD">
      <w:pPr>
        <w:pStyle w:val="ListParagraph"/>
        <w:numPr>
          <w:ilvl w:val="0"/>
          <w:numId w:val="11"/>
        </w:numPr>
        <w:tabs>
          <w:tab w:val="right" w:pos="8820"/>
        </w:tabs>
        <w:rPr>
          <w:color w:val="auto"/>
          <w:sz w:val="22"/>
          <w:szCs w:val="22"/>
        </w:rPr>
      </w:pPr>
      <w:hyperlink w:anchor="StatementofCashFlows" w:history="1">
        <w:r w:rsidR="002667DD" w:rsidRPr="009C7EA6">
          <w:rPr>
            <w:rStyle w:val="Hyperlink"/>
            <w:b/>
            <w:color w:val="auto"/>
            <w:sz w:val="22"/>
            <w:szCs w:val="22"/>
          </w:rPr>
          <w:t>Statement of Cash Flows</w:t>
        </w:r>
      </w:hyperlink>
      <w:r w:rsidR="002667DD" w:rsidRPr="009C7EA6">
        <w:rPr>
          <w:b/>
          <w:color w:val="auto"/>
          <w:sz w:val="22"/>
          <w:szCs w:val="22"/>
        </w:rPr>
        <w:tab/>
      </w:r>
      <w:r w:rsidR="00320CF6">
        <w:rPr>
          <w:color w:val="auto"/>
          <w:sz w:val="22"/>
          <w:szCs w:val="22"/>
        </w:rPr>
        <w:t>64</w:t>
      </w:r>
      <w:r w:rsidR="002667DD" w:rsidRPr="009C7EA6">
        <w:rPr>
          <w:color w:val="auto"/>
          <w:sz w:val="22"/>
          <w:szCs w:val="22"/>
        </w:rPr>
        <w:br/>
      </w:r>
    </w:p>
    <w:p w14:paraId="361F54F3" w14:textId="6B85FDCA" w:rsidR="002667DD" w:rsidRPr="009C7EA6" w:rsidRDefault="009F2BA5" w:rsidP="002667DD">
      <w:pPr>
        <w:pStyle w:val="ListParagraph"/>
        <w:numPr>
          <w:ilvl w:val="0"/>
          <w:numId w:val="11"/>
        </w:numPr>
        <w:tabs>
          <w:tab w:val="right" w:pos="8820"/>
        </w:tabs>
        <w:rPr>
          <w:color w:val="auto"/>
          <w:sz w:val="22"/>
          <w:szCs w:val="22"/>
        </w:rPr>
      </w:pPr>
      <w:hyperlink w:anchor="StatementofChangesinEquity" w:history="1">
        <w:r w:rsidR="002667DD" w:rsidRPr="009C7EA6">
          <w:rPr>
            <w:rStyle w:val="Hyperlink"/>
            <w:b/>
            <w:color w:val="auto"/>
            <w:sz w:val="22"/>
            <w:szCs w:val="22"/>
          </w:rPr>
          <w:t>Statement of Change</w:t>
        </w:r>
        <w:r w:rsidR="002667DD">
          <w:rPr>
            <w:rStyle w:val="Hyperlink"/>
            <w:b/>
            <w:color w:val="auto"/>
            <w:sz w:val="22"/>
            <w:szCs w:val="22"/>
          </w:rPr>
          <w:t>s</w:t>
        </w:r>
        <w:r w:rsidR="002667DD" w:rsidRPr="009C7EA6">
          <w:rPr>
            <w:rStyle w:val="Hyperlink"/>
            <w:b/>
            <w:color w:val="auto"/>
            <w:sz w:val="22"/>
            <w:szCs w:val="22"/>
          </w:rPr>
          <w:t xml:space="preserve"> in </w:t>
        </w:r>
        <w:r w:rsidR="002667DD">
          <w:rPr>
            <w:rStyle w:val="Hyperlink"/>
            <w:b/>
            <w:color w:val="auto"/>
            <w:sz w:val="22"/>
            <w:szCs w:val="22"/>
          </w:rPr>
          <w:t xml:space="preserve">Taxpayers’ </w:t>
        </w:r>
        <w:r w:rsidR="002667DD" w:rsidRPr="009C7EA6">
          <w:rPr>
            <w:rStyle w:val="Hyperlink"/>
            <w:b/>
            <w:color w:val="auto"/>
            <w:sz w:val="22"/>
            <w:szCs w:val="22"/>
          </w:rPr>
          <w:t>Equity</w:t>
        </w:r>
      </w:hyperlink>
      <w:r w:rsidR="002667DD" w:rsidRPr="009C7EA6">
        <w:rPr>
          <w:b/>
          <w:color w:val="auto"/>
          <w:sz w:val="22"/>
          <w:szCs w:val="22"/>
        </w:rPr>
        <w:tab/>
      </w:r>
      <w:r w:rsidR="00320CF6">
        <w:rPr>
          <w:color w:val="auto"/>
          <w:sz w:val="22"/>
          <w:szCs w:val="22"/>
        </w:rPr>
        <w:t>65</w:t>
      </w:r>
      <w:r w:rsidR="002667DD" w:rsidRPr="009C7EA6">
        <w:rPr>
          <w:color w:val="auto"/>
          <w:sz w:val="22"/>
          <w:szCs w:val="22"/>
        </w:rPr>
        <w:br/>
      </w:r>
    </w:p>
    <w:p w14:paraId="6B0AC378" w14:textId="621F3E8B" w:rsidR="002667DD" w:rsidRPr="008244B9" w:rsidRDefault="009F2BA5" w:rsidP="002667DD">
      <w:pPr>
        <w:pStyle w:val="ListParagraph"/>
        <w:numPr>
          <w:ilvl w:val="0"/>
          <w:numId w:val="11"/>
        </w:numPr>
        <w:tabs>
          <w:tab w:val="right" w:pos="8820"/>
        </w:tabs>
        <w:rPr>
          <w:sz w:val="22"/>
          <w:szCs w:val="22"/>
        </w:rPr>
      </w:pPr>
      <w:hyperlink w:anchor="NotesToTheAccounts" w:history="1">
        <w:r w:rsidR="002667DD" w:rsidRPr="009C7EA6">
          <w:rPr>
            <w:rStyle w:val="Hyperlink"/>
            <w:b/>
            <w:color w:val="auto"/>
            <w:sz w:val="22"/>
            <w:szCs w:val="22"/>
          </w:rPr>
          <w:t xml:space="preserve">Notes to the </w:t>
        </w:r>
        <w:r w:rsidR="002667DD">
          <w:rPr>
            <w:rStyle w:val="Hyperlink"/>
            <w:b/>
            <w:color w:val="auto"/>
            <w:sz w:val="22"/>
            <w:szCs w:val="22"/>
          </w:rPr>
          <w:t>Financial</w:t>
        </w:r>
      </w:hyperlink>
      <w:r w:rsidR="002667DD">
        <w:rPr>
          <w:rStyle w:val="Hyperlink"/>
          <w:b/>
          <w:color w:val="auto"/>
          <w:sz w:val="22"/>
          <w:szCs w:val="22"/>
        </w:rPr>
        <w:t xml:space="preserve"> Statements</w:t>
      </w:r>
      <w:r w:rsidR="002667DD">
        <w:rPr>
          <w:b/>
          <w:sz w:val="22"/>
          <w:szCs w:val="22"/>
        </w:rPr>
        <w:tab/>
      </w:r>
      <w:r w:rsidR="00320CF6">
        <w:rPr>
          <w:sz w:val="22"/>
          <w:szCs w:val="22"/>
        </w:rPr>
        <w:t>66</w:t>
      </w:r>
    </w:p>
    <w:bookmarkEnd w:id="0"/>
    <w:p w14:paraId="16F9C097" w14:textId="77777777" w:rsidR="002667DD" w:rsidRDefault="002667DD" w:rsidP="002667DD">
      <w:pPr>
        <w:pStyle w:val="ListParagraph"/>
        <w:tabs>
          <w:tab w:val="right" w:pos="8820"/>
        </w:tabs>
        <w:rPr>
          <w:b/>
          <w:sz w:val="22"/>
          <w:szCs w:val="22"/>
        </w:rPr>
      </w:pPr>
    </w:p>
    <w:p w14:paraId="065E2D36" w14:textId="77777777" w:rsidR="002667DD" w:rsidRPr="008244B9" w:rsidRDefault="002667DD" w:rsidP="002667DD">
      <w:pPr>
        <w:pStyle w:val="ListParagraph"/>
        <w:tabs>
          <w:tab w:val="right" w:pos="8820"/>
        </w:tabs>
        <w:rPr>
          <w:sz w:val="22"/>
          <w:szCs w:val="22"/>
        </w:rPr>
      </w:pPr>
    </w:p>
    <w:p w14:paraId="65F9279D" w14:textId="77777777" w:rsidR="002667DD" w:rsidRPr="007F2DCD" w:rsidRDefault="002667DD" w:rsidP="002667DD">
      <w:pPr>
        <w:tabs>
          <w:tab w:val="right" w:pos="8820"/>
        </w:tabs>
        <w:rPr>
          <w:i/>
          <w:sz w:val="22"/>
          <w:szCs w:val="22"/>
        </w:rPr>
      </w:pPr>
    </w:p>
    <w:p w14:paraId="22719850" w14:textId="77777777" w:rsidR="002667DD" w:rsidRPr="007F2DCD" w:rsidRDefault="002667DD" w:rsidP="002667DD">
      <w:pPr>
        <w:tabs>
          <w:tab w:val="right" w:pos="8820"/>
        </w:tabs>
        <w:rPr>
          <w:i/>
          <w:sz w:val="22"/>
          <w:szCs w:val="22"/>
        </w:rPr>
      </w:pPr>
    </w:p>
    <w:p w14:paraId="7AED0C93" w14:textId="77777777" w:rsidR="002667DD" w:rsidRPr="007F2DCD" w:rsidRDefault="002667DD" w:rsidP="002667DD">
      <w:pPr>
        <w:tabs>
          <w:tab w:val="right" w:pos="8820"/>
        </w:tabs>
        <w:rPr>
          <w:i/>
          <w:sz w:val="22"/>
          <w:szCs w:val="22"/>
        </w:rPr>
      </w:pPr>
    </w:p>
    <w:p w14:paraId="73086999" w14:textId="77777777" w:rsidR="002667DD" w:rsidRPr="007F2DCD" w:rsidRDefault="002667DD" w:rsidP="002667DD">
      <w:pPr>
        <w:tabs>
          <w:tab w:val="right" w:pos="8820"/>
        </w:tabs>
        <w:rPr>
          <w:i/>
          <w:sz w:val="22"/>
          <w:szCs w:val="22"/>
        </w:rPr>
      </w:pPr>
    </w:p>
    <w:p w14:paraId="24C7F8B6" w14:textId="77777777" w:rsidR="002667DD" w:rsidRPr="007F2DCD" w:rsidRDefault="002667DD" w:rsidP="002667DD">
      <w:pPr>
        <w:tabs>
          <w:tab w:val="right" w:pos="8820"/>
        </w:tabs>
        <w:rPr>
          <w:i/>
          <w:sz w:val="22"/>
          <w:szCs w:val="22"/>
        </w:rPr>
      </w:pPr>
    </w:p>
    <w:p w14:paraId="269D27C6" w14:textId="77777777" w:rsidR="002667DD" w:rsidRPr="007F2DCD" w:rsidRDefault="002667DD" w:rsidP="002667DD">
      <w:pPr>
        <w:tabs>
          <w:tab w:val="right" w:pos="8820"/>
        </w:tabs>
        <w:rPr>
          <w:i/>
          <w:sz w:val="22"/>
          <w:szCs w:val="22"/>
        </w:rPr>
      </w:pPr>
    </w:p>
    <w:p w14:paraId="760B9F9B" w14:textId="77777777" w:rsidR="002667DD" w:rsidRPr="007F2DCD" w:rsidRDefault="002667DD" w:rsidP="002667DD">
      <w:pPr>
        <w:tabs>
          <w:tab w:val="right" w:pos="8820"/>
        </w:tabs>
        <w:rPr>
          <w:i/>
          <w:sz w:val="22"/>
          <w:szCs w:val="22"/>
        </w:rPr>
      </w:pPr>
    </w:p>
    <w:p w14:paraId="36F704DB" w14:textId="77777777" w:rsidR="002667DD" w:rsidRPr="007F2DCD" w:rsidRDefault="002667DD" w:rsidP="002667DD">
      <w:pPr>
        <w:tabs>
          <w:tab w:val="right" w:pos="8820"/>
        </w:tabs>
        <w:rPr>
          <w:i/>
          <w:sz w:val="22"/>
          <w:szCs w:val="22"/>
        </w:rPr>
      </w:pPr>
    </w:p>
    <w:p w14:paraId="3D820FAA" w14:textId="77777777" w:rsidR="002667DD" w:rsidRPr="007F2DCD" w:rsidRDefault="002667DD" w:rsidP="002667DD">
      <w:pPr>
        <w:tabs>
          <w:tab w:val="right" w:pos="8820"/>
        </w:tabs>
        <w:rPr>
          <w:i/>
          <w:sz w:val="22"/>
          <w:szCs w:val="22"/>
        </w:rPr>
      </w:pPr>
    </w:p>
    <w:p w14:paraId="419FB8E3" w14:textId="77777777" w:rsidR="002667DD" w:rsidRDefault="002667DD" w:rsidP="002667DD">
      <w:pPr>
        <w:tabs>
          <w:tab w:val="right" w:pos="8820"/>
        </w:tabs>
        <w:rPr>
          <w:i/>
          <w:sz w:val="22"/>
          <w:szCs w:val="22"/>
        </w:rPr>
      </w:pPr>
    </w:p>
    <w:p w14:paraId="2784A4EC" w14:textId="77777777" w:rsidR="002667DD" w:rsidRDefault="002667DD" w:rsidP="002667DD">
      <w:pPr>
        <w:tabs>
          <w:tab w:val="right" w:pos="8820"/>
        </w:tabs>
        <w:rPr>
          <w:i/>
          <w:sz w:val="22"/>
          <w:szCs w:val="22"/>
        </w:rPr>
      </w:pPr>
    </w:p>
    <w:p w14:paraId="26B7BE03" w14:textId="77777777" w:rsidR="002667DD" w:rsidRDefault="002667DD" w:rsidP="002667DD">
      <w:pPr>
        <w:tabs>
          <w:tab w:val="right" w:pos="8820"/>
        </w:tabs>
        <w:rPr>
          <w:i/>
          <w:sz w:val="22"/>
          <w:szCs w:val="22"/>
        </w:rPr>
      </w:pPr>
    </w:p>
    <w:p w14:paraId="72014F7B" w14:textId="77777777" w:rsidR="002667DD" w:rsidRDefault="002667DD" w:rsidP="002667DD">
      <w:pPr>
        <w:tabs>
          <w:tab w:val="right" w:pos="8820"/>
        </w:tabs>
        <w:rPr>
          <w:i/>
          <w:sz w:val="22"/>
          <w:szCs w:val="22"/>
        </w:rPr>
      </w:pPr>
    </w:p>
    <w:p w14:paraId="37530C15" w14:textId="77777777" w:rsidR="002667DD" w:rsidRDefault="002667DD" w:rsidP="002667DD">
      <w:pPr>
        <w:tabs>
          <w:tab w:val="right" w:pos="8820"/>
        </w:tabs>
        <w:rPr>
          <w:i/>
          <w:sz w:val="22"/>
          <w:szCs w:val="22"/>
        </w:rPr>
      </w:pPr>
    </w:p>
    <w:p w14:paraId="080358C6" w14:textId="77777777" w:rsidR="002667DD" w:rsidRDefault="002667DD" w:rsidP="002667DD">
      <w:pPr>
        <w:tabs>
          <w:tab w:val="right" w:pos="8820"/>
        </w:tabs>
        <w:rPr>
          <w:i/>
          <w:sz w:val="22"/>
          <w:szCs w:val="22"/>
        </w:rPr>
      </w:pPr>
    </w:p>
    <w:p w14:paraId="037160ED" w14:textId="77777777" w:rsidR="002667DD" w:rsidRDefault="002667DD" w:rsidP="002667DD">
      <w:pPr>
        <w:tabs>
          <w:tab w:val="right" w:pos="8820"/>
        </w:tabs>
        <w:rPr>
          <w:i/>
          <w:sz w:val="22"/>
          <w:szCs w:val="22"/>
        </w:rPr>
      </w:pPr>
    </w:p>
    <w:p w14:paraId="2FA01208" w14:textId="77777777" w:rsidR="002667DD" w:rsidRDefault="002667DD" w:rsidP="002667DD">
      <w:pPr>
        <w:tabs>
          <w:tab w:val="right" w:pos="8820"/>
        </w:tabs>
        <w:rPr>
          <w:i/>
          <w:sz w:val="22"/>
          <w:szCs w:val="22"/>
        </w:rPr>
      </w:pPr>
    </w:p>
    <w:p w14:paraId="2AE07DA5" w14:textId="77777777" w:rsidR="002667DD" w:rsidRDefault="002667DD" w:rsidP="002667DD">
      <w:pPr>
        <w:tabs>
          <w:tab w:val="right" w:pos="8820"/>
        </w:tabs>
        <w:rPr>
          <w:i/>
          <w:sz w:val="22"/>
          <w:szCs w:val="22"/>
        </w:rPr>
      </w:pPr>
    </w:p>
    <w:p w14:paraId="0140FA63" w14:textId="77777777" w:rsidR="002667DD" w:rsidRDefault="002667DD" w:rsidP="002667DD">
      <w:pPr>
        <w:tabs>
          <w:tab w:val="right" w:pos="8820"/>
        </w:tabs>
        <w:rPr>
          <w:i/>
          <w:sz w:val="22"/>
          <w:szCs w:val="22"/>
        </w:rPr>
      </w:pPr>
    </w:p>
    <w:p w14:paraId="34D25A78" w14:textId="77777777" w:rsidR="002667DD" w:rsidRDefault="002667DD" w:rsidP="002667DD">
      <w:pPr>
        <w:tabs>
          <w:tab w:val="right" w:pos="8820"/>
        </w:tabs>
        <w:rPr>
          <w:i/>
          <w:sz w:val="22"/>
          <w:szCs w:val="22"/>
        </w:rPr>
      </w:pPr>
    </w:p>
    <w:p w14:paraId="04E57169" w14:textId="77777777" w:rsidR="002667DD" w:rsidRDefault="002667DD" w:rsidP="002667DD">
      <w:pPr>
        <w:tabs>
          <w:tab w:val="right" w:pos="8820"/>
        </w:tabs>
        <w:rPr>
          <w:i/>
          <w:sz w:val="22"/>
          <w:szCs w:val="22"/>
        </w:rPr>
      </w:pPr>
    </w:p>
    <w:p w14:paraId="713C7084" w14:textId="77777777" w:rsidR="002667DD" w:rsidRDefault="002667DD" w:rsidP="002667DD">
      <w:pPr>
        <w:tabs>
          <w:tab w:val="right" w:pos="8820"/>
        </w:tabs>
        <w:rPr>
          <w:i/>
          <w:sz w:val="22"/>
          <w:szCs w:val="22"/>
        </w:rPr>
      </w:pPr>
    </w:p>
    <w:p w14:paraId="36B57652" w14:textId="77777777" w:rsidR="002667DD" w:rsidRDefault="002667DD" w:rsidP="002667DD">
      <w:pPr>
        <w:tabs>
          <w:tab w:val="right" w:pos="8820"/>
        </w:tabs>
        <w:rPr>
          <w:i/>
          <w:sz w:val="22"/>
          <w:szCs w:val="22"/>
        </w:rPr>
      </w:pPr>
    </w:p>
    <w:p w14:paraId="6A88FB7B" w14:textId="77777777" w:rsidR="002667DD" w:rsidRDefault="002667DD" w:rsidP="002667DD">
      <w:pPr>
        <w:tabs>
          <w:tab w:val="right" w:pos="8820"/>
        </w:tabs>
        <w:rPr>
          <w:i/>
          <w:sz w:val="22"/>
          <w:szCs w:val="22"/>
        </w:rPr>
      </w:pPr>
    </w:p>
    <w:p w14:paraId="242499C4" w14:textId="77777777" w:rsidR="002667DD" w:rsidRDefault="002667DD" w:rsidP="002667DD">
      <w:pPr>
        <w:tabs>
          <w:tab w:val="right" w:pos="8820"/>
        </w:tabs>
        <w:rPr>
          <w:i/>
          <w:sz w:val="22"/>
          <w:szCs w:val="22"/>
        </w:rPr>
      </w:pPr>
    </w:p>
    <w:p w14:paraId="2B2BC640" w14:textId="77777777" w:rsidR="002667DD" w:rsidRDefault="002667DD" w:rsidP="002667DD">
      <w:pPr>
        <w:tabs>
          <w:tab w:val="right" w:pos="8820"/>
        </w:tabs>
        <w:rPr>
          <w:i/>
          <w:sz w:val="22"/>
          <w:szCs w:val="22"/>
        </w:rPr>
      </w:pPr>
    </w:p>
    <w:p w14:paraId="49615B1E" w14:textId="77777777" w:rsidR="002667DD" w:rsidRPr="007F2DCD" w:rsidRDefault="002667DD" w:rsidP="002667DD">
      <w:pPr>
        <w:tabs>
          <w:tab w:val="right" w:pos="8820"/>
        </w:tabs>
        <w:rPr>
          <w:i/>
          <w:sz w:val="22"/>
          <w:szCs w:val="22"/>
        </w:rPr>
      </w:pPr>
    </w:p>
    <w:p w14:paraId="36F16DE2" w14:textId="77777777" w:rsidR="002667DD" w:rsidRPr="007F2DCD" w:rsidRDefault="002667DD" w:rsidP="002667DD">
      <w:pPr>
        <w:tabs>
          <w:tab w:val="right" w:pos="8820"/>
        </w:tabs>
        <w:rPr>
          <w:i/>
          <w:sz w:val="22"/>
          <w:szCs w:val="22"/>
        </w:rPr>
      </w:pPr>
    </w:p>
    <w:p w14:paraId="671144BA" w14:textId="77777777" w:rsidR="002667DD" w:rsidRPr="007F2DCD" w:rsidRDefault="002667DD" w:rsidP="002667DD">
      <w:pPr>
        <w:tabs>
          <w:tab w:val="right" w:pos="8820"/>
        </w:tabs>
        <w:rPr>
          <w:i/>
          <w:sz w:val="22"/>
          <w:szCs w:val="22"/>
        </w:rPr>
      </w:pPr>
    </w:p>
    <w:p w14:paraId="1C86744E" w14:textId="77777777" w:rsidR="002667DD" w:rsidRPr="007F2DCD" w:rsidRDefault="002667DD" w:rsidP="002667DD">
      <w:pPr>
        <w:tabs>
          <w:tab w:val="right" w:pos="8820"/>
        </w:tabs>
        <w:rPr>
          <w:i/>
          <w:sz w:val="22"/>
          <w:szCs w:val="22"/>
        </w:rPr>
      </w:pPr>
    </w:p>
    <w:p w14:paraId="6D289AEA" w14:textId="77777777" w:rsidR="002667DD" w:rsidRPr="007F2DCD" w:rsidRDefault="002667DD" w:rsidP="002667DD">
      <w:pPr>
        <w:tabs>
          <w:tab w:val="right" w:pos="8820"/>
        </w:tabs>
        <w:rPr>
          <w:i/>
          <w:sz w:val="22"/>
          <w:szCs w:val="22"/>
        </w:rPr>
      </w:pPr>
    </w:p>
    <w:p w14:paraId="49CC0742" w14:textId="77777777" w:rsidR="002667DD" w:rsidRPr="007F2DCD" w:rsidRDefault="002667DD" w:rsidP="002667DD">
      <w:pPr>
        <w:tabs>
          <w:tab w:val="right" w:pos="8820"/>
        </w:tabs>
        <w:rPr>
          <w:i/>
          <w:sz w:val="22"/>
          <w:szCs w:val="22"/>
        </w:rPr>
      </w:pPr>
    </w:p>
    <w:p w14:paraId="333F3962" w14:textId="77777777" w:rsidR="002667DD" w:rsidRPr="007F2DCD" w:rsidRDefault="002667DD" w:rsidP="002667DD">
      <w:pPr>
        <w:tabs>
          <w:tab w:val="right" w:pos="8820"/>
        </w:tabs>
        <w:rPr>
          <w:i/>
          <w:sz w:val="22"/>
          <w:szCs w:val="22"/>
        </w:rPr>
      </w:pPr>
    </w:p>
    <w:p w14:paraId="1B89263E" w14:textId="77777777" w:rsidR="002667DD" w:rsidRPr="007F2DCD" w:rsidRDefault="002667DD" w:rsidP="002667DD">
      <w:pPr>
        <w:tabs>
          <w:tab w:val="right" w:pos="8820"/>
        </w:tabs>
        <w:rPr>
          <w:i/>
          <w:sz w:val="22"/>
          <w:szCs w:val="22"/>
        </w:rPr>
      </w:pPr>
    </w:p>
    <w:p w14:paraId="778CD07E" w14:textId="77777777" w:rsidR="002667DD" w:rsidRPr="007F2DCD" w:rsidRDefault="002667DD" w:rsidP="002667DD">
      <w:pPr>
        <w:tabs>
          <w:tab w:val="right" w:pos="8820"/>
        </w:tabs>
        <w:rPr>
          <w:i/>
          <w:sz w:val="22"/>
          <w:szCs w:val="22"/>
        </w:rPr>
      </w:pPr>
    </w:p>
    <w:p w14:paraId="702765E9" w14:textId="77777777" w:rsidR="002667DD" w:rsidRPr="007F2DCD" w:rsidRDefault="002667DD" w:rsidP="002667DD">
      <w:pPr>
        <w:tabs>
          <w:tab w:val="right" w:pos="8820"/>
        </w:tabs>
        <w:autoSpaceDE w:val="0"/>
        <w:autoSpaceDN w:val="0"/>
        <w:adjustRightInd w:val="0"/>
        <w:rPr>
          <w:rFonts w:cs="ZurichBT-LightCondensed"/>
          <w:sz w:val="22"/>
          <w:szCs w:val="22"/>
          <w:lang w:val="en-US"/>
        </w:rPr>
      </w:pPr>
      <w:r w:rsidRPr="007F2DCD">
        <w:rPr>
          <w:rFonts w:cs="ZurichBT-LightCondensed"/>
          <w:sz w:val="22"/>
          <w:szCs w:val="22"/>
          <w:lang w:val="en-US"/>
        </w:rPr>
        <w:t>This document can be made available in other formats upon request.</w:t>
      </w:r>
    </w:p>
    <w:p w14:paraId="327D8A77" w14:textId="77777777" w:rsidR="002667DD" w:rsidRPr="007F2DCD" w:rsidRDefault="002667DD" w:rsidP="002667DD">
      <w:pPr>
        <w:tabs>
          <w:tab w:val="right" w:pos="8820"/>
        </w:tabs>
        <w:rPr>
          <w:sz w:val="22"/>
          <w:szCs w:val="22"/>
        </w:rPr>
      </w:pPr>
      <w:r w:rsidRPr="007F2DCD">
        <w:rPr>
          <w:rFonts w:cs="ZurichBT-LightCondensed"/>
          <w:sz w:val="22"/>
          <w:szCs w:val="22"/>
          <w:lang w:val="en-US"/>
        </w:rPr>
        <w:t xml:space="preserve">It is available for download at </w:t>
      </w:r>
      <w:r w:rsidRPr="007F2DCD">
        <w:rPr>
          <w:rFonts w:cs="ZurichBT-BoldCondensed"/>
          <w:bCs/>
          <w:i/>
          <w:sz w:val="22"/>
          <w:szCs w:val="22"/>
          <w:lang w:val="en-US"/>
        </w:rPr>
        <w:t>www.nihrc.org</w:t>
      </w:r>
      <w:r w:rsidRPr="007F2DCD">
        <w:rPr>
          <w:sz w:val="22"/>
          <w:szCs w:val="22"/>
        </w:rPr>
        <w:t xml:space="preserve"> </w:t>
      </w:r>
    </w:p>
    <w:p w14:paraId="1535C396" w14:textId="77777777" w:rsidR="002667DD" w:rsidRDefault="002667DD" w:rsidP="002667DD">
      <w:pPr>
        <w:rPr>
          <w:b/>
          <w:sz w:val="22"/>
          <w:szCs w:val="22"/>
        </w:rPr>
      </w:pPr>
      <w:r w:rsidRPr="007F2DCD">
        <w:rPr>
          <w:b/>
          <w:sz w:val="22"/>
          <w:szCs w:val="22"/>
        </w:rPr>
        <w:br w:type="page"/>
      </w:r>
    </w:p>
    <w:p w14:paraId="4A9D087D" w14:textId="77777777" w:rsidR="002667DD" w:rsidRDefault="002667DD" w:rsidP="002667DD">
      <w:pPr>
        <w:rPr>
          <w:b/>
          <w:sz w:val="22"/>
          <w:szCs w:val="22"/>
        </w:rPr>
      </w:pPr>
    </w:p>
    <w:p w14:paraId="055B89B1" w14:textId="77777777" w:rsidR="002667DD" w:rsidRDefault="002667DD" w:rsidP="002667DD">
      <w:pPr>
        <w:jc w:val="center"/>
        <w:rPr>
          <w:b/>
          <w:sz w:val="22"/>
          <w:szCs w:val="22"/>
        </w:rPr>
      </w:pPr>
      <w:r w:rsidRPr="007F2DCD">
        <w:rPr>
          <w:b/>
          <w:sz w:val="22"/>
          <w:szCs w:val="22"/>
        </w:rPr>
        <w:br w:type="page"/>
      </w:r>
    </w:p>
    <w:p w14:paraId="23BDFC75" w14:textId="77777777" w:rsidR="002667DD" w:rsidRDefault="002667DD" w:rsidP="002667DD">
      <w:pPr>
        <w:jc w:val="center"/>
        <w:rPr>
          <w:rStyle w:val="CommentReference"/>
        </w:rPr>
      </w:pPr>
      <w:r>
        <w:rPr>
          <w:rFonts w:cs="Arial"/>
          <w:b/>
          <w:color w:val="77328A"/>
          <w:sz w:val="30"/>
          <w:szCs w:val="30"/>
        </w:rPr>
        <w:lastRenderedPageBreak/>
        <w:t>Performance Report</w:t>
      </w:r>
      <w:r>
        <w:rPr>
          <w:rStyle w:val="CommentReference"/>
        </w:rPr>
        <w:t xml:space="preserve"> </w:t>
      </w:r>
    </w:p>
    <w:p w14:paraId="4A8ACDF9" w14:textId="77777777" w:rsidR="002667DD" w:rsidRPr="0045027A" w:rsidRDefault="002667DD" w:rsidP="002667DD">
      <w:pPr>
        <w:jc w:val="center"/>
        <w:rPr>
          <w:b/>
        </w:rPr>
      </w:pPr>
      <w:r>
        <w:rPr>
          <w:rFonts w:cs="Arial"/>
          <w:b/>
          <w:color w:val="77328A"/>
          <w:sz w:val="30"/>
          <w:szCs w:val="30"/>
        </w:rPr>
        <w:t>Overview</w:t>
      </w:r>
    </w:p>
    <w:p w14:paraId="4A0CAF82" w14:textId="77777777" w:rsidR="002667DD" w:rsidRPr="005049F6" w:rsidRDefault="002667DD" w:rsidP="002667DD">
      <w:pPr>
        <w:jc w:val="center"/>
        <w:rPr>
          <w:b/>
        </w:rPr>
      </w:pPr>
    </w:p>
    <w:p w14:paraId="63B5F733" w14:textId="77777777" w:rsidR="002667DD" w:rsidRDefault="002667DD" w:rsidP="002667DD">
      <w:pPr>
        <w:rPr>
          <w:rFonts w:cs="Arial"/>
          <w:b/>
          <w:color w:val="FF0000"/>
        </w:rPr>
      </w:pPr>
      <w:bookmarkStart w:id="1" w:name="ChiefCommissionersForeword"/>
      <w:r w:rsidRPr="000B2111">
        <w:rPr>
          <w:rFonts w:cs="Arial"/>
          <w:b/>
          <w:color w:val="77328A"/>
        </w:rPr>
        <w:t>Chief Commissioner’s Foreword</w:t>
      </w:r>
      <w:r>
        <w:rPr>
          <w:rFonts w:cs="Arial"/>
          <w:b/>
          <w:color w:val="77328A"/>
        </w:rPr>
        <w:t xml:space="preserve"> </w:t>
      </w:r>
    </w:p>
    <w:p w14:paraId="56D94BB9" w14:textId="77777777" w:rsidR="002667DD" w:rsidRDefault="002667DD" w:rsidP="002667DD">
      <w:pPr>
        <w:rPr>
          <w:rFonts w:cs="Arial"/>
          <w:b/>
          <w:color w:val="FF0000"/>
        </w:rPr>
      </w:pPr>
    </w:p>
    <w:p w14:paraId="1CD0F3F4" w14:textId="17AC4758" w:rsidR="0020373A" w:rsidRDefault="0020373A" w:rsidP="0020373A">
      <w:pPr>
        <w:rPr>
          <w:shd w:val="clear" w:color="auto" w:fill="FFFFFF"/>
        </w:rPr>
      </w:pPr>
      <w:r>
        <w:rPr>
          <w:shd w:val="clear" w:color="auto" w:fill="FFFFFF"/>
        </w:rPr>
        <w:t xml:space="preserve">This is the annual report and accounts for 1 April 2022 to 31 March 2023. The Commission has continued to do its work, as required by statutory functions prescribed by the Northern Ireland Act (NI) 1998. The Commission’s statutory duties have grown since its foundation, as has the complexity of the issues it faces. Unfortunately, resources have not grown commensurately. Instead, resources have diminished in real terms even further. As we have previously reported, this left the Commission unable to discharge its duties as planned. </w:t>
      </w:r>
    </w:p>
    <w:p w14:paraId="32F29F25" w14:textId="77777777" w:rsidR="0020373A" w:rsidRDefault="0020373A" w:rsidP="0020373A">
      <w:pPr>
        <w:rPr>
          <w:shd w:val="clear" w:color="auto" w:fill="FFFFFF"/>
        </w:rPr>
      </w:pPr>
    </w:p>
    <w:p w14:paraId="172B8726" w14:textId="77777777" w:rsidR="0020373A" w:rsidRDefault="0020373A" w:rsidP="0020373A">
      <w:pPr>
        <w:rPr>
          <w:shd w:val="clear" w:color="auto" w:fill="FFFFFF"/>
        </w:rPr>
      </w:pPr>
      <w:r>
        <w:rPr>
          <w:shd w:val="clear" w:color="auto" w:fill="FFFFFF"/>
        </w:rPr>
        <w:t xml:space="preserve">There have been a number of significant achievements this year including in the courts, by use of investigatory powers and through community engagement. We have also responded to a number of threats to human rights. For example, proposed legislation on legacy investigations and the so-called UK bill of rights bill (both of which undermine the universality of human rights). </w:t>
      </w:r>
    </w:p>
    <w:p w14:paraId="3F78B410" w14:textId="77777777" w:rsidR="0020373A" w:rsidRDefault="0020373A" w:rsidP="0020373A">
      <w:pPr>
        <w:rPr>
          <w:shd w:val="clear" w:color="auto" w:fill="FFFFFF"/>
        </w:rPr>
      </w:pPr>
    </w:p>
    <w:p w14:paraId="7BEC766C" w14:textId="77777777" w:rsidR="0020373A" w:rsidRDefault="0020373A" w:rsidP="0020373A">
      <w:pPr>
        <w:rPr>
          <w:shd w:val="clear" w:color="auto" w:fill="FFFFFF"/>
        </w:rPr>
      </w:pPr>
      <w:r>
        <w:rPr>
          <w:shd w:val="clear" w:color="auto" w:fill="FFFFFF"/>
        </w:rPr>
        <w:t xml:space="preserve">That has been achieved despite the reduction in our budget but without the resources, time and focus that I had hoped for. We had to reconsider the Commission’s strategic plan and business plan in response to the increasing pressures, limiting our objectives and aspirations. That must not be allowed to continue for another year – not if we are to do the job we were set up to do.   </w:t>
      </w:r>
    </w:p>
    <w:p w14:paraId="6B867AF0" w14:textId="77777777" w:rsidR="0020373A" w:rsidRDefault="0020373A" w:rsidP="0020373A">
      <w:pPr>
        <w:rPr>
          <w:shd w:val="clear" w:color="auto" w:fill="FFFFFF"/>
        </w:rPr>
      </w:pPr>
    </w:p>
    <w:p w14:paraId="39880139" w14:textId="77777777" w:rsidR="0020373A" w:rsidRDefault="0020373A" w:rsidP="0020373A">
      <w:pPr>
        <w:rPr>
          <w:shd w:val="clear" w:color="auto" w:fill="FFFFFF"/>
        </w:rPr>
      </w:pPr>
      <w:r>
        <w:rPr>
          <w:shd w:val="clear" w:color="auto" w:fill="FFFFFF"/>
        </w:rPr>
        <w:t xml:space="preserve">In my first full year as Chief Commissioner, I was disappointed by the ongoing delay experienced in resolving our precarious resourcing situation. The issue remains one which will weaken the Commission’s ability to serve the people of Northern Ireland as they deserve to expect. It will also mean that we are unable to fulfil some functions at all. For example, we will have no capacity to support a meaningful programme of education activities to promote human rights which is a core statutory function. Moreover, this situation continues to threaten our standing at an international level. There is a significant risk that in the next Annual Report and Accounts, we will be detailing how the Commission was downgraded by the United Nations. This would make Northern Ireland the only part of these islands without an A status recognised National Human Rights Institution, removing our speaking rights before the international treaty bodies. </w:t>
      </w:r>
    </w:p>
    <w:p w14:paraId="6B7D7CD8" w14:textId="77777777" w:rsidR="0020373A" w:rsidRDefault="0020373A" w:rsidP="0020373A">
      <w:pPr>
        <w:rPr>
          <w:shd w:val="clear" w:color="auto" w:fill="FFFFFF"/>
        </w:rPr>
      </w:pPr>
    </w:p>
    <w:p w14:paraId="31A3C871" w14:textId="77777777" w:rsidR="0020373A" w:rsidRDefault="0020373A" w:rsidP="0020373A">
      <w:pPr>
        <w:rPr>
          <w:shd w:val="clear" w:color="auto" w:fill="FFFFFF"/>
        </w:rPr>
      </w:pPr>
      <w:r>
        <w:rPr>
          <w:shd w:val="clear" w:color="auto" w:fill="FFFFFF"/>
        </w:rPr>
        <w:t xml:space="preserve">This prospect of losing our A status is more than a technical concern or of reputation, although it is both of those. It will undermine the Commission’s ability to represent the people of Northern Ireland by holding the State to account. Unless and until I can report that a long-term commitment to our future funding has been made, I regret that I will </w:t>
      </w:r>
      <w:r>
        <w:rPr>
          <w:shd w:val="clear" w:color="auto" w:fill="FFFFFF"/>
        </w:rPr>
        <w:lastRenderedPageBreak/>
        <w:t>not be able to guarantee that the Commission will function as well as the people of Northern Ireland deserve.</w:t>
      </w:r>
      <w:r w:rsidRPr="000563C9">
        <w:rPr>
          <w:shd w:val="clear" w:color="auto" w:fill="FFFFFF"/>
        </w:rPr>
        <w:t xml:space="preserve"> </w:t>
      </w:r>
      <w:r>
        <w:rPr>
          <w:shd w:val="clear" w:color="auto" w:fill="FFFFFF"/>
        </w:rPr>
        <w:t>Continued support for the Commission, including necessarily its practical independence, was the firm commitment of the Belfast (Good Friday) Agreement. That commitment has been repeated ever since, but adherence to the spirit of the commitment has at times felt weak.</w:t>
      </w:r>
    </w:p>
    <w:p w14:paraId="0728AD9A" w14:textId="77777777" w:rsidR="0020373A" w:rsidRDefault="0020373A" w:rsidP="0020373A">
      <w:pPr>
        <w:rPr>
          <w:shd w:val="clear" w:color="auto" w:fill="FFFFFF"/>
        </w:rPr>
      </w:pPr>
    </w:p>
    <w:p w14:paraId="734D5DA1" w14:textId="77777777" w:rsidR="0020373A" w:rsidRDefault="0020373A" w:rsidP="0020373A">
      <w:pPr>
        <w:rPr>
          <w:shd w:val="clear" w:color="auto" w:fill="FFFFFF"/>
        </w:rPr>
      </w:pPr>
      <w:r>
        <w:rPr>
          <w:shd w:val="clear" w:color="auto" w:fill="FFFFFF"/>
        </w:rPr>
        <w:t xml:space="preserve">In this year, we were delighted to welcome Justin Kouame as our new Commissioner. We also started work with a new Secretary of State the Right Honourable Chris Heaton-Harris MP. An important function of the Commission is to keep under review law and practice and to advise, whether asked to or not. We are pleased to note that Mr Heaton-Harris and his officials have engaged with us this year and welcomed our input on a number of matters. While we will steadfastly continue to hold the State to account, we appreciate this professional approach. </w:t>
      </w:r>
    </w:p>
    <w:p w14:paraId="7F63EAFE" w14:textId="77777777" w:rsidR="0020373A" w:rsidRDefault="0020373A" w:rsidP="0020373A">
      <w:pPr>
        <w:rPr>
          <w:shd w:val="clear" w:color="auto" w:fill="FFFFFF"/>
        </w:rPr>
      </w:pPr>
    </w:p>
    <w:p w14:paraId="7A0DEDBC" w14:textId="77777777" w:rsidR="0020373A" w:rsidRDefault="0020373A" w:rsidP="0020373A">
      <w:pPr>
        <w:rPr>
          <w:shd w:val="clear" w:color="auto" w:fill="FFFFFF"/>
        </w:rPr>
      </w:pPr>
      <w:r>
        <w:rPr>
          <w:shd w:val="clear" w:color="auto" w:fill="FFFFFF"/>
        </w:rPr>
        <w:t xml:space="preserve">We remain hopeful that the fundamental question of resources and its impact on our capacity to operate will be addressed. This has been considered in an independent review, which was completed and submitted in December 2022, The review report is yet to be published. We are hopeful that the Secretary of State will publish that report and implement the recommendations swiftly.   </w:t>
      </w:r>
    </w:p>
    <w:p w14:paraId="03663611" w14:textId="77777777" w:rsidR="0020373A" w:rsidRDefault="0020373A" w:rsidP="0020373A"/>
    <w:p w14:paraId="0D2CAE46" w14:textId="77777777" w:rsidR="002667DD" w:rsidRPr="00DF66C8" w:rsidRDefault="002667DD" w:rsidP="002667DD">
      <w:pPr>
        <w:jc w:val="both"/>
        <w:rPr>
          <w:rFonts w:cs="Arial"/>
          <w:color w:val="0B0C0C"/>
        </w:rPr>
      </w:pPr>
    </w:p>
    <w:p w14:paraId="062679DE" w14:textId="77777777" w:rsidR="002667DD" w:rsidRDefault="002667DD" w:rsidP="002667DD">
      <w:pPr>
        <w:rPr>
          <w:rFonts w:cs="Arial"/>
          <w:b/>
          <w:color w:val="FF0000"/>
        </w:rPr>
      </w:pPr>
    </w:p>
    <w:p w14:paraId="0D1DE33D" w14:textId="77777777" w:rsidR="002667DD" w:rsidRPr="008A5EF2" w:rsidRDefault="002667DD" w:rsidP="002667DD"/>
    <w:bookmarkEnd w:id="1"/>
    <w:p w14:paraId="4EA3475E" w14:textId="77777777" w:rsidR="002667DD" w:rsidRDefault="002667DD" w:rsidP="002667DD">
      <w:pPr>
        <w:rPr>
          <w:b/>
          <w:sz w:val="22"/>
          <w:szCs w:val="22"/>
        </w:rPr>
      </w:pPr>
    </w:p>
    <w:p w14:paraId="68F5C16E" w14:textId="77777777" w:rsidR="002667DD" w:rsidRPr="007F2DCD" w:rsidRDefault="002667DD" w:rsidP="002667DD">
      <w:pPr>
        <w:rPr>
          <w:b/>
          <w:sz w:val="22"/>
          <w:szCs w:val="22"/>
        </w:rPr>
      </w:pPr>
      <w:r>
        <w:rPr>
          <w:b/>
          <w:sz w:val="22"/>
          <w:szCs w:val="22"/>
        </w:rPr>
        <w:t>Alyson Kilpatrick</w:t>
      </w:r>
    </w:p>
    <w:p w14:paraId="370A8276" w14:textId="77777777" w:rsidR="002667DD" w:rsidRPr="007F2DCD" w:rsidRDefault="002667DD" w:rsidP="002667DD">
      <w:pPr>
        <w:rPr>
          <w:sz w:val="22"/>
          <w:szCs w:val="22"/>
        </w:rPr>
      </w:pPr>
      <w:r w:rsidRPr="007F2DCD">
        <w:rPr>
          <w:b/>
          <w:sz w:val="22"/>
          <w:szCs w:val="22"/>
        </w:rPr>
        <w:t>Chief Commissioner</w:t>
      </w:r>
      <w:r w:rsidRPr="007F2DCD">
        <w:rPr>
          <w:b/>
          <w:sz w:val="22"/>
          <w:szCs w:val="22"/>
        </w:rPr>
        <w:br w:type="page"/>
      </w:r>
    </w:p>
    <w:p w14:paraId="293BB91E" w14:textId="77777777" w:rsidR="002667DD" w:rsidRPr="005049F6" w:rsidRDefault="002667DD" w:rsidP="002667DD">
      <w:pPr>
        <w:rPr>
          <w:b/>
        </w:rPr>
      </w:pPr>
      <w:bookmarkStart w:id="2" w:name="StatementofPurposeandActivities"/>
      <w:r>
        <w:rPr>
          <w:rFonts w:cs="Arial"/>
          <w:b/>
          <w:color w:val="77328A"/>
        </w:rPr>
        <w:lastRenderedPageBreak/>
        <w:t>Statement of Purpose and Activities of the Organisation</w:t>
      </w:r>
    </w:p>
    <w:bookmarkEnd w:id="2"/>
    <w:p w14:paraId="73397BFA" w14:textId="77777777" w:rsidR="002667DD" w:rsidRDefault="002667DD" w:rsidP="002667DD">
      <w:pPr>
        <w:jc w:val="center"/>
        <w:rPr>
          <w:b/>
        </w:rPr>
      </w:pPr>
    </w:p>
    <w:p w14:paraId="7F561BFB" w14:textId="77777777" w:rsidR="002667DD" w:rsidRPr="008C73A2" w:rsidRDefault="002667DD" w:rsidP="002667DD">
      <w:pPr>
        <w:widowControl w:val="0"/>
        <w:autoSpaceDE w:val="0"/>
        <w:autoSpaceDN w:val="0"/>
        <w:adjustRightInd w:val="0"/>
        <w:rPr>
          <w:b/>
        </w:rPr>
      </w:pPr>
      <w:r w:rsidRPr="008C73A2">
        <w:rPr>
          <w:b/>
        </w:rPr>
        <w:t>Introduction</w:t>
      </w:r>
      <w:r>
        <w:rPr>
          <w:b/>
        </w:rPr>
        <w:t xml:space="preserve"> </w:t>
      </w:r>
    </w:p>
    <w:p w14:paraId="257C5742" w14:textId="77777777" w:rsidR="002667DD" w:rsidRPr="003F7E43" w:rsidRDefault="002667DD" w:rsidP="002667DD">
      <w:pPr>
        <w:widowControl w:val="0"/>
        <w:autoSpaceDE w:val="0"/>
        <w:autoSpaceDN w:val="0"/>
        <w:adjustRightInd w:val="0"/>
        <w:rPr>
          <w:b/>
        </w:rPr>
      </w:pPr>
    </w:p>
    <w:p w14:paraId="2E2C482F" w14:textId="77777777" w:rsidR="002667DD" w:rsidRPr="006E6AE8" w:rsidRDefault="002667DD" w:rsidP="002667DD">
      <w:pPr>
        <w:widowControl w:val="0"/>
        <w:autoSpaceDE w:val="0"/>
        <w:autoSpaceDN w:val="0"/>
        <w:adjustRightInd w:val="0"/>
        <w:rPr>
          <w:color w:val="auto"/>
        </w:rPr>
      </w:pPr>
      <w:r w:rsidRPr="006E6AE8">
        <w:rPr>
          <w:color w:val="auto"/>
        </w:rPr>
        <w:t xml:space="preserve">I am pleased to report on the work of the Northern Ireland Human Rights Commission in </w:t>
      </w:r>
      <w:r>
        <w:rPr>
          <w:color w:val="auto"/>
        </w:rPr>
        <w:t>2022-23</w:t>
      </w:r>
      <w:r w:rsidRPr="006E6AE8">
        <w:rPr>
          <w:color w:val="auto"/>
        </w:rPr>
        <w:t xml:space="preserve">. </w:t>
      </w:r>
    </w:p>
    <w:p w14:paraId="73D9F84E" w14:textId="77777777" w:rsidR="002667DD" w:rsidRPr="006E6AE8" w:rsidRDefault="002667DD" w:rsidP="002667DD">
      <w:pPr>
        <w:widowControl w:val="0"/>
        <w:autoSpaceDE w:val="0"/>
        <w:autoSpaceDN w:val="0"/>
        <w:adjustRightInd w:val="0"/>
        <w:rPr>
          <w:color w:val="auto"/>
        </w:rPr>
      </w:pPr>
    </w:p>
    <w:p w14:paraId="0C17C23F" w14:textId="77777777" w:rsidR="002667DD" w:rsidRPr="006867D6" w:rsidRDefault="002667DD" w:rsidP="002667DD">
      <w:pPr>
        <w:widowControl w:val="0"/>
        <w:autoSpaceDE w:val="0"/>
        <w:autoSpaceDN w:val="0"/>
        <w:adjustRightInd w:val="0"/>
        <w:rPr>
          <w:bCs/>
          <w:color w:val="auto"/>
        </w:rPr>
      </w:pPr>
      <w:r w:rsidRPr="006867D6">
        <w:rPr>
          <w:bCs/>
          <w:color w:val="auto"/>
        </w:rPr>
        <w:t xml:space="preserve">The Commission was established by the Belfast (Good Friday) Agreement. Our governing legislation is the Northern Ireland Act 1998, as amended by the Justice and Security (Northern Ireland) Act 2007 and the European Union (Withdrawal Agreement) Act 2020. </w:t>
      </w:r>
    </w:p>
    <w:p w14:paraId="0683B2BF" w14:textId="77777777" w:rsidR="002667DD" w:rsidRPr="006867D6" w:rsidRDefault="002667DD" w:rsidP="002667DD">
      <w:pPr>
        <w:widowControl w:val="0"/>
        <w:autoSpaceDE w:val="0"/>
        <w:autoSpaceDN w:val="0"/>
        <w:adjustRightInd w:val="0"/>
        <w:rPr>
          <w:bCs/>
          <w:color w:val="auto"/>
        </w:rPr>
      </w:pPr>
    </w:p>
    <w:p w14:paraId="056D0449" w14:textId="77777777" w:rsidR="002667DD" w:rsidRDefault="002667DD" w:rsidP="002667DD">
      <w:pPr>
        <w:widowControl w:val="0"/>
        <w:autoSpaceDE w:val="0"/>
        <w:autoSpaceDN w:val="0"/>
        <w:adjustRightInd w:val="0"/>
        <w:rPr>
          <w:bCs/>
        </w:rPr>
      </w:pPr>
      <w:r w:rsidRPr="006867D6">
        <w:rPr>
          <w:bCs/>
          <w:color w:val="auto"/>
        </w:rPr>
        <w:t xml:space="preserve">The Commission is a National Human Rights Institution with A status accreditation from the United Nations. This recognition </w:t>
      </w:r>
      <w:r w:rsidRPr="006E6AE8">
        <w:rPr>
          <w:rFonts w:cs="Verdana"/>
          <w:color w:val="auto"/>
        </w:rPr>
        <w:t>affords special access to the United Nations Human Rights Council and treaty bodies.</w:t>
      </w:r>
      <w:r>
        <w:rPr>
          <w:rFonts w:cs="Verdana"/>
          <w:color w:val="auto"/>
        </w:rPr>
        <w:t xml:space="preserve"> It </w:t>
      </w:r>
      <w:r w:rsidRPr="006867D6">
        <w:rPr>
          <w:bCs/>
          <w:color w:val="auto"/>
        </w:rPr>
        <w:t xml:space="preserve">means that the organisation operates independently in full accordance with the </w:t>
      </w:r>
      <w:r w:rsidRPr="006867D6">
        <w:rPr>
          <w:bCs/>
          <w:color w:val="auto"/>
          <w:lang w:val="en-US"/>
        </w:rPr>
        <w:t>United Nations General Assembly Resolution 48/134 (the Paris Principles)</w:t>
      </w:r>
      <w:r w:rsidRPr="006867D6">
        <w:rPr>
          <w:bCs/>
          <w:color w:val="auto"/>
        </w:rPr>
        <w:t>.</w:t>
      </w:r>
      <w:r>
        <w:rPr>
          <w:bCs/>
          <w:color w:val="auto"/>
        </w:rPr>
        <w:t xml:space="preserve"> Further </w:t>
      </w:r>
      <w:r w:rsidRPr="006E6AE8">
        <w:rPr>
          <w:rFonts w:cs="Arial"/>
          <w:color w:val="auto"/>
        </w:rPr>
        <w:t xml:space="preserve">information is available at: </w:t>
      </w:r>
      <w:hyperlink r:id="rId21" w:history="1">
        <w:r w:rsidRPr="003F7E43">
          <w:rPr>
            <w:rStyle w:val="Hyperlink"/>
            <w:rFonts w:cs="Arial"/>
          </w:rPr>
          <w:t>www.ohchr.org/english/law/parisprinciples</w:t>
        </w:r>
      </w:hyperlink>
      <w:r w:rsidRPr="003F7E43">
        <w:rPr>
          <w:rFonts w:cs="Arial"/>
        </w:rPr>
        <w:t>)</w:t>
      </w:r>
      <w:r w:rsidRPr="003F7E43">
        <w:rPr>
          <w:bCs/>
        </w:rPr>
        <w:t xml:space="preserve">. </w:t>
      </w:r>
    </w:p>
    <w:p w14:paraId="424A0F27" w14:textId="77777777" w:rsidR="002667DD" w:rsidRPr="006E6AE8" w:rsidRDefault="002667DD" w:rsidP="002667DD">
      <w:pPr>
        <w:widowControl w:val="0"/>
        <w:autoSpaceDE w:val="0"/>
        <w:autoSpaceDN w:val="0"/>
        <w:adjustRightInd w:val="0"/>
        <w:rPr>
          <w:rFonts w:cs="Arial"/>
          <w:color w:val="auto"/>
        </w:rPr>
      </w:pPr>
    </w:p>
    <w:p w14:paraId="2E343292" w14:textId="77777777" w:rsidR="002667DD" w:rsidRDefault="002667DD" w:rsidP="002667DD">
      <w:pPr>
        <w:widowControl w:val="0"/>
        <w:autoSpaceDE w:val="0"/>
        <w:autoSpaceDN w:val="0"/>
        <w:adjustRightInd w:val="0"/>
        <w:rPr>
          <w:color w:val="auto"/>
        </w:rPr>
      </w:pPr>
      <w:r w:rsidRPr="006867D6">
        <w:rPr>
          <w:color w:val="auto"/>
        </w:rPr>
        <w:t xml:space="preserve">The Commission is also a non-departmental public body, and receives grant-in-aid from the United Kingdom government through the Northern Ireland Office. </w:t>
      </w:r>
      <w:r>
        <w:rPr>
          <w:color w:val="auto"/>
        </w:rPr>
        <w:t>It</w:t>
      </w:r>
      <w:r w:rsidRPr="006867D6">
        <w:rPr>
          <w:color w:val="auto"/>
        </w:rPr>
        <w:t xml:space="preserve"> report</w:t>
      </w:r>
      <w:r>
        <w:rPr>
          <w:color w:val="auto"/>
        </w:rPr>
        <w:t>s</w:t>
      </w:r>
      <w:r w:rsidRPr="006867D6">
        <w:rPr>
          <w:color w:val="auto"/>
        </w:rPr>
        <w:t xml:space="preserve"> to Parliament through the Secretary of State for Northern Ireland.</w:t>
      </w:r>
    </w:p>
    <w:p w14:paraId="098F2E67" w14:textId="77777777" w:rsidR="00AD4280" w:rsidRDefault="00AD4280" w:rsidP="002667DD">
      <w:pPr>
        <w:widowControl w:val="0"/>
        <w:autoSpaceDE w:val="0"/>
        <w:autoSpaceDN w:val="0"/>
        <w:adjustRightInd w:val="0"/>
        <w:rPr>
          <w:color w:val="auto"/>
        </w:rPr>
      </w:pPr>
    </w:p>
    <w:p w14:paraId="21B5D8DF" w14:textId="2F9C1A5F" w:rsidR="00AD4280" w:rsidRDefault="00AD4280" w:rsidP="002667DD">
      <w:pPr>
        <w:widowControl w:val="0"/>
        <w:autoSpaceDE w:val="0"/>
        <w:autoSpaceDN w:val="0"/>
        <w:adjustRightInd w:val="0"/>
        <w:rPr>
          <w:b/>
          <w:bCs/>
          <w:color w:val="auto"/>
        </w:rPr>
      </w:pPr>
      <w:r>
        <w:rPr>
          <w:b/>
          <w:bCs/>
          <w:color w:val="auto"/>
        </w:rPr>
        <w:t>Organisational Structure</w:t>
      </w:r>
    </w:p>
    <w:p w14:paraId="5AE45893" w14:textId="77777777" w:rsidR="00AD4280" w:rsidRDefault="00AD4280" w:rsidP="002667DD">
      <w:pPr>
        <w:widowControl w:val="0"/>
        <w:autoSpaceDE w:val="0"/>
        <w:autoSpaceDN w:val="0"/>
        <w:adjustRightInd w:val="0"/>
        <w:rPr>
          <w:b/>
          <w:bCs/>
          <w:color w:val="auto"/>
        </w:rPr>
      </w:pPr>
    </w:p>
    <w:p w14:paraId="44093F90" w14:textId="44B2FAE4" w:rsidR="00AD4280" w:rsidRPr="00AD4280" w:rsidRDefault="007F7607" w:rsidP="002667DD">
      <w:pPr>
        <w:widowControl w:val="0"/>
        <w:autoSpaceDE w:val="0"/>
        <w:autoSpaceDN w:val="0"/>
        <w:adjustRightInd w:val="0"/>
        <w:rPr>
          <w:b/>
          <w:bCs/>
          <w:color w:val="auto"/>
        </w:rPr>
      </w:pPr>
      <w:r>
        <w:rPr>
          <w:noProof/>
        </w:rPr>
        <w:drawing>
          <wp:inline distT="0" distB="0" distL="0" distR="0" wp14:anchorId="214FD865" wp14:editId="2B5AE75E">
            <wp:extent cx="5676900" cy="3409950"/>
            <wp:effectExtent l="0" t="0" r="19050" b="19050"/>
            <wp:docPr id="12576456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2384D7FE" w14:textId="77777777" w:rsidR="002667DD" w:rsidRPr="006E6AE8" w:rsidRDefault="002667DD" w:rsidP="002667DD">
      <w:pPr>
        <w:widowControl w:val="0"/>
        <w:autoSpaceDE w:val="0"/>
        <w:autoSpaceDN w:val="0"/>
        <w:adjustRightInd w:val="0"/>
        <w:rPr>
          <w:color w:val="auto"/>
        </w:rPr>
      </w:pPr>
    </w:p>
    <w:p w14:paraId="2FB88AF5" w14:textId="77777777" w:rsidR="00A70A02" w:rsidRDefault="00A70A02" w:rsidP="002667DD">
      <w:pPr>
        <w:rPr>
          <w:b/>
          <w:bCs/>
          <w:color w:val="auto"/>
        </w:rPr>
      </w:pPr>
    </w:p>
    <w:p w14:paraId="32909759" w14:textId="77777777" w:rsidR="00A70A02" w:rsidRDefault="00A70A02" w:rsidP="002667DD">
      <w:pPr>
        <w:rPr>
          <w:b/>
          <w:bCs/>
          <w:color w:val="auto"/>
        </w:rPr>
      </w:pPr>
    </w:p>
    <w:p w14:paraId="3A5EF3A8" w14:textId="70D83C5C" w:rsidR="002667DD" w:rsidRPr="006E6AE8" w:rsidRDefault="002667DD" w:rsidP="002667DD">
      <w:pPr>
        <w:rPr>
          <w:b/>
          <w:bCs/>
          <w:color w:val="auto"/>
        </w:rPr>
      </w:pPr>
      <w:r w:rsidRPr="006E6AE8">
        <w:rPr>
          <w:b/>
          <w:bCs/>
          <w:color w:val="auto"/>
        </w:rPr>
        <w:lastRenderedPageBreak/>
        <w:t>What we do</w:t>
      </w:r>
      <w:r>
        <w:rPr>
          <w:b/>
          <w:bCs/>
          <w:color w:val="auto"/>
        </w:rPr>
        <w:t xml:space="preserve"> </w:t>
      </w:r>
    </w:p>
    <w:p w14:paraId="67B63956" w14:textId="77777777" w:rsidR="002667DD" w:rsidRPr="006E6AE8" w:rsidRDefault="002667DD" w:rsidP="002667DD">
      <w:pPr>
        <w:rPr>
          <w:b/>
          <w:bCs/>
          <w:color w:val="auto"/>
        </w:rPr>
      </w:pPr>
    </w:p>
    <w:p w14:paraId="54C2991E" w14:textId="77777777" w:rsidR="002667DD" w:rsidRPr="00402F91" w:rsidRDefault="002667DD" w:rsidP="002667DD">
      <w:pPr>
        <w:autoSpaceDE w:val="0"/>
        <w:autoSpaceDN w:val="0"/>
        <w:adjustRightInd w:val="0"/>
        <w:rPr>
          <w:rFonts w:cs="VGOJM V+ Zurich BT"/>
          <w:bCs/>
          <w:color w:val="auto"/>
        </w:rPr>
      </w:pPr>
      <w:r w:rsidRPr="00402F91">
        <w:rPr>
          <w:rFonts w:cs="VGOJM V+ Zurich BT"/>
          <w:bCs/>
          <w:color w:val="auto"/>
        </w:rPr>
        <w:t>The Commission’s primary role is to make sure government and public authorities protect, respect and fulfil the human rights of everyone in Northern Ireland. We also help people understand what their human rights are and what they can do if their rights are violated or abused. To pursue this objective, we consider the full range of civil, political, social, economic and cultural rights. Our work is based on the international human rights treaties ratified by the United Kingdom government, domestic legislation and relevant soft law standards.</w:t>
      </w:r>
    </w:p>
    <w:p w14:paraId="4878FDEC" w14:textId="77777777" w:rsidR="002667DD" w:rsidRPr="00402F91" w:rsidRDefault="002667DD" w:rsidP="002667DD">
      <w:pPr>
        <w:autoSpaceDE w:val="0"/>
        <w:autoSpaceDN w:val="0"/>
        <w:adjustRightInd w:val="0"/>
        <w:rPr>
          <w:rFonts w:cs="VGOJM V+ Zurich BT"/>
          <w:bCs/>
          <w:color w:val="auto"/>
        </w:rPr>
      </w:pPr>
    </w:p>
    <w:p w14:paraId="64B22165" w14:textId="77777777" w:rsidR="002667DD" w:rsidRPr="00402F91" w:rsidRDefault="002667DD" w:rsidP="002667DD">
      <w:pPr>
        <w:autoSpaceDE w:val="0"/>
        <w:autoSpaceDN w:val="0"/>
        <w:adjustRightInd w:val="0"/>
        <w:rPr>
          <w:rFonts w:cs="VGOJM V+ Zurich BT"/>
          <w:bCs/>
          <w:color w:val="auto"/>
        </w:rPr>
      </w:pPr>
      <w:r w:rsidRPr="00402F91">
        <w:rPr>
          <w:rFonts w:cs="VGOJM V+ Zurich BT"/>
          <w:bCs/>
          <w:color w:val="auto"/>
        </w:rPr>
        <w:t xml:space="preserve">The statutory functions of the Commission in accordance with the Northern Ireland Act 1998 are: </w:t>
      </w:r>
    </w:p>
    <w:p w14:paraId="20B817A7" w14:textId="77777777" w:rsidR="002667DD" w:rsidRPr="00402F91" w:rsidRDefault="002667DD" w:rsidP="002667DD">
      <w:pPr>
        <w:autoSpaceDE w:val="0"/>
        <w:autoSpaceDN w:val="0"/>
        <w:adjustRightInd w:val="0"/>
        <w:rPr>
          <w:rFonts w:cs="VGOJM V+ Zurich BT"/>
          <w:bCs/>
          <w:color w:val="auto"/>
        </w:rPr>
      </w:pPr>
    </w:p>
    <w:p w14:paraId="51703417" w14:textId="77777777" w:rsidR="002667DD" w:rsidRPr="00402F91" w:rsidRDefault="002667DD" w:rsidP="002667DD">
      <w:pPr>
        <w:numPr>
          <w:ilvl w:val="0"/>
          <w:numId w:val="14"/>
        </w:numPr>
        <w:autoSpaceDE w:val="0"/>
        <w:autoSpaceDN w:val="0"/>
        <w:adjustRightInd w:val="0"/>
        <w:rPr>
          <w:rFonts w:cs="VGOJM V+ Zurich BT"/>
          <w:bCs/>
          <w:color w:val="auto"/>
        </w:rPr>
      </w:pPr>
      <w:r w:rsidRPr="00402F91">
        <w:rPr>
          <w:rFonts w:cs="VGOJM V+ Zurich BT"/>
          <w:bCs/>
          <w:color w:val="auto"/>
        </w:rPr>
        <w:t>keeping under review the adequacy and effectiveness in Northern Ireland of law and practice relating to the protection of human rights.</w:t>
      </w:r>
    </w:p>
    <w:p w14:paraId="588B28B3" w14:textId="77777777" w:rsidR="002667DD" w:rsidRPr="00402F91" w:rsidRDefault="002667DD" w:rsidP="002667DD">
      <w:pPr>
        <w:autoSpaceDE w:val="0"/>
        <w:autoSpaceDN w:val="0"/>
        <w:adjustRightInd w:val="0"/>
        <w:rPr>
          <w:rFonts w:cs="VGOJM V+ Zurich BT"/>
          <w:bCs/>
          <w:color w:val="auto"/>
        </w:rPr>
      </w:pPr>
    </w:p>
    <w:p w14:paraId="6DA54CC4" w14:textId="77777777" w:rsidR="002667DD" w:rsidRPr="00402F91" w:rsidRDefault="002667DD" w:rsidP="002667DD">
      <w:pPr>
        <w:numPr>
          <w:ilvl w:val="0"/>
          <w:numId w:val="14"/>
        </w:numPr>
        <w:autoSpaceDE w:val="0"/>
        <w:autoSpaceDN w:val="0"/>
        <w:adjustRightInd w:val="0"/>
        <w:rPr>
          <w:rFonts w:cs="VGOJM V+ Zurich BT"/>
          <w:bCs/>
          <w:color w:val="auto"/>
        </w:rPr>
      </w:pPr>
      <w:r w:rsidRPr="00402F91">
        <w:rPr>
          <w:rFonts w:cs="VGOJM V+ Zurich BT"/>
          <w:bCs/>
          <w:color w:val="auto"/>
        </w:rPr>
        <w:t>advising the Secretary of State and the Northern Ireland Executive of legislative and other measures which ought to be taken to protect human rights—as soon as reasonably practicable after receipt of a general or specific request for advice; and on such other occasions as the Commission thinks appropriate.</w:t>
      </w:r>
    </w:p>
    <w:p w14:paraId="797EF110" w14:textId="77777777" w:rsidR="002667DD" w:rsidRPr="00402F91" w:rsidRDefault="002667DD" w:rsidP="002667DD">
      <w:pPr>
        <w:autoSpaceDE w:val="0"/>
        <w:autoSpaceDN w:val="0"/>
        <w:adjustRightInd w:val="0"/>
        <w:rPr>
          <w:rFonts w:cs="VGOJM V+ Zurich BT"/>
          <w:bCs/>
          <w:color w:val="auto"/>
        </w:rPr>
      </w:pPr>
    </w:p>
    <w:p w14:paraId="15F2E861" w14:textId="77777777" w:rsidR="002667DD" w:rsidRPr="00402F91" w:rsidRDefault="002667DD" w:rsidP="002667DD">
      <w:pPr>
        <w:numPr>
          <w:ilvl w:val="0"/>
          <w:numId w:val="14"/>
        </w:numPr>
        <w:autoSpaceDE w:val="0"/>
        <w:autoSpaceDN w:val="0"/>
        <w:adjustRightInd w:val="0"/>
        <w:rPr>
          <w:rFonts w:cs="VGOJM V+ Zurich BT"/>
          <w:bCs/>
          <w:color w:val="auto"/>
        </w:rPr>
      </w:pPr>
      <w:r w:rsidRPr="00402F91">
        <w:rPr>
          <w:rFonts w:cs="VGOJM V+ Zurich BT"/>
          <w:bCs/>
          <w:color w:val="auto"/>
        </w:rPr>
        <w:t>advising the Northern Ireland Assembly whether legislative Bills are compatible with human rights</w:t>
      </w:r>
    </w:p>
    <w:p w14:paraId="22C98491" w14:textId="77777777" w:rsidR="002667DD" w:rsidRPr="00402F91" w:rsidRDefault="002667DD" w:rsidP="002667DD">
      <w:pPr>
        <w:autoSpaceDE w:val="0"/>
        <w:autoSpaceDN w:val="0"/>
        <w:adjustRightInd w:val="0"/>
        <w:rPr>
          <w:rFonts w:cs="VGOJM V+ Zurich BT"/>
          <w:bCs/>
          <w:color w:val="auto"/>
        </w:rPr>
      </w:pPr>
    </w:p>
    <w:p w14:paraId="27EF726A" w14:textId="77777777" w:rsidR="002667DD" w:rsidRPr="00402F91" w:rsidRDefault="002667DD" w:rsidP="002667DD">
      <w:pPr>
        <w:numPr>
          <w:ilvl w:val="0"/>
          <w:numId w:val="14"/>
        </w:numPr>
        <w:autoSpaceDE w:val="0"/>
        <w:autoSpaceDN w:val="0"/>
        <w:adjustRightInd w:val="0"/>
        <w:rPr>
          <w:rFonts w:cs="VGOJM V+ Zurich BT"/>
          <w:bCs/>
          <w:color w:val="auto"/>
        </w:rPr>
      </w:pPr>
      <w:r w:rsidRPr="00402F91">
        <w:rPr>
          <w:rFonts w:cs="VGOJM V+ Zurich BT"/>
          <w:bCs/>
          <w:color w:val="auto"/>
        </w:rPr>
        <w:t>providing advice to the UK government and Westminster Parliament on matters affecting human rights in NI.</w:t>
      </w:r>
    </w:p>
    <w:p w14:paraId="280507C7" w14:textId="77777777" w:rsidR="002667DD" w:rsidRPr="00402F91" w:rsidRDefault="002667DD" w:rsidP="002667DD">
      <w:pPr>
        <w:autoSpaceDE w:val="0"/>
        <w:autoSpaceDN w:val="0"/>
        <w:adjustRightInd w:val="0"/>
        <w:rPr>
          <w:rFonts w:cs="VGOJM V+ Zurich BT"/>
          <w:bCs/>
          <w:color w:val="auto"/>
        </w:rPr>
      </w:pPr>
    </w:p>
    <w:p w14:paraId="64082AC4" w14:textId="77777777" w:rsidR="002667DD" w:rsidRPr="00402F91" w:rsidRDefault="002667DD" w:rsidP="002667DD">
      <w:pPr>
        <w:numPr>
          <w:ilvl w:val="0"/>
          <w:numId w:val="14"/>
        </w:numPr>
        <w:autoSpaceDE w:val="0"/>
        <w:autoSpaceDN w:val="0"/>
        <w:adjustRightInd w:val="0"/>
        <w:rPr>
          <w:rFonts w:cs="VGOJM V+ Zurich BT"/>
          <w:bCs/>
          <w:color w:val="auto"/>
        </w:rPr>
      </w:pPr>
      <w:r w:rsidRPr="00402F91">
        <w:rPr>
          <w:rFonts w:cs="VGOJM V+ Zurich BT"/>
          <w:bCs/>
          <w:color w:val="auto"/>
        </w:rPr>
        <w:t>conducting investigations on systemic human rights issues. To do so, we may enter places of detention, and can compel individuals and agencies to give oral testimony or to produce documents.</w:t>
      </w:r>
    </w:p>
    <w:p w14:paraId="285D9A5D" w14:textId="77777777" w:rsidR="002667DD" w:rsidRPr="00402F91" w:rsidRDefault="002667DD" w:rsidP="002667DD">
      <w:pPr>
        <w:autoSpaceDE w:val="0"/>
        <w:autoSpaceDN w:val="0"/>
        <w:adjustRightInd w:val="0"/>
        <w:rPr>
          <w:rFonts w:cs="VGOJM V+ Zurich BT"/>
          <w:bCs/>
          <w:color w:val="auto"/>
        </w:rPr>
      </w:pPr>
    </w:p>
    <w:p w14:paraId="29F7B09D" w14:textId="77777777" w:rsidR="002667DD" w:rsidRPr="00402F91" w:rsidRDefault="002667DD" w:rsidP="002667DD">
      <w:pPr>
        <w:numPr>
          <w:ilvl w:val="0"/>
          <w:numId w:val="14"/>
        </w:numPr>
        <w:autoSpaceDE w:val="0"/>
        <w:autoSpaceDN w:val="0"/>
        <w:adjustRightInd w:val="0"/>
        <w:rPr>
          <w:rFonts w:cs="VGOJM V+ Zurich BT"/>
          <w:bCs/>
          <w:color w:val="auto"/>
        </w:rPr>
      </w:pPr>
      <w:r w:rsidRPr="00402F91">
        <w:rPr>
          <w:rFonts w:cs="VGOJM V+ Zurich BT"/>
          <w:bCs/>
          <w:color w:val="auto"/>
        </w:rPr>
        <w:t>promoting understanding and awareness of the importance of human rights in Northern Ireland. To do so, we may undertake or support research and educational activities.</w:t>
      </w:r>
    </w:p>
    <w:p w14:paraId="1E3F2DCF" w14:textId="77777777" w:rsidR="002667DD" w:rsidRPr="00402F91" w:rsidRDefault="002667DD" w:rsidP="002667DD">
      <w:pPr>
        <w:autoSpaceDE w:val="0"/>
        <w:autoSpaceDN w:val="0"/>
        <w:adjustRightInd w:val="0"/>
        <w:rPr>
          <w:rFonts w:cs="VGOJM V+ Zurich BT"/>
          <w:bCs/>
          <w:color w:val="auto"/>
        </w:rPr>
      </w:pPr>
    </w:p>
    <w:p w14:paraId="78CD2F91" w14:textId="77777777" w:rsidR="002667DD" w:rsidRPr="00402F91" w:rsidRDefault="002667DD" w:rsidP="002667DD">
      <w:pPr>
        <w:numPr>
          <w:ilvl w:val="0"/>
          <w:numId w:val="14"/>
        </w:numPr>
        <w:autoSpaceDE w:val="0"/>
        <w:autoSpaceDN w:val="0"/>
        <w:adjustRightInd w:val="0"/>
        <w:rPr>
          <w:rFonts w:cs="VGOJM V+ Zurich BT"/>
          <w:bCs/>
          <w:color w:val="auto"/>
        </w:rPr>
      </w:pPr>
      <w:r w:rsidRPr="00402F91">
        <w:rPr>
          <w:rFonts w:cs="VGOJM V+ Zurich BT"/>
          <w:bCs/>
          <w:color w:val="auto"/>
        </w:rPr>
        <w:t>providing legal assistance to individuals and initiating strategic cases, including own motion legal challenges.</w:t>
      </w:r>
    </w:p>
    <w:p w14:paraId="72A6D7EA" w14:textId="77777777" w:rsidR="002667DD" w:rsidRPr="00402F91" w:rsidRDefault="002667DD" w:rsidP="002667DD">
      <w:pPr>
        <w:autoSpaceDE w:val="0"/>
        <w:autoSpaceDN w:val="0"/>
        <w:adjustRightInd w:val="0"/>
        <w:rPr>
          <w:rFonts w:cs="VGOJM V+ Zurich BT"/>
          <w:bCs/>
          <w:color w:val="auto"/>
        </w:rPr>
      </w:pPr>
    </w:p>
    <w:p w14:paraId="05B63129" w14:textId="77777777" w:rsidR="002667DD" w:rsidRPr="00402F91" w:rsidRDefault="002667DD" w:rsidP="002667DD">
      <w:pPr>
        <w:numPr>
          <w:ilvl w:val="0"/>
          <w:numId w:val="14"/>
        </w:numPr>
        <w:autoSpaceDE w:val="0"/>
        <w:autoSpaceDN w:val="0"/>
        <w:adjustRightInd w:val="0"/>
        <w:rPr>
          <w:rFonts w:cs="VGOJM V+ Zurich BT"/>
          <w:bCs/>
          <w:color w:val="auto"/>
        </w:rPr>
      </w:pPr>
      <w:r w:rsidRPr="00402F91">
        <w:rPr>
          <w:rFonts w:cs="VGOJM V+ Zurich BT"/>
          <w:bCs/>
          <w:color w:val="auto"/>
        </w:rPr>
        <w:t>monitoring the implementation of international human rights treaties and reporting to the United Nations and Council of Europe.</w:t>
      </w:r>
    </w:p>
    <w:p w14:paraId="39889CD4" w14:textId="77777777" w:rsidR="002667DD" w:rsidRPr="00402F91" w:rsidRDefault="002667DD" w:rsidP="002667DD">
      <w:pPr>
        <w:autoSpaceDE w:val="0"/>
        <w:autoSpaceDN w:val="0"/>
        <w:adjustRightInd w:val="0"/>
        <w:rPr>
          <w:rFonts w:cs="VGOJM V+ Zurich BT"/>
          <w:bCs/>
          <w:color w:val="auto"/>
        </w:rPr>
      </w:pPr>
    </w:p>
    <w:p w14:paraId="48F54DED" w14:textId="77777777" w:rsidR="002667DD" w:rsidRPr="00402F91" w:rsidRDefault="002667DD" w:rsidP="002667DD">
      <w:pPr>
        <w:numPr>
          <w:ilvl w:val="0"/>
          <w:numId w:val="14"/>
        </w:numPr>
        <w:autoSpaceDE w:val="0"/>
        <w:autoSpaceDN w:val="0"/>
        <w:adjustRightInd w:val="0"/>
        <w:rPr>
          <w:rFonts w:cs="VGOJM V+ Zurich BT"/>
          <w:bCs/>
          <w:color w:val="auto"/>
        </w:rPr>
      </w:pPr>
      <w:r w:rsidRPr="00402F91">
        <w:rPr>
          <w:rFonts w:cs="VGOJM V+ Zurich BT"/>
          <w:bCs/>
          <w:color w:val="auto"/>
        </w:rPr>
        <w:t>working in partnership with the Irish Human Rights and Equality Commission as mandated through the joint committee created in accordance with the Belfast (Good Friday) Agreement.</w:t>
      </w:r>
    </w:p>
    <w:p w14:paraId="05BB5FEF" w14:textId="77777777" w:rsidR="002667DD" w:rsidRPr="00402F91" w:rsidRDefault="002667DD" w:rsidP="002667DD">
      <w:pPr>
        <w:autoSpaceDE w:val="0"/>
        <w:autoSpaceDN w:val="0"/>
        <w:adjustRightInd w:val="0"/>
        <w:rPr>
          <w:rFonts w:cs="VGOJM V+ Zurich BT"/>
          <w:bCs/>
          <w:color w:val="auto"/>
        </w:rPr>
      </w:pPr>
    </w:p>
    <w:p w14:paraId="005BF758" w14:textId="77777777" w:rsidR="002667DD" w:rsidRDefault="002667DD" w:rsidP="002667DD">
      <w:pPr>
        <w:rPr>
          <w:rFonts w:cs="VGOJM V+ Zurich BT"/>
          <w:color w:val="auto"/>
        </w:rPr>
      </w:pPr>
      <w:r w:rsidRPr="62F844E5">
        <w:rPr>
          <w:rFonts w:eastAsia="Verdana" w:cs="Verdana"/>
        </w:rPr>
        <w:t xml:space="preserve">The Commission is mandated in accordance with Article 2(1) of the Protocol on Ireland/Northern Ireland of the European Union Withdrawal </w:t>
      </w:r>
      <w:r w:rsidRPr="62F844E5">
        <w:rPr>
          <w:rFonts w:eastAsia="Verdana" w:cs="Verdana"/>
        </w:rPr>
        <w:lastRenderedPageBreak/>
        <w:t>Agreement to ensure there is no diminution of rights protected in the ‘Rights, Safeguards and Equality of Opportunity’ chapter of the Belfast (Good Friday) Agreement as a result of United Kingdom’s withdrawal from the European Union. It is also mandated to ensure that, if certain European Union equality laws are changed after 1 January 2021 to improve the protection of human rights, then Northern Ireland will keep pace with those changes.</w:t>
      </w:r>
    </w:p>
    <w:p w14:paraId="632CA230" w14:textId="77777777" w:rsidR="002667DD" w:rsidRDefault="002667DD" w:rsidP="002667DD">
      <w:r w:rsidRPr="62F844E5">
        <w:rPr>
          <w:rFonts w:eastAsia="Verdana" w:cs="Verdana"/>
        </w:rPr>
        <w:t xml:space="preserve"> </w:t>
      </w:r>
    </w:p>
    <w:p w14:paraId="4257069F" w14:textId="77777777" w:rsidR="002667DD" w:rsidRDefault="002667DD" w:rsidP="002667DD">
      <w:r w:rsidRPr="62F844E5">
        <w:rPr>
          <w:rFonts w:eastAsia="Verdana" w:cs="Verdana"/>
        </w:rPr>
        <w:t>The Commission exercises this mandate alongside the Equality Commission for Northern Ireland, and through the Joint Committee of representatives of the Human Rights Commissions of Northern Ireland and Ireland.</w:t>
      </w:r>
    </w:p>
    <w:p w14:paraId="1FA5DB4E" w14:textId="77777777" w:rsidR="002667DD" w:rsidRDefault="002667DD" w:rsidP="002667DD">
      <w:pPr>
        <w:rPr>
          <w:color w:val="000000" w:themeColor="text1"/>
        </w:rPr>
      </w:pPr>
    </w:p>
    <w:p w14:paraId="38DAF523" w14:textId="77777777" w:rsidR="002667DD" w:rsidRDefault="002667DD" w:rsidP="002667DD">
      <w:r w:rsidRPr="62F844E5">
        <w:rPr>
          <w:rFonts w:eastAsia="Verdana" w:cs="Verdana"/>
        </w:rPr>
        <w:t xml:space="preserve">The Commission’s statutory functions for this purpose in accordance with the </w:t>
      </w:r>
      <w:bookmarkStart w:id="3" w:name="_Hlk74054886"/>
      <w:r w:rsidRPr="62F844E5">
        <w:rPr>
          <w:rFonts w:eastAsia="Verdana" w:cs="Verdana"/>
        </w:rPr>
        <w:t xml:space="preserve">European Union (Withdrawal Agreement) Act 2020 </w:t>
      </w:r>
      <w:bookmarkEnd w:id="3"/>
      <w:r w:rsidRPr="62F844E5">
        <w:rPr>
          <w:rFonts w:eastAsia="Verdana" w:cs="Verdana"/>
        </w:rPr>
        <w:t>are:</w:t>
      </w:r>
    </w:p>
    <w:p w14:paraId="42FB033A" w14:textId="77777777" w:rsidR="002667DD" w:rsidRDefault="002667DD" w:rsidP="002667DD">
      <w:pPr>
        <w:rPr>
          <w:color w:val="000000" w:themeColor="text1"/>
        </w:rPr>
      </w:pPr>
    </w:p>
    <w:p w14:paraId="32B794CC" w14:textId="77777777" w:rsidR="002667DD" w:rsidRDefault="002667DD" w:rsidP="002667DD">
      <w:pPr>
        <w:pStyle w:val="ListParagraph"/>
        <w:numPr>
          <w:ilvl w:val="0"/>
          <w:numId w:val="1"/>
        </w:numPr>
        <w:autoSpaceDE w:val="0"/>
        <w:autoSpaceDN w:val="0"/>
        <w:adjustRightInd w:val="0"/>
        <w:rPr>
          <w:rFonts w:eastAsia="Verdana" w:cs="Verdana"/>
          <w:color w:val="000000" w:themeColor="text1"/>
        </w:rPr>
      </w:pPr>
      <w:r w:rsidRPr="62F844E5">
        <w:rPr>
          <w:rFonts w:eastAsia="Verdana" w:cs="Verdana"/>
        </w:rPr>
        <w:t>monitoring the implementation of Article 2(1) of the Protocol on Ireland/Northern Ireland in the EU withdrawal agreement (rights of individuals).</w:t>
      </w:r>
    </w:p>
    <w:p w14:paraId="47D42FF3" w14:textId="77777777" w:rsidR="002667DD" w:rsidRDefault="002667DD" w:rsidP="002667DD">
      <w:pPr>
        <w:autoSpaceDE w:val="0"/>
        <w:autoSpaceDN w:val="0"/>
        <w:adjustRightInd w:val="0"/>
        <w:rPr>
          <w:color w:val="000000" w:themeColor="text1"/>
        </w:rPr>
      </w:pPr>
      <w:r w:rsidRPr="3285EAFF">
        <w:rPr>
          <w:rFonts w:eastAsia="Verdana" w:cs="Verdana"/>
        </w:rPr>
        <w:t xml:space="preserve"> </w:t>
      </w:r>
    </w:p>
    <w:p w14:paraId="32404EF3" w14:textId="77777777" w:rsidR="002667DD" w:rsidRDefault="002667DD" w:rsidP="002667DD">
      <w:pPr>
        <w:pStyle w:val="ListParagraph"/>
        <w:numPr>
          <w:ilvl w:val="0"/>
          <w:numId w:val="1"/>
        </w:numPr>
        <w:autoSpaceDE w:val="0"/>
        <w:autoSpaceDN w:val="0"/>
        <w:adjustRightInd w:val="0"/>
        <w:rPr>
          <w:rFonts w:eastAsia="Verdana" w:cs="Verdana"/>
          <w:color w:val="000000" w:themeColor="text1"/>
        </w:rPr>
      </w:pPr>
      <w:r w:rsidRPr="62F844E5">
        <w:rPr>
          <w:rFonts w:eastAsia="Verdana" w:cs="Verdana"/>
        </w:rPr>
        <w:t>reporting to the Secretary of State and the Executive Office in Northern Ireland on the implementation of Article 2(1)—as soon as reasonably practicable after receipt of a general or specific request for such a report, and on such other occasions as the Commission thinks.</w:t>
      </w:r>
    </w:p>
    <w:p w14:paraId="682199AA" w14:textId="77777777" w:rsidR="002667DD" w:rsidRDefault="002667DD" w:rsidP="002667DD">
      <w:pPr>
        <w:autoSpaceDE w:val="0"/>
        <w:autoSpaceDN w:val="0"/>
        <w:adjustRightInd w:val="0"/>
        <w:spacing w:line="276" w:lineRule="auto"/>
        <w:rPr>
          <w:color w:val="000000" w:themeColor="text1"/>
        </w:rPr>
      </w:pPr>
    </w:p>
    <w:p w14:paraId="6C110358" w14:textId="77777777" w:rsidR="002667DD" w:rsidRDefault="002667DD" w:rsidP="002667DD">
      <w:pPr>
        <w:pStyle w:val="ListParagraph"/>
        <w:numPr>
          <w:ilvl w:val="0"/>
          <w:numId w:val="1"/>
        </w:numPr>
        <w:autoSpaceDE w:val="0"/>
        <w:autoSpaceDN w:val="0"/>
        <w:adjustRightInd w:val="0"/>
        <w:rPr>
          <w:rFonts w:eastAsia="Verdana" w:cs="Verdana"/>
          <w:color w:val="000000" w:themeColor="text1"/>
        </w:rPr>
      </w:pPr>
      <w:r w:rsidRPr="62F844E5">
        <w:rPr>
          <w:rFonts w:eastAsia="Verdana" w:cs="Verdana"/>
        </w:rPr>
        <w:t xml:space="preserve">advising the Secretary of State and the Executive Committee of the Assembly of legislative and other measures which ought to be taken to implement Article 2(1)—as soon as reasonably practicable after </w:t>
      </w:r>
      <w:r>
        <w:rPr>
          <w:rFonts w:eastAsia="Verdana" w:cs="Verdana"/>
        </w:rPr>
        <w:t>receipt</w:t>
      </w:r>
      <w:r w:rsidRPr="62F844E5">
        <w:rPr>
          <w:rFonts w:eastAsia="Verdana" w:cs="Verdana"/>
        </w:rPr>
        <w:t xml:space="preserve"> of a general or specific request for advice, and on such other occasions as the Commission thinks appropriate.</w:t>
      </w:r>
    </w:p>
    <w:p w14:paraId="63BA3915" w14:textId="77777777" w:rsidR="002667DD" w:rsidRDefault="002667DD" w:rsidP="002667DD">
      <w:pPr>
        <w:autoSpaceDE w:val="0"/>
        <w:autoSpaceDN w:val="0"/>
        <w:adjustRightInd w:val="0"/>
        <w:spacing w:line="276" w:lineRule="auto"/>
        <w:rPr>
          <w:color w:val="000000" w:themeColor="text1"/>
        </w:rPr>
      </w:pPr>
    </w:p>
    <w:p w14:paraId="7A2CCD0B" w14:textId="77777777" w:rsidR="002667DD" w:rsidRDefault="002667DD" w:rsidP="002667DD">
      <w:pPr>
        <w:pStyle w:val="ListParagraph"/>
        <w:numPr>
          <w:ilvl w:val="0"/>
          <w:numId w:val="1"/>
        </w:numPr>
        <w:autoSpaceDE w:val="0"/>
        <w:autoSpaceDN w:val="0"/>
        <w:adjustRightInd w:val="0"/>
        <w:rPr>
          <w:rFonts w:eastAsia="Verdana" w:cs="Verdana"/>
          <w:color w:val="000000" w:themeColor="text1"/>
        </w:rPr>
      </w:pPr>
      <w:r w:rsidRPr="62F844E5">
        <w:rPr>
          <w:rFonts w:eastAsia="Verdana" w:cs="Verdana"/>
        </w:rPr>
        <w:t>advising the Assembly (or a committee of the Assembly) whether a Bill is compatible with Article 2(1)—as soon as reasonably practicable after receipt of a request for advice, and on such other occasions as the Commission thinks appropriate.</w:t>
      </w:r>
    </w:p>
    <w:p w14:paraId="23C306D9" w14:textId="77777777" w:rsidR="002667DD" w:rsidRDefault="002667DD" w:rsidP="002667DD">
      <w:pPr>
        <w:autoSpaceDE w:val="0"/>
        <w:autoSpaceDN w:val="0"/>
        <w:adjustRightInd w:val="0"/>
        <w:spacing w:line="276" w:lineRule="auto"/>
        <w:rPr>
          <w:color w:val="000000" w:themeColor="text1"/>
        </w:rPr>
      </w:pPr>
      <w:r w:rsidRPr="3285EAFF">
        <w:rPr>
          <w:rFonts w:eastAsia="Verdana" w:cs="Verdana"/>
        </w:rPr>
        <w:t xml:space="preserve"> </w:t>
      </w:r>
    </w:p>
    <w:p w14:paraId="0BEA8362" w14:textId="77777777" w:rsidR="002667DD" w:rsidRDefault="002667DD" w:rsidP="002667DD">
      <w:pPr>
        <w:pStyle w:val="ListParagraph"/>
        <w:numPr>
          <w:ilvl w:val="0"/>
          <w:numId w:val="1"/>
        </w:numPr>
        <w:autoSpaceDE w:val="0"/>
        <w:autoSpaceDN w:val="0"/>
        <w:adjustRightInd w:val="0"/>
        <w:rPr>
          <w:rFonts w:eastAsia="Verdana" w:cs="Verdana"/>
          <w:color w:val="000000" w:themeColor="text1"/>
        </w:rPr>
      </w:pPr>
      <w:r w:rsidRPr="62F844E5">
        <w:rPr>
          <w:rFonts w:eastAsia="Verdana" w:cs="Verdana"/>
        </w:rPr>
        <w:t>promoting understanding and awareness of the importance of Article 2(1); and for this purpose we may undertake, commission or provide financial or other assistance for—research, and educational activities.</w:t>
      </w:r>
    </w:p>
    <w:p w14:paraId="3EBF0431" w14:textId="77777777" w:rsidR="002667DD" w:rsidRDefault="002667DD" w:rsidP="002667DD">
      <w:pPr>
        <w:autoSpaceDE w:val="0"/>
        <w:autoSpaceDN w:val="0"/>
        <w:adjustRightInd w:val="0"/>
        <w:spacing w:line="276" w:lineRule="auto"/>
        <w:rPr>
          <w:color w:val="000000" w:themeColor="text1"/>
        </w:rPr>
      </w:pPr>
    </w:p>
    <w:p w14:paraId="4110B17B" w14:textId="77777777" w:rsidR="002667DD" w:rsidRDefault="002667DD" w:rsidP="002667DD">
      <w:pPr>
        <w:pStyle w:val="ListParagraph"/>
        <w:numPr>
          <w:ilvl w:val="0"/>
          <w:numId w:val="1"/>
        </w:numPr>
        <w:autoSpaceDE w:val="0"/>
        <w:autoSpaceDN w:val="0"/>
        <w:adjustRightInd w:val="0"/>
        <w:rPr>
          <w:rFonts w:eastAsia="Verdana" w:cs="Verdana"/>
          <w:color w:val="000000" w:themeColor="text1"/>
        </w:rPr>
      </w:pPr>
      <w:r w:rsidRPr="62F844E5">
        <w:rPr>
          <w:rFonts w:eastAsia="Verdana" w:cs="Verdana"/>
        </w:rPr>
        <w:t>bringing any appropriate matters of relevance to Article 2(1) to the attention of the Specialised Committee on issues related to the implementation of the Protocol on Ireland/Northern Ireland established by Article 165 of the Withdrawal Agreement.</w:t>
      </w:r>
    </w:p>
    <w:p w14:paraId="387581D1" w14:textId="77777777" w:rsidR="002667DD" w:rsidRDefault="002667DD" w:rsidP="002667DD">
      <w:pPr>
        <w:autoSpaceDE w:val="0"/>
        <w:autoSpaceDN w:val="0"/>
        <w:adjustRightInd w:val="0"/>
        <w:spacing w:line="276" w:lineRule="auto"/>
        <w:rPr>
          <w:color w:val="000000" w:themeColor="text1"/>
        </w:rPr>
      </w:pPr>
    </w:p>
    <w:p w14:paraId="0F02095E" w14:textId="77777777" w:rsidR="002667DD" w:rsidRDefault="002667DD" w:rsidP="002667DD">
      <w:pPr>
        <w:pStyle w:val="ListParagraph"/>
        <w:numPr>
          <w:ilvl w:val="0"/>
          <w:numId w:val="1"/>
        </w:numPr>
        <w:autoSpaceDE w:val="0"/>
        <w:autoSpaceDN w:val="0"/>
        <w:adjustRightInd w:val="0"/>
        <w:rPr>
          <w:rFonts w:eastAsia="Verdana" w:cs="Verdana"/>
          <w:color w:val="000000" w:themeColor="text1"/>
        </w:rPr>
      </w:pPr>
      <w:r w:rsidRPr="62F844E5">
        <w:rPr>
          <w:rFonts w:eastAsia="Verdana" w:cs="Verdana"/>
        </w:rPr>
        <w:lastRenderedPageBreak/>
        <w:t>taking judicial review proceedings in respect of an alleged breach (or potential future breach) of Article 2(1) of the Protocol on Ireland/Northern Ireland in the EU withdrawal agreement; or intervening in legal proceedings, whether for judicial review or otherwise, in so far as they relate to an alleged breach (or potential future breach) of Article 2(1).</w:t>
      </w:r>
    </w:p>
    <w:p w14:paraId="5C2E17D7" w14:textId="77777777" w:rsidR="002667DD" w:rsidRDefault="002667DD" w:rsidP="002667DD">
      <w:pPr>
        <w:autoSpaceDE w:val="0"/>
        <w:autoSpaceDN w:val="0"/>
        <w:adjustRightInd w:val="0"/>
        <w:rPr>
          <w:color w:val="000000" w:themeColor="text1"/>
        </w:rPr>
      </w:pPr>
    </w:p>
    <w:p w14:paraId="6F5571E3" w14:textId="647B1EFE" w:rsidR="002667DD" w:rsidRDefault="002667DD" w:rsidP="002667DD">
      <w:pPr>
        <w:autoSpaceDE w:val="0"/>
        <w:autoSpaceDN w:val="0"/>
        <w:adjustRightInd w:val="0"/>
        <w:rPr>
          <w:color w:val="000000" w:themeColor="text1"/>
        </w:rPr>
      </w:pPr>
      <w:r w:rsidRPr="3285EAFF">
        <w:rPr>
          <w:rFonts w:eastAsia="Verdana" w:cs="Verdana"/>
        </w:rPr>
        <w:t xml:space="preserve">The Commission is also designated, with the Equality Commission, under the United Nations Convention on the Rights of Disabled Persons as the independent mechanism tasked with promoting, protecting and monitoring implementation of </w:t>
      </w:r>
      <w:r w:rsidR="00D80963">
        <w:rPr>
          <w:rFonts w:eastAsia="Verdana" w:cs="Verdana"/>
        </w:rPr>
        <w:t xml:space="preserve">the </w:t>
      </w:r>
      <w:r w:rsidRPr="3285EAFF">
        <w:rPr>
          <w:rFonts w:eastAsia="Verdana" w:cs="Verdana"/>
        </w:rPr>
        <w:t>Convention in Northern Ireland. We also engage with other the National Human Rights Institutions in the United Kingdom on issues of common interest.</w:t>
      </w:r>
    </w:p>
    <w:p w14:paraId="3BFF090D" w14:textId="77777777" w:rsidR="002667DD" w:rsidRDefault="002667DD" w:rsidP="002667DD">
      <w:pPr>
        <w:autoSpaceDE w:val="0"/>
        <w:autoSpaceDN w:val="0"/>
        <w:adjustRightInd w:val="0"/>
        <w:rPr>
          <w:rFonts w:eastAsia="Verdana" w:cs="Verdana"/>
        </w:rPr>
      </w:pPr>
    </w:p>
    <w:p w14:paraId="420B0DAA" w14:textId="77777777" w:rsidR="002667DD" w:rsidRDefault="002667DD" w:rsidP="002667DD">
      <w:pPr>
        <w:autoSpaceDE w:val="0"/>
        <w:autoSpaceDN w:val="0"/>
        <w:adjustRightInd w:val="0"/>
        <w:rPr>
          <w:color w:val="000000" w:themeColor="text1"/>
        </w:rPr>
      </w:pPr>
      <w:r w:rsidRPr="62F844E5">
        <w:rPr>
          <w:rFonts w:eastAsia="Verdana" w:cs="Verdana"/>
        </w:rPr>
        <w:t>Our Annual Statement</w:t>
      </w:r>
      <w:r>
        <w:rPr>
          <w:rStyle w:val="FootnoteReference"/>
          <w:rFonts w:eastAsia="Verdana" w:cs="Verdana"/>
        </w:rPr>
        <w:footnoteReference w:id="2"/>
      </w:r>
      <w:r w:rsidRPr="62F844E5">
        <w:rPr>
          <w:rFonts w:eastAsia="Verdana" w:cs="Verdana"/>
        </w:rPr>
        <w:t xml:space="preserve">, published in December each year, records how much progress has been made towards meeting human rights obligations in Northern Ireland. This strongly informs our future work priorities.  </w:t>
      </w:r>
      <w:r w:rsidRPr="62F844E5">
        <w:rPr>
          <w:rFonts w:cs="VGOJM V+ Zurich BT"/>
          <w:color w:val="auto"/>
        </w:rPr>
        <w:t xml:space="preserve"> </w:t>
      </w:r>
    </w:p>
    <w:p w14:paraId="3D1819B6" w14:textId="77777777" w:rsidR="002667DD" w:rsidRDefault="002667DD" w:rsidP="002667DD">
      <w:pPr>
        <w:autoSpaceDE w:val="0"/>
        <w:autoSpaceDN w:val="0"/>
        <w:adjustRightInd w:val="0"/>
        <w:rPr>
          <w:rFonts w:cs="VGOJM V+ Zurich BT"/>
          <w:bCs/>
          <w:color w:val="auto"/>
        </w:rPr>
      </w:pPr>
    </w:p>
    <w:p w14:paraId="609F249F" w14:textId="77777777" w:rsidR="002667DD" w:rsidRPr="00402F91" w:rsidRDefault="002667DD" w:rsidP="002667DD">
      <w:pPr>
        <w:autoSpaceDE w:val="0"/>
        <w:autoSpaceDN w:val="0"/>
        <w:adjustRightInd w:val="0"/>
        <w:rPr>
          <w:rFonts w:cs="TT150t00"/>
          <w:b/>
          <w:color w:val="auto"/>
        </w:rPr>
      </w:pPr>
      <w:r>
        <w:rPr>
          <w:rFonts w:cs="TT150t00"/>
          <w:bCs/>
          <w:color w:val="auto"/>
        </w:rPr>
        <w:t>T</w:t>
      </w:r>
      <w:r w:rsidRPr="00402F91">
        <w:rPr>
          <w:rFonts w:cs="TT150t00"/>
          <w:bCs/>
          <w:color w:val="auto"/>
        </w:rPr>
        <w:t xml:space="preserve">he Commission’s work </w:t>
      </w:r>
      <w:r w:rsidRPr="00402F91">
        <w:rPr>
          <w:rFonts w:cs="TT150t00"/>
          <w:color w:val="auto"/>
        </w:rPr>
        <w:t xml:space="preserve">is based on five </w:t>
      </w:r>
      <w:r>
        <w:rPr>
          <w:rFonts w:cs="TT150t00"/>
          <w:color w:val="auto"/>
        </w:rPr>
        <w:t>objectives</w:t>
      </w:r>
      <w:r w:rsidRPr="00402F91">
        <w:rPr>
          <w:rFonts w:cs="TT150t00"/>
          <w:color w:val="auto"/>
        </w:rPr>
        <w:t xml:space="preserve"> agreed in our Strategic Plan 20</w:t>
      </w:r>
      <w:r>
        <w:rPr>
          <w:rFonts w:cs="TT150t00"/>
          <w:color w:val="auto"/>
        </w:rPr>
        <w:t>22</w:t>
      </w:r>
      <w:r w:rsidRPr="00402F91">
        <w:rPr>
          <w:rFonts w:cs="TT150t00"/>
          <w:color w:val="auto"/>
        </w:rPr>
        <w:t>-2</w:t>
      </w:r>
      <w:r>
        <w:rPr>
          <w:rFonts w:cs="TT150t00"/>
          <w:color w:val="auto"/>
        </w:rPr>
        <w:t>5</w:t>
      </w:r>
      <w:r w:rsidRPr="00402F91">
        <w:rPr>
          <w:rFonts w:cs="TT150t00"/>
          <w:color w:val="auto"/>
        </w:rPr>
        <w:t xml:space="preserve">.  Each </w:t>
      </w:r>
      <w:r>
        <w:rPr>
          <w:rFonts w:cs="TT150t00"/>
          <w:color w:val="auto"/>
        </w:rPr>
        <w:t>objective</w:t>
      </w:r>
      <w:r w:rsidRPr="00402F91">
        <w:rPr>
          <w:rFonts w:cs="TT150t00"/>
          <w:color w:val="auto"/>
        </w:rPr>
        <w:t xml:space="preserve"> is one of substantive public interest, where we believe a real and lasting impact can be made to benefit the lives of people in Northern Ireland.  </w:t>
      </w:r>
    </w:p>
    <w:p w14:paraId="544CC8DE" w14:textId="77777777" w:rsidR="002667DD" w:rsidRDefault="002667DD" w:rsidP="002667DD">
      <w:pPr>
        <w:autoSpaceDE w:val="0"/>
        <w:autoSpaceDN w:val="0"/>
        <w:adjustRightInd w:val="0"/>
        <w:rPr>
          <w:rFonts w:cs="TT150t00"/>
          <w:color w:val="auto"/>
        </w:rPr>
      </w:pPr>
    </w:p>
    <w:p w14:paraId="20C2D613" w14:textId="77777777" w:rsidR="002667DD" w:rsidRDefault="002667DD" w:rsidP="002667DD">
      <w:pPr>
        <w:spacing w:after="160" w:line="257" w:lineRule="auto"/>
        <w:rPr>
          <w:rFonts w:eastAsia="Verdana" w:cs="Verdana"/>
        </w:rPr>
      </w:pPr>
      <w:r>
        <w:rPr>
          <w:rFonts w:cs="TT150t00"/>
          <w:b/>
          <w:bCs/>
          <w:color w:val="auto"/>
        </w:rPr>
        <w:t>Objective</w:t>
      </w:r>
      <w:r w:rsidRPr="4462ADAA">
        <w:rPr>
          <w:rFonts w:cs="TT150t00"/>
          <w:b/>
          <w:bCs/>
          <w:color w:val="auto"/>
        </w:rPr>
        <w:t xml:space="preserve"> 1: </w:t>
      </w:r>
      <w:r>
        <w:rPr>
          <w:rFonts w:cs="TT150t00"/>
          <w:b/>
          <w:bCs/>
          <w:color w:val="auto"/>
        </w:rPr>
        <w:t>To keep under review law and practice and advise government for the benefit of everyone across Northern Ireland</w:t>
      </w:r>
      <w:r w:rsidRPr="4462ADAA">
        <w:rPr>
          <w:rFonts w:cs="TT150t00"/>
          <w:b/>
          <w:bCs/>
          <w:color w:val="auto"/>
        </w:rPr>
        <w:t xml:space="preserve"> - </w:t>
      </w:r>
    </w:p>
    <w:p w14:paraId="6D9B602E" w14:textId="77777777" w:rsidR="002667DD" w:rsidRDefault="002667DD" w:rsidP="002667DD">
      <w:pPr>
        <w:spacing w:after="160" w:line="257" w:lineRule="auto"/>
        <w:rPr>
          <w:rFonts w:eastAsia="Verdana" w:cs="Verdana"/>
        </w:rPr>
      </w:pPr>
      <w:r w:rsidRPr="19F2CC99">
        <w:rPr>
          <w:rFonts w:eastAsia="Verdana" w:cs="Verdana"/>
        </w:rPr>
        <w:t xml:space="preserve">Throughout the business year the Commission continued its investigation into the provision of education on sexual and reproductive health in post primary schools in Northern Ireland in accordance with the Northern Ireland (Executive Formation etc) Act 2019 and the recommendations in the 2018 CEDAW inquiry report Paragraph 86 (d). The Commission concluded its analysis of all evidence provided during the investigation and prepared an initial draft report. </w:t>
      </w:r>
    </w:p>
    <w:p w14:paraId="7CC5B746" w14:textId="77777777" w:rsidR="002667DD" w:rsidRDefault="002667DD" w:rsidP="002667DD">
      <w:pPr>
        <w:spacing w:after="160" w:line="257" w:lineRule="auto"/>
        <w:rPr>
          <w:rFonts w:eastAsia="Verdana" w:cs="Verdana"/>
          <w:color w:val="000000" w:themeColor="text1"/>
        </w:rPr>
      </w:pPr>
      <w:r w:rsidRPr="19F2CC99">
        <w:rPr>
          <w:rFonts w:eastAsia="Verdana" w:cs="Verdana"/>
          <w:color w:val="000000" w:themeColor="text1"/>
        </w:rPr>
        <w:t xml:space="preserve">The Commission provided statutory advice to the NI Office and Westminster Parliament on a range of bills, including the Northern Ireland Troubles (Legacy and Reconciliation) Bill. The Commission provided clause by clause analysis of the Bill raising significant concerns as to the compliance of the Bill with the ECHR. </w:t>
      </w:r>
    </w:p>
    <w:p w14:paraId="4814EE4B" w14:textId="77777777" w:rsidR="002667DD" w:rsidRDefault="002667DD" w:rsidP="002667DD">
      <w:pPr>
        <w:spacing w:after="160" w:line="257" w:lineRule="auto"/>
        <w:rPr>
          <w:rFonts w:eastAsia="Verdana" w:cs="Verdana"/>
          <w:color w:val="000000" w:themeColor="text1"/>
        </w:rPr>
      </w:pPr>
      <w:r w:rsidRPr="19F2CC99">
        <w:rPr>
          <w:rFonts w:eastAsia="Verdana" w:cs="Verdana"/>
          <w:color w:val="000000" w:themeColor="text1"/>
        </w:rPr>
        <w:t xml:space="preserve">In addition, the Commission provided statutory advice to the Westminster Parliament on the Bill of Rights Bill, a Bill proposing to reform the UK human rights framework. In providing oral evidence to the NI Affairs Committee the Commission highlighted the important role played by the Human Rights Act 1998 in ensuring the rights contained within the ECHR are accessible in UK Courts. </w:t>
      </w:r>
    </w:p>
    <w:p w14:paraId="66068271" w14:textId="77777777" w:rsidR="002667DD" w:rsidRPr="00D868BB" w:rsidRDefault="002667DD" w:rsidP="002667DD">
      <w:pPr>
        <w:pStyle w:val="Heading2"/>
        <w:rPr>
          <w:rFonts w:eastAsia="Verdana" w:cs="Verdana"/>
          <w:i w:val="0"/>
          <w:iCs w:val="0"/>
          <w:color w:val="232120"/>
          <w:lang w:val="en"/>
        </w:rPr>
      </w:pPr>
      <w:r w:rsidRPr="00D868BB">
        <w:rPr>
          <w:rFonts w:ascii="Verdana" w:eastAsia="Verdana" w:hAnsi="Verdana" w:cs="Verdana"/>
          <w:b w:val="0"/>
          <w:bCs w:val="0"/>
          <w:i w:val="0"/>
          <w:iCs w:val="0"/>
          <w:color w:val="000000" w:themeColor="text1"/>
          <w:sz w:val="24"/>
          <w:szCs w:val="24"/>
        </w:rPr>
        <w:lastRenderedPageBreak/>
        <w:t>The Commission also provided advice to NI Departments, including to the Department of Justice on measures to strengthen the response to Modern Slavery and Human Trafficking and on the use of</w:t>
      </w:r>
      <w:r w:rsidRPr="00D868BB">
        <w:rPr>
          <w:rFonts w:ascii="Verdana" w:eastAsia="Verdana" w:hAnsi="Verdana" w:cs="Verdana"/>
          <w:b w:val="0"/>
          <w:bCs w:val="0"/>
          <w:i w:val="0"/>
          <w:iCs w:val="0"/>
          <w:color w:val="232120"/>
          <w:sz w:val="24"/>
          <w:szCs w:val="24"/>
          <w:lang w:val="en"/>
        </w:rPr>
        <w:t xml:space="preserve"> audio and video links for NI Court and Tribunal Hearings.</w:t>
      </w:r>
    </w:p>
    <w:p w14:paraId="22C72908" w14:textId="77777777" w:rsidR="002667DD" w:rsidRPr="00D868BB" w:rsidRDefault="002667DD" w:rsidP="002667DD">
      <w:pPr>
        <w:pStyle w:val="Heading2"/>
        <w:rPr>
          <w:rFonts w:eastAsia="Verdana" w:cs="Verdana"/>
          <w:i w:val="0"/>
          <w:iCs w:val="0"/>
          <w:color w:val="232120"/>
          <w:lang w:val="en"/>
        </w:rPr>
      </w:pPr>
      <w:r w:rsidRPr="00D868BB">
        <w:rPr>
          <w:rFonts w:ascii="Verdana" w:eastAsia="Verdana" w:hAnsi="Verdana" w:cs="Verdana"/>
          <w:b w:val="0"/>
          <w:bCs w:val="0"/>
          <w:i w:val="0"/>
          <w:iCs w:val="0"/>
          <w:color w:val="232120"/>
          <w:sz w:val="24"/>
          <w:szCs w:val="24"/>
          <w:lang w:val="en"/>
        </w:rPr>
        <w:t xml:space="preserve">The Commission continued to engage in the international human rights system, including through participation in the Universal Periodic Review. In a statement to the UN Human Rights Council the Commission raised concerns that the Bill of Rights Bill will weaken human rights protections and that the NI Troubles (Legacy and Reconciliation) Bill will unduly restrict victim’s access to courts. In addition, the Commission submitted reports to the UN Committee on the Rights of the Child and the Committee on Economic Social and Cultural Rights. </w:t>
      </w:r>
    </w:p>
    <w:p w14:paraId="4D7DD4AC" w14:textId="77777777" w:rsidR="002667DD" w:rsidRDefault="002667DD" w:rsidP="002667DD">
      <w:pPr>
        <w:pStyle w:val="Heading2"/>
        <w:rPr>
          <w:rFonts w:ascii="Verdana" w:eastAsia="Verdana" w:hAnsi="Verdana" w:cs="Verdana"/>
          <w:b w:val="0"/>
          <w:bCs w:val="0"/>
          <w:i w:val="0"/>
          <w:iCs w:val="0"/>
          <w:color w:val="000000" w:themeColor="text1"/>
          <w:sz w:val="24"/>
          <w:szCs w:val="24"/>
        </w:rPr>
      </w:pPr>
      <w:r w:rsidRPr="00D868BB">
        <w:rPr>
          <w:rFonts w:ascii="Verdana" w:eastAsia="Verdana" w:hAnsi="Verdana" w:cs="Verdana"/>
          <w:b w:val="0"/>
          <w:bCs w:val="0"/>
          <w:i w:val="0"/>
          <w:iCs w:val="0"/>
          <w:color w:val="232120"/>
          <w:sz w:val="24"/>
          <w:szCs w:val="24"/>
          <w:lang w:val="en"/>
        </w:rPr>
        <w:t xml:space="preserve">In partnership with the Equality Commission for NI the Commission continued to </w:t>
      </w:r>
      <w:r w:rsidRPr="00D868BB">
        <w:rPr>
          <w:rFonts w:ascii="Verdana" w:eastAsia="Verdana" w:hAnsi="Verdana" w:cs="Verdana"/>
          <w:b w:val="0"/>
          <w:bCs w:val="0"/>
          <w:i w:val="0"/>
          <w:iCs w:val="0"/>
          <w:color w:val="000000" w:themeColor="text1"/>
          <w:sz w:val="24"/>
          <w:szCs w:val="24"/>
        </w:rPr>
        <w:t>deliver the mandate of the designated Independent Mechanism under Article 33 of the United Nations Convention on the</w:t>
      </w:r>
      <w:r w:rsidRPr="19F2CC99">
        <w:rPr>
          <w:rFonts w:ascii="Verdana" w:eastAsia="Verdana" w:hAnsi="Verdana" w:cs="Verdana"/>
          <w:b w:val="0"/>
          <w:bCs w:val="0"/>
          <w:color w:val="000000" w:themeColor="text1"/>
          <w:sz w:val="24"/>
          <w:szCs w:val="24"/>
        </w:rPr>
        <w:t xml:space="preserve"> </w:t>
      </w:r>
      <w:r w:rsidRPr="00517534">
        <w:rPr>
          <w:rFonts w:ascii="Verdana" w:eastAsia="Verdana" w:hAnsi="Verdana" w:cs="Verdana"/>
          <w:b w:val="0"/>
          <w:bCs w:val="0"/>
          <w:i w:val="0"/>
          <w:iCs w:val="0"/>
          <w:color w:val="000000" w:themeColor="text1"/>
          <w:sz w:val="24"/>
          <w:szCs w:val="24"/>
        </w:rPr>
        <w:t xml:space="preserve">Rights of Persons with Disabilities. This included facilitating and providing secretarial </w:t>
      </w:r>
      <w:r w:rsidRPr="00517534">
        <w:rPr>
          <w:rFonts w:ascii="Verdana" w:eastAsia="Verdana" w:hAnsi="Verdana" w:cs="Verdana"/>
          <w:b w:val="0"/>
          <w:i w:val="0"/>
          <w:iCs w:val="0"/>
          <w:color w:val="000000" w:themeColor="text1"/>
          <w:sz w:val="24"/>
          <w:szCs w:val="24"/>
        </w:rPr>
        <w:t xml:space="preserve">support </w:t>
      </w:r>
      <w:r w:rsidRPr="00517534">
        <w:rPr>
          <w:rFonts w:ascii="Verdana" w:eastAsia="Verdana" w:hAnsi="Verdana" w:cs="Verdana"/>
          <w:b w:val="0"/>
          <w:bCs w:val="0"/>
          <w:i w:val="0"/>
          <w:iCs w:val="0"/>
          <w:color w:val="000000" w:themeColor="text1"/>
          <w:sz w:val="24"/>
          <w:szCs w:val="24"/>
        </w:rPr>
        <w:t xml:space="preserve">to the Disability Forum. </w:t>
      </w:r>
    </w:p>
    <w:p w14:paraId="6F54B03C" w14:textId="77777777" w:rsidR="002667DD" w:rsidRPr="00517534" w:rsidRDefault="002667DD" w:rsidP="002667DD">
      <w:pPr>
        <w:rPr>
          <w:rFonts w:eastAsia="Verdana"/>
        </w:rPr>
      </w:pPr>
    </w:p>
    <w:p w14:paraId="1EF9E144" w14:textId="77777777" w:rsidR="002667DD" w:rsidRDefault="002667DD" w:rsidP="002667DD">
      <w:pPr>
        <w:spacing w:after="160" w:line="257" w:lineRule="auto"/>
        <w:rPr>
          <w:rFonts w:eastAsia="Verdana" w:cs="Verdana"/>
          <w:color w:val="000000" w:themeColor="text1"/>
        </w:rPr>
      </w:pPr>
      <w:r w:rsidRPr="19F2CC99">
        <w:rPr>
          <w:rFonts w:eastAsia="Verdana" w:cs="Verdana"/>
          <w:color w:val="000000" w:themeColor="text1"/>
        </w:rPr>
        <w:t xml:space="preserve">The Commission facilitated the monitoring visit by the Advisory Committee on the Council of Europe Framework Convention for the Protection of National Minorities and submitted evidence to the Committee. </w:t>
      </w:r>
    </w:p>
    <w:p w14:paraId="73439DBB" w14:textId="6133B5C5" w:rsidR="002667DD" w:rsidRDefault="002667DD" w:rsidP="002667DD">
      <w:pPr>
        <w:spacing w:after="160" w:line="257" w:lineRule="auto"/>
        <w:rPr>
          <w:rFonts w:eastAsia="Verdana" w:cs="Verdana"/>
        </w:rPr>
      </w:pPr>
      <w:r w:rsidRPr="19F2CC99">
        <w:rPr>
          <w:rFonts w:eastAsia="Verdana" w:cs="Verdana"/>
        </w:rPr>
        <w:t>Throughout the business year the Commission managed a research project on the prevention of drug addiction and substance abuse with researchers from Queen</w:t>
      </w:r>
      <w:r w:rsidR="008F24F5">
        <w:rPr>
          <w:rFonts w:eastAsia="Verdana" w:cs="Verdana"/>
        </w:rPr>
        <w:t>’</w:t>
      </w:r>
      <w:r w:rsidRPr="19F2CC99">
        <w:rPr>
          <w:rFonts w:eastAsia="Verdana" w:cs="Verdana"/>
        </w:rPr>
        <w:t>s</w:t>
      </w:r>
      <w:r w:rsidR="008F24F5">
        <w:rPr>
          <w:rFonts w:eastAsia="Verdana" w:cs="Verdana"/>
        </w:rPr>
        <w:t xml:space="preserve"> University Belfast</w:t>
      </w:r>
      <w:r w:rsidRPr="19F2CC99">
        <w:rPr>
          <w:rFonts w:eastAsia="Verdana" w:cs="Verdana"/>
        </w:rPr>
        <w:t xml:space="preserve"> regarding the prevention of drug addiction and substance abuse. The research report has been shared with the Department of Health.</w:t>
      </w:r>
    </w:p>
    <w:p w14:paraId="0406F956" w14:textId="77777777" w:rsidR="002667DD" w:rsidRDefault="002667DD" w:rsidP="002667DD">
      <w:pPr>
        <w:rPr>
          <w:color w:val="000000" w:themeColor="text1"/>
        </w:rPr>
      </w:pPr>
      <w:r>
        <w:rPr>
          <w:color w:val="000000" w:themeColor="text1"/>
        </w:rPr>
        <w:t>The Commission continues to support individuals on a broad range of human rights matters, providing human rights information, advice and signposting to approximately 419 individuals this year. The Commission also exercised its legal powers, under the Northern Ireland Act 1998 in a number of ongoing legal cases.</w:t>
      </w:r>
    </w:p>
    <w:p w14:paraId="1A980906" w14:textId="77777777" w:rsidR="002667DD" w:rsidRDefault="002667DD" w:rsidP="002667DD">
      <w:pPr>
        <w:rPr>
          <w:color w:val="000000" w:themeColor="text1"/>
        </w:rPr>
      </w:pPr>
      <w:r>
        <w:rPr>
          <w:color w:val="000000" w:themeColor="text1"/>
        </w:rPr>
        <w:t xml:space="preserve"> </w:t>
      </w:r>
    </w:p>
    <w:p w14:paraId="559EE82C" w14:textId="77777777" w:rsidR="002667DD" w:rsidRDefault="002667DD" w:rsidP="002667DD">
      <w:pPr>
        <w:rPr>
          <w:color w:val="000000" w:themeColor="text1"/>
        </w:rPr>
      </w:pPr>
      <w:r>
        <w:rPr>
          <w:color w:val="000000" w:themeColor="text1"/>
        </w:rPr>
        <w:t xml:space="preserve">The Commission has continued to support an individual challenge against the Department of Justice in respect of the compliance of the Rehabilitation of Offenders (NI) Order 1978 with the right to private and family life. Following an appeal by the Department of Justice, a hearing before the Court of Appeal is listed for April 2023. </w:t>
      </w:r>
    </w:p>
    <w:p w14:paraId="4C3DB447" w14:textId="77777777" w:rsidR="002667DD" w:rsidRDefault="002667DD" w:rsidP="002667DD">
      <w:pPr>
        <w:rPr>
          <w:color w:val="000000" w:themeColor="text1"/>
        </w:rPr>
      </w:pPr>
    </w:p>
    <w:p w14:paraId="7639EEE4" w14:textId="77777777" w:rsidR="002667DD" w:rsidRDefault="002667DD" w:rsidP="002667DD">
      <w:pPr>
        <w:rPr>
          <w:color w:val="000000" w:themeColor="text1"/>
        </w:rPr>
      </w:pPr>
      <w:r>
        <w:rPr>
          <w:color w:val="000000" w:themeColor="text1"/>
        </w:rPr>
        <w:t xml:space="preserve">The Commission also continued to support an individual challenge to the Ministry of Defence regarding the provision of a pension to an unmarried partner. This was heard by the Court of Appeal in February 2023. A further application for judicial review is anticipated later in 2024.  </w:t>
      </w:r>
    </w:p>
    <w:p w14:paraId="278E9EA2" w14:textId="77777777" w:rsidR="002667DD" w:rsidRDefault="002667DD" w:rsidP="002667DD">
      <w:pPr>
        <w:rPr>
          <w:color w:val="000000" w:themeColor="text1"/>
        </w:rPr>
      </w:pPr>
    </w:p>
    <w:p w14:paraId="256885CB" w14:textId="77777777" w:rsidR="002667DD" w:rsidRDefault="002667DD" w:rsidP="002667DD">
      <w:pPr>
        <w:rPr>
          <w:color w:val="000000" w:themeColor="text1"/>
        </w:rPr>
      </w:pPr>
      <w:r>
        <w:rPr>
          <w:color w:val="000000" w:themeColor="text1"/>
        </w:rPr>
        <w:t xml:space="preserve">The challenge to the vires of the Secretary of State for NI on the Abortion Regulations 2021 was subject to appeal by the Society for the Protection </w:t>
      </w:r>
      <w:r>
        <w:rPr>
          <w:color w:val="000000" w:themeColor="text1"/>
        </w:rPr>
        <w:lastRenderedPageBreak/>
        <w:t xml:space="preserve">of the Unborn Child Pro Life Limited (SPUC). The Commission was granted leave to enter both written and oral submissions. These focused on both the Commission’s previous litigation on reproductive healthcare and particularly on the application of Article 2 of the Windsor Framework. The Court of Appeal heard the appeal in January 2023 and judgment is awaited. </w:t>
      </w:r>
    </w:p>
    <w:p w14:paraId="35E18787" w14:textId="77777777" w:rsidR="002667DD" w:rsidRDefault="002667DD" w:rsidP="002667DD">
      <w:pPr>
        <w:rPr>
          <w:color w:val="000000" w:themeColor="text1"/>
        </w:rPr>
      </w:pPr>
    </w:p>
    <w:p w14:paraId="28190429" w14:textId="2AA110DC" w:rsidR="002667DD" w:rsidRDefault="002667DD" w:rsidP="002667DD">
      <w:pPr>
        <w:rPr>
          <w:color w:val="000000" w:themeColor="text1"/>
        </w:rPr>
      </w:pPr>
      <w:r>
        <w:rPr>
          <w:color w:val="000000" w:themeColor="text1"/>
        </w:rPr>
        <w:t>The Commission was also granted leave to intervene in a judicial review challenge supported by the Commissioner for Older People against the Department of Health on its policy on Continuing Healthcare. The Commission entered a written submission focusing on the application of the right to peaceful enjoyment of property, under Article 1 of Protocol 1 of the ECHR, and the interaction with the UNCRPD. This case was heard in October 202</w:t>
      </w:r>
      <w:r w:rsidR="00A044E4">
        <w:rPr>
          <w:color w:val="000000" w:themeColor="text1"/>
        </w:rPr>
        <w:t>2</w:t>
      </w:r>
      <w:r>
        <w:rPr>
          <w:color w:val="000000" w:themeColor="text1"/>
        </w:rPr>
        <w:t xml:space="preserve"> and the judgment is awaited. </w:t>
      </w:r>
    </w:p>
    <w:p w14:paraId="7E968452" w14:textId="77777777" w:rsidR="00D948A4" w:rsidRDefault="00D948A4" w:rsidP="002667DD">
      <w:pPr>
        <w:rPr>
          <w:b/>
          <w:bCs/>
          <w:color w:val="000000" w:themeColor="text1"/>
        </w:rPr>
      </w:pPr>
    </w:p>
    <w:p w14:paraId="62C1629F" w14:textId="77777777" w:rsidR="002667DD" w:rsidRDefault="002667DD" w:rsidP="002667DD">
      <w:pPr>
        <w:rPr>
          <w:b/>
          <w:bCs/>
          <w:color w:val="auto"/>
        </w:rPr>
      </w:pPr>
      <w:r>
        <w:rPr>
          <w:b/>
          <w:bCs/>
          <w:color w:val="auto"/>
        </w:rPr>
        <w:t>Objective 2: To ensure that rights protection is not diminished as a result of the United Kingdom having left the European Union; and, where required, ensure that Northern Ireland keeps pace with changes in European Union equality laws –</w:t>
      </w:r>
    </w:p>
    <w:p w14:paraId="2FF163C6" w14:textId="77777777" w:rsidR="002667DD" w:rsidRDefault="002667DD" w:rsidP="002667DD"/>
    <w:p w14:paraId="5A8D7FFD" w14:textId="77777777" w:rsidR="002667DD" w:rsidRPr="006C00AB" w:rsidRDefault="002667DD" w:rsidP="002667DD">
      <w:pPr>
        <w:pStyle w:val="paragraph"/>
        <w:spacing w:before="0" w:beforeAutospacing="0" w:after="0" w:afterAutospacing="0"/>
        <w:textAlignment w:val="baseline"/>
        <w:rPr>
          <w:rStyle w:val="normaltextrun"/>
          <w:rFonts w:ascii="Verdana" w:hAnsi="Verdana" w:cs="Calibri"/>
        </w:rPr>
      </w:pPr>
      <w:r w:rsidRPr="006C00AB">
        <w:rPr>
          <w:rStyle w:val="normaltextrun"/>
          <w:rFonts w:ascii="Verdana" w:hAnsi="Verdana" w:cs="Calibri"/>
        </w:rPr>
        <w:t>In July 2022, NIHRC and ECNI jointly published their first annual report as the dedicated mechanism</w:t>
      </w:r>
      <w:r>
        <w:rPr>
          <w:rStyle w:val="normaltextrun"/>
          <w:rFonts w:ascii="Verdana" w:hAnsi="Verdana" w:cs="Calibri"/>
        </w:rPr>
        <w:t xml:space="preserve"> charged with oversight of Windsor Framework Article 2</w:t>
      </w:r>
      <w:r w:rsidRPr="006C00AB">
        <w:rPr>
          <w:rStyle w:val="normaltextrun"/>
          <w:rFonts w:ascii="Verdana" w:hAnsi="Verdana" w:cs="Calibri"/>
        </w:rPr>
        <w:t>, setting out over 50 joint recommendations and a further 25 NIHRC recommendations</w:t>
      </w:r>
      <w:r w:rsidRPr="006C00AB">
        <w:rPr>
          <w:rStyle w:val="FootnoteReference"/>
          <w:rFonts w:cs="Calibri"/>
        </w:rPr>
        <w:footnoteReference w:id="3"/>
      </w:r>
      <w:r>
        <w:rPr>
          <w:rStyle w:val="normaltextrun"/>
          <w:rFonts w:ascii="Verdana" w:hAnsi="Verdana" w:cs="Calibri"/>
        </w:rPr>
        <w:t xml:space="preserve"> which were discussed at an event attended by around 50 stakeholder representatives.</w:t>
      </w:r>
      <w:r>
        <w:rPr>
          <w:rStyle w:val="normaltextrun"/>
          <w:rFonts w:ascii="Verdana" w:hAnsi="Verdana" w:cs="Calibri"/>
        </w:rPr>
        <w:br/>
      </w:r>
    </w:p>
    <w:p w14:paraId="0173FDAE" w14:textId="77777777" w:rsidR="002667DD" w:rsidRPr="006C00AB" w:rsidRDefault="002667DD" w:rsidP="002667DD">
      <w:r w:rsidRPr="006C00AB">
        <w:t>Jointly with the Equality Commission for Northern Ireland (ECNI), the Commission published a Working Paper setting out the Commissions’ view of the scope of the Article 2(1) commitment, including an appendix of the relevant EU l</w:t>
      </w:r>
      <w:r>
        <w:t>egislation</w:t>
      </w:r>
      <w:r w:rsidRPr="006C00AB">
        <w:t xml:space="preserve"> identified to date</w:t>
      </w:r>
      <w:r>
        <w:t>,</w:t>
      </w:r>
      <w:r w:rsidRPr="006C00AB">
        <w:t xml:space="preserve"> alongside a table of related domestic law.</w:t>
      </w:r>
      <w:r w:rsidRPr="006C00AB">
        <w:rPr>
          <w:rStyle w:val="FootnoteReference"/>
        </w:rPr>
        <w:footnoteReference w:id="4"/>
      </w:r>
      <w:r w:rsidRPr="006C00AB">
        <w:t xml:space="preserve"> This </w:t>
      </w:r>
      <w:r w:rsidRPr="006C00AB">
        <w:rPr>
          <w:rStyle w:val="normaltextrun"/>
          <w:rFonts w:cs="Calibri"/>
        </w:rPr>
        <w:t xml:space="preserve">drew on in-house, and externally commissioned, </w:t>
      </w:r>
      <w:r>
        <w:rPr>
          <w:rStyle w:val="normaltextrun"/>
          <w:rFonts w:cs="Calibri"/>
        </w:rPr>
        <w:t xml:space="preserve">legal </w:t>
      </w:r>
      <w:r w:rsidRPr="006C00AB">
        <w:rPr>
          <w:rStyle w:val="normaltextrun"/>
          <w:rFonts w:cs="Calibri"/>
        </w:rPr>
        <w:t>research and analysis and followed engagement with key stakeholders.</w:t>
      </w:r>
    </w:p>
    <w:p w14:paraId="59D7BDD9" w14:textId="77777777" w:rsidR="002667DD" w:rsidRDefault="002667DD" w:rsidP="002667DD">
      <w:pPr>
        <w:rPr>
          <w:rStyle w:val="normaltextrun"/>
          <w:rFonts w:cs="Calibri"/>
        </w:rPr>
      </w:pPr>
    </w:p>
    <w:p w14:paraId="449B0C2B" w14:textId="77777777" w:rsidR="002667DD" w:rsidRPr="006C00AB" w:rsidRDefault="002667DD" w:rsidP="002667DD">
      <w:pPr>
        <w:pStyle w:val="paragraph"/>
        <w:spacing w:before="0" w:beforeAutospacing="0" w:after="0" w:afterAutospacing="0"/>
        <w:textAlignment w:val="baseline"/>
        <w:rPr>
          <w:rStyle w:val="normaltextrun"/>
          <w:rFonts w:ascii="Verdana" w:hAnsi="Verdana" w:cs="Calibri"/>
        </w:rPr>
      </w:pPr>
      <w:r>
        <w:rPr>
          <w:rStyle w:val="normaltextrun"/>
          <w:rFonts w:ascii="Verdana" w:hAnsi="Verdana" w:cs="Calibri"/>
        </w:rPr>
        <w:t>Stakeholder engagement events were held to launch two research reports: analysis</w:t>
      </w:r>
      <w:r w:rsidRPr="006C00AB">
        <w:rPr>
          <w:rStyle w:val="normaltextrun"/>
          <w:rFonts w:ascii="Verdana" w:hAnsi="Verdana" w:cs="Calibri"/>
        </w:rPr>
        <w:t xml:space="preserve"> by Alison Harvey BL o</w:t>
      </w:r>
      <w:r>
        <w:rPr>
          <w:rStyle w:val="normaltextrun"/>
          <w:rFonts w:ascii="Verdana" w:hAnsi="Verdana" w:cs="Calibri"/>
        </w:rPr>
        <w:t>f</w:t>
      </w:r>
      <w:r w:rsidRPr="006C00AB">
        <w:rPr>
          <w:rStyle w:val="normaltextrun"/>
          <w:rFonts w:ascii="Verdana" w:hAnsi="Verdana" w:cs="Calibri"/>
        </w:rPr>
        <w:t xml:space="preserve"> the implications of Protocol Article 2 for the law on human trafficking, </w:t>
      </w:r>
      <w:r>
        <w:rPr>
          <w:rStyle w:val="normaltextrun"/>
          <w:rFonts w:ascii="Verdana" w:hAnsi="Verdana" w:cs="Calibri"/>
        </w:rPr>
        <w:t xml:space="preserve">published </w:t>
      </w:r>
      <w:r w:rsidRPr="006C00AB">
        <w:rPr>
          <w:rStyle w:val="normaltextrun"/>
          <w:rFonts w:ascii="Verdana" w:hAnsi="Verdana" w:cs="Calibri"/>
        </w:rPr>
        <w:t>in May 2022</w:t>
      </w:r>
      <w:r>
        <w:rPr>
          <w:rStyle w:val="normaltextrun"/>
          <w:rFonts w:ascii="Verdana" w:hAnsi="Verdana" w:cs="Calibri"/>
        </w:rPr>
        <w:t xml:space="preserve">; and </w:t>
      </w:r>
      <w:r w:rsidRPr="006C00AB">
        <w:rPr>
          <w:rStyle w:val="normaltextrun"/>
          <w:rFonts w:ascii="Verdana" w:hAnsi="Verdana" w:cs="Calibri"/>
        </w:rPr>
        <w:t xml:space="preserve">a report on the interaction between Article 2 and rights of access to healthcare </w:t>
      </w:r>
      <w:r>
        <w:rPr>
          <w:rStyle w:val="normaltextrun"/>
          <w:rFonts w:ascii="Verdana" w:hAnsi="Verdana" w:cs="Calibri"/>
        </w:rPr>
        <w:t xml:space="preserve">by Professor Tamara Hervey </w:t>
      </w:r>
      <w:r w:rsidRPr="006C00AB">
        <w:rPr>
          <w:rStyle w:val="normaltextrun"/>
          <w:rFonts w:ascii="Verdana" w:hAnsi="Verdana" w:cs="Calibri"/>
        </w:rPr>
        <w:t xml:space="preserve">published in June 2022. </w:t>
      </w:r>
      <w:r>
        <w:rPr>
          <w:rStyle w:val="normaltextrun"/>
          <w:rFonts w:ascii="Verdana" w:hAnsi="Verdana" w:cs="Calibri"/>
        </w:rPr>
        <w:br/>
      </w:r>
    </w:p>
    <w:p w14:paraId="0B2EA6DD" w14:textId="77777777" w:rsidR="002667DD" w:rsidRDefault="002667DD" w:rsidP="002667DD">
      <w:pPr>
        <w:pStyle w:val="paragraph"/>
        <w:spacing w:before="0" w:beforeAutospacing="0" w:after="0" w:afterAutospacing="0"/>
        <w:textAlignment w:val="baseline"/>
        <w:rPr>
          <w:rStyle w:val="normaltextrun"/>
          <w:rFonts w:ascii="Verdana" w:hAnsi="Verdana" w:cs="Calibri"/>
        </w:rPr>
      </w:pPr>
      <w:r w:rsidRPr="006C00AB">
        <w:rPr>
          <w:rStyle w:val="normaltextrun"/>
          <w:rFonts w:ascii="Verdana" w:hAnsi="Verdana" w:cs="Calibri"/>
        </w:rPr>
        <w:t>The Commission highlighted Article 2 issues in relation to a number of Westminster Bills</w:t>
      </w:r>
      <w:r>
        <w:rPr>
          <w:rStyle w:val="normaltextrun"/>
          <w:rFonts w:ascii="Verdana" w:hAnsi="Verdana" w:cs="Calibri"/>
        </w:rPr>
        <w:t xml:space="preserve"> during the year</w:t>
      </w:r>
      <w:r w:rsidRPr="006C00AB">
        <w:rPr>
          <w:rStyle w:val="normaltextrun"/>
          <w:rFonts w:ascii="Verdana" w:hAnsi="Verdana" w:cs="Calibri"/>
        </w:rPr>
        <w:t xml:space="preserve">, </w:t>
      </w:r>
      <w:r>
        <w:rPr>
          <w:rStyle w:val="normaltextrun"/>
          <w:rFonts w:ascii="Verdana" w:hAnsi="Verdana" w:cs="Calibri"/>
        </w:rPr>
        <w:t>including</w:t>
      </w:r>
      <w:r w:rsidRPr="006C00AB">
        <w:rPr>
          <w:rStyle w:val="normaltextrun"/>
          <w:rFonts w:ascii="Verdana" w:hAnsi="Verdana" w:cs="Calibri"/>
        </w:rPr>
        <w:t xml:space="preserve"> the Retained EU Law Bill</w:t>
      </w:r>
      <w:r w:rsidRPr="006C00AB">
        <w:rPr>
          <w:rStyle w:val="FootnoteReference"/>
          <w:rFonts w:cs="Calibri"/>
        </w:rPr>
        <w:footnoteReference w:id="5"/>
      </w:r>
      <w:r w:rsidRPr="006C00AB">
        <w:rPr>
          <w:rStyle w:val="normaltextrun"/>
          <w:rFonts w:ascii="Verdana" w:hAnsi="Verdana" w:cs="Calibri"/>
        </w:rPr>
        <w:t>, the Protocol Bill</w:t>
      </w:r>
      <w:r w:rsidRPr="006C00AB">
        <w:rPr>
          <w:rStyle w:val="FootnoteReference"/>
          <w:rFonts w:cs="Calibri"/>
        </w:rPr>
        <w:footnoteReference w:id="6"/>
      </w:r>
      <w:r w:rsidRPr="006C00AB">
        <w:rPr>
          <w:rStyle w:val="normaltextrun"/>
          <w:rFonts w:ascii="Verdana" w:hAnsi="Verdana" w:cs="Calibri"/>
        </w:rPr>
        <w:t>, the Bill of Rights Bill</w:t>
      </w:r>
      <w:r w:rsidRPr="006C00AB">
        <w:rPr>
          <w:rStyle w:val="FootnoteReference"/>
          <w:rFonts w:cs="Calibri"/>
        </w:rPr>
        <w:footnoteReference w:id="7"/>
      </w:r>
      <w:r w:rsidRPr="006C00AB">
        <w:rPr>
          <w:rStyle w:val="normaltextrun"/>
          <w:rFonts w:ascii="Verdana" w:hAnsi="Verdana" w:cs="Calibri"/>
        </w:rPr>
        <w:t xml:space="preserve"> and the NI Troubles (Legacy and </w:t>
      </w:r>
      <w:r w:rsidRPr="006C00AB">
        <w:rPr>
          <w:rStyle w:val="normaltextrun"/>
          <w:rFonts w:ascii="Verdana" w:hAnsi="Verdana" w:cs="Calibri"/>
        </w:rPr>
        <w:lastRenderedPageBreak/>
        <w:t>Reconciliation) Bill</w:t>
      </w:r>
      <w:r>
        <w:rPr>
          <w:rStyle w:val="normaltextrun"/>
          <w:rFonts w:ascii="Verdana" w:hAnsi="Verdana" w:cs="Calibri"/>
        </w:rPr>
        <w:t>.</w:t>
      </w:r>
      <w:r w:rsidRPr="006C00AB">
        <w:rPr>
          <w:rStyle w:val="FootnoteReference"/>
          <w:rFonts w:cs="Calibri"/>
        </w:rPr>
        <w:footnoteReference w:id="8"/>
      </w:r>
      <w:r w:rsidRPr="006C00AB">
        <w:rPr>
          <w:rStyle w:val="normaltextrun"/>
          <w:rFonts w:ascii="Verdana" w:hAnsi="Verdana" w:cs="Calibri"/>
        </w:rPr>
        <w:t xml:space="preserve"> </w:t>
      </w:r>
      <w:r w:rsidRPr="00362FF2">
        <w:rPr>
          <w:rStyle w:val="normaltextrun"/>
          <w:rFonts w:ascii="Verdana" w:hAnsi="Verdana" w:cs="Calibri"/>
        </w:rPr>
        <w:t>The Commission</w:t>
      </w:r>
      <w:r>
        <w:rPr>
          <w:rStyle w:val="normaltextrun"/>
          <w:rFonts w:ascii="Verdana" w:hAnsi="Verdana" w:cs="Calibri"/>
        </w:rPr>
        <w:t>’</w:t>
      </w:r>
      <w:r w:rsidRPr="00362FF2">
        <w:rPr>
          <w:rStyle w:val="normaltextrun"/>
          <w:rFonts w:ascii="Verdana" w:hAnsi="Verdana" w:cs="Calibri"/>
        </w:rPr>
        <w:t>s advice and recommendations were raised in letters from Westminster Committees, reflected in amendments and referenced in debates.</w:t>
      </w:r>
      <w:r>
        <w:rPr>
          <w:rStyle w:val="FootnoteReference"/>
          <w:rFonts w:cs="Calibri"/>
        </w:rPr>
        <w:footnoteReference w:id="9"/>
      </w:r>
      <w:r>
        <w:rPr>
          <w:rStyle w:val="normaltextrun"/>
          <w:rFonts w:ascii="Verdana" w:hAnsi="Verdana" w:cs="Calibri"/>
        </w:rPr>
        <w:br/>
      </w:r>
    </w:p>
    <w:p w14:paraId="17C42C94" w14:textId="77777777" w:rsidR="002667DD" w:rsidRPr="006C00AB" w:rsidRDefault="002667DD" w:rsidP="002667DD">
      <w:pPr>
        <w:pStyle w:val="paragraph"/>
        <w:spacing w:before="0" w:beforeAutospacing="0" w:after="0" w:afterAutospacing="0"/>
        <w:textAlignment w:val="baseline"/>
        <w:rPr>
          <w:rStyle w:val="normaltextrun"/>
          <w:rFonts w:ascii="Verdana" w:hAnsi="Verdana" w:cs="Calibri"/>
        </w:rPr>
      </w:pPr>
      <w:r>
        <w:rPr>
          <w:rStyle w:val="normaltextrun"/>
          <w:rFonts w:ascii="Verdana" w:hAnsi="Verdana" w:cs="Calibri"/>
        </w:rPr>
        <w:t>In each of these submissions t</w:t>
      </w:r>
      <w:r w:rsidRPr="006C00AB">
        <w:rPr>
          <w:rStyle w:val="normaltextrun"/>
          <w:rFonts w:ascii="Verdana" w:hAnsi="Verdana" w:cs="Calibri"/>
        </w:rPr>
        <w:t xml:space="preserve">he Commission has </w:t>
      </w:r>
      <w:r>
        <w:rPr>
          <w:rStyle w:val="normaltextrun"/>
          <w:rFonts w:ascii="Verdana" w:hAnsi="Verdana" w:cs="Calibri"/>
        </w:rPr>
        <w:t xml:space="preserve">highlighted the lack of consideration of Article 2 in legislative documents and Commission staff have </w:t>
      </w:r>
      <w:r w:rsidRPr="00E51F59">
        <w:rPr>
          <w:rStyle w:val="normaltextrun"/>
          <w:rFonts w:ascii="Verdana" w:hAnsi="Verdana" w:cs="Calibri"/>
        </w:rPr>
        <w:t>engag</w:t>
      </w:r>
      <w:r>
        <w:rPr>
          <w:rStyle w:val="normaltextrun"/>
          <w:rFonts w:ascii="Verdana" w:hAnsi="Verdana" w:cs="Calibri"/>
        </w:rPr>
        <w:t>ed</w:t>
      </w:r>
      <w:r w:rsidRPr="00E51F59">
        <w:rPr>
          <w:rStyle w:val="normaltextrun"/>
          <w:rFonts w:ascii="Verdana" w:hAnsi="Verdana" w:cs="Calibri"/>
        </w:rPr>
        <w:t xml:space="preserve"> regularly with officials in the </w:t>
      </w:r>
      <w:r>
        <w:rPr>
          <w:rStyle w:val="normaltextrun"/>
          <w:rFonts w:ascii="Verdana" w:hAnsi="Verdana" w:cs="Calibri"/>
        </w:rPr>
        <w:t xml:space="preserve">NIO, the </w:t>
      </w:r>
      <w:r w:rsidRPr="00E51F59">
        <w:rPr>
          <w:rStyle w:val="normaltextrun"/>
          <w:rFonts w:ascii="Verdana" w:hAnsi="Verdana" w:cs="Calibri"/>
        </w:rPr>
        <w:t xml:space="preserve">Executive Office </w:t>
      </w:r>
      <w:r>
        <w:rPr>
          <w:rStyle w:val="normaltextrun"/>
          <w:rFonts w:ascii="Verdana" w:hAnsi="Verdana" w:cs="Calibri"/>
        </w:rPr>
        <w:t xml:space="preserve">and other officials on related recommendations. </w:t>
      </w:r>
      <w:r>
        <w:rPr>
          <w:rStyle w:val="normaltextrun"/>
          <w:rFonts w:ascii="Verdana" w:hAnsi="Verdana" w:cs="Calibri"/>
        </w:rPr>
        <w:br/>
      </w:r>
    </w:p>
    <w:p w14:paraId="5BEED765" w14:textId="77777777" w:rsidR="002667DD" w:rsidRPr="006C00AB" w:rsidRDefault="002667DD" w:rsidP="002667DD">
      <w:pPr>
        <w:pStyle w:val="paragraph"/>
        <w:spacing w:before="0" w:beforeAutospacing="0" w:after="0" w:afterAutospacing="0"/>
        <w:textAlignment w:val="baseline"/>
        <w:rPr>
          <w:rStyle w:val="normaltextrun"/>
          <w:rFonts w:ascii="Verdana" w:hAnsi="Verdana" w:cs="Calibri"/>
        </w:rPr>
      </w:pPr>
      <w:r w:rsidRPr="006C00AB">
        <w:rPr>
          <w:rStyle w:val="normaltextrun"/>
          <w:rFonts w:ascii="Verdana" w:hAnsi="Verdana" w:cs="Calibri"/>
        </w:rPr>
        <w:t>The Commission also responded to the European Commission Consultation on the Racial Equality Directive</w:t>
      </w:r>
      <w:r w:rsidRPr="006C00AB">
        <w:rPr>
          <w:rStyle w:val="FootnoteReference"/>
          <w:rFonts w:cs="Calibri"/>
        </w:rPr>
        <w:footnoteReference w:id="10"/>
      </w:r>
      <w:r w:rsidRPr="006C00AB">
        <w:rPr>
          <w:rStyle w:val="normaltextrun"/>
          <w:rFonts w:ascii="Verdana" w:hAnsi="Verdana" w:cs="Calibri"/>
        </w:rPr>
        <w:t xml:space="preserve"> and highlighted Article 2 obligations within its treaty-monitoring work.</w:t>
      </w:r>
      <w:r>
        <w:rPr>
          <w:rStyle w:val="FootnoteReference"/>
          <w:rFonts w:cs="Calibri"/>
        </w:rPr>
        <w:footnoteReference w:id="11"/>
      </w:r>
      <w:r w:rsidRPr="006C00AB">
        <w:rPr>
          <w:rStyle w:val="normaltextrun"/>
          <w:rFonts w:ascii="Verdana" w:hAnsi="Verdana" w:cs="Calibri"/>
        </w:rPr>
        <w:t xml:space="preserve"> </w:t>
      </w:r>
      <w:r>
        <w:rPr>
          <w:rStyle w:val="normaltextrun"/>
          <w:rFonts w:ascii="Verdana" w:hAnsi="Verdana" w:cs="Calibri"/>
        </w:rPr>
        <w:br/>
      </w:r>
    </w:p>
    <w:p w14:paraId="74CA2F48" w14:textId="77777777" w:rsidR="002667DD" w:rsidRPr="006C00AB" w:rsidRDefault="002667DD" w:rsidP="002667DD">
      <w:pPr>
        <w:pStyle w:val="paragraph"/>
        <w:spacing w:before="0" w:beforeAutospacing="0" w:after="0" w:afterAutospacing="0"/>
        <w:textAlignment w:val="baseline"/>
        <w:rPr>
          <w:rStyle w:val="normaltextrun"/>
          <w:rFonts w:ascii="Verdana" w:hAnsi="Verdana" w:cs="Calibri"/>
        </w:rPr>
      </w:pPr>
      <w:r>
        <w:rPr>
          <w:rStyle w:val="normaltextrun"/>
          <w:rFonts w:ascii="Verdana" w:hAnsi="Verdana" w:cs="Calibri"/>
        </w:rPr>
        <w:t xml:space="preserve">NIHRC continued to work with ECNI and the Irish Human Rights and Equality Commission on aspects of Article 2 with an </w:t>
      </w:r>
      <w:r w:rsidRPr="00D8233B">
        <w:rPr>
          <w:rStyle w:val="normaltextrun"/>
          <w:rFonts w:ascii="Verdana" w:hAnsi="Verdana" w:cs="Calibri"/>
        </w:rPr>
        <w:t>island of Ireland dimension</w:t>
      </w:r>
      <w:r>
        <w:rPr>
          <w:rStyle w:val="normaltextrun"/>
          <w:rFonts w:ascii="Verdana" w:hAnsi="Verdana" w:cs="Calibri"/>
        </w:rPr>
        <w:t>. T</w:t>
      </w:r>
      <w:r w:rsidRPr="00A621B2">
        <w:rPr>
          <w:rStyle w:val="normaltextrun"/>
          <w:rFonts w:ascii="Verdana" w:hAnsi="Verdana" w:cs="Calibri"/>
        </w:rPr>
        <w:t>he</w:t>
      </w:r>
      <w:r>
        <w:rPr>
          <w:rStyle w:val="normaltextrun"/>
          <w:rFonts w:ascii="Verdana" w:hAnsi="Verdana" w:cs="Calibri"/>
        </w:rPr>
        <w:t xml:space="preserve"> three Chief Commissioners gave evidence </w:t>
      </w:r>
      <w:r w:rsidRPr="00E92A56">
        <w:rPr>
          <w:rStyle w:val="normaltextrun"/>
          <w:rFonts w:ascii="Verdana" w:hAnsi="Verdana" w:cs="Calibri"/>
        </w:rPr>
        <w:t xml:space="preserve">to the Oireachtas Committee on the Implementation of the Good Friday Agreement </w:t>
      </w:r>
      <w:r>
        <w:rPr>
          <w:rStyle w:val="normaltextrun"/>
          <w:rFonts w:ascii="Verdana" w:hAnsi="Verdana" w:cs="Calibri"/>
        </w:rPr>
        <w:t xml:space="preserve">in </w:t>
      </w:r>
      <w:r w:rsidRPr="00E92A56">
        <w:rPr>
          <w:rStyle w:val="normaltextrun"/>
          <w:rFonts w:ascii="Verdana" w:hAnsi="Verdana" w:cs="Calibri"/>
        </w:rPr>
        <w:t xml:space="preserve">September </w:t>
      </w:r>
      <w:r>
        <w:rPr>
          <w:rStyle w:val="normaltextrun"/>
          <w:rFonts w:ascii="Verdana" w:hAnsi="Verdana" w:cs="Calibri"/>
        </w:rPr>
        <w:t xml:space="preserve">and the </w:t>
      </w:r>
      <w:r w:rsidRPr="00A621B2">
        <w:rPr>
          <w:rStyle w:val="normaltextrun"/>
          <w:rFonts w:ascii="Verdana" w:hAnsi="Verdana" w:cs="Calibri"/>
        </w:rPr>
        <w:t>boards of the three Commissions met in person</w:t>
      </w:r>
      <w:r>
        <w:rPr>
          <w:rStyle w:val="normaltextrun"/>
          <w:rFonts w:ascii="Verdana" w:hAnsi="Verdana" w:cs="Calibri"/>
        </w:rPr>
        <w:t xml:space="preserve"> in Dublin in November, launching their first joint annual report.</w:t>
      </w:r>
      <w:r>
        <w:rPr>
          <w:rStyle w:val="normaltextrun"/>
          <w:rFonts w:ascii="Verdana" w:hAnsi="Verdana" w:cs="Calibri"/>
        </w:rPr>
        <w:br/>
      </w:r>
    </w:p>
    <w:p w14:paraId="0B84C516" w14:textId="77777777" w:rsidR="002667DD" w:rsidRPr="006C00AB" w:rsidRDefault="002667DD" w:rsidP="002667DD">
      <w:r w:rsidRPr="00426CC4">
        <w:t>The three Commissions contracted expert research on “European Union Developments in Equality and Human Rights: the impact of Brexit on the divergence of rights and best practice on the island of Ireland”</w:t>
      </w:r>
      <w:r>
        <w:t xml:space="preserve"> and sought feedback on draft recommendations at a stakeholder event in January. </w:t>
      </w:r>
    </w:p>
    <w:p w14:paraId="7F898E11" w14:textId="77777777" w:rsidR="002667DD" w:rsidRPr="006C00AB" w:rsidRDefault="002667DD" w:rsidP="002667DD"/>
    <w:p w14:paraId="5B1C2167" w14:textId="77777777" w:rsidR="002667DD" w:rsidRDefault="002667DD" w:rsidP="002667DD">
      <w:r>
        <w:t>The Commission continued to raise awareness and promote understanding of the UK Government’s commitment under Article 2 of the Windsor Framework and of the remit and roles of the Commission. The Commission utilised digital platforms and proactive media statements to communicate this work.</w:t>
      </w:r>
    </w:p>
    <w:p w14:paraId="613A56BD" w14:textId="77777777" w:rsidR="002667DD" w:rsidRDefault="002667DD" w:rsidP="002667DD"/>
    <w:p w14:paraId="161E8733" w14:textId="77777777" w:rsidR="002667DD" w:rsidRDefault="002667DD" w:rsidP="002667DD">
      <w:r>
        <w:t>In year our public statements included:</w:t>
      </w:r>
    </w:p>
    <w:p w14:paraId="2C3570A4" w14:textId="77777777" w:rsidR="002667DD" w:rsidRDefault="002667DD" w:rsidP="002667DD"/>
    <w:p w14:paraId="192F1780" w14:textId="77777777" w:rsidR="002667DD" w:rsidRDefault="002667DD" w:rsidP="002667DD">
      <w:r>
        <w:t>NIHRC and ECNI launch report on the implementation of Article 2 of the Ireland/Northern Ireland Protocol – 5 July 2022</w:t>
      </w:r>
    </w:p>
    <w:p w14:paraId="3EA54DC3" w14:textId="77777777" w:rsidR="002667DD" w:rsidRDefault="002667DD" w:rsidP="002667DD"/>
    <w:p w14:paraId="66A4F785" w14:textId="77777777" w:rsidR="002667DD" w:rsidRDefault="002667DD" w:rsidP="002667DD">
      <w:r>
        <w:lastRenderedPageBreak/>
        <w:t>Human Rights and Equality Commissions advise Oireachtas on post-Brexit protections – 22 September 2022</w:t>
      </w:r>
    </w:p>
    <w:p w14:paraId="61B8A6AB" w14:textId="77777777" w:rsidR="002667DD" w:rsidRDefault="002667DD" w:rsidP="002667DD"/>
    <w:p w14:paraId="03DEE9E8" w14:textId="77777777" w:rsidR="002667DD" w:rsidRDefault="002667DD" w:rsidP="002667DD">
      <w:r>
        <w:t>Clarifying the Scope of Protocol Protections is key to ensuring Equality and Human Rights are upheld post Brexit – 1 December 2022</w:t>
      </w:r>
    </w:p>
    <w:p w14:paraId="19C01F75" w14:textId="77777777" w:rsidR="002667DD" w:rsidRDefault="002667DD" w:rsidP="002667DD"/>
    <w:p w14:paraId="7A838B7D" w14:textId="77777777" w:rsidR="002667DD" w:rsidRDefault="002667DD" w:rsidP="002667DD">
      <w:r>
        <w:t>Three Commissions Launch Research and Policy Recommendations: The Impact of Brexit on the Divergence of Rights and Best Practice on the Island of Ireland – 27 April 2023</w:t>
      </w:r>
    </w:p>
    <w:p w14:paraId="238B3F43" w14:textId="77777777" w:rsidR="002667DD" w:rsidRDefault="002667DD" w:rsidP="002667DD"/>
    <w:p w14:paraId="3006A2C4" w14:textId="77777777" w:rsidR="002667DD" w:rsidRDefault="002667DD" w:rsidP="002667DD">
      <w:r>
        <w:t>The Commission produced and managed an advertising and digital marketing campaign on the dedicated mechanism function. The target audiences included:</w:t>
      </w:r>
    </w:p>
    <w:p w14:paraId="099F003D" w14:textId="77777777" w:rsidR="002667DD" w:rsidRDefault="002667DD" w:rsidP="002667DD"/>
    <w:p w14:paraId="33D8DF21" w14:textId="77777777" w:rsidR="002667DD" w:rsidRDefault="002667DD" w:rsidP="002667DD">
      <w:r>
        <w:t>Advice-giving and community support organisations;</w:t>
      </w:r>
    </w:p>
    <w:p w14:paraId="21F4CCF5" w14:textId="77777777" w:rsidR="002667DD" w:rsidRDefault="002667DD" w:rsidP="002667DD">
      <w:r>
        <w:t>Signposting organisations within government and voluntary sector;</w:t>
      </w:r>
    </w:p>
    <w:p w14:paraId="47678FEC" w14:textId="77777777" w:rsidR="002667DD" w:rsidRDefault="002667DD" w:rsidP="002667DD">
      <w:r>
        <w:t>NGOs, such as NI equality and human rights groups, and relevant NI legal advice centres.</w:t>
      </w:r>
    </w:p>
    <w:p w14:paraId="6B091E0F" w14:textId="77777777" w:rsidR="002667DD" w:rsidRDefault="002667DD" w:rsidP="002667DD"/>
    <w:p w14:paraId="57D310AC" w14:textId="77777777" w:rsidR="002667DD" w:rsidRDefault="002667DD" w:rsidP="002667DD">
      <w:r>
        <w:t>The digital campaign ran on Facebook and Instagram for four weeks (16th March – 16th April). The outdoor campaign ran over two two-week cycles from 27th Feb - 12th March and 13th - 26th March. A combination of bus shelters and billboards were spread across Northern Ireland. Locations included: Belfast (city centre and Greater Belfast area) Ballymena, Ballymoney, Coleraine, Derry/Londonderry, Magherafelt, Maghera, Cookstown, Omagh, Enniskillen, Lurgan, Newry, Banbridge, Lisburn, Bangor.</w:t>
      </w:r>
    </w:p>
    <w:p w14:paraId="57336DA0" w14:textId="77777777" w:rsidR="002667DD" w:rsidRDefault="002667DD" w:rsidP="002667DD"/>
    <w:p w14:paraId="6B01767A" w14:textId="77777777" w:rsidR="002667DD" w:rsidRDefault="002667DD" w:rsidP="002667DD">
      <w:r>
        <w:t>In year the Commission has also designed and produce educational videos for government officials and policy makers explaining the Dedicated Mechanism mandate and Scope Paper. These will be launched later in 2023.</w:t>
      </w:r>
    </w:p>
    <w:p w14:paraId="322B20FB" w14:textId="77777777" w:rsidR="002667DD" w:rsidRDefault="002667DD" w:rsidP="002667DD"/>
    <w:p w14:paraId="3B9CFDFF" w14:textId="77777777" w:rsidR="002667DD" w:rsidRPr="00795CA3" w:rsidRDefault="002667DD" w:rsidP="002667DD">
      <w:r>
        <w:t xml:space="preserve">The Commission, jointly with the Equality Commission for NI, were granted leave to intervene in a judicial review against the UK Home Office by an individual challenging a dispersal application. The Commissions entered both written and oral submissions to assist the NI High Court on the application of the test to apply under Article 2 of the Windsor Framework. Judgment is awaited in this matter.  </w:t>
      </w:r>
    </w:p>
    <w:p w14:paraId="10C8FE0D" w14:textId="77777777" w:rsidR="002667DD" w:rsidRPr="00BC1691" w:rsidRDefault="002667DD" w:rsidP="002667DD">
      <w:pPr>
        <w:rPr>
          <w:b/>
          <w:bCs/>
        </w:rPr>
      </w:pPr>
    </w:p>
    <w:p w14:paraId="09C6E71B" w14:textId="77777777" w:rsidR="002667DD" w:rsidRDefault="002667DD" w:rsidP="002667DD">
      <w:pPr>
        <w:autoSpaceDE w:val="0"/>
        <w:autoSpaceDN w:val="0"/>
        <w:adjustRightInd w:val="0"/>
        <w:rPr>
          <w:b/>
          <w:bCs/>
          <w:color w:val="auto"/>
        </w:rPr>
      </w:pPr>
      <w:r>
        <w:rPr>
          <w:b/>
          <w:color w:val="auto"/>
        </w:rPr>
        <w:t>Objective</w:t>
      </w:r>
      <w:r w:rsidRPr="001C7925">
        <w:rPr>
          <w:b/>
          <w:color w:val="auto"/>
        </w:rPr>
        <w:t xml:space="preserve"> 3: </w:t>
      </w:r>
      <w:r>
        <w:rPr>
          <w:b/>
          <w:color w:val="auto"/>
        </w:rPr>
        <w:t>To build a society in which human rights are better understood, protected and valued, making a positive impact upon the delivery of services -</w:t>
      </w:r>
    </w:p>
    <w:p w14:paraId="2E9CBAFF" w14:textId="77777777" w:rsidR="002667DD" w:rsidRDefault="002667DD" w:rsidP="002667DD">
      <w:pPr>
        <w:rPr>
          <w:b/>
          <w:bCs/>
          <w:color w:val="auto"/>
        </w:rPr>
      </w:pPr>
    </w:p>
    <w:p w14:paraId="4DBE875A" w14:textId="77777777" w:rsidR="002667DD" w:rsidRDefault="002667DD" w:rsidP="002667DD">
      <w:pPr>
        <w:autoSpaceDE w:val="0"/>
        <w:autoSpaceDN w:val="0"/>
        <w:adjustRightInd w:val="0"/>
        <w:rPr>
          <w:color w:val="auto"/>
        </w:rPr>
      </w:pPr>
      <w:r w:rsidRPr="00795CA3">
        <w:rPr>
          <w:color w:val="auto"/>
        </w:rPr>
        <w:t>The Commission continued to promote understanding and awareness of the importance of human rights in Northern Ireland through its communication, engagement and education functions.</w:t>
      </w:r>
    </w:p>
    <w:p w14:paraId="215B62CF" w14:textId="77777777" w:rsidR="002667DD" w:rsidRPr="00795CA3" w:rsidRDefault="002667DD" w:rsidP="002667DD">
      <w:pPr>
        <w:autoSpaceDE w:val="0"/>
        <w:autoSpaceDN w:val="0"/>
        <w:adjustRightInd w:val="0"/>
        <w:rPr>
          <w:color w:val="auto"/>
        </w:rPr>
      </w:pPr>
    </w:p>
    <w:p w14:paraId="49EA743E" w14:textId="77777777" w:rsidR="002667DD" w:rsidRDefault="002667DD" w:rsidP="002667DD">
      <w:pPr>
        <w:autoSpaceDE w:val="0"/>
        <w:autoSpaceDN w:val="0"/>
        <w:adjustRightInd w:val="0"/>
        <w:rPr>
          <w:color w:val="auto"/>
        </w:rPr>
      </w:pPr>
      <w:r w:rsidRPr="00795CA3">
        <w:rPr>
          <w:color w:val="auto"/>
        </w:rPr>
        <w:lastRenderedPageBreak/>
        <w:t>A communications strategy was developed in year to support the Commission’s strategic priorities 2022-25. The Commission engaged with the media proactively in year and promoted its work across its wide range of digital platforms.</w:t>
      </w:r>
    </w:p>
    <w:p w14:paraId="427A4E95" w14:textId="77777777" w:rsidR="002667DD" w:rsidRPr="00776047" w:rsidRDefault="002667DD" w:rsidP="002667DD">
      <w:pPr>
        <w:autoSpaceDE w:val="0"/>
        <w:autoSpaceDN w:val="0"/>
        <w:adjustRightInd w:val="0"/>
      </w:pPr>
    </w:p>
    <w:p w14:paraId="69257EB9" w14:textId="77777777" w:rsidR="002667DD" w:rsidRPr="00776047" w:rsidRDefault="002667DD" w:rsidP="002667DD">
      <w:pPr>
        <w:autoSpaceDE w:val="0"/>
        <w:autoSpaceDN w:val="0"/>
        <w:adjustRightInd w:val="0"/>
      </w:pPr>
      <w:r w:rsidRPr="00795CA3">
        <w:rPr>
          <w:color w:val="auto"/>
        </w:rPr>
        <w:t>Over 65 public statements were made during this period. These included:</w:t>
      </w:r>
    </w:p>
    <w:p w14:paraId="5E7B5BD1" w14:textId="77777777" w:rsidR="002667DD" w:rsidRDefault="002667DD" w:rsidP="002667DD">
      <w:pPr>
        <w:autoSpaceDE w:val="0"/>
        <w:autoSpaceDN w:val="0"/>
        <w:adjustRightInd w:val="0"/>
        <w:rPr>
          <w:b/>
          <w:bCs/>
          <w:color w:val="auto"/>
        </w:rPr>
      </w:pPr>
      <w:r w:rsidRPr="088FD545">
        <w:rPr>
          <w:b/>
          <w:bCs/>
          <w:color w:val="auto"/>
        </w:rPr>
        <w:t xml:space="preserve"> </w:t>
      </w:r>
    </w:p>
    <w:p w14:paraId="3D7E4E3F" w14:textId="77777777" w:rsidR="002667DD" w:rsidRPr="00776047" w:rsidRDefault="002667DD" w:rsidP="002667DD">
      <w:pPr>
        <w:autoSpaceDE w:val="0"/>
        <w:autoSpaceDN w:val="0"/>
        <w:adjustRightInd w:val="0"/>
      </w:pPr>
      <w:r w:rsidRPr="00795CA3">
        <w:rPr>
          <w:color w:val="auto"/>
        </w:rPr>
        <w:t>No evidence for Human Rights Act Reform Chief Commissioner warns Westminster committee – 17 May 2022</w:t>
      </w:r>
    </w:p>
    <w:p w14:paraId="318CA140" w14:textId="77777777" w:rsidR="002667DD" w:rsidRPr="00795CA3" w:rsidRDefault="002667DD" w:rsidP="002667DD">
      <w:pPr>
        <w:autoSpaceDE w:val="0"/>
        <w:autoSpaceDN w:val="0"/>
        <w:adjustRightInd w:val="0"/>
        <w:rPr>
          <w:color w:val="auto"/>
        </w:rPr>
      </w:pPr>
    </w:p>
    <w:p w14:paraId="7B12F055" w14:textId="77777777" w:rsidR="002667DD" w:rsidRPr="00776047" w:rsidRDefault="002667DD" w:rsidP="002667DD">
      <w:pPr>
        <w:autoSpaceDE w:val="0"/>
        <w:autoSpaceDN w:val="0"/>
        <w:adjustRightInd w:val="0"/>
      </w:pPr>
      <w:r w:rsidRPr="00795CA3">
        <w:rPr>
          <w:color w:val="auto"/>
        </w:rPr>
        <w:t>NI Human Rights Commission responds to proposed legislation on dealing with the past – 23 May 2022</w:t>
      </w:r>
    </w:p>
    <w:p w14:paraId="209AF626" w14:textId="77777777" w:rsidR="002667DD" w:rsidRPr="00795CA3" w:rsidRDefault="002667DD" w:rsidP="002667DD">
      <w:pPr>
        <w:autoSpaceDE w:val="0"/>
        <w:autoSpaceDN w:val="0"/>
        <w:adjustRightInd w:val="0"/>
        <w:rPr>
          <w:color w:val="auto"/>
        </w:rPr>
      </w:pPr>
    </w:p>
    <w:p w14:paraId="73E1E0A6" w14:textId="77777777" w:rsidR="002667DD" w:rsidRPr="00776047" w:rsidRDefault="002667DD" w:rsidP="002667DD">
      <w:pPr>
        <w:autoSpaceDE w:val="0"/>
        <w:autoSpaceDN w:val="0"/>
        <w:adjustRightInd w:val="0"/>
      </w:pPr>
      <w:r w:rsidRPr="00795CA3">
        <w:rPr>
          <w:color w:val="auto"/>
        </w:rPr>
        <w:t>NI Human Rights Chief Commissioner responds to Abortion Services Statement – 2 December 2022</w:t>
      </w:r>
    </w:p>
    <w:p w14:paraId="3B744022" w14:textId="77777777" w:rsidR="002667DD" w:rsidRPr="00795CA3" w:rsidRDefault="002667DD" w:rsidP="002667DD">
      <w:pPr>
        <w:autoSpaceDE w:val="0"/>
        <w:autoSpaceDN w:val="0"/>
        <w:adjustRightInd w:val="0"/>
        <w:rPr>
          <w:color w:val="auto"/>
        </w:rPr>
      </w:pPr>
    </w:p>
    <w:p w14:paraId="75CD2DB1" w14:textId="77777777" w:rsidR="002667DD" w:rsidRPr="00776047" w:rsidRDefault="002667DD" w:rsidP="002667DD">
      <w:pPr>
        <w:autoSpaceDE w:val="0"/>
        <w:autoSpaceDN w:val="0"/>
        <w:adjustRightInd w:val="0"/>
      </w:pPr>
      <w:r w:rsidRPr="00795CA3">
        <w:rPr>
          <w:color w:val="auto"/>
        </w:rPr>
        <w:t>Commission welcomes Supreme Court judgment on Safe Access Zones Bill – 7 December 2022</w:t>
      </w:r>
    </w:p>
    <w:p w14:paraId="5B5EDB3B" w14:textId="77777777" w:rsidR="002667DD" w:rsidRDefault="002667DD" w:rsidP="002667DD">
      <w:pPr>
        <w:autoSpaceDE w:val="0"/>
        <w:autoSpaceDN w:val="0"/>
        <w:adjustRightInd w:val="0"/>
        <w:rPr>
          <w:b/>
          <w:bCs/>
          <w:color w:val="auto"/>
        </w:rPr>
      </w:pPr>
      <w:r w:rsidRPr="00795CA3">
        <w:rPr>
          <w:color w:val="auto"/>
        </w:rPr>
        <w:t xml:space="preserve"> </w:t>
      </w:r>
    </w:p>
    <w:p w14:paraId="610D510E" w14:textId="77777777" w:rsidR="002667DD" w:rsidRPr="00776047" w:rsidRDefault="002667DD" w:rsidP="002667DD">
      <w:pPr>
        <w:autoSpaceDE w:val="0"/>
        <w:autoSpaceDN w:val="0"/>
        <w:adjustRightInd w:val="0"/>
      </w:pPr>
      <w:r w:rsidRPr="00795CA3">
        <w:rPr>
          <w:color w:val="auto"/>
        </w:rPr>
        <w:t>Commission engages with Prince’s Trust Young Ambassadors – 3 February 2023</w:t>
      </w:r>
    </w:p>
    <w:p w14:paraId="56EB7222" w14:textId="77777777" w:rsidR="002667DD" w:rsidRPr="00795CA3" w:rsidRDefault="002667DD" w:rsidP="002667DD">
      <w:pPr>
        <w:autoSpaceDE w:val="0"/>
        <w:autoSpaceDN w:val="0"/>
        <w:adjustRightInd w:val="0"/>
        <w:rPr>
          <w:color w:val="auto"/>
        </w:rPr>
      </w:pPr>
    </w:p>
    <w:p w14:paraId="21865958" w14:textId="77777777" w:rsidR="002667DD" w:rsidRPr="00776047" w:rsidRDefault="002667DD" w:rsidP="002667DD">
      <w:pPr>
        <w:autoSpaceDE w:val="0"/>
        <w:autoSpaceDN w:val="0"/>
        <w:adjustRightInd w:val="0"/>
      </w:pPr>
      <w:r w:rsidRPr="00795CA3">
        <w:rPr>
          <w:color w:val="auto"/>
        </w:rPr>
        <w:t>Commission announces engagement with NI Youth Assembly on the International Day of Education – 24 January 2023</w:t>
      </w:r>
    </w:p>
    <w:p w14:paraId="3A1E5A63" w14:textId="77777777" w:rsidR="002667DD" w:rsidRPr="00795CA3" w:rsidRDefault="002667DD" w:rsidP="002667DD">
      <w:pPr>
        <w:autoSpaceDE w:val="0"/>
        <w:autoSpaceDN w:val="0"/>
        <w:adjustRightInd w:val="0"/>
        <w:rPr>
          <w:color w:val="auto"/>
        </w:rPr>
      </w:pPr>
    </w:p>
    <w:p w14:paraId="397E6481" w14:textId="77777777" w:rsidR="002667DD" w:rsidRPr="00776047" w:rsidRDefault="002667DD" w:rsidP="002667DD">
      <w:pPr>
        <w:autoSpaceDE w:val="0"/>
        <w:autoSpaceDN w:val="0"/>
        <w:adjustRightInd w:val="0"/>
      </w:pPr>
      <w:r w:rsidRPr="00795CA3">
        <w:rPr>
          <w:color w:val="auto"/>
        </w:rPr>
        <w:t>NIHRC teams up with Eco-Schools NI – 22 February 2023</w:t>
      </w:r>
    </w:p>
    <w:p w14:paraId="40E268DA" w14:textId="77777777" w:rsidR="002667DD" w:rsidRDefault="002667DD" w:rsidP="002667DD">
      <w:pPr>
        <w:autoSpaceDE w:val="0"/>
        <w:autoSpaceDN w:val="0"/>
        <w:adjustRightInd w:val="0"/>
        <w:rPr>
          <w:b/>
          <w:bCs/>
          <w:color w:val="auto"/>
        </w:rPr>
      </w:pPr>
      <w:r w:rsidRPr="088FD545">
        <w:rPr>
          <w:b/>
          <w:bCs/>
          <w:color w:val="auto"/>
        </w:rPr>
        <w:t xml:space="preserve"> </w:t>
      </w:r>
    </w:p>
    <w:p w14:paraId="48DD51AE" w14:textId="77777777" w:rsidR="002667DD" w:rsidRPr="00445C31" w:rsidRDefault="002667DD" w:rsidP="002667DD">
      <w:pPr>
        <w:autoSpaceDE w:val="0"/>
        <w:autoSpaceDN w:val="0"/>
        <w:adjustRightInd w:val="0"/>
      </w:pPr>
      <w:r w:rsidRPr="00795CA3">
        <w:rPr>
          <w:color w:val="auto"/>
        </w:rPr>
        <w:t>Sporting organisations pledge support for human rights – 8 September 2022</w:t>
      </w:r>
    </w:p>
    <w:p w14:paraId="6D935BEC" w14:textId="77777777" w:rsidR="002667DD" w:rsidRPr="00795CA3" w:rsidRDefault="002667DD" w:rsidP="002667DD">
      <w:pPr>
        <w:autoSpaceDE w:val="0"/>
        <w:autoSpaceDN w:val="0"/>
        <w:adjustRightInd w:val="0"/>
        <w:rPr>
          <w:color w:val="auto"/>
        </w:rPr>
      </w:pPr>
    </w:p>
    <w:p w14:paraId="493A5329" w14:textId="77777777" w:rsidR="002667DD" w:rsidRPr="00445C31" w:rsidRDefault="002667DD" w:rsidP="002667DD">
      <w:pPr>
        <w:autoSpaceDE w:val="0"/>
        <w:autoSpaceDN w:val="0"/>
        <w:adjustRightInd w:val="0"/>
      </w:pPr>
      <w:r w:rsidRPr="00795CA3">
        <w:rPr>
          <w:color w:val="auto"/>
        </w:rPr>
        <w:t>Modern slavery, human trafficking and sustainable procurement discussed at Business and Human Rights Forum – 19 October 2022</w:t>
      </w:r>
    </w:p>
    <w:p w14:paraId="5D95316C" w14:textId="77777777" w:rsidR="002667DD" w:rsidRPr="00795CA3" w:rsidRDefault="002667DD" w:rsidP="002667DD">
      <w:pPr>
        <w:autoSpaceDE w:val="0"/>
        <w:autoSpaceDN w:val="0"/>
        <w:adjustRightInd w:val="0"/>
        <w:rPr>
          <w:color w:val="auto"/>
        </w:rPr>
      </w:pPr>
    </w:p>
    <w:p w14:paraId="3F95DACB" w14:textId="77777777" w:rsidR="002667DD" w:rsidRPr="00445C31" w:rsidRDefault="002667DD" w:rsidP="002667DD">
      <w:pPr>
        <w:autoSpaceDE w:val="0"/>
        <w:autoSpaceDN w:val="0"/>
        <w:adjustRightInd w:val="0"/>
      </w:pPr>
      <w:r w:rsidRPr="00795CA3">
        <w:rPr>
          <w:color w:val="auto"/>
        </w:rPr>
        <w:t>New podcast series celebrates sport and human rights – 5 October 2022</w:t>
      </w:r>
    </w:p>
    <w:p w14:paraId="72F7806D" w14:textId="77777777" w:rsidR="002667DD" w:rsidRPr="00445C31" w:rsidRDefault="002667DD" w:rsidP="002667DD">
      <w:pPr>
        <w:autoSpaceDE w:val="0"/>
        <w:autoSpaceDN w:val="0"/>
        <w:adjustRightInd w:val="0"/>
      </w:pPr>
      <w:r w:rsidRPr="00795CA3">
        <w:rPr>
          <w:color w:val="auto"/>
        </w:rPr>
        <w:t xml:space="preserve"> </w:t>
      </w:r>
    </w:p>
    <w:p w14:paraId="1C06B7E8" w14:textId="77777777" w:rsidR="002667DD" w:rsidRPr="00445C31" w:rsidRDefault="002667DD" w:rsidP="002667DD">
      <w:pPr>
        <w:autoSpaceDE w:val="0"/>
        <w:autoSpaceDN w:val="0"/>
        <w:adjustRightInd w:val="0"/>
      </w:pPr>
      <w:r w:rsidRPr="00795CA3">
        <w:rPr>
          <w:color w:val="auto"/>
        </w:rPr>
        <w:t>The Commission directly engaged with the community through partnerships such as the Northern Ireland Business and Human Rights Forum and the Northern Ireland Sport and Human Rights Forum. We developed and delivered a programme of work for post primary schools based on the Commission’s 2022-25 Strategic</w:t>
      </w:r>
      <w:r w:rsidRPr="088FD545">
        <w:rPr>
          <w:b/>
          <w:bCs/>
          <w:color w:val="auto"/>
        </w:rPr>
        <w:t xml:space="preserve"> </w:t>
      </w:r>
      <w:r w:rsidRPr="00795CA3">
        <w:rPr>
          <w:color w:val="auto"/>
        </w:rPr>
        <w:t xml:space="preserve">Priorities.  In year partnership opportunities were developed with Eco Schools, NI Youth Assembly, Princes Trust and NI Universities and Education Providers. </w:t>
      </w:r>
    </w:p>
    <w:p w14:paraId="48C9FEBF" w14:textId="77777777" w:rsidR="002667DD" w:rsidRPr="00445C31" w:rsidRDefault="002667DD" w:rsidP="002667DD">
      <w:pPr>
        <w:autoSpaceDE w:val="0"/>
        <w:autoSpaceDN w:val="0"/>
        <w:adjustRightInd w:val="0"/>
      </w:pPr>
      <w:r w:rsidRPr="00795CA3">
        <w:rPr>
          <w:color w:val="auto"/>
        </w:rPr>
        <w:t xml:space="preserve"> </w:t>
      </w:r>
    </w:p>
    <w:p w14:paraId="083EB976" w14:textId="77777777" w:rsidR="002667DD" w:rsidRPr="00795CA3" w:rsidRDefault="002667DD" w:rsidP="002667DD">
      <w:pPr>
        <w:autoSpaceDE w:val="0"/>
        <w:autoSpaceDN w:val="0"/>
        <w:adjustRightInd w:val="0"/>
        <w:rPr>
          <w:color w:val="auto"/>
        </w:rPr>
      </w:pPr>
      <w:r w:rsidRPr="00795CA3">
        <w:rPr>
          <w:color w:val="auto"/>
        </w:rPr>
        <w:t xml:space="preserve">Targeting the public sector, we reviewed and updated the Northern Ireland Civil Service online human rights guide was completed in partnership with the Executive Office. </w:t>
      </w:r>
    </w:p>
    <w:p w14:paraId="695D8FB3" w14:textId="77777777" w:rsidR="002667DD" w:rsidRDefault="002667DD" w:rsidP="002667DD">
      <w:pPr>
        <w:autoSpaceDE w:val="0"/>
        <w:autoSpaceDN w:val="0"/>
        <w:adjustRightInd w:val="0"/>
        <w:rPr>
          <w:b/>
          <w:bCs/>
          <w:color w:val="auto"/>
        </w:rPr>
      </w:pPr>
    </w:p>
    <w:p w14:paraId="455EA9D5" w14:textId="77777777" w:rsidR="002667DD" w:rsidRPr="00795CA3" w:rsidRDefault="002667DD" w:rsidP="002667DD">
      <w:pPr>
        <w:autoSpaceDE w:val="0"/>
        <w:autoSpaceDN w:val="0"/>
        <w:adjustRightInd w:val="0"/>
        <w:rPr>
          <w:color w:val="auto"/>
        </w:rPr>
      </w:pPr>
      <w:r w:rsidRPr="00795CA3">
        <w:rPr>
          <w:color w:val="auto"/>
        </w:rPr>
        <w:t xml:space="preserve">We also sought to reach new and wider audiences in year, delivering an annual human rights lecture in association with the Lady Chief Justice of </w:t>
      </w:r>
      <w:r w:rsidRPr="00795CA3">
        <w:rPr>
          <w:color w:val="auto"/>
        </w:rPr>
        <w:lastRenderedPageBreak/>
        <w:t xml:space="preserve">Northern Ireland and the Bar of Northern Ireland. Baroness Brenda Hale provided the keynote address on ‘Do We Need a British Bill of Rights’? which was widely added by the legal profession and human rights organisations across Northern Ireland. </w:t>
      </w:r>
    </w:p>
    <w:p w14:paraId="5BA6281E" w14:textId="77777777" w:rsidR="002667DD" w:rsidRPr="00795CA3" w:rsidRDefault="002667DD" w:rsidP="002667DD">
      <w:pPr>
        <w:rPr>
          <w:color w:val="auto"/>
        </w:rPr>
      </w:pPr>
    </w:p>
    <w:p w14:paraId="105DFBA4" w14:textId="77777777" w:rsidR="002667DD" w:rsidRPr="00795CA3" w:rsidRDefault="002667DD" w:rsidP="002667DD">
      <w:pPr>
        <w:autoSpaceDE w:val="0"/>
        <w:autoSpaceDN w:val="0"/>
        <w:adjustRightInd w:val="0"/>
        <w:rPr>
          <w:color w:val="auto"/>
        </w:rPr>
      </w:pPr>
      <w:r w:rsidRPr="00795CA3">
        <w:rPr>
          <w:color w:val="auto"/>
        </w:rPr>
        <w:t>In December 2022 we published and launched our Annual Statement on Human Rights in association with the Office of the Speaker of the Northern Ireland Assembly. The Commission was delighted to have Gary Lightbody from Snow Patrol and the Lightbody Foundation provide the keynote address. He usefully highlighted the interplay between poverty, mental health and human rights in Northern Ireland.</w:t>
      </w:r>
    </w:p>
    <w:p w14:paraId="008B75E9" w14:textId="77777777" w:rsidR="002667DD" w:rsidRDefault="002667DD" w:rsidP="002667DD">
      <w:pPr>
        <w:autoSpaceDE w:val="0"/>
        <w:autoSpaceDN w:val="0"/>
        <w:adjustRightInd w:val="0"/>
        <w:rPr>
          <w:b/>
          <w:color w:val="auto"/>
        </w:rPr>
      </w:pPr>
    </w:p>
    <w:p w14:paraId="01370905" w14:textId="77777777" w:rsidR="002667DD" w:rsidRPr="00C64196" w:rsidRDefault="002667DD" w:rsidP="002667DD">
      <w:pPr>
        <w:autoSpaceDE w:val="0"/>
        <w:autoSpaceDN w:val="0"/>
        <w:adjustRightInd w:val="0"/>
        <w:rPr>
          <w:rFonts w:cs="Arial"/>
          <w:b/>
          <w:color w:val="auto"/>
        </w:rPr>
      </w:pPr>
      <w:r>
        <w:rPr>
          <w:rFonts w:cs="Arial"/>
          <w:b/>
          <w:color w:val="auto"/>
        </w:rPr>
        <w:t>Objective</w:t>
      </w:r>
      <w:r w:rsidRPr="00C64196">
        <w:rPr>
          <w:rFonts w:cs="Arial"/>
          <w:b/>
          <w:color w:val="auto"/>
        </w:rPr>
        <w:t xml:space="preserve"> 4: </w:t>
      </w:r>
      <w:r>
        <w:rPr>
          <w:rFonts w:cs="Arial"/>
          <w:b/>
          <w:color w:val="auto"/>
        </w:rPr>
        <w:t>To work in partnership with other human rights and equality bodies to maximise human rights protection -</w:t>
      </w:r>
    </w:p>
    <w:p w14:paraId="3761C016" w14:textId="77777777" w:rsidR="002667DD" w:rsidRDefault="002667DD" w:rsidP="002667DD">
      <w:pPr>
        <w:autoSpaceDE w:val="0"/>
        <w:autoSpaceDN w:val="0"/>
        <w:adjustRightInd w:val="0"/>
        <w:rPr>
          <w:rFonts w:cs="TT150t00"/>
          <w:color w:val="auto"/>
          <w:sz w:val="22"/>
          <w:szCs w:val="22"/>
        </w:rPr>
      </w:pPr>
    </w:p>
    <w:p w14:paraId="3C12E4F8" w14:textId="7D34BCCF" w:rsidR="002667DD" w:rsidRPr="002603AF" w:rsidRDefault="002667DD" w:rsidP="002667DD">
      <w:pPr>
        <w:autoSpaceDE w:val="0"/>
        <w:autoSpaceDN w:val="0"/>
        <w:adjustRightInd w:val="0"/>
        <w:rPr>
          <w:rFonts w:cs="TT150t00"/>
          <w:color w:val="auto"/>
        </w:rPr>
      </w:pPr>
      <w:r w:rsidRPr="006A79A5">
        <w:rPr>
          <w:rFonts w:cs="TT150t00"/>
          <w:color w:val="auto"/>
        </w:rPr>
        <w:t>The Commission maintained membership of working groups within the European Network of National Human Rights Institutions and the Global Alliance of National Human Rights Institutions (GANHRI) includin</w:t>
      </w:r>
      <w:r w:rsidR="00B3105C">
        <w:rPr>
          <w:rFonts w:cs="TT150t00"/>
          <w:color w:val="auto"/>
        </w:rPr>
        <w:t xml:space="preserve">g </w:t>
      </w:r>
      <w:r>
        <w:rPr>
          <w:rFonts w:cs="TT150t00"/>
          <w:color w:val="auto"/>
        </w:rPr>
        <w:t xml:space="preserve">Artificial Intelligence, </w:t>
      </w:r>
      <w:r w:rsidRPr="006A79A5">
        <w:rPr>
          <w:rFonts w:cs="TT150t00"/>
          <w:color w:val="auto"/>
        </w:rPr>
        <w:t>Business and Human Rights; Climate Change; Communications; the Legal working group; Rights of Older Persons; Economic, Social and Cultural Rights; and the United Nations Convention of the Rights of Persons with Disabilities.</w:t>
      </w:r>
      <w:r w:rsidRPr="00795CA3">
        <w:rPr>
          <w:rFonts w:cs="TT150t00"/>
          <w:color w:val="auto"/>
          <w:shd w:val="clear" w:color="auto" w:fill="E6E6E6"/>
        </w:rPr>
        <w:t xml:space="preserve"> </w:t>
      </w:r>
    </w:p>
    <w:p w14:paraId="3BE6C893" w14:textId="77777777" w:rsidR="002667DD" w:rsidRPr="002603AF" w:rsidRDefault="002667DD" w:rsidP="002667DD">
      <w:pPr>
        <w:autoSpaceDE w:val="0"/>
        <w:autoSpaceDN w:val="0"/>
        <w:adjustRightInd w:val="0"/>
        <w:rPr>
          <w:rFonts w:cs="TT150t00"/>
          <w:color w:val="auto"/>
        </w:rPr>
      </w:pPr>
      <w:r w:rsidRPr="00795CA3">
        <w:rPr>
          <w:rFonts w:cs="TT150t00"/>
          <w:color w:val="auto"/>
          <w:shd w:val="clear" w:color="auto" w:fill="E6E6E6"/>
        </w:rPr>
        <w:t xml:space="preserve"> </w:t>
      </w:r>
    </w:p>
    <w:p w14:paraId="1FA97803" w14:textId="77777777" w:rsidR="002667DD" w:rsidRPr="002603AF" w:rsidRDefault="002667DD" w:rsidP="002667DD">
      <w:pPr>
        <w:autoSpaceDE w:val="0"/>
        <w:autoSpaceDN w:val="0"/>
        <w:adjustRightInd w:val="0"/>
        <w:rPr>
          <w:rFonts w:cs="TT150t00"/>
          <w:color w:val="auto"/>
        </w:rPr>
      </w:pPr>
      <w:r w:rsidRPr="003A149F">
        <w:rPr>
          <w:rFonts w:cs="TT150t00"/>
          <w:color w:val="auto"/>
        </w:rPr>
        <w:t>As a member of the Commonwealth Forum of National Human Rights Institutions (CFNHRI) the Commission acted as designated lead to establish a permanent secretariat for the CFNHRI. We continue to work in partnership with Equality and Human Rights Commission (Great Britain)</w:t>
      </w:r>
      <w:r w:rsidRPr="00795CA3">
        <w:rPr>
          <w:rFonts w:cs="TT150t00"/>
          <w:color w:val="auto"/>
          <w:shd w:val="clear" w:color="auto" w:fill="E6E6E6"/>
        </w:rPr>
        <w:t xml:space="preserve"> </w:t>
      </w:r>
      <w:r w:rsidRPr="003A149F">
        <w:rPr>
          <w:rFonts w:cs="TT150t00"/>
          <w:color w:val="auto"/>
        </w:rPr>
        <w:t>and the Rwanda National Commission for Human Rights to secure funding for a permanent secretariat for the Commonwealth Forum of National Human Rights Institutions. The Commission also continues to work alongside the Foreign, Commonwealth &amp; Development Office (FCDO) to seek support for this work.</w:t>
      </w:r>
    </w:p>
    <w:p w14:paraId="6442F1B3" w14:textId="77777777" w:rsidR="002667DD" w:rsidRPr="002603AF" w:rsidRDefault="002667DD" w:rsidP="002667DD">
      <w:pPr>
        <w:autoSpaceDE w:val="0"/>
        <w:autoSpaceDN w:val="0"/>
        <w:adjustRightInd w:val="0"/>
        <w:rPr>
          <w:rFonts w:cs="TT150t00"/>
          <w:color w:val="auto"/>
          <w:sz w:val="22"/>
          <w:szCs w:val="22"/>
        </w:rPr>
      </w:pPr>
    </w:p>
    <w:p w14:paraId="773F4B2C" w14:textId="77777777" w:rsidR="002667DD" w:rsidRDefault="002667DD" w:rsidP="002667DD">
      <w:pPr>
        <w:autoSpaceDE w:val="0"/>
        <w:autoSpaceDN w:val="0"/>
        <w:adjustRightInd w:val="0"/>
        <w:rPr>
          <w:rFonts w:cs="TT150t00"/>
          <w:b/>
          <w:color w:val="auto"/>
        </w:rPr>
      </w:pPr>
      <w:r>
        <w:rPr>
          <w:rFonts w:cs="TT150t00"/>
          <w:b/>
          <w:color w:val="auto"/>
        </w:rPr>
        <w:t>Objective</w:t>
      </w:r>
      <w:r w:rsidRPr="001C7925">
        <w:rPr>
          <w:rFonts w:cs="TT150t00"/>
          <w:b/>
          <w:color w:val="auto"/>
        </w:rPr>
        <w:t xml:space="preserve"> 5: </w:t>
      </w:r>
      <w:r>
        <w:rPr>
          <w:rFonts w:cs="TT150t00"/>
          <w:b/>
          <w:color w:val="auto"/>
        </w:rPr>
        <w:t xml:space="preserve">To be a learning organisation, improving our skills to achieve the greatest impact – </w:t>
      </w:r>
    </w:p>
    <w:p w14:paraId="5233CD72" w14:textId="77777777" w:rsidR="002667DD" w:rsidRDefault="002667DD" w:rsidP="002667DD">
      <w:pPr>
        <w:autoSpaceDE w:val="0"/>
        <w:autoSpaceDN w:val="0"/>
        <w:adjustRightInd w:val="0"/>
        <w:rPr>
          <w:rFonts w:cs="TT150t00"/>
          <w:b/>
          <w:color w:val="auto"/>
        </w:rPr>
      </w:pPr>
    </w:p>
    <w:p w14:paraId="285D6F00" w14:textId="77777777" w:rsidR="002667DD" w:rsidRDefault="002667DD" w:rsidP="002667DD">
      <w:pPr>
        <w:autoSpaceDE w:val="0"/>
        <w:autoSpaceDN w:val="0"/>
        <w:adjustRightInd w:val="0"/>
        <w:rPr>
          <w:rFonts w:cs="TT150t00"/>
          <w:color w:val="auto"/>
        </w:rPr>
      </w:pPr>
      <w:r>
        <w:rPr>
          <w:rFonts w:cs="TT150t00"/>
          <w:bCs/>
          <w:color w:val="auto"/>
        </w:rPr>
        <w:t xml:space="preserve">To advocate the Commission’s effectiveness as a National Human Rights Institution, the Commission continues to seek support from the UK government to successfully complete the United Nations re-accreditation process to retain ‘A’ status compliance with the Paris Principles.  Further detail on the re-accreditation process is detailed below.  </w:t>
      </w:r>
    </w:p>
    <w:p w14:paraId="23780BA6" w14:textId="77777777" w:rsidR="002667DD" w:rsidRDefault="002667DD" w:rsidP="002667DD">
      <w:pPr>
        <w:autoSpaceDE w:val="0"/>
        <w:autoSpaceDN w:val="0"/>
        <w:adjustRightInd w:val="0"/>
        <w:rPr>
          <w:rFonts w:cs="TT150t00"/>
          <w:color w:val="auto"/>
        </w:rPr>
      </w:pPr>
    </w:p>
    <w:p w14:paraId="4F639F11" w14:textId="77777777" w:rsidR="002667DD" w:rsidRDefault="002667DD" w:rsidP="002667DD">
      <w:pPr>
        <w:autoSpaceDE w:val="0"/>
        <w:autoSpaceDN w:val="0"/>
        <w:adjustRightInd w:val="0"/>
        <w:rPr>
          <w:rFonts w:cs="TT150t00"/>
          <w:color w:val="auto"/>
        </w:rPr>
      </w:pPr>
      <w:r>
        <w:rPr>
          <w:rFonts w:cs="TT150t00"/>
          <w:color w:val="auto"/>
        </w:rPr>
        <w:t>The Commission maximises continuous professional development by encouraging and facilitating ongoing learning opportunities for each staff member and Commissioners. Due to the Commission’s limited budget it was difficult to completely fulfil the training and development programme planned for 2022-23.  However, the following trainings did take place:</w:t>
      </w:r>
    </w:p>
    <w:p w14:paraId="3BDA3F1F" w14:textId="77777777" w:rsidR="002667DD" w:rsidRDefault="002667DD" w:rsidP="002667DD">
      <w:pPr>
        <w:autoSpaceDE w:val="0"/>
        <w:autoSpaceDN w:val="0"/>
        <w:adjustRightInd w:val="0"/>
        <w:rPr>
          <w:rFonts w:cs="TT150t00"/>
          <w:color w:val="auto"/>
        </w:rPr>
      </w:pPr>
    </w:p>
    <w:p w14:paraId="3EB449F9" w14:textId="77777777" w:rsidR="002667DD" w:rsidRDefault="002667DD" w:rsidP="002667DD">
      <w:pPr>
        <w:pStyle w:val="ListParagraph"/>
        <w:numPr>
          <w:ilvl w:val="0"/>
          <w:numId w:val="34"/>
        </w:numPr>
        <w:autoSpaceDE w:val="0"/>
        <w:autoSpaceDN w:val="0"/>
        <w:adjustRightInd w:val="0"/>
        <w:rPr>
          <w:rFonts w:cs="TT150t00"/>
          <w:color w:val="auto"/>
        </w:rPr>
      </w:pPr>
      <w:r>
        <w:rPr>
          <w:rFonts w:cs="TT150t00"/>
          <w:color w:val="auto"/>
        </w:rPr>
        <w:t>Diversity and Inclusion</w:t>
      </w:r>
    </w:p>
    <w:p w14:paraId="2586BAC3" w14:textId="77777777" w:rsidR="002667DD" w:rsidRDefault="002667DD" w:rsidP="002667DD">
      <w:pPr>
        <w:pStyle w:val="ListParagraph"/>
        <w:numPr>
          <w:ilvl w:val="0"/>
          <w:numId w:val="34"/>
        </w:numPr>
        <w:autoSpaceDE w:val="0"/>
        <w:autoSpaceDN w:val="0"/>
        <w:adjustRightInd w:val="0"/>
        <w:rPr>
          <w:rFonts w:cs="TT150t00"/>
          <w:color w:val="auto"/>
        </w:rPr>
      </w:pPr>
      <w:r>
        <w:rPr>
          <w:rFonts w:cs="TT150t00"/>
          <w:color w:val="auto"/>
        </w:rPr>
        <w:lastRenderedPageBreak/>
        <w:t>Mental Health First Aid</w:t>
      </w:r>
    </w:p>
    <w:p w14:paraId="3CB7947F" w14:textId="77777777" w:rsidR="002667DD" w:rsidRDefault="002667DD" w:rsidP="002667DD">
      <w:pPr>
        <w:pStyle w:val="ListParagraph"/>
        <w:numPr>
          <w:ilvl w:val="0"/>
          <w:numId w:val="34"/>
        </w:numPr>
        <w:autoSpaceDE w:val="0"/>
        <w:autoSpaceDN w:val="0"/>
        <w:adjustRightInd w:val="0"/>
        <w:rPr>
          <w:rFonts w:cs="TT150t00"/>
          <w:color w:val="auto"/>
        </w:rPr>
      </w:pPr>
      <w:r>
        <w:rPr>
          <w:rFonts w:cs="TT150t00"/>
          <w:color w:val="auto"/>
        </w:rPr>
        <w:t>CIPD and CPD training</w:t>
      </w:r>
    </w:p>
    <w:p w14:paraId="69C894D1" w14:textId="77777777" w:rsidR="002667DD" w:rsidRDefault="002667DD" w:rsidP="002667DD">
      <w:pPr>
        <w:pStyle w:val="ListParagraph"/>
        <w:numPr>
          <w:ilvl w:val="0"/>
          <w:numId w:val="34"/>
        </w:numPr>
        <w:autoSpaceDE w:val="0"/>
        <w:autoSpaceDN w:val="0"/>
        <w:adjustRightInd w:val="0"/>
        <w:rPr>
          <w:rFonts w:cs="TT150t00"/>
          <w:color w:val="auto"/>
        </w:rPr>
      </w:pPr>
      <w:r>
        <w:rPr>
          <w:rFonts w:cs="TT150t00"/>
          <w:color w:val="auto"/>
        </w:rPr>
        <w:t>Microsoft Teams</w:t>
      </w:r>
    </w:p>
    <w:p w14:paraId="4F01F71B" w14:textId="77777777" w:rsidR="002667DD" w:rsidRDefault="002667DD" w:rsidP="002667DD">
      <w:pPr>
        <w:pStyle w:val="ListParagraph"/>
        <w:numPr>
          <w:ilvl w:val="0"/>
          <w:numId w:val="34"/>
        </w:numPr>
        <w:autoSpaceDE w:val="0"/>
        <w:autoSpaceDN w:val="0"/>
        <w:adjustRightInd w:val="0"/>
        <w:rPr>
          <w:rFonts w:cs="TT150t00"/>
          <w:color w:val="auto"/>
        </w:rPr>
      </w:pPr>
      <w:r>
        <w:rPr>
          <w:rFonts w:cs="TT150t00"/>
          <w:color w:val="auto"/>
        </w:rPr>
        <w:t>Social Media including podcasts and video editing</w:t>
      </w:r>
    </w:p>
    <w:p w14:paraId="1971B734" w14:textId="77777777" w:rsidR="002667DD" w:rsidRDefault="002667DD" w:rsidP="002667DD">
      <w:pPr>
        <w:pStyle w:val="ListParagraph"/>
        <w:numPr>
          <w:ilvl w:val="0"/>
          <w:numId w:val="34"/>
        </w:numPr>
        <w:autoSpaceDE w:val="0"/>
        <w:autoSpaceDN w:val="0"/>
        <w:adjustRightInd w:val="0"/>
        <w:rPr>
          <w:rFonts w:cs="TT150t00"/>
          <w:color w:val="auto"/>
        </w:rPr>
      </w:pPr>
      <w:r>
        <w:rPr>
          <w:rFonts w:cs="TT150t00"/>
          <w:color w:val="auto"/>
        </w:rPr>
        <w:t>Media Training</w:t>
      </w:r>
    </w:p>
    <w:p w14:paraId="3A8E0B0D" w14:textId="77777777" w:rsidR="002667DD" w:rsidRDefault="002667DD" w:rsidP="002667DD">
      <w:pPr>
        <w:pStyle w:val="ListParagraph"/>
        <w:numPr>
          <w:ilvl w:val="0"/>
          <w:numId w:val="34"/>
        </w:numPr>
        <w:autoSpaceDE w:val="0"/>
        <w:autoSpaceDN w:val="0"/>
        <w:adjustRightInd w:val="0"/>
        <w:rPr>
          <w:rFonts w:cs="TT150t00"/>
          <w:color w:val="auto"/>
        </w:rPr>
      </w:pPr>
      <w:r>
        <w:rPr>
          <w:rFonts w:cs="TT150t00"/>
          <w:color w:val="auto"/>
        </w:rPr>
        <w:t>Interview Training</w:t>
      </w:r>
    </w:p>
    <w:p w14:paraId="764ABE4C" w14:textId="77777777" w:rsidR="002667DD" w:rsidRDefault="002667DD" w:rsidP="002667DD">
      <w:pPr>
        <w:pStyle w:val="ListParagraph"/>
        <w:numPr>
          <w:ilvl w:val="0"/>
          <w:numId w:val="34"/>
        </w:numPr>
        <w:autoSpaceDE w:val="0"/>
        <w:autoSpaceDN w:val="0"/>
        <w:adjustRightInd w:val="0"/>
        <w:rPr>
          <w:rFonts w:cs="TT150t00"/>
          <w:color w:val="auto"/>
        </w:rPr>
      </w:pPr>
      <w:r>
        <w:rPr>
          <w:rFonts w:cs="TT150t00"/>
          <w:color w:val="auto"/>
        </w:rPr>
        <w:t>European Court of Human Rights Case Law training</w:t>
      </w:r>
    </w:p>
    <w:p w14:paraId="2C735BE0" w14:textId="77777777" w:rsidR="002667DD" w:rsidRPr="000A6469" w:rsidRDefault="002667DD" w:rsidP="002667DD">
      <w:pPr>
        <w:pStyle w:val="ListParagraph"/>
        <w:numPr>
          <w:ilvl w:val="0"/>
          <w:numId w:val="34"/>
        </w:numPr>
        <w:autoSpaceDE w:val="0"/>
        <w:autoSpaceDN w:val="0"/>
        <w:adjustRightInd w:val="0"/>
        <w:rPr>
          <w:rFonts w:cs="TT150t00"/>
          <w:color w:val="auto"/>
        </w:rPr>
      </w:pPr>
      <w:r>
        <w:rPr>
          <w:rFonts w:cs="TT150t00"/>
          <w:color w:val="auto"/>
        </w:rPr>
        <w:t>EU Legislative Procedure in Practice training</w:t>
      </w:r>
      <w:r>
        <w:rPr>
          <w:rFonts w:cs="TT150t00"/>
          <w:color w:val="auto"/>
        </w:rPr>
        <w:br/>
      </w:r>
    </w:p>
    <w:p w14:paraId="60987A5D" w14:textId="77777777" w:rsidR="002667DD" w:rsidRDefault="002667DD" w:rsidP="002667DD">
      <w:pPr>
        <w:autoSpaceDE w:val="0"/>
        <w:autoSpaceDN w:val="0"/>
        <w:adjustRightInd w:val="0"/>
        <w:rPr>
          <w:color w:val="auto"/>
        </w:rPr>
      </w:pPr>
    </w:p>
    <w:p w14:paraId="2069F560" w14:textId="77777777" w:rsidR="007330CB" w:rsidRDefault="007330CB" w:rsidP="002667DD">
      <w:pPr>
        <w:autoSpaceDE w:val="0"/>
        <w:autoSpaceDN w:val="0"/>
        <w:adjustRightInd w:val="0"/>
        <w:rPr>
          <w:color w:val="auto"/>
        </w:rPr>
      </w:pPr>
    </w:p>
    <w:p w14:paraId="73A62E14" w14:textId="77777777" w:rsidR="007330CB" w:rsidRDefault="007330CB" w:rsidP="002667DD">
      <w:pPr>
        <w:autoSpaceDE w:val="0"/>
        <w:autoSpaceDN w:val="0"/>
        <w:adjustRightInd w:val="0"/>
        <w:rPr>
          <w:color w:val="auto"/>
        </w:rPr>
      </w:pPr>
    </w:p>
    <w:p w14:paraId="1BB7D096" w14:textId="77777777" w:rsidR="007330CB" w:rsidRDefault="007330CB" w:rsidP="002667DD">
      <w:pPr>
        <w:autoSpaceDE w:val="0"/>
        <w:autoSpaceDN w:val="0"/>
        <w:adjustRightInd w:val="0"/>
        <w:rPr>
          <w:color w:val="auto"/>
        </w:rPr>
      </w:pPr>
    </w:p>
    <w:p w14:paraId="282C93CE" w14:textId="77777777" w:rsidR="007330CB" w:rsidRDefault="007330CB" w:rsidP="002667DD">
      <w:pPr>
        <w:autoSpaceDE w:val="0"/>
        <w:autoSpaceDN w:val="0"/>
        <w:adjustRightInd w:val="0"/>
        <w:rPr>
          <w:color w:val="auto"/>
        </w:rPr>
      </w:pPr>
    </w:p>
    <w:p w14:paraId="43C1BF82" w14:textId="77777777" w:rsidR="007330CB" w:rsidRDefault="007330CB" w:rsidP="002667DD">
      <w:pPr>
        <w:autoSpaceDE w:val="0"/>
        <w:autoSpaceDN w:val="0"/>
        <w:adjustRightInd w:val="0"/>
        <w:rPr>
          <w:color w:val="auto"/>
        </w:rPr>
      </w:pPr>
    </w:p>
    <w:p w14:paraId="40AB54AC" w14:textId="77777777" w:rsidR="007330CB" w:rsidRDefault="007330CB" w:rsidP="002667DD">
      <w:pPr>
        <w:autoSpaceDE w:val="0"/>
        <w:autoSpaceDN w:val="0"/>
        <w:adjustRightInd w:val="0"/>
        <w:rPr>
          <w:color w:val="auto"/>
        </w:rPr>
      </w:pPr>
    </w:p>
    <w:p w14:paraId="09A16CE0" w14:textId="77777777" w:rsidR="007330CB" w:rsidRDefault="007330CB" w:rsidP="002667DD">
      <w:pPr>
        <w:autoSpaceDE w:val="0"/>
        <w:autoSpaceDN w:val="0"/>
        <w:adjustRightInd w:val="0"/>
        <w:rPr>
          <w:color w:val="auto"/>
        </w:rPr>
      </w:pPr>
    </w:p>
    <w:p w14:paraId="5A777903" w14:textId="77777777" w:rsidR="007330CB" w:rsidRDefault="007330CB" w:rsidP="002667DD">
      <w:pPr>
        <w:autoSpaceDE w:val="0"/>
        <w:autoSpaceDN w:val="0"/>
        <w:adjustRightInd w:val="0"/>
        <w:rPr>
          <w:color w:val="auto"/>
        </w:rPr>
      </w:pPr>
    </w:p>
    <w:p w14:paraId="47360BFF" w14:textId="77777777" w:rsidR="007330CB" w:rsidRDefault="007330CB" w:rsidP="002667DD">
      <w:pPr>
        <w:autoSpaceDE w:val="0"/>
        <w:autoSpaceDN w:val="0"/>
        <w:adjustRightInd w:val="0"/>
        <w:rPr>
          <w:color w:val="auto"/>
        </w:rPr>
      </w:pPr>
    </w:p>
    <w:p w14:paraId="1321DCC8" w14:textId="77777777" w:rsidR="007330CB" w:rsidRDefault="007330CB" w:rsidP="002667DD">
      <w:pPr>
        <w:autoSpaceDE w:val="0"/>
        <w:autoSpaceDN w:val="0"/>
        <w:adjustRightInd w:val="0"/>
        <w:rPr>
          <w:color w:val="auto"/>
        </w:rPr>
      </w:pPr>
    </w:p>
    <w:p w14:paraId="418120C4" w14:textId="77777777" w:rsidR="007330CB" w:rsidRDefault="007330CB" w:rsidP="002667DD">
      <w:pPr>
        <w:autoSpaceDE w:val="0"/>
        <w:autoSpaceDN w:val="0"/>
        <w:adjustRightInd w:val="0"/>
        <w:rPr>
          <w:color w:val="auto"/>
        </w:rPr>
      </w:pPr>
    </w:p>
    <w:p w14:paraId="3F5A48A6" w14:textId="77777777" w:rsidR="007330CB" w:rsidRDefault="007330CB" w:rsidP="002667DD">
      <w:pPr>
        <w:autoSpaceDE w:val="0"/>
        <w:autoSpaceDN w:val="0"/>
        <w:adjustRightInd w:val="0"/>
        <w:rPr>
          <w:color w:val="auto"/>
        </w:rPr>
      </w:pPr>
    </w:p>
    <w:p w14:paraId="71C0449B" w14:textId="77777777" w:rsidR="007330CB" w:rsidRDefault="007330CB" w:rsidP="002667DD">
      <w:pPr>
        <w:autoSpaceDE w:val="0"/>
        <w:autoSpaceDN w:val="0"/>
        <w:adjustRightInd w:val="0"/>
        <w:rPr>
          <w:color w:val="auto"/>
        </w:rPr>
      </w:pPr>
    </w:p>
    <w:p w14:paraId="37F6C9B6" w14:textId="77777777" w:rsidR="007330CB" w:rsidRDefault="007330CB" w:rsidP="002667DD">
      <w:pPr>
        <w:autoSpaceDE w:val="0"/>
        <w:autoSpaceDN w:val="0"/>
        <w:adjustRightInd w:val="0"/>
        <w:rPr>
          <w:color w:val="auto"/>
        </w:rPr>
      </w:pPr>
    </w:p>
    <w:p w14:paraId="2EA54DC0" w14:textId="77777777" w:rsidR="007330CB" w:rsidRDefault="007330CB" w:rsidP="002667DD">
      <w:pPr>
        <w:autoSpaceDE w:val="0"/>
        <w:autoSpaceDN w:val="0"/>
        <w:adjustRightInd w:val="0"/>
        <w:rPr>
          <w:color w:val="auto"/>
        </w:rPr>
      </w:pPr>
    </w:p>
    <w:p w14:paraId="0A4E7431" w14:textId="77777777" w:rsidR="007330CB" w:rsidRDefault="007330CB" w:rsidP="002667DD">
      <w:pPr>
        <w:autoSpaceDE w:val="0"/>
        <w:autoSpaceDN w:val="0"/>
        <w:adjustRightInd w:val="0"/>
        <w:rPr>
          <w:color w:val="auto"/>
        </w:rPr>
      </w:pPr>
    </w:p>
    <w:p w14:paraId="63AFDB02" w14:textId="77777777" w:rsidR="007330CB" w:rsidRDefault="007330CB" w:rsidP="002667DD">
      <w:pPr>
        <w:autoSpaceDE w:val="0"/>
        <w:autoSpaceDN w:val="0"/>
        <w:adjustRightInd w:val="0"/>
        <w:rPr>
          <w:color w:val="auto"/>
        </w:rPr>
      </w:pPr>
    </w:p>
    <w:p w14:paraId="7B1871D3" w14:textId="77777777" w:rsidR="007330CB" w:rsidRDefault="007330CB" w:rsidP="002667DD">
      <w:pPr>
        <w:autoSpaceDE w:val="0"/>
        <w:autoSpaceDN w:val="0"/>
        <w:adjustRightInd w:val="0"/>
        <w:rPr>
          <w:color w:val="auto"/>
        </w:rPr>
      </w:pPr>
    </w:p>
    <w:p w14:paraId="646749AB" w14:textId="77777777" w:rsidR="007330CB" w:rsidRDefault="007330CB" w:rsidP="002667DD">
      <w:pPr>
        <w:autoSpaceDE w:val="0"/>
        <w:autoSpaceDN w:val="0"/>
        <w:adjustRightInd w:val="0"/>
        <w:rPr>
          <w:color w:val="auto"/>
        </w:rPr>
      </w:pPr>
    </w:p>
    <w:p w14:paraId="11759BFA" w14:textId="77777777" w:rsidR="007330CB" w:rsidRDefault="007330CB" w:rsidP="002667DD">
      <w:pPr>
        <w:autoSpaceDE w:val="0"/>
        <w:autoSpaceDN w:val="0"/>
        <w:adjustRightInd w:val="0"/>
        <w:rPr>
          <w:color w:val="auto"/>
        </w:rPr>
      </w:pPr>
    </w:p>
    <w:p w14:paraId="42B7AF8A" w14:textId="77777777" w:rsidR="007330CB" w:rsidRDefault="007330CB" w:rsidP="002667DD">
      <w:pPr>
        <w:autoSpaceDE w:val="0"/>
        <w:autoSpaceDN w:val="0"/>
        <w:adjustRightInd w:val="0"/>
        <w:rPr>
          <w:color w:val="auto"/>
        </w:rPr>
      </w:pPr>
    </w:p>
    <w:p w14:paraId="3BAA74A4" w14:textId="77777777" w:rsidR="007330CB" w:rsidRDefault="007330CB" w:rsidP="002667DD">
      <w:pPr>
        <w:autoSpaceDE w:val="0"/>
        <w:autoSpaceDN w:val="0"/>
        <w:adjustRightInd w:val="0"/>
        <w:rPr>
          <w:color w:val="auto"/>
        </w:rPr>
      </w:pPr>
    </w:p>
    <w:p w14:paraId="0393E917" w14:textId="77777777" w:rsidR="007330CB" w:rsidRDefault="007330CB" w:rsidP="002667DD">
      <w:pPr>
        <w:autoSpaceDE w:val="0"/>
        <w:autoSpaceDN w:val="0"/>
        <w:adjustRightInd w:val="0"/>
        <w:rPr>
          <w:color w:val="auto"/>
        </w:rPr>
      </w:pPr>
    </w:p>
    <w:p w14:paraId="76B215B8" w14:textId="77777777" w:rsidR="007330CB" w:rsidRDefault="007330CB" w:rsidP="002667DD">
      <w:pPr>
        <w:autoSpaceDE w:val="0"/>
        <w:autoSpaceDN w:val="0"/>
        <w:adjustRightInd w:val="0"/>
        <w:rPr>
          <w:color w:val="auto"/>
        </w:rPr>
      </w:pPr>
    </w:p>
    <w:p w14:paraId="613D206F" w14:textId="77777777" w:rsidR="007330CB" w:rsidRDefault="007330CB" w:rsidP="002667DD">
      <w:pPr>
        <w:autoSpaceDE w:val="0"/>
        <w:autoSpaceDN w:val="0"/>
        <w:adjustRightInd w:val="0"/>
        <w:rPr>
          <w:color w:val="auto"/>
        </w:rPr>
      </w:pPr>
    </w:p>
    <w:p w14:paraId="124C9970" w14:textId="77777777" w:rsidR="007330CB" w:rsidRDefault="007330CB" w:rsidP="002667DD">
      <w:pPr>
        <w:autoSpaceDE w:val="0"/>
        <w:autoSpaceDN w:val="0"/>
        <w:adjustRightInd w:val="0"/>
        <w:rPr>
          <w:color w:val="auto"/>
        </w:rPr>
      </w:pPr>
    </w:p>
    <w:p w14:paraId="0DE28CBB" w14:textId="77777777" w:rsidR="007330CB" w:rsidRDefault="007330CB" w:rsidP="002667DD">
      <w:pPr>
        <w:autoSpaceDE w:val="0"/>
        <w:autoSpaceDN w:val="0"/>
        <w:adjustRightInd w:val="0"/>
        <w:rPr>
          <w:color w:val="auto"/>
        </w:rPr>
      </w:pPr>
    </w:p>
    <w:p w14:paraId="6322C565" w14:textId="77777777" w:rsidR="007330CB" w:rsidRDefault="007330CB" w:rsidP="002667DD">
      <w:pPr>
        <w:autoSpaceDE w:val="0"/>
        <w:autoSpaceDN w:val="0"/>
        <w:adjustRightInd w:val="0"/>
        <w:rPr>
          <w:color w:val="auto"/>
        </w:rPr>
      </w:pPr>
    </w:p>
    <w:p w14:paraId="63213741" w14:textId="77777777" w:rsidR="007330CB" w:rsidRDefault="007330CB" w:rsidP="002667DD">
      <w:pPr>
        <w:autoSpaceDE w:val="0"/>
        <w:autoSpaceDN w:val="0"/>
        <w:adjustRightInd w:val="0"/>
        <w:rPr>
          <w:color w:val="auto"/>
        </w:rPr>
      </w:pPr>
    </w:p>
    <w:p w14:paraId="2ED2EA31" w14:textId="77777777" w:rsidR="007330CB" w:rsidRDefault="007330CB" w:rsidP="002667DD">
      <w:pPr>
        <w:autoSpaceDE w:val="0"/>
        <w:autoSpaceDN w:val="0"/>
        <w:adjustRightInd w:val="0"/>
        <w:rPr>
          <w:color w:val="auto"/>
        </w:rPr>
      </w:pPr>
    </w:p>
    <w:p w14:paraId="61AF3BC6" w14:textId="77777777" w:rsidR="007330CB" w:rsidRDefault="007330CB" w:rsidP="002667DD">
      <w:pPr>
        <w:autoSpaceDE w:val="0"/>
        <w:autoSpaceDN w:val="0"/>
        <w:adjustRightInd w:val="0"/>
        <w:rPr>
          <w:color w:val="auto"/>
        </w:rPr>
      </w:pPr>
    </w:p>
    <w:p w14:paraId="16A9A84D" w14:textId="77777777" w:rsidR="007330CB" w:rsidRDefault="007330CB" w:rsidP="002667DD">
      <w:pPr>
        <w:autoSpaceDE w:val="0"/>
        <w:autoSpaceDN w:val="0"/>
        <w:adjustRightInd w:val="0"/>
        <w:rPr>
          <w:color w:val="auto"/>
        </w:rPr>
      </w:pPr>
    </w:p>
    <w:p w14:paraId="0F660E6D" w14:textId="77777777" w:rsidR="007330CB" w:rsidRDefault="007330CB" w:rsidP="002667DD">
      <w:pPr>
        <w:autoSpaceDE w:val="0"/>
        <w:autoSpaceDN w:val="0"/>
        <w:adjustRightInd w:val="0"/>
        <w:rPr>
          <w:color w:val="auto"/>
        </w:rPr>
      </w:pPr>
    </w:p>
    <w:p w14:paraId="40E0A611" w14:textId="77777777" w:rsidR="007330CB" w:rsidRDefault="007330CB" w:rsidP="002667DD">
      <w:pPr>
        <w:autoSpaceDE w:val="0"/>
        <w:autoSpaceDN w:val="0"/>
        <w:adjustRightInd w:val="0"/>
        <w:rPr>
          <w:color w:val="auto"/>
        </w:rPr>
      </w:pPr>
    </w:p>
    <w:p w14:paraId="09C23B47" w14:textId="77777777" w:rsidR="007330CB" w:rsidRDefault="007330CB" w:rsidP="002667DD">
      <w:pPr>
        <w:autoSpaceDE w:val="0"/>
        <w:autoSpaceDN w:val="0"/>
        <w:adjustRightInd w:val="0"/>
        <w:rPr>
          <w:color w:val="auto"/>
        </w:rPr>
      </w:pPr>
    </w:p>
    <w:p w14:paraId="12344826" w14:textId="77777777" w:rsidR="007330CB" w:rsidRDefault="007330CB" w:rsidP="002667DD">
      <w:pPr>
        <w:autoSpaceDE w:val="0"/>
        <w:autoSpaceDN w:val="0"/>
        <w:adjustRightInd w:val="0"/>
        <w:rPr>
          <w:color w:val="auto"/>
        </w:rPr>
      </w:pPr>
    </w:p>
    <w:p w14:paraId="4302E94A" w14:textId="77777777" w:rsidR="007330CB" w:rsidRDefault="007330CB" w:rsidP="002667DD">
      <w:pPr>
        <w:autoSpaceDE w:val="0"/>
        <w:autoSpaceDN w:val="0"/>
        <w:adjustRightInd w:val="0"/>
        <w:rPr>
          <w:color w:val="auto"/>
        </w:rPr>
      </w:pPr>
    </w:p>
    <w:p w14:paraId="34AC29B0" w14:textId="77777777" w:rsidR="007330CB" w:rsidRDefault="007330CB" w:rsidP="002667DD">
      <w:pPr>
        <w:autoSpaceDE w:val="0"/>
        <w:autoSpaceDN w:val="0"/>
        <w:adjustRightInd w:val="0"/>
        <w:rPr>
          <w:color w:val="auto"/>
        </w:rPr>
      </w:pPr>
    </w:p>
    <w:p w14:paraId="20A135AB" w14:textId="77777777" w:rsidR="007330CB" w:rsidRDefault="007330CB" w:rsidP="002667DD">
      <w:pPr>
        <w:autoSpaceDE w:val="0"/>
        <w:autoSpaceDN w:val="0"/>
        <w:adjustRightInd w:val="0"/>
        <w:rPr>
          <w:color w:val="auto"/>
        </w:rPr>
      </w:pPr>
    </w:p>
    <w:p w14:paraId="549B2165" w14:textId="77777777" w:rsidR="002667DD" w:rsidRPr="00112AF2" w:rsidRDefault="002667DD" w:rsidP="002667DD">
      <w:pPr>
        <w:rPr>
          <w:bCs/>
        </w:rPr>
      </w:pPr>
      <w:bookmarkStart w:id="4" w:name="KeyRisks"/>
      <w:r w:rsidRPr="00112AF2">
        <w:rPr>
          <w:rFonts w:eastAsia="Calibri"/>
          <w:b/>
          <w:color w:val="auto"/>
          <w:lang w:eastAsia="en-GB"/>
        </w:rPr>
        <w:lastRenderedPageBreak/>
        <w:t>Key risks facing the Northern Ireland Human Rights Commission</w:t>
      </w:r>
      <w:bookmarkEnd w:id="4"/>
      <w:r w:rsidRPr="00112AF2">
        <w:rPr>
          <w:rFonts w:eastAsia="Calibri"/>
          <w:b/>
          <w:color w:val="auto"/>
          <w:lang w:eastAsia="en-GB"/>
        </w:rPr>
        <w:t xml:space="preserve">  </w:t>
      </w:r>
    </w:p>
    <w:p w14:paraId="5E5CF0D6" w14:textId="77777777" w:rsidR="002667DD" w:rsidRDefault="002667DD" w:rsidP="002667DD">
      <w:pPr>
        <w:pStyle w:val="ListParagraph"/>
        <w:ind w:left="0"/>
      </w:pPr>
    </w:p>
    <w:p w14:paraId="2E903715" w14:textId="77777777" w:rsidR="002667DD" w:rsidRDefault="002667DD" w:rsidP="002667DD">
      <w:pPr>
        <w:pStyle w:val="ListParagraph"/>
        <w:ind w:left="0"/>
      </w:pPr>
      <w:r>
        <w:t xml:space="preserve">The Global Alliance of National Human Rights Institutions (GANHRI) is mandated by the United Nations to evaluate the work of National Human Rights Institutions around the world and thereafter designate their status.  GANHRI was due to complete its 5-year periodic review of the Commission in 2021 and highlighted a significant concern about the future financial footing of the organisation. This resulted in the unprecedented step of refusing to reaccredit the Commission with ‘A’ status recognition and instead deferring its decision.  </w:t>
      </w:r>
    </w:p>
    <w:p w14:paraId="6D9DE556" w14:textId="77777777" w:rsidR="002667DD" w:rsidRDefault="002667DD" w:rsidP="002667DD">
      <w:pPr>
        <w:pStyle w:val="ListParagraph"/>
        <w:ind w:left="0"/>
      </w:pPr>
    </w:p>
    <w:p w14:paraId="5D7403BC" w14:textId="77777777" w:rsidR="002667DD" w:rsidRDefault="002667DD" w:rsidP="002667DD">
      <w:pPr>
        <w:pStyle w:val="ListParagraph"/>
        <w:ind w:left="0"/>
      </w:pPr>
      <w:r>
        <w:t>The deferral was made because GANHRI did not believe the Commission would be able to continue to operate in full compliance with UN General Assembly Resolution 48/134 (known as ‘the Paris Principles’).  It referred expressly to inadequate funding from the United Kingdom government as the primary reason for its decision.  It described the situation as “very serious and time sensitive” and “strongly recommended that an improved and sustainable position” be provided by the UK government before the end of the deferral period.</w:t>
      </w:r>
    </w:p>
    <w:p w14:paraId="46C027ED" w14:textId="77777777" w:rsidR="002667DD" w:rsidRDefault="002667DD" w:rsidP="002667DD">
      <w:pPr>
        <w:pStyle w:val="ListParagraph"/>
        <w:ind w:left="0"/>
      </w:pPr>
    </w:p>
    <w:p w14:paraId="54C886C3" w14:textId="77777777" w:rsidR="002667DD" w:rsidRDefault="002667DD" w:rsidP="002667DD">
      <w:pPr>
        <w:pStyle w:val="ListParagraph"/>
        <w:ind w:left="0"/>
      </w:pPr>
      <w:r>
        <w:t>In response to the deferral the NIO initiated an independent review of the Commission.</w:t>
      </w:r>
    </w:p>
    <w:p w14:paraId="2BE6D49D" w14:textId="77777777" w:rsidR="002667DD" w:rsidRDefault="002667DD" w:rsidP="002667DD">
      <w:pPr>
        <w:pStyle w:val="ListParagraph"/>
        <w:ind w:left="0"/>
      </w:pPr>
    </w:p>
    <w:p w14:paraId="5177427B" w14:textId="77777777" w:rsidR="002667DD" w:rsidRDefault="002667DD" w:rsidP="002667DD">
      <w:pPr>
        <w:pStyle w:val="ListParagraph"/>
        <w:ind w:left="0"/>
      </w:pPr>
      <w:r>
        <w:t>The review focused on:</w:t>
      </w:r>
    </w:p>
    <w:p w14:paraId="673E5268" w14:textId="77777777" w:rsidR="002667DD" w:rsidRDefault="002667DD" w:rsidP="002667DD">
      <w:pPr>
        <w:pStyle w:val="ListParagraph"/>
        <w:ind w:left="0"/>
      </w:pPr>
    </w:p>
    <w:p w14:paraId="5CEC44EF" w14:textId="77777777" w:rsidR="002667DD" w:rsidRDefault="002667DD" w:rsidP="00141EDB">
      <w:pPr>
        <w:pStyle w:val="ListParagraph"/>
        <w:numPr>
          <w:ilvl w:val="0"/>
          <w:numId w:val="31"/>
        </w:numPr>
        <w:ind w:left="697" w:hanging="357"/>
        <w:jc w:val="both"/>
      </w:pPr>
      <w:r>
        <w:t>Assessing sustainability and fitness for purpose;</w:t>
      </w:r>
    </w:p>
    <w:p w14:paraId="6F1D66E7" w14:textId="77777777" w:rsidR="002667DD" w:rsidRDefault="002667DD" w:rsidP="00141EDB">
      <w:pPr>
        <w:pStyle w:val="ListParagraph"/>
        <w:numPr>
          <w:ilvl w:val="0"/>
          <w:numId w:val="31"/>
        </w:numPr>
        <w:ind w:left="697" w:hanging="357"/>
        <w:jc w:val="both"/>
      </w:pPr>
      <w:r>
        <w:t>Addressing whether recommendations made by the sub-accreditation committee of the Global Alliance of National Human Rights Institutions could be met by NIHRC;</w:t>
      </w:r>
    </w:p>
    <w:p w14:paraId="5601A334" w14:textId="77777777" w:rsidR="002667DD" w:rsidRDefault="002667DD" w:rsidP="00141EDB">
      <w:pPr>
        <w:pStyle w:val="ListParagraph"/>
        <w:numPr>
          <w:ilvl w:val="0"/>
          <w:numId w:val="31"/>
        </w:numPr>
        <w:ind w:left="697" w:hanging="357"/>
        <w:jc w:val="both"/>
      </w:pPr>
      <w:r>
        <w:t>Assessing capacity for delivering more effectively and efficiently, including identifying the potential for further efficiency savings if any;</w:t>
      </w:r>
    </w:p>
    <w:p w14:paraId="17DEE253" w14:textId="77777777" w:rsidR="002667DD" w:rsidRDefault="002667DD" w:rsidP="00141EDB">
      <w:pPr>
        <w:pStyle w:val="ListParagraph"/>
        <w:numPr>
          <w:ilvl w:val="0"/>
          <w:numId w:val="31"/>
        </w:numPr>
        <w:ind w:left="697" w:hanging="357"/>
        <w:jc w:val="both"/>
      </w:pPr>
      <w:r>
        <w:t>Ensuring organisational design is robust enough to meet any future challenges;</w:t>
      </w:r>
    </w:p>
    <w:p w14:paraId="5C9D5B39" w14:textId="77777777" w:rsidR="002667DD" w:rsidRDefault="002667DD" w:rsidP="00141EDB">
      <w:pPr>
        <w:pStyle w:val="ListParagraph"/>
        <w:numPr>
          <w:ilvl w:val="0"/>
          <w:numId w:val="31"/>
        </w:numPr>
        <w:ind w:left="697" w:hanging="357"/>
        <w:jc w:val="both"/>
      </w:pPr>
      <w:r>
        <w:t>Reviewing the current sponsorship model to consider whether there are more effective models that could provide greater flexibility in sharing services and other non-statutory functions with other organisations working in this sphere;</w:t>
      </w:r>
    </w:p>
    <w:p w14:paraId="1BC18814" w14:textId="77777777" w:rsidR="002667DD" w:rsidRDefault="002667DD" w:rsidP="00141EDB">
      <w:pPr>
        <w:pStyle w:val="ListParagraph"/>
        <w:numPr>
          <w:ilvl w:val="0"/>
          <w:numId w:val="31"/>
        </w:numPr>
        <w:ind w:left="697" w:hanging="357"/>
        <w:jc w:val="both"/>
      </w:pPr>
      <w:r>
        <w:t>Assessing the performance of NIHRC and/or assurance that processes are in place for making such assessments, for example examining relevant ways that the board of Commissioners does and may in the future monitor strategic outcomes and objectives;</w:t>
      </w:r>
    </w:p>
    <w:p w14:paraId="6A8E3018" w14:textId="77777777" w:rsidR="002667DD" w:rsidRDefault="002667DD" w:rsidP="00141EDB">
      <w:pPr>
        <w:pStyle w:val="ListParagraph"/>
        <w:numPr>
          <w:ilvl w:val="0"/>
          <w:numId w:val="31"/>
        </w:numPr>
        <w:ind w:left="697" w:hanging="357"/>
        <w:jc w:val="both"/>
      </w:pPr>
      <w:r>
        <w:t>Reviewing control and governance arrangements to ensure that the NIHRC and the NIO are complying with recognised principles of good corporate governance.</w:t>
      </w:r>
    </w:p>
    <w:p w14:paraId="6BD7F7D6" w14:textId="77777777" w:rsidR="002667DD" w:rsidRDefault="002667DD" w:rsidP="002667DD">
      <w:pPr>
        <w:pStyle w:val="ListParagraph"/>
        <w:ind w:left="0"/>
      </w:pPr>
    </w:p>
    <w:p w14:paraId="574BB4E4" w14:textId="77777777" w:rsidR="002667DD" w:rsidRDefault="002667DD" w:rsidP="002667DD">
      <w:pPr>
        <w:pStyle w:val="ListParagraph"/>
        <w:ind w:left="0"/>
      </w:pPr>
      <w:r>
        <w:t xml:space="preserve">The independent review completed its work in December 2022 and provided its report to the Secretary of State.  The Commission has been working with the NIO to progress the recommendations, however, by the time GANHRI had reconsidered the Commission’s reaccreditation in </w:t>
      </w:r>
      <w:r>
        <w:lastRenderedPageBreak/>
        <w:t xml:space="preserve">February 2023, no formal response to the review had been provided and the report was still to be published.  This remains the case.  </w:t>
      </w:r>
    </w:p>
    <w:p w14:paraId="0E677B41" w14:textId="77777777" w:rsidR="002667DD" w:rsidRDefault="002667DD" w:rsidP="002667DD">
      <w:pPr>
        <w:pStyle w:val="ListParagraph"/>
        <w:ind w:left="0"/>
      </w:pPr>
    </w:p>
    <w:p w14:paraId="32F019B9" w14:textId="77777777" w:rsidR="002667DD" w:rsidRDefault="002667DD" w:rsidP="002667DD">
      <w:pPr>
        <w:pStyle w:val="ListParagraph"/>
        <w:ind w:left="0"/>
      </w:pPr>
      <w:r>
        <w:t xml:space="preserve">The Commission has confirmed that it accepts the findings and recommendations of the review in full. Ahead of the February GANHRI meeting, the Secretary of State wrote to the Commission stating that he fully supported the Commission’s request for a final deferral of the decision to allow the government the requisite time to take action in response to the recommendations of the independent review, and seek to address GANHRI’s concerns. The correspondence was shared with GANHRI, the result of which was a further final deferral of the Commission’s reaccreditation until October 2023. </w:t>
      </w:r>
    </w:p>
    <w:p w14:paraId="40178F05" w14:textId="77777777" w:rsidR="002667DD" w:rsidRDefault="002667DD" w:rsidP="002667DD">
      <w:pPr>
        <w:pStyle w:val="ListParagraph"/>
        <w:ind w:left="0"/>
      </w:pPr>
    </w:p>
    <w:p w14:paraId="62D69139" w14:textId="77777777" w:rsidR="002667DD" w:rsidRDefault="002667DD" w:rsidP="002667DD">
      <w:pPr>
        <w:pStyle w:val="ListParagraph"/>
        <w:ind w:left="0"/>
      </w:pPr>
      <w:r>
        <w:t xml:space="preserve">It remains deeply concerning that the Commission’s recognition may come to an end, not least because Ireland, Scotland, and England and Wales still have ‘A’ status.   Northern Ireland will be the only part of these islands with no independent representation before the UN Human Rights Council or International Human Rights Treaty Bodies, which are responsible for holding the UK to account for its human rights record. </w:t>
      </w:r>
    </w:p>
    <w:p w14:paraId="5C8E32D0" w14:textId="77777777" w:rsidR="002667DD" w:rsidRDefault="002667DD" w:rsidP="002667DD">
      <w:pPr>
        <w:pStyle w:val="ListParagraph"/>
        <w:ind w:left="0"/>
      </w:pPr>
    </w:p>
    <w:p w14:paraId="5640401C" w14:textId="77777777" w:rsidR="002667DD" w:rsidRDefault="002667DD" w:rsidP="002667DD">
      <w:pPr>
        <w:pStyle w:val="ListParagraph"/>
        <w:ind w:left="0"/>
      </w:pPr>
      <w:r>
        <w:t>In March 2023 GANHRI’s Sub-Committee on Accreditation (SCA) confirmed that, in accordance with Article 14.1 of the GANHRI Statute, the deferral decision shall be limited to a period of two years.  As such, this is the last possible deferral of the review of the NIHRC and the SCA will reach a recommendation in relation to the re-accreditation of the NIHRC in the SCA’s second session of 2023.  The SCA deferred its decision of the re-accreditation based on the following grounds:</w:t>
      </w:r>
    </w:p>
    <w:p w14:paraId="79E8573F" w14:textId="77777777" w:rsidR="002667DD" w:rsidRDefault="002667DD" w:rsidP="002667DD">
      <w:pPr>
        <w:pStyle w:val="ListParagraph"/>
        <w:ind w:left="0"/>
      </w:pPr>
    </w:p>
    <w:p w14:paraId="61680D5C" w14:textId="77777777" w:rsidR="002667DD" w:rsidRDefault="002667DD" w:rsidP="002667DD">
      <w:pPr>
        <w:pStyle w:val="ListParagraph"/>
        <w:numPr>
          <w:ilvl w:val="0"/>
          <w:numId w:val="30"/>
        </w:numPr>
      </w:pPr>
      <w:r>
        <w:t>Adequate funding</w:t>
      </w:r>
    </w:p>
    <w:p w14:paraId="6FD57DD4" w14:textId="77777777" w:rsidR="002667DD" w:rsidRDefault="002667DD" w:rsidP="002667DD">
      <w:pPr>
        <w:pStyle w:val="ListParagraph"/>
        <w:numPr>
          <w:ilvl w:val="0"/>
          <w:numId w:val="30"/>
        </w:numPr>
      </w:pPr>
      <w:r>
        <w:t>Financial autonomy</w:t>
      </w:r>
    </w:p>
    <w:p w14:paraId="6C490E12" w14:textId="77777777" w:rsidR="002667DD" w:rsidRDefault="002667DD" w:rsidP="002667DD">
      <w:pPr>
        <w:pStyle w:val="ListParagraph"/>
        <w:numPr>
          <w:ilvl w:val="0"/>
          <w:numId w:val="30"/>
        </w:numPr>
      </w:pPr>
      <w:r>
        <w:t>Diversity and pluralism</w:t>
      </w:r>
    </w:p>
    <w:p w14:paraId="49ADC3A5" w14:textId="77777777" w:rsidR="002667DD" w:rsidRDefault="002667DD" w:rsidP="002667DD">
      <w:pPr>
        <w:pStyle w:val="ListParagraph"/>
        <w:numPr>
          <w:ilvl w:val="0"/>
          <w:numId w:val="30"/>
        </w:numPr>
      </w:pPr>
      <w:r>
        <w:t>Visiting places of deprivation of liberty</w:t>
      </w:r>
    </w:p>
    <w:p w14:paraId="2A377B91" w14:textId="77777777" w:rsidR="002667DD" w:rsidRDefault="002667DD" w:rsidP="002667DD"/>
    <w:p w14:paraId="2D8C2F5C" w14:textId="77777777" w:rsidR="002667DD" w:rsidRDefault="002667DD" w:rsidP="002667DD">
      <w:pPr>
        <w:rPr>
          <w:rFonts w:eastAsia="Calibri"/>
          <w:lang w:eastAsia="en-GB"/>
        </w:rPr>
      </w:pPr>
    </w:p>
    <w:p w14:paraId="12F3C57A" w14:textId="77777777" w:rsidR="00F04493" w:rsidRDefault="00F04493" w:rsidP="002667DD">
      <w:pPr>
        <w:rPr>
          <w:rFonts w:eastAsia="Calibri"/>
          <w:lang w:eastAsia="en-GB"/>
        </w:rPr>
      </w:pPr>
    </w:p>
    <w:p w14:paraId="65D5332E" w14:textId="77777777" w:rsidR="007330CB" w:rsidRDefault="007330CB" w:rsidP="002667DD">
      <w:pPr>
        <w:rPr>
          <w:rFonts w:eastAsia="Calibri"/>
          <w:lang w:eastAsia="en-GB"/>
        </w:rPr>
      </w:pPr>
    </w:p>
    <w:p w14:paraId="0F12A5BE" w14:textId="77777777" w:rsidR="007330CB" w:rsidRDefault="007330CB" w:rsidP="002667DD">
      <w:pPr>
        <w:rPr>
          <w:rFonts w:eastAsia="Calibri"/>
          <w:lang w:eastAsia="en-GB"/>
        </w:rPr>
      </w:pPr>
    </w:p>
    <w:p w14:paraId="1918E0BB" w14:textId="77777777" w:rsidR="00F04493" w:rsidRDefault="00F04493" w:rsidP="002667DD">
      <w:pPr>
        <w:rPr>
          <w:rFonts w:eastAsia="Calibri"/>
          <w:lang w:eastAsia="en-GB"/>
        </w:rPr>
      </w:pPr>
    </w:p>
    <w:p w14:paraId="38F722A2" w14:textId="77777777" w:rsidR="00F04493" w:rsidRDefault="00F04493" w:rsidP="002667DD">
      <w:pPr>
        <w:rPr>
          <w:rFonts w:eastAsia="Calibri"/>
          <w:lang w:eastAsia="en-GB"/>
        </w:rPr>
      </w:pPr>
    </w:p>
    <w:p w14:paraId="412EDBD4" w14:textId="77777777" w:rsidR="00F04493" w:rsidRDefault="00F04493" w:rsidP="002667DD">
      <w:pPr>
        <w:rPr>
          <w:rFonts w:eastAsia="Calibri"/>
          <w:lang w:eastAsia="en-GB"/>
        </w:rPr>
      </w:pPr>
    </w:p>
    <w:p w14:paraId="11CE6AAB" w14:textId="77777777" w:rsidR="00141EDB" w:rsidRDefault="00141EDB" w:rsidP="002667DD">
      <w:pPr>
        <w:rPr>
          <w:rFonts w:eastAsia="Calibri"/>
          <w:lang w:eastAsia="en-GB"/>
        </w:rPr>
      </w:pPr>
    </w:p>
    <w:p w14:paraId="1F199038" w14:textId="77777777" w:rsidR="00141EDB" w:rsidRDefault="00141EDB" w:rsidP="002667DD">
      <w:pPr>
        <w:rPr>
          <w:rFonts w:eastAsia="Calibri"/>
          <w:lang w:eastAsia="en-GB"/>
        </w:rPr>
      </w:pPr>
    </w:p>
    <w:p w14:paraId="5178C8BB" w14:textId="77777777" w:rsidR="00141EDB" w:rsidRDefault="00141EDB" w:rsidP="002667DD">
      <w:pPr>
        <w:rPr>
          <w:rFonts w:eastAsia="Calibri"/>
          <w:lang w:eastAsia="en-GB"/>
        </w:rPr>
      </w:pPr>
    </w:p>
    <w:p w14:paraId="670A780C" w14:textId="77777777" w:rsidR="00141EDB" w:rsidRDefault="00141EDB" w:rsidP="002667DD">
      <w:pPr>
        <w:rPr>
          <w:rFonts w:eastAsia="Calibri"/>
          <w:lang w:eastAsia="en-GB"/>
        </w:rPr>
      </w:pPr>
    </w:p>
    <w:p w14:paraId="646CA019" w14:textId="77777777" w:rsidR="007330CB" w:rsidRDefault="007330CB" w:rsidP="002667DD">
      <w:pPr>
        <w:rPr>
          <w:rFonts w:eastAsia="Calibri"/>
          <w:b/>
          <w:lang w:eastAsia="en-GB"/>
        </w:rPr>
      </w:pPr>
    </w:p>
    <w:p w14:paraId="55EE3C57" w14:textId="77777777" w:rsidR="007330CB" w:rsidRDefault="007330CB" w:rsidP="002667DD">
      <w:pPr>
        <w:rPr>
          <w:rFonts w:eastAsia="Calibri"/>
          <w:b/>
          <w:lang w:eastAsia="en-GB"/>
        </w:rPr>
      </w:pPr>
    </w:p>
    <w:p w14:paraId="6ACF8BBA" w14:textId="77777777" w:rsidR="007330CB" w:rsidRDefault="007330CB" w:rsidP="002667DD">
      <w:pPr>
        <w:rPr>
          <w:rFonts w:eastAsia="Calibri"/>
          <w:b/>
          <w:lang w:eastAsia="en-GB"/>
        </w:rPr>
      </w:pPr>
    </w:p>
    <w:p w14:paraId="560F7F55" w14:textId="77777777" w:rsidR="007330CB" w:rsidRDefault="007330CB" w:rsidP="002667DD">
      <w:pPr>
        <w:rPr>
          <w:rFonts w:eastAsia="Calibri"/>
          <w:b/>
          <w:lang w:eastAsia="en-GB"/>
        </w:rPr>
      </w:pPr>
    </w:p>
    <w:p w14:paraId="06321C2A" w14:textId="77777777" w:rsidR="007330CB" w:rsidRDefault="007330CB" w:rsidP="002667DD">
      <w:pPr>
        <w:rPr>
          <w:rFonts w:eastAsia="Calibri"/>
          <w:b/>
          <w:lang w:eastAsia="en-GB"/>
        </w:rPr>
      </w:pPr>
    </w:p>
    <w:p w14:paraId="7601B369" w14:textId="2B94CABA" w:rsidR="002667DD" w:rsidRDefault="002667DD" w:rsidP="002667DD">
      <w:pPr>
        <w:rPr>
          <w:rFonts w:eastAsia="Calibri"/>
          <w:b/>
          <w:lang w:eastAsia="en-GB"/>
        </w:rPr>
      </w:pPr>
      <w:r>
        <w:rPr>
          <w:rFonts w:eastAsia="Calibri"/>
          <w:b/>
          <w:lang w:eastAsia="en-GB"/>
        </w:rPr>
        <w:lastRenderedPageBreak/>
        <w:t>Sustainability Report</w:t>
      </w:r>
    </w:p>
    <w:p w14:paraId="3A4CBEED" w14:textId="77777777" w:rsidR="002667DD" w:rsidRDefault="002667DD" w:rsidP="002667DD">
      <w:pPr>
        <w:rPr>
          <w:rFonts w:eastAsia="Calibri"/>
          <w:b/>
          <w:lang w:eastAsia="en-GB"/>
        </w:rPr>
      </w:pPr>
    </w:p>
    <w:p w14:paraId="2D4566A3" w14:textId="77777777" w:rsidR="002667DD" w:rsidRDefault="002667DD" w:rsidP="002667DD">
      <w:pPr>
        <w:rPr>
          <w:rFonts w:eastAsia="Calibri"/>
          <w:lang w:eastAsia="en-GB"/>
        </w:rPr>
      </w:pPr>
      <w:r>
        <w:rPr>
          <w:rFonts w:eastAsia="Calibri"/>
          <w:lang w:eastAsia="en-GB"/>
        </w:rPr>
        <w:t>As the Commission’s office space is less than 500m</w:t>
      </w:r>
      <w:r w:rsidRPr="00CC3C0D">
        <w:rPr>
          <w:rFonts w:eastAsia="Calibri"/>
          <w:vertAlign w:val="superscript"/>
          <w:lang w:eastAsia="en-GB"/>
        </w:rPr>
        <w:t>2</w:t>
      </w:r>
      <w:r>
        <w:rPr>
          <w:rFonts w:eastAsia="Calibri"/>
          <w:lang w:eastAsia="en-GB"/>
        </w:rPr>
        <w:t xml:space="preserve"> and has a staff complement of less than 50 a full sustainability report has not been produced.  </w:t>
      </w:r>
    </w:p>
    <w:p w14:paraId="5A7F3B34" w14:textId="77777777" w:rsidR="002667DD" w:rsidRDefault="002667DD" w:rsidP="002667DD">
      <w:pPr>
        <w:rPr>
          <w:rFonts w:eastAsia="Calibri"/>
          <w:lang w:eastAsia="en-GB"/>
        </w:rPr>
      </w:pPr>
    </w:p>
    <w:p w14:paraId="5E0F1860" w14:textId="77777777" w:rsidR="002667DD" w:rsidRDefault="002667DD" w:rsidP="002667DD">
      <w:pPr>
        <w:rPr>
          <w:rFonts w:eastAsia="Calibri"/>
          <w:lang w:eastAsia="en-GB"/>
        </w:rPr>
      </w:pPr>
      <w:r>
        <w:rPr>
          <w:rFonts w:eastAsia="Calibri"/>
          <w:lang w:eastAsia="en-GB"/>
        </w:rPr>
        <w:t xml:space="preserve">However, the Commission is continuing to take action to meet the Greening Government Commitments 2021 to 2025 policy by encouraging efficiency in the use of resources by operating a paperless office; recycling of dry office waste, printer cartridges, plastic bottles and cans; use of recycled paper; removing single use plastic from the office; and engagement with the Commission’s Business and Human Rights Forum to promote sustainable and efficient products and services.  </w:t>
      </w:r>
    </w:p>
    <w:p w14:paraId="0426F697" w14:textId="77777777" w:rsidR="002667DD" w:rsidRDefault="002667DD" w:rsidP="002667DD">
      <w:pPr>
        <w:rPr>
          <w:rFonts w:eastAsia="Calibri"/>
          <w:lang w:eastAsia="en-GB"/>
        </w:rPr>
      </w:pPr>
    </w:p>
    <w:p w14:paraId="65CEBEEB" w14:textId="77777777" w:rsidR="002667DD" w:rsidRDefault="002667DD" w:rsidP="002667DD">
      <w:pPr>
        <w:rPr>
          <w:rFonts w:eastAsia="Calibri"/>
          <w:lang w:eastAsia="en-GB"/>
        </w:rPr>
      </w:pPr>
      <w:r>
        <w:rPr>
          <w:rFonts w:eastAsia="Calibri"/>
          <w:lang w:eastAsia="en-GB"/>
        </w:rPr>
        <w:t>The Commission partnered with Eco-Schools NI, an environmental education programme for schools across Northern Ireland in February 2023.  Through the partnership, it is hoped to raise awareness about the impact of climate change on human rights.</w:t>
      </w:r>
    </w:p>
    <w:p w14:paraId="477F22D3" w14:textId="77777777" w:rsidR="002667DD" w:rsidRDefault="002667DD" w:rsidP="002667DD">
      <w:pPr>
        <w:rPr>
          <w:rFonts w:eastAsia="Calibri"/>
          <w:lang w:eastAsia="en-GB"/>
        </w:rPr>
      </w:pPr>
    </w:p>
    <w:p w14:paraId="7367D03E" w14:textId="77777777" w:rsidR="002667DD" w:rsidRDefault="002667DD" w:rsidP="002667DD">
      <w:pPr>
        <w:rPr>
          <w:rFonts w:eastAsia="Calibri"/>
          <w:lang w:eastAsia="en-GB"/>
        </w:rPr>
      </w:pPr>
      <w:r>
        <w:rPr>
          <w:rFonts w:eastAsia="Calibri"/>
          <w:lang w:eastAsia="en-GB"/>
        </w:rPr>
        <w:t>The Commission offers a limited number of workshops to post-primary schools that explore the interconnectedness between human rights and climate change, and the UN Sustainable Development Goals.</w:t>
      </w:r>
    </w:p>
    <w:p w14:paraId="70ACC153" w14:textId="77777777" w:rsidR="002667DD" w:rsidRDefault="002667DD" w:rsidP="002667DD">
      <w:pPr>
        <w:rPr>
          <w:rFonts w:eastAsia="Calibri"/>
          <w:lang w:eastAsia="en-GB"/>
        </w:rPr>
      </w:pPr>
    </w:p>
    <w:p w14:paraId="2E816F16" w14:textId="77777777" w:rsidR="002667DD" w:rsidRDefault="002667DD" w:rsidP="002667DD">
      <w:pPr>
        <w:rPr>
          <w:rFonts w:eastAsia="Calibri"/>
          <w:lang w:eastAsia="en-GB"/>
        </w:rPr>
      </w:pPr>
      <w:r>
        <w:rPr>
          <w:rFonts w:eastAsia="Calibri"/>
          <w:lang w:eastAsia="en-GB"/>
        </w:rPr>
        <w:t>The Alfred Street office is located within Belfast City Centre close to public transport links, allowing staff to travel to and from the office in a sustainable manner.</w:t>
      </w:r>
    </w:p>
    <w:p w14:paraId="368F620E" w14:textId="77777777" w:rsidR="002667DD" w:rsidRDefault="002667DD" w:rsidP="002667DD">
      <w:pPr>
        <w:rPr>
          <w:rFonts w:eastAsia="Calibri"/>
          <w:lang w:eastAsia="en-GB"/>
        </w:rPr>
      </w:pPr>
    </w:p>
    <w:p w14:paraId="35B17C5E" w14:textId="77777777" w:rsidR="002667DD" w:rsidRDefault="002667DD" w:rsidP="002667DD">
      <w:pPr>
        <w:rPr>
          <w:rFonts w:eastAsia="Calibri"/>
          <w:lang w:eastAsia="en-GB"/>
        </w:rPr>
      </w:pPr>
      <w:r>
        <w:rPr>
          <w:rFonts w:eastAsia="Calibri"/>
          <w:lang w:eastAsia="en-GB"/>
        </w:rPr>
        <w:t>The Commission has also, in order to reduce its carbon footprint, pursued a policy of the facilitation, where possible, of staff flexibility in start and finish times allowing staff to travel to and from work at non-peak traffic times.</w:t>
      </w:r>
    </w:p>
    <w:p w14:paraId="74FCEE59" w14:textId="77777777" w:rsidR="002667DD" w:rsidRDefault="002667DD" w:rsidP="002667DD">
      <w:pPr>
        <w:rPr>
          <w:rFonts w:eastAsia="Calibri"/>
          <w:lang w:eastAsia="en-GB"/>
        </w:rPr>
      </w:pPr>
    </w:p>
    <w:p w14:paraId="2650C21F" w14:textId="77777777" w:rsidR="002667DD" w:rsidRDefault="002667DD" w:rsidP="002667DD">
      <w:pPr>
        <w:rPr>
          <w:rFonts w:eastAsia="Calibri"/>
          <w:lang w:eastAsia="en-GB"/>
        </w:rPr>
      </w:pPr>
      <w:r>
        <w:rPr>
          <w:rFonts w:eastAsia="Calibri"/>
          <w:lang w:eastAsia="en-GB"/>
        </w:rPr>
        <w:t>The Commission continues to operate a hybrid model of office and home based working where service delivery permits. It is expected that this will further add to the achievement of the Greening Government Commitments 2021 to 2025.</w:t>
      </w:r>
    </w:p>
    <w:p w14:paraId="0333E76C" w14:textId="77777777" w:rsidR="002667DD" w:rsidRDefault="002667DD" w:rsidP="002667DD">
      <w:pPr>
        <w:spacing w:line="252" w:lineRule="auto"/>
        <w:rPr>
          <w:rFonts w:eastAsia="Verdana" w:cs="Verdana"/>
          <w:b/>
          <w:bCs/>
          <w:color w:val="000000" w:themeColor="text1"/>
        </w:rPr>
      </w:pPr>
    </w:p>
    <w:p w14:paraId="7941CAA3" w14:textId="77777777" w:rsidR="002667DD" w:rsidRPr="0021697E" w:rsidRDefault="002667DD" w:rsidP="002667DD">
      <w:pPr>
        <w:rPr>
          <w:rFonts w:eastAsia="Calibri"/>
          <w:sz w:val="28"/>
          <w:szCs w:val="28"/>
          <w:lang w:eastAsia="en-GB"/>
        </w:rPr>
      </w:pPr>
    </w:p>
    <w:p w14:paraId="6C07B617" w14:textId="77777777" w:rsidR="002667DD" w:rsidRPr="00604C51" w:rsidRDefault="002667DD" w:rsidP="002667DD">
      <w:pPr>
        <w:jc w:val="center"/>
        <w:rPr>
          <w:rFonts w:cs="Arial"/>
          <w:b/>
          <w:color w:val="77328A"/>
          <w:sz w:val="30"/>
          <w:szCs w:val="30"/>
        </w:rPr>
      </w:pPr>
      <w:r>
        <w:rPr>
          <w:rFonts w:cs="Arial"/>
          <w:b/>
          <w:color w:val="77328A"/>
          <w:sz w:val="30"/>
          <w:szCs w:val="30"/>
        </w:rPr>
        <w:br w:type="page"/>
      </w:r>
      <w:r>
        <w:rPr>
          <w:rFonts w:cs="Arial"/>
          <w:b/>
          <w:color w:val="77328A"/>
          <w:sz w:val="30"/>
          <w:szCs w:val="30"/>
        </w:rPr>
        <w:lastRenderedPageBreak/>
        <w:t>Performance Analysis</w:t>
      </w:r>
    </w:p>
    <w:p w14:paraId="7EE19041" w14:textId="77777777" w:rsidR="002667DD" w:rsidRPr="00014CBD" w:rsidRDefault="002667DD" w:rsidP="002667DD">
      <w:pPr>
        <w:rPr>
          <w:rFonts w:eastAsia="Calibri"/>
          <w:b/>
          <w:sz w:val="22"/>
          <w:szCs w:val="22"/>
          <w:lang w:eastAsia="en-GB"/>
        </w:rPr>
      </w:pPr>
    </w:p>
    <w:p w14:paraId="2E681037" w14:textId="77777777" w:rsidR="002667DD" w:rsidRPr="00014CBD" w:rsidRDefault="002667DD" w:rsidP="002667DD">
      <w:pPr>
        <w:pStyle w:val="ListParagraph"/>
        <w:ind w:left="0"/>
      </w:pPr>
      <w:r w:rsidRPr="00014CBD">
        <w:t>The Commission reports on</w:t>
      </w:r>
      <w:r w:rsidRPr="00014CBD">
        <w:rPr>
          <w:b/>
        </w:rPr>
        <w:t xml:space="preserve"> </w:t>
      </w:r>
      <w:r w:rsidRPr="00014CBD">
        <w:t>its performance to the U</w:t>
      </w:r>
      <w:r>
        <w:t>nited Nations</w:t>
      </w:r>
      <w:r w:rsidRPr="00014CBD">
        <w:t xml:space="preserve"> through the periodic re-accreditation process, to the Northern Ireland Office as its sponsor branch as well as to Parliament through the Secretary of State for </w:t>
      </w:r>
      <w:r>
        <w:t>Northern Ireland</w:t>
      </w:r>
      <w:r w:rsidRPr="00014CBD">
        <w:t>.</w:t>
      </w:r>
    </w:p>
    <w:p w14:paraId="6942D888" w14:textId="77777777" w:rsidR="002667DD" w:rsidRPr="00014CBD" w:rsidRDefault="002667DD" w:rsidP="002667DD">
      <w:pPr>
        <w:pStyle w:val="ListParagraph"/>
        <w:ind w:left="0"/>
      </w:pPr>
    </w:p>
    <w:p w14:paraId="4479CF58" w14:textId="77777777" w:rsidR="002667DD" w:rsidRDefault="002667DD" w:rsidP="002667DD">
      <w:pPr>
        <w:rPr>
          <w:noProof/>
          <w:lang w:eastAsia="en-GB"/>
        </w:rPr>
      </w:pPr>
      <w:r>
        <w:t>We</w:t>
      </w:r>
      <w:r w:rsidRPr="00014CBD">
        <w:t xml:space="preserve"> ha</w:t>
      </w:r>
      <w:r>
        <w:t>ve</w:t>
      </w:r>
      <w:r w:rsidRPr="00014CBD">
        <w:t xml:space="preserve"> continued to adopt a robust performance management system to ensure regularity, propriety and value for money.</w:t>
      </w:r>
      <w:r w:rsidRPr="00014CBD">
        <w:rPr>
          <w:noProof/>
          <w:lang w:eastAsia="en-GB"/>
        </w:rPr>
        <w:t xml:space="preserve"> </w:t>
      </w:r>
      <w:r>
        <w:rPr>
          <w:noProof/>
          <w:lang w:eastAsia="en-GB"/>
        </w:rPr>
        <w:t>This year we</w:t>
      </w:r>
      <w:r w:rsidRPr="00014CBD">
        <w:rPr>
          <w:noProof/>
          <w:lang w:eastAsia="en-GB"/>
        </w:rPr>
        <w:t xml:space="preserve"> operated with </w:t>
      </w:r>
      <w:r>
        <w:rPr>
          <w:noProof/>
          <w:lang w:eastAsia="en-GB"/>
        </w:rPr>
        <w:t>one Chief Commissioner</w:t>
      </w:r>
      <w:r w:rsidRPr="74585EFD">
        <w:rPr>
          <w:noProof/>
          <w:lang w:eastAsia="en-GB"/>
        </w:rPr>
        <w:t>, Alyson Kilpatrick,</w:t>
      </w:r>
      <w:r>
        <w:rPr>
          <w:noProof/>
          <w:lang w:eastAsia="en-GB"/>
        </w:rPr>
        <w:t xml:space="preserve"> and six</w:t>
      </w:r>
      <w:r w:rsidRPr="00014CBD">
        <w:rPr>
          <w:noProof/>
          <w:lang w:eastAsia="en-GB"/>
        </w:rPr>
        <w:t xml:space="preserve"> part time Commissioners</w:t>
      </w:r>
      <w:r>
        <w:rPr>
          <w:noProof/>
          <w:lang w:eastAsia="en-GB"/>
        </w:rPr>
        <w:t xml:space="preserve">.   The complement of staff at year-end was 25, which included two temporary contracts along with one temporary agency post.  Planned recruitment for an additional five posts </w:t>
      </w:r>
      <w:r w:rsidRPr="74585EFD">
        <w:rPr>
          <w:noProof/>
          <w:lang w:eastAsia="en-GB"/>
        </w:rPr>
        <w:t>remained</w:t>
      </w:r>
      <w:r>
        <w:rPr>
          <w:noProof/>
          <w:lang w:eastAsia="en-GB"/>
        </w:rPr>
        <w:t xml:space="preserve"> suspended </w:t>
      </w:r>
      <w:r w:rsidRPr="74585EFD">
        <w:rPr>
          <w:noProof/>
          <w:lang w:eastAsia="en-GB"/>
        </w:rPr>
        <w:t>for a second year</w:t>
      </w:r>
      <w:r>
        <w:rPr>
          <w:noProof/>
          <w:lang w:eastAsia="en-GB"/>
        </w:rPr>
        <w:t>, one further post was also vacant throughout the year</w:t>
      </w:r>
      <w:r w:rsidRPr="74585EFD">
        <w:rPr>
          <w:noProof/>
          <w:lang w:eastAsia="en-GB"/>
        </w:rPr>
        <w:t xml:space="preserve"> and two additional posts could not be backfilled on</w:t>
      </w:r>
      <w:r>
        <w:rPr>
          <w:noProof/>
          <w:lang w:eastAsia="en-GB"/>
        </w:rPr>
        <w:t xml:space="preserve"> a</w:t>
      </w:r>
      <w:r w:rsidRPr="74585EFD">
        <w:rPr>
          <w:noProof/>
          <w:lang w:eastAsia="en-GB"/>
        </w:rPr>
        <w:t xml:space="preserve"> temporary basis due </w:t>
      </w:r>
      <w:r>
        <w:rPr>
          <w:noProof/>
          <w:lang w:eastAsia="en-GB"/>
        </w:rPr>
        <w:t xml:space="preserve">to </w:t>
      </w:r>
      <w:r w:rsidRPr="74585EFD">
        <w:rPr>
          <w:noProof/>
          <w:lang w:eastAsia="en-GB"/>
        </w:rPr>
        <w:t>ongoing funding pressures.</w:t>
      </w:r>
      <w:r>
        <w:rPr>
          <w:noProof/>
          <w:lang w:eastAsia="en-GB"/>
        </w:rPr>
        <w:t xml:space="preserve">  This had a significant impact on the Commission’s capacity to deliver a range of planned activities across its statutory functions.</w:t>
      </w:r>
    </w:p>
    <w:p w14:paraId="10143911" w14:textId="77777777" w:rsidR="002667DD" w:rsidRDefault="002667DD" w:rsidP="002667DD">
      <w:pPr>
        <w:rPr>
          <w:noProof/>
          <w:lang w:eastAsia="en-GB"/>
        </w:rPr>
      </w:pPr>
    </w:p>
    <w:p w14:paraId="72DDE956" w14:textId="63FD669D" w:rsidR="002667DD" w:rsidRDefault="002667DD" w:rsidP="002667DD">
      <w:pPr>
        <w:rPr>
          <w:noProof/>
          <w:lang w:eastAsia="en-GB"/>
        </w:rPr>
      </w:pPr>
      <w:r w:rsidRPr="74585EFD">
        <w:rPr>
          <w:noProof/>
          <w:lang w:eastAsia="en-GB"/>
        </w:rPr>
        <w:t>Despite an absence of funding, the</w:t>
      </w:r>
      <w:r>
        <w:rPr>
          <w:noProof/>
          <w:lang w:eastAsia="en-GB"/>
        </w:rPr>
        <w:t xml:space="preserve"> Joint Committee of representatives from the Irish Human Rights and Equality Commission and the Northern Ireland Human Rights Commission did meet </w:t>
      </w:r>
      <w:r w:rsidRPr="74585EFD">
        <w:rPr>
          <w:noProof/>
          <w:lang w:eastAsia="en-GB"/>
        </w:rPr>
        <w:t>on on</w:t>
      </w:r>
      <w:r w:rsidR="008C57E8">
        <w:rPr>
          <w:noProof/>
          <w:lang w:eastAsia="en-GB"/>
        </w:rPr>
        <w:t>e</w:t>
      </w:r>
      <w:r w:rsidRPr="74585EFD">
        <w:rPr>
          <w:noProof/>
          <w:lang w:eastAsia="en-GB"/>
        </w:rPr>
        <w:t xml:space="preserve"> occasion in 2022-23.</w:t>
      </w:r>
      <w:r>
        <w:rPr>
          <w:noProof/>
          <w:lang w:eastAsia="en-GB"/>
        </w:rPr>
        <w:t xml:space="preserve">  </w:t>
      </w:r>
      <w:r w:rsidRPr="74585EFD">
        <w:rPr>
          <w:noProof/>
          <w:lang w:eastAsia="en-GB"/>
        </w:rPr>
        <w:t>A</w:t>
      </w:r>
      <w:r>
        <w:rPr>
          <w:noProof/>
          <w:lang w:eastAsia="en-GB"/>
        </w:rPr>
        <w:t xml:space="preserve"> considerable programme of work </w:t>
      </w:r>
      <w:r w:rsidRPr="74585EFD">
        <w:rPr>
          <w:noProof/>
          <w:lang w:eastAsia="en-GB"/>
        </w:rPr>
        <w:t xml:space="preserve">also continued to be </w:t>
      </w:r>
      <w:r>
        <w:rPr>
          <w:noProof/>
          <w:lang w:eastAsia="en-GB"/>
        </w:rPr>
        <w:t>delivered in partnership focusing on the impacts of the UK withdrawal from the EU.</w:t>
      </w:r>
    </w:p>
    <w:p w14:paraId="57478CAE" w14:textId="77777777" w:rsidR="00E664A6" w:rsidRPr="00014CBD" w:rsidRDefault="00E664A6" w:rsidP="00E664A6">
      <w:pPr>
        <w:pStyle w:val="ListParagraph"/>
        <w:ind w:left="0"/>
      </w:pPr>
      <w:bookmarkStart w:id="5" w:name="_Hlk137714097"/>
    </w:p>
    <w:p w14:paraId="6EECE55F" w14:textId="77777777" w:rsidR="00E664A6" w:rsidRDefault="00E664A6" w:rsidP="00E664A6">
      <w:pPr>
        <w:rPr>
          <w:bCs/>
          <w:noProof/>
          <w:lang w:eastAsia="en-GB"/>
        </w:rPr>
      </w:pPr>
      <w:r>
        <w:rPr>
          <w:bCs/>
          <w:noProof/>
          <w:lang w:eastAsia="en-GB"/>
        </w:rPr>
        <w:t xml:space="preserve">For 2022-23 the Commission had a core budget of £1,605,391 and £859,000 for the Dedicated Mechanism.  This was funded by grant-in-aid from Parliament through our sponsor branch, the Northern Ireland Office (NIO).  </w:t>
      </w:r>
    </w:p>
    <w:p w14:paraId="11285883" w14:textId="77777777" w:rsidR="00E664A6" w:rsidRDefault="00E664A6" w:rsidP="00E664A6">
      <w:pPr>
        <w:rPr>
          <w:bCs/>
          <w:noProof/>
          <w:lang w:eastAsia="en-GB"/>
        </w:rPr>
      </w:pPr>
    </w:p>
    <w:p w14:paraId="53D85BC0" w14:textId="1EE85708" w:rsidR="00E664A6" w:rsidRDefault="00E664A6" w:rsidP="00E664A6">
      <w:r>
        <w:t>The opening Taxpayers’ Equity on 1 April 2022 was £849,053.  This decreased by £15</w:t>
      </w:r>
      <w:r w:rsidR="0047289F">
        <w:t>3,651</w:t>
      </w:r>
      <w:r>
        <w:t xml:space="preserve"> to £69</w:t>
      </w:r>
      <w:r w:rsidR="0047289F">
        <w:t>5</w:t>
      </w:r>
      <w:r>
        <w:t>,</w:t>
      </w:r>
      <w:r w:rsidR="0047289F">
        <w:t>402</w:t>
      </w:r>
      <w:r>
        <w:t xml:space="preserve"> at the end of the financial year. </w:t>
      </w:r>
    </w:p>
    <w:p w14:paraId="2E44BD80" w14:textId="77777777" w:rsidR="00E664A6" w:rsidRDefault="00E664A6" w:rsidP="00E664A6"/>
    <w:p w14:paraId="1E26AECB" w14:textId="7F0BBC16" w:rsidR="00E664A6" w:rsidRDefault="00E664A6" w:rsidP="00E664A6">
      <w:r>
        <w:t>The Commission’s net expenditure in 2022-23 was £2,476,</w:t>
      </w:r>
      <w:r w:rsidR="0047289F">
        <w:t>245</w:t>
      </w:r>
      <w:r>
        <w:t xml:space="preserve"> (2021-22 £2,333,573).</w:t>
      </w:r>
      <w:r>
        <w:rPr>
          <w:bCs/>
          <w:noProof/>
          <w:lang w:eastAsia="en-GB"/>
        </w:rPr>
        <w:t xml:space="preserve">  </w:t>
      </w:r>
      <w:r>
        <w:t>The increase mainly resulted from increased staff costs, legal casework, and expenditure on travel following Covid restrictions having been lifted.</w:t>
      </w:r>
    </w:p>
    <w:p w14:paraId="4D0C6CAD" w14:textId="77777777" w:rsidR="00E664A6" w:rsidRDefault="00E664A6" w:rsidP="00E664A6"/>
    <w:p w14:paraId="70B1F4E6" w14:textId="77777777" w:rsidR="00E664A6" w:rsidRPr="00F32979" w:rsidRDefault="00E664A6" w:rsidP="00E664A6">
      <w:pPr>
        <w:rPr>
          <w:bCs/>
          <w:noProof/>
          <w:lang w:eastAsia="en-GB"/>
        </w:rPr>
      </w:pPr>
      <w:r>
        <w:t xml:space="preserve">The Commission had a net gain on revaluation of property for 2022-23 of £41,203 (2021-22 £29,403).  </w:t>
      </w:r>
    </w:p>
    <w:p w14:paraId="760D0367" w14:textId="77777777" w:rsidR="00E664A6" w:rsidRDefault="00E664A6" w:rsidP="00E664A6"/>
    <w:p w14:paraId="6C487D54" w14:textId="77777777" w:rsidR="00E664A6" w:rsidRDefault="00E664A6" w:rsidP="00E664A6">
      <w:r>
        <w:t xml:space="preserve">Grant-in-aid from the NIO was £246,496 less than in the prior year.  This was due to a reduction in the core budget of £84,496, an increase of £21,000 in the dedicated mechanism budget, and the return of £183,000 to the NIO (for core and the dedicated mechanism) relating to the prior year.  </w:t>
      </w:r>
    </w:p>
    <w:bookmarkEnd w:id="5"/>
    <w:p w14:paraId="034A0C1E" w14:textId="77777777" w:rsidR="002667DD" w:rsidRDefault="002667DD" w:rsidP="002667DD">
      <w:pPr>
        <w:rPr>
          <w:bCs/>
          <w:noProof/>
          <w:lang w:eastAsia="en-GB"/>
        </w:rPr>
      </w:pPr>
    </w:p>
    <w:p w14:paraId="4ABF9D36" w14:textId="77777777" w:rsidR="002667DD" w:rsidRDefault="002667DD" w:rsidP="002667DD">
      <w:pPr>
        <w:rPr>
          <w:noProof/>
          <w:lang w:eastAsia="en-GB"/>
        </w:rPr>
      </w:pPr>
      <w:r>
        <w:rPr>
          <w:noProof/>
          <w:color w:val="2B579A"/>
          <w:shd w:val="clear" w:color="auto" w:fill="E6E6E6"/>
          <w:lang w:eastAsia="en-GB"/>
        </w:rPr>
        <w:lastRenderedPageBreak/>
        <w:drawing>
          <wp:inline distT="0" distB="0" distL="0" distR="0" wp14:anchorId="7299744B" wp14:editId="040F5BE8">
            <wp:extent cx="1889924" cy="1085956"/>
            <wp:effectExtent l="0" t="0" r="0" b="0"/>
            <wp:docPr id="2" name="Picture 2" descr="A signature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ignature on a white background&#10;&#10;Description automatically generated with low confidence"/>
                    <pic:cNvPicPr/>
                  </pic:nvPicPr>
                  <pic:blipFill>
                    <a:blip r:embed="rId27">
                      <a:extLst>
                        <a:ext uri="{28A0092B-C50C-407E-A947-70E740481C1C}">
                          <a14:useLocalDpi xmlns:a14="http://schemas.microsoft.com/office/drawing/2010/main" val="0"/>
                        </a:ext>
                      </a:extLst>
                    </a:blip>
                    <a:stretch>
                      <a:fillRect/>
                    </a:stretch>
                  </pic:blipFill>
                  <pic:spPr>
                    <a:xfrm>
                      <a:off x="0" y="0"/>
                      <a:ext cx="1897161" cy="1090114"/>
                    </a:xfrm>
                    <a:prstGeom prst="rect">
                      <a:avLst/>
                    </a:prstGeom>
                  </pic:spPr>
                </pic:pic>
              </a:graphicData>
            </a:graphic>
          </wp:inline>
        </w:drawing>
      </w:r>
    </w:p>
    <w:p w14:paraId="33FEF0F2" w14:textId="77777777" w:rsidR="002667DD" w:rsidRPr="009B4441" w:rsidRDefault="002667DD" w:rsidP="002667DD">
      <w:pPr>
        <w:rPr>
          <w:b/>
          <w:color w:val="auto"/>
        </w:rPr>
      </w:pPr>
      <w:r>
        <w:rPr>
          <w:b/>
          <w:color w:val="auto"/>
        </w:rPr>
        <w:t>Dr David Russell</w:t>
      </w:r>
    </w:p>
    <w:p w14:paraId="566E339A" w14:textId="77777777" w:rsidR="002667DD" w:rsidRDefault="002667DD" w:rsidP="002667DD">
      <w:pPr>
        <w:rPr>
          <w:b/>
          <w:color w:val="auto"/>
        </w:rPr>
      </w:pPr>
      <w:r w:rsidRPr="009B4441">
        <w:rPr>
          <w:b/>
          <w:color w:val="auto"/>
        </w:rPr>
        <w:t>Accounting Officer</w:t>
      </w:r>
    </w:p>
    <w:p w14:paraId="5CBE83EB" w14:textId="77777777" w:rsidR="002667DD" w:rsidRPr="009B4441" w:rsidRDefault="002667DD" w:rsidP="002667DD">
      <w:pPr>
        <w:rPr>
          <w:b/>
          <w:color w:val="auto"/>
        </w:rPr>
      </w:pPr>
    </w:p>
    <w:p w14:paraId="13D7BA92" w14:textId="0256EFE1" w:rsidR="002667DD" w:rsidRDefault="002667DD" w:rsidP="002667DD">
      <w:pPr>
        <w:rPr>
          <w:b/>
          <w:color w:val="auto"/>
        </w:rPr>
      </w:pPr>
      <w:r w:rsidRPr="009B4441">
        <w:rPr>
          <w:b/>
          <w:color w:val="auto"/>
        </w:rPr>
        <w:t xml:space="preserve">Date:  </w:t>
      </w:r>
      <w:r w:rsidR="005E6D62">
        <w:rPr>
          <w:b/>
          <w:color w:val="auto"/>
        </w:rPr>
        <w:t>3</w:t>
      </w:r>
      <w:r>
        <w:rPr>
          <w:b/>
          <w:color w:val="auto"/>
        </w:rPr>
        <w:t xml:space="preserve"> </w:t>
      </w:r>
      <w:r w:rsidR="005E6D62">
        <w:rPr>
          <w:b/>
          <w:color w:val="auto"/>
        </w:rPr>
        <w:t>July</w:t>
      </w:r>
      <w:r>
        <w:rPr>
          <w:b/>
          <w:color w:val="auto"/>
        </w:rPr>
        <w:t xml:space="preserve"> 20</w:t>
      </w:r>
      <w:r w:rsidR="005E6D62">
        <w:rPr>
          <w:b/>
          <w:color w:val="auto"/>
        </w:rPr>
        <w:t>23</w:t>
      </w:r>
    </w:p>
    <w:p w14:paraId="561D319A" w14:textId="77777777" w:rsidR="002667DD" w:rsidRDefault="002667DD" w:rsidP="002667DD">
      <w:pPr>
        <w:rPr>
          <w:b/>
          <w:color w:val="auto"/>
        </w:rPr>
      </w:pPr>
    </w:p>
    <w:p w14:paraId="3904D47C" w14:textId="77777777" w:rsidR="002667DD" w:rsidRDefault="002667DD" w:rsidP="002667DD">
      <w:pPr>
        <w:jc w:val="center"/>
        <w:rPr>
          <w:rFonts w:cs="Arial"/>
          <w:b/>
          <w:color w:val="77328A"/>
          <w:sz w:val="30"/>
          <w:szCs w:val="30"/>
        </w:rPr>
      </w:pPr>
      <w:bookmarkStart w:id="6" w:name="AccountabilityReport"/>
    </w:p>
    <w:p w14:paraId="09587656" w14:textId="77777777" w:rsidR="002667DD" w:rsidRDefault="002667DD" w:rsidP="002667DD">
      <w:pPr>
        <w:jc w:val="center"/>
        <w:rPr>
          <w:rFonts w:cs="Arial"/>
          <w:b/>
          <w:color w:val="77328A"/>
          <w:sz w:val="30"/>
          <w:szCs w:val="30"/>
        </w:rPr>
      </w:pPr>
    </w:p>
    <w:p w14:paraId="21C07A31" w14:textId="77777777" w:rsidR="002667DD" w:rsidRDefault="002667DD" w:rsidP="002667DD">
      <w:pPr>
        <w:jc w:val="center"/>
        <w:rPr>
          <w:rFonts w:cs="Arial"/>
          <w:b/>
          <w:color w:val="77328A"/>
          <w:sz w:val="30"/>
          <w:szCs w:val="30"/>
        </w:rPr>
      </w:pPr>
    </w:p>
    <w:p w14:paraId="701C5F12" w14:textId="77777777" w:rsidR="002667DD" w:rsidRDefault="002667DD" w:rsidP="002667DD">
      <w:pPr>
        <w:jc w:val="center"/>
        <w:rPr>
          <w:rFonts w:cs="Arial"/>
          <w:b/>
          <w:color w:val="77328A"/>
          <w:sz w:val="30"/>
          <w:szCs w:val="30"/>
        </w:rPr>
      </w:pPr>
    </w:p>
    <w:p w14:paraId="3865ADFA" w14:textId="77777777" w:rsidR="002667DD" w:rsidRDefault="002667DD" w:rsidP="002667DD">
      <w:pPr>
        <w:jc w:val="center"/>
        <w:rPr>
          <w:rFonts w:cs="Arial"/>
          <w:b/>
          <w:color w:val="77328A"/>
          <w:sz w:val="30"/>
          <w:szCs w:val="30"/>
        </w:rPr>
      </w:pPr>
    </w:p>
    <w:p w14:paraId="61242B38" w14:textId="77777777" w:rsidR="002667DD" w:rsidRDefault="002667DD" w:rsidP="002667DD">
      <w:pPr>
        <w:jc w:val="center"/>
        <w:rPr>
          <w:rFonts w:cs="Arial"/>
          <w:b/>
          <w:color w:val="77328A"/>
          <w:sz w:val="30"/>
          <w:szCs w:val="30"/>
        </w:rPr>
      </w:pPr>
    </w:p>
    <w:p w14:paraId="13A3B2EE" w14:textId="77777777" w:rsidR="00F04493" w:rsidRDefault="00F04493" w:rsidP="002667DD">
      <w:pPr>
        <w:jc w:val="center"/>
        <w:rPr>
          <w:rFonts w:cs="Arial"/>
          <w:b/>
          <w:color w:val="77328A"/>
          <w:sz w:val="30"/>
          <w:szCs w:val="30"/>
        </w:rPr>
      </w:pPr>
    </w:p>
    <w:p w14:paraId="70598D99" w14:textId="77777777" w:rsidR="00F04493" w:rsidRDefault="00F04493" w:rsidP="002667DD">
      <w:pPr>
        <w:jc w:val="center"/>
        <w:rPr>
          <w:rFonts w:cs="Arial"/>
          <w:b/>
          <w:color w:val="77328A"/>
          <w:sz w:val="30"/>
          <w:szCs w:val="30"/>
        </w:rPr>
      </w:pPr>
    </w:p>
    <w:p w14:paraId="1B75CE21" w14:textId="77777777" w:rsidR="00F04493" w:rsidRDefault="00F04493" w:rsidP="002667DD">
      <w:pPr>
        <w:jc w:val="center"/>
        <w:rPr>
          <w:rFonts w:cs="Arial"/>
          <w:b/>
          <w:color w:val="77328A"/>
          <w:sz w:val="30"/>
          <w:szCs w:val="30"/>
        </w:rPr>
      </w:pPr>
    </w:p>
    <w:p w14:paraId="0AB7DCD8" w14:textId="77777777" w:rsidR="00F04493" w:rsidRDefault="00F04493" w:rsidP="002667DD">
      <w:pPr>
        <w:jc w:val="center"/>
        <w:rPr>
          <w:rFonts w:cs="Arial"/>
          <w:b/>
          <w:color w:val="77328A"/>
          <w:sz w:val="30"/>
          <w:szCs w:val="30"/>
        </w:rPr>
      </w:pPr>
    </w:p>
    <w:p w14:paraId="50E0D231" w14:textId="77777777" w:rsidR="00F04493" w:rsidRDefault="00F04493" w:rsidP="002667DD">
      <w:pPr>
        <w:jc w:val="center"/>
        <w:rPr>
          <w:rFonts w:cs="Arial"/>
          <w:b/>
          <w:color w:val="77328A"/>
          <w:sz w:val="30"/>
          <w:szCs w:val="30"/>
        </w:rPr>
      </w:pPr>
    </w:p>
    <w:p w14:paraId="19B9C904" w14:textId="77777777" w:rsidR="00F04493" w:rsidRDefault="00F04493" w:rsidP="002667DD">
      <w:pPr>
        <w:jc w:val="center"/>
        <w:rPr>
          <w:rFonts w:cs="Arial"/>
          <w:b/>
          <w:color w:val="77328A"/>
          <w:sz w:val="30"/>
          <w:szCs w:val="30"/>
        </w:rPr>
      </w:pPr>
    </w:p>
    <w:p w14:paraId="2FBC1BBD" w14:textId="77777777" w:rsidR="00F04493" w:rsidRDefault="00F04493" w:rsidP="002667DD">
      <w:pPr>
        <w:jc w:val="center"/>
        <w:rPr>
          <w:rFonts w:cs="Arial"/>
          <w:b/>
          <w:color w:val="77328A"/>
          <w:sz w:val="30"/>
          <w:szCs w:val="30"/>
        </w:rPr>
      </w:pPr>
    </w:p>
    <w:p w14:paraId="59C30EAE" w14:textId="77777777" w:rsidR="00F04493" w:rsidRDefault="00F04493" w:rsidP="002667DD">
      <w:pPr>
        <w:jc w:val="center"/>
        <w:rPr>
          <w:rFonts w:cs="Arial"/>
          <w:b/>
          <w:color w:val="77328A"/>
          <w:sz w:val="30"/>
          <w:szCs w:val="30"/>
        </w:rPr>
      </w:pPr>
    </w:p>
    <w:p w14:paraId="68FAAB01" w14:textId="77777777" w:rsidR="00F04493" w:rsidRDefault="00F04493" w:rsidP="002667DD">
      <w:pPr>
        <w:jc w:val="center"/>
        <w:rPr>
          <w:rFonts w:cs="Arial"/>
          <w:b/>
          <w:color w:val="77328A"/>
          <w:sz w:val="30"/>
          <w:szCs w:val="30"/>
        </w:rPr>
      </w:pPr>
    </w:p>
    <w:p w14:paraId="6AFBB681" w14:textId="77777777" w:rsidR="00F04493" w:rsidRDefault="00F04493" w:rsidP="002667DD">
      <w:pPr>
        <w:jc w:val="center"/>
        <w:rPr>
          <w:rFonts w:cs="Arial"/>
          <w:b/>
          <w:color w:val="77328A"/>
          <w:sz w:val="30"/>
          <w:szCs w:val="30"/>
        </w:rPr>
      </w:pPr>
    </w:p>
    <w:p w14:paraId="045D3ECB" w14:textId="77777777" w:rsidR="00F04493" w:rsidRDefault="00F04493" w:rsidP="002667DD">
      <w:pPr>
        <w:jc w:val="center"/>
        <w:rPr>
          <w:rFonts w:cs="Arial"/>
          <w:b/>
          <w:color w:val="77328A"/>
          <w:sz w:val="30"/>
          <w:szCs w:val="30"/>
        </w:rPr>
      </w:pPr>
    </w:p>
    <w:p w14:paraId="7513F74B" w14:textId="77777777" w:rsidR="00F04493" w:rsidRDefault="00F04493" w:rsidP="002667DD">
      <w:pPr>
        <w:jc w:val="center"/>
        <w:rPr>
          <w:rFonts w:cs="Arial"/>
          <w:b/>
          <w:color w:val="77328A"/>
          <w:sz w:val="30"/>
          <w:szCs w:val="30"/>
        </w:rPr>
      </w:pPr>
    </w:p>
    <w:p w14:paraId="7BE5EC63" w14:textId="77777777" w:rsidR="00F04493" w:rsidRDefault="00F04493" w:rsidP="002667DD">
      <w:pPr>
        <w:jc w:val="center"/>
        <w:rPr>
          <w:rFonts w:cs="Arial"/>
          <w:b/>
          <w:color w:val="77328A"/>
          <w:sz w:val="30"/>
          <w:szCs w:val="30"/>
        </w:rPr>
      </w:pPr>
    </w:p>
    <w:p w14:paraId="1FD30562" w14:textId="77777777" w:rsidR="00F04493" w:rsidRDefault="00F04493" w:rsidP="002667DD">
      <w:pPr>
        <w:jc w:val="center"/>
        <w:rPr>
          <w:rFonts w:cs="Arial"/>
          <w:b/>
          <w:color w:val="77328A"/>
          <w:sz w:val="30"/>
          <w:szCs w:val="30"/>
        </w:rPr>
      </w:pPr>
    </w:p>
    <w:p w14:paraId="21A063BF" w14:textId="77777777" w:rsidR="00F04493" w:rsidRDefault="00F04493" w:rsidP="002667DD">
      <w:pPr>
        <w:jc w:val="center"/>
        <w:rPr>
          <w:rFonts w:cs="Arial"/>
          <w:b/>
          <w:color w:val="77328A"/>
          <w:sz w:val="30"/>
          <w:szCs w:val="30"/>
        </w:rPr>
      </w:pPr>
    </w:p>
    <w:p w14:paraId="129E52FA" w14:textId="77777777" w:rsidR="00F04493" w:rsidRDefault="00F04493" w:rsidP="002667DD">
      <w:pPr>
        <w:jc w:val="center"/>
        <w:rPr>
          <w:rFonts w:cs="Arial"/>
          <w:b/>
          <w:color w:val="77328A"/>
          <w:sz w:val="30"/>
          <w:szCs w:val="30"/>
        </w:rPr>
      </w:pPr>
    </w:p>
    <w:p w14:paraId="2148FAF3" w14:textId="77777777" w:rsidR="00F04493" w:rsidRDefault="00F04493" w:rsidP="002667DD">
      <w:pPr>
        <w:jc w:val="center"/>
        <w:rPr>
          <w:rFonts w:cs="Arial"/>
          <w:b/>
          <w:color w:val="77328A"/>
          <w:sz w:val="30"/>
          <w:szCs w:val="30"/>
        </w:rPr>
      </w:pPr>
    </w:p>
    <w:p w14:paraId="03D94714" w14:textId="77777777" w:rsidR="00F04493" w:rsidRDefault="00F04493" w:rsidP="002667DD">
      <w:pPr>
        <w:jc w:val="center"/>
        <w:rPr>
          <w:rFonts w:cs="Arial"/>
          <w:b/>
          <w:color w:val="77328A"/>
          <w:sz w:val="30"/>
          <w:szCs w:val="30"/>
        </w:rPr>
      </w:pPr>
    </w:p>
    <w:p w14:paraId="531A04DB" w14:textId="77777777" w:rsidR="00F04493" w:rsidRDefault="00F04493" w:rsidP="002667DD">
      <w:pPr>
        <w:jc w:val="center"/>
        <w:rPr>
          <w:rFonts w:cs="Arial"/>
          <w:b/>
          <w:color w:val="77328A"/>
          <w:sz w:val="30"/>
          <w:szCs w:val="30"/>
        </w:rPr>
      </w:pPr>
    </w:p>
    <w:p w14:paraId="1E8BA1F1" w14:textId="77777777" w:rsidR="00F04493" w:rsidRDefault="00F04493" w:rsidP="002667DD">
      <w:pPr>
        <w:jc w:val="center"/>
        <w:rPr>
          <w:rFonts w:cs="Arial"/>
          <w:b/>
          <w:color w:val="77328A"/>
          <w:sz w:val="30"/>
          <w:szCs w:val="30"/>
        </w:rPr>
      </w:pPr>
    </w:p>
    <w:p w14:paraId="775A5E4D" w14:textId="77777777" w:rsidR="00F04493" w:rsidRDefault="00F04493" w:rsidP="002667DD">
      <w:pPr>
        <w:jc w:val="center"/>
        <w:rPr>
          <w:rFonts w:cs="Arial"/>
          <w:b/>
          <w:color w:val="77328A"/>
          <w:sz w:val="30"/>
          <w:szCs w:val="30"/>
        </w:rPr>
      </w:pPr>
    </w:p>
    <w:p w14:paraId="3CFC79B2" w14:textId="77777777" w:rsidR="00F04493" w:rsidRDefault="00F04493" w:rsidP="002667DD">
      <w:pPr>
        <w:jc w:val="center"/>
        <w:rPr>
          <w:rFonts w:cs="Arial"/>
          <w:b/>
          <w:color w:val="77328A"/>
          <w:sz w:val="30"/>
          <w:szCs w:val="30"/>
        </w:rPr>
      </w:pPr>
    </w:p>
    <w:p w14:paraId="5167D6C4" w14:textId="77777777" w:rsidR="00F04493" w:rsidRDefault="00F04493" w:rsidP="002667DD">
      <w:pPr>
        <w:jc w:val="center"/>
        <w:rPr>
          <w:rFonts w:cs="Arial"/>
          <w:b/>
          <w:color w:val="77328A"/>
          <w:sz w:val="30"/>
          <w:szCs w:val="30"/>
        </w:rPr>
      </w:pPr>
    </w:p>
    <w:p w14:paraId="537692DA" w14:textId="77777777" w:rsidR="00F04493" w:rsidRDefault="00F04493" w:rsidP="002667DD">
      <w:pPr>
        <w:jc w:val="center"/>
        <w:rPr>
          <w:rFonts w:cs="Arial"/>
          <w:b/>
          <w:color w:val="77328A"/>
          <w:sz w:val="30"/>
          <w:szCs w:val="30"/>
        </w:rPr>
      </w:pPr>
    </w:p>
    <w:p w14:paraId="0B783B5D" w14:textId="77777777" w:rsidR="002667DD" w:rsidRDefault="002667DD" w:rsidP="002667DD">
      <w:pPr>
        <w:jc w:val="center"/>
        <w:rPr>
          <w:rFonts w:cs="Arial"/>
          <w:b/>
          <w:color w:val="77328A"/>
          <w:sz w:val="30"/>
          <w:szCs w:val="30"/>
        </w:rPr>
      </w:pPr>
      <w:r>
        <w:rPr>
          <w:rFonts w:cs="Arial"/>
          <w:b/>
          <w:color w:val="77328A"/>
          <w:sz w:val="30"/>
          <w:szCs w:val="30"/>
        </w:rPr>
        <w:lastRenderedPageBreak/>
        <w:t>Accountability Report</w:t>
      </w:r>
    </w:p>
    <w:p w14:paraId="1E8A2226" w14:textId="77777777" w:rsidR="002667DD" w:rsidRDefault="002667DD" w:rsidP="002667DD">
      <w:pPr>
        <w:jc w:val="center"/>
        <w:rPr>
          <w:rFonts w:cs="Arial"/>
          <w:b/>
          <w:color w:val="77328A"/>
          <w:sz w:val="30"/>
          <w:szCs w:val="30"/>
        </w:rPr>
      </w:pPr>
    </w:p>
    <w:p w14:paraId="344CCA98" w14:textId="77777777" w:rsidR="002667DD" w:rsidRPr="00B61325" w:rsidRDefault="002667DD" w:rsidP="002667DD">
      <w:pPr>
        <w:jc w:val="center"/>
        <w:rPr>
          <w:b/>
          <w:color w:val="auto"/>
        </w:rPr>
      </w:pPr>
      <w:r>
        <w:rPr>
          <w:rFonts w:cs="Arial"/>
          <w:b/>
          <w:color w:val="77328A"/>
          <w:sz w:val="30"/>
          <w:szCs w:val="30"/>
        </w:rPr>
        <w:t>Corporate Governance Report</w:t>
      </w:r>
    </w:p>
    <w:bookmarkEnd w:id="6"/>
    <w:p w14:paraId="01050B4E" w14:textId="77777777" w:rsidR="002667DD" w:rsidRPr="009B4441" w:rsidRDefault="002667DD" w:rsidP="002667DD">
      <w:pPr>
        <w:jc w:val="center"/>
        <w:rPr>
          <w:rFonts w:eastAsia="Calibri"/>
          <w:b/>
          <w:lang w:eastAsia="en-GB"/>
        </w:rPr>
      </w:pPr>
    </w:p>
    <w:p w14:paraId="398F59E5" w14:textId="77777777" w:rsidR="002667DD" w:rsidRPr="005049F6" w:rsidRDefault="002667DD" w:rsidP="002667DD">
      <w:pPr>
        <w:rPr>
          <w:b/>
        </w:rPr>
      </w:pPr>
      <w:bookmarkStart w:id="7" w:name="DirectorsReport"/>
      <w:r>
        <w:rPr>
          <w:rFonts w:cs="Arial"/>
          <w:b/>
          <w:color w:val="77328A"/>
        </w:rPr>
        <w:t>Director’s Report</w:t>
      </w:r>
    </w:p>
    <w:p w14:paraId="4B7886A0" w14:textId="77777777" w:rsidR="002667DD" w:rsidRPr="009B4441" w:rsidRDefault="002667DD" w:rsidP="002667DD">
      <w:pPr>
        <w:rPr>
          <w:rFonts w:eastAsia="Calibri"/>
          <w:b/>
          <w:lang w:eastAsia="en-GB"/>
        </w:rPr>
      </w:pPr>
    </w:p>
    <w:bookmarkEnd w:id="7"/>
    <w:p w14:paraId="69D184A9" w14:textId="77777777" w:rsidR="002667DD" w:rsidRPr="009B4441" w:rsidRDefault="002667DD" w:rsidP="002667DD">
      <w:pPr>
        <w:widowControl w:val="0"/>
        <w:tabs>
          <w:tab w:val="left" w:pos="0"/>
        </w:tabs>
        <w:autoSpaceDE w:val="0"/>
        <w:autoSpaceDN w:val="0"/>
        <w:adjustRightInd w:val="0"/>
        <w:rPr>
          <w:b/>
        </w:rPr>
      </w:pPr>
      <w:r w:rsidRPr="009B4441">
        <w:rPr>
          <w:b/>
        </w:rPr>
        <w:t>Entity</w:t>
      </w:r>
    </w:p>
    <w:p w14:paraId="25DB2DC0" w14:textId="77777777" w:rsidR="002667DD" w:rsidRPr="009B4441" w:rsidRDefault="002667DD" w:rsidP="002667DD">
      <w:pPr>
        <w:widowControl w:val="0"/>
        <w:tabs>
          <w:tab w:val="left" w:pos="0"/>
        </w:tabs>
        <w:autoSpaceDE w:val="0"/>
        <w:autoSpaceDN w:val="0"/>
        <w:adjustRightInd w:val="0"/>
        <w:rPr>
          <w:b/>
        </w:rPr>
      </w:pPr>
    </w:p>
    <w:p w14:paraId="6476D6DF" w14:textId="77777777" w:rsidR="002667DD" w:rsidRPr="003F7E43" w:rsidRDefault="002667DD" w:rsidP="002667DD">
      <w:pPr>
        <w:widowControl w:val="0"/>
        <w:tabs>
          <w:tab w:val="left" w:pos="0"/>
        </w:tabs>
        <w:autoSpaceDE w:val="0"/>
        <w:autoSpaceDN w:val="0"/>
        <w:adjustRightInd w:val="0"/>
      </w:pPr>
      <w:r w:rsidRPr="003F7E43">
        <w:t>The Commission is a non-departmental public body established as part of the Belfast (Good Friday) Agreement through the Northern Ireland Act 1998 and in accordance with the United Nations Paris Principles as a National Human Rights Institution.</w:t>
      </w:r>
    </w:p>
    <w:p w14:paraId="3E1E04B9" w14:textId="77777777" w:rsidR="002667DD" w:rsidRPr="003F7E43" w:rsidRDefault="002667DD" w:rsidP="002667DD">
      <w:pPr>
        <w:widowControl w:val="0"/>
        <w:tabs>
          <w:tab w:val="left" w:pos="0"/>
        </w:tabs>
        <w:autoSpaceDE w:val="0"/>
        <w:autoSpaceDN w:val="0"/>
        <w:adjustRightInd w:val="0"/>
      </w:pPr>
    </w:p>
    <w:p w14:paraId="20A813A3" w14:textId="77777777" w:rsidR="002667DD" w:rsidRPr="003F7E43" w:rsidRDefault="002667DD" w:rsidP="002667DD">
      <w:pPr>
        <w:widowControl w:val="0"/>
        <w:tabs>
          <w:tab w:val="left" w:pos="0"/>
        </w:tabs>
        <w:autoSpaceDE w:val="0"/>
        <w:autoSpaceDN w:val="0"/>
        <w:adjustRightInd w:val="0"/>
      </w:pPr>
      <w:r w:rsidRPr="003F7E43">
        <w:t xml:space="preserve">The Commission’s </w:t>
      </w:r>
      <w:r w:rsidRPr="003F7E43">
        <w:rPr>
          <w:rFonts w:cs="Verdana"/>
        </w:rPr>
        <w:t>powers and duties are derived from sections 69 and 70 of the Northern Ireland Act 1998</w:t>
      </w:r>
      <w:r>
        <w:rPr>
          <w:rFonts w:cs="Verdana"/>
        </w:rPr>
        <w:t xml:space="preserve">, </w:t>
      </w:r>
      <w:r w:rsidRPr="003F7E43">
        <w:rPr>
          <w:rFonts w:cs="Verdana"/>
        </w:rPr>
        <w:t>sections 14 to 16 of the Justice and Security (Northern Ireland) Act 2007</w:t>
      </w:r>
      <w:r>
        <w:rPr>
          <w:rFonts w:cs="Verdana"/>
        </w:rPr>
        <w:t xml:space="preserve">, and Schedule 3 of the </w:t>
      </w:r>
      <w:r w:rsidRPr="009A2C67">
        <w:rPr>
          <w:rFonts w:cs="Verdana"/>
        </w:rPr>
        <w:t>European Union (Withdrawal Agreement) Act 2020</w:t>
      </w:r>
      <w:r w:rsidRPr="003F7E43">
        <w:rPr>
          <w:rFonts w:cs="Verdana"/>
        </w:rPr>
        <w:t xml:space="preserve">.  </w:t>
      </w:r>
    </w:p>
    <w:p w14:paraId="6B06134D" w14:textId="77777777" w:rsidR="002667DD" w:rsidRPr="003F7E43" w:rsidRDefault="002667DD" w:rsidP="002667DD">
      <w:pPr>
        <w:widowControl w:val="0"/>
        <w:tabs>
          <w:tab w:val="left" w:pos="0"/>
        </w:tabs>
        <w:autoSpaceDE w:val="0"/>
        <w:autoSpaceDN w:val="0"/>
        <w:adjustRightInd w:val="0"/>
      </w:pPr>
    </w:p>
    <w:p w14:paraId="631F6EED" w14:textId="77777777" w:rsidR="002667DD" w:rsidRPr="003F7E43" w:rsidRDefault="002667DD" w:rsidP="002667DD">
      <w:pPr>
        <w:widowControl w:val="0"/>
        <w:tabs>
          <w:tab w:val="left" w:pos="0"/>
        </w:tabs>
        <w:autoSpaceDE w:val="0"/>
        <w:autoSpaceDN w:val="0"/>
        <w:adjustRightInd w:val="0"/>
      </w:pPr>
      <w:r w:rsidRPr="00A22300">
        <w:t>The Commission is located at 4</w:t>
      </w:r>
      <w:r w:rsidRPr="00A22300">
        <w:rPr>
          <w:vertAlign w:val="superscript"/>
        </w:rPr>
        <w:t>th</w:t>
      </w:r>
      <w:r w:rsidRPr="00A22300">
        <w:t xml:space="preserve"> Floor, 19-21 Alfred Street, Belfast, BT2 8ED and its sponsor branch is the Northern Ireland Office located at </w:t>
      </w:r>
      <w:r>
        <w:t>Erskine House, 20-32 Chichester Street, Belfast, BT1 4GF</w:t>
      </w:r>
      <w:r w:rsidRPr="00A22300">
        <w:t>.</w:t>
      </w:r>
    </w:p>
    <w:p w14:paraId="47EF60F9" w14:textId="77777777" w:rsidR="002667DD" w:rsidRPr="003F7E43" w:rsidRDefault="002667DD" w:rsidP="002667DD">
      <w:pPr>
        <w:widowControl w:val="0"/>
        <w:autoSpaceDE w:val="0"/>
        <w:autoSpaceDN w:val="0"/>
        <w:adjustRightInd w:val="0"/>
        <w:rPr>
          <w:b/>
        </w:rPr>
      </w:pPr>
    </w:p>
    <w:p w14:paraId="4568195B" w14:textId="77777777" w:rsidR="002667DD" w:rsidRPr="003F7E43" w:rsidRDefault="002667DD" w:rsidP="002667DD">
      <w:pPr>
        <w:widowControl w:val="0"/>
        <w:autoSpaceDE w:val="0"/>
        <w:autoSpaceDN w:val="0"/>
        <w:adjustRightInd w:val="0"/>
        <w:rPr>
          <w:b/>
        </w:rPr>
      </w:pPr>
      <w:r w:rsidRPr="003F7E43">
        <w:rPr>
          <w:b/>
        </w:rPr>
        <w:t>Commissioners and Management Team</w:t>
      </w:r>
    </w:p>
    <w:p w14:paraId="45A19D49" w14:textId="77777777" w:rsidR="002667DD" w:rsidRPr="003F7E43" w:rsidRDefault="002667DD" w:rsidP="002667DD">
      <w:pPr>
        <w:widowControl w:val="0"/>
        <w:autoSpaceDE w:val="0"/>
        <w:autoSpaceDN w:val="0"/>
        <w:adjustRightInd w:val="0"/>
        <w:rPr>
          <w:b/>
        </w:rPr>
      </w:pPr>
    </w:p>
    <w:p w14:paraId="641BE291" w14:textId="77777777" w:rsidR="002667DD" w:rsidRPr="003F7E43" w:rsidRDefault="002667DD" w:rsidP="002667DD">
      <w:pPr>
        <w:widowControl w:val="0"/>
        <w:autoSpaceDE w:val="0"/>
        <w:autoSpaceDN w:val="0"/>
        <w:adjustRightInd w:val="0"/>
      </w:pPr>
      <w:r w:rsidRPr="003F7E43">
        <w:t xml:space="preserve">The Commission is governed by its Commissioners.  The following served as Commissioners during </w:t>
      </w:r>
      <w:r w:rsidRPr="003F7E43">
        <w:rPr>
          <w:rFonts w:cs="MetaPlusNormal-Roman"/>
          <w:lang w:val="en-US"/>
        </w:rPr>
        <w:t>20</w:t>
      </w:r>
      <w:r>
        <w:t>22-23</w:t>
      </w:r>
      <w:r w:rsidRPr="003F7E43">
        <w:t xml:space="preserve">:  </w:t>
      </w:r>
    </w:p>
    <w:p w14:paraId="1CCFC7D8" w14:textId="77777777" w:rsidR="002667DD" w:rsidRPr="003F7E43" w:rsidRDefault="002667DD" w:rsidP="002667DD">
      <w:pPr>
        <w:tabs>
          <w:tab w:val="right" w:pos="8820"/>
        </w:tabs>
        <w:ind w:left="360"/>
      </w:pPr>
    </w:p>
    <w:p w14:paraId="6A3263E9" w14:textId="77777777" w:rsidR="002667DD" w:rsidRDefault="002667DD" w:rsidP="002667DD">
      <w:pPr>
        <w:numPr>
          <w:ilvl w:val="0"/>
          <w:numId w:val="4"/>
        </w:numPr>
        <w:tabs>
          <w:tab w:val="clear" w:pos="360"/>
        </w:tabs>
        <w:ind w:left="567" w:hanging="567"/>
      </w:pPr>
      <w:r>
        <w:t>Alyson Kilpatrick</w:t>
      </w:r>
    </w:p>
    <w:p w14:paraId="2A2FD58F" w14:textId="77777777" w:rsidR="002667DD" w:rsidRDefault="002667DD" w:rsidP="002667DD">
      <w:pPr>
        <w:numPr>
          <w:ilvl w:val="0"/>
          <w:numId w:val="4"/>
        </w:numPr>
        <w:tabs>
          <w:tab w:val="clear" w:pos="360"/>
        </w:tabs>
        <w:ind w:left="567" w:hanging="567"/>
      </w:pPr>
      <w:r>
        <w:t xml:space="preserve">Helen Henderson </w:t>
      </w:r>
    </w:p>
    <w:p w14:paraId="0820A8B8" w14:textId="77777777" w:rsidR="002667DD" w:rsidRDefault="002667DD" w:rsidP="002667DD">
      <w:pPr>
        <w:numPr>
          <w:ilvl w:val="0"/>
          <w:numId w:val="4"/>
        </w:numPr>
        <w:tabs>
          <w:tab w:val="clear" w:pos="360"/>
        </w:tabs>
        <w:ind w:left="567" w:hanging="567"/>
      </w:pPr>
      <w:r>
        <w:t xml:space="preserve">Jonathan Kearney </w:t>
      </w:r>
    </w:p>
    <w:p w14:paraId="67F53F2F" w14:textId="77777777" w:rsidR="002667DD" w:rsidRDefault="002667DD" w:rsidP="002667DD">
      <w:pPr>
        <w:numPr>
          <w:ilvl w:val="0"/>
          <w:numId w:val="4"/>
        </w:numPr>
        <w:tabs>
          <w:tab w:val="clear" w:pos="360"/>
        </w:tabs>
        <w:ind w:left="567" w:hanging="567"/>
      </w:pPr>
      <w:r>
        <w:t>Justin Kouame (from 1 September 2022)</w:t>
      </w:r>
    </w:p>
    <w:p w14:paraId="4685CB96" w14:textId="77777777" w:rsidR="002667DD" w:rsidRDefault="002667DD" w:rsidP="002667DD">
      <w:pPr>
        <w:numPr>
          <w:ilvl w:val="0"/>
          <w:numId w:val="4"/>
        </w:numPr>
        <w:tabs>
          <w:tab w:val="clear" w:pos="360"/>
        </w:tabs>
        <w:ind w:left="567" w:hanging="567"/>
      </w:pPr>
      <w:r>
        <w:t xml:space="preserve">David A Lavery CB </w:t>
      </w:r>
    </w:p>
    <w:p w14:paraId="15E00758" w14:textId="77777777" w:rsidR="002667DD" w:rsidRDefault="002667DD" w:rsidP="002667DD">
      <w:pPr>
        <w:numPr>
          <w:ilvl w:val="0"/>
          <w:numId w:val="4"/>
        </w:numPr>
        <w:tabs>
          <w:tab w:val="clear" w:pos="360"/>
        </w:tabs>
        <w:ind w:left="567" w:hanging="567"/>
      </w:pPr>
      <w:r>
        <w:t>Eddie Rooney</w:t>
      </w:r>
    </w:p>
    <w:p w14:paraId="4E868A3E" w14:textId="77777777" w:rsidR="002667DD" w:rsidRDefault="002667DD" w:rsidP="002667DD">
      <w:pPr>
        <w:numPr>
          <w:ilvl w:val="0"/>
          <w:numId w:val="4"/>
        </w:numPr>
        <w:tabs>
          <w:tab w:val="clear" w:pos="360"/>
        </w:tabs>
        <w:ind w:left="567" w:hanging="567"/>
      </w:pPr>
      <w:r>
        <w:t xml:space="preserve">Stephen White OBE </w:t>
      </w:r>
    </w:p>
    <w:p w14:paraId="1A724D1C" w14:textId="77777777" w:rsidR="002667DD" w:rsidRPr="003F7E43" w:rsidRDefault="002667DD" w:rsidP="002667DD">
      <w:pPr>
        <w:ind w:left="567"/>
      </w:pPr>
    </w:p>
    <w:p w14:paraId="2E04E3D2" w14:textId="77777777" w:rsidR="002667DD" w:rsidRPr="003F7E43" w:rsidRDefault="002667DD" w:rsidP="002667DD">
      <w:pPr>
        <w:autoSpaceDE w:val="0"/>
        <w:autoSpaceDN w:val="0"/>
        <w:adjustRightInd w:val="0"/>
        <w:rPr>
          <w:rFonts w:cs="HelveticaNeueLTStd-Lt"/>
          <w:lang w:val="en-US"/>
        </w:rPr>
      </w:pPr>
      <w:r w:rsidRPr="003F7E43">
        <w:t xml:space="preserve">The Commission’s Director is its Chief Executive, Dr David Russell.  As Accounting Officer, the Chief Executive is responsible for maintaining a sound system of internal control. The Governance Statement sets out how this responsibility has been discharged in </w:t>
      </w:r>
      <w:r w:rsidRPr="003F7E43">
        <w:rPr>
          <w:rFonts w:cs="MetaPlusNormal-Roman"/>
          <w:lang w:val="en-US"/>
        </w:rPr>
        <w:t>20</w:t>
      </w:r>
      <w:r>
        <w:t>22-23</w:t>
      </w:r>
      <w:r w:rsidRPr="003F7E43">
        <w:rPr>
          <w:rFonts w:cs="HelveticaNeueLTStd-Lt"/>
          <w:lang w:val="en-US"/>
        </w:rPr>
        <w:t>.</w:t>
      </w:r>
    </w:p>
    <w:p w14:paraId="0CA4AF0E" w14:textId="77777777" w:rsidR="002667DD" w:rsidRPr="003F7E43" w:rsidRDefault="002667DD" w:rsidP="002667DD">
      <w:pPr>
        <w:autoSpaceDE w:val="0"/>
        <w:autoSpaceDN w:val="0"/>
        <w:adjustRightInd w:val="0"/>
        <w:rPr>
          <w:rFonts w:cs="Univers"/>
          <w:lang w:val="en-US"/>
        </w:rPr>
      </w:pPr>
    </w:p>
    <w:p w14:paraId="24DC75AB" w14:textId="77777777" w:rsidR="002667DD" w:rsidRPr="009B4441" w:rsidRDefault="002667DD" w:rsidP="002667DD">
      <w:pPr>
        <w:autoSpaceDE w:val="0"/>
        <w:autoSpaceDN w:val="0"/>
        <w:adjustRightInd w:val="0"/>
        <w:rPr>
          <w:rFonts w:cs="Univers"/>
          <w:lang w:val="en-US"/>
        </w:rPr>
      </w:pPr>
      <w:r w:rsidRPr="003F7E43">
        <w:rPr>
          <w:rFonts w:cs="Univers"/>
          <w:lang w:val="en-US"/>
        </w:rPr>
        <w:t>Details of remuneration can be found in the Remuneration Report.</w:t>
      </w:r>
    </w:p>
    <w:p w14:paraId="389AE2D6" w14:textId="77777777" w:rsidR="002667DD" w:rsidRDefault="002667DD" w:rsidP="002667DD">
      <w:pPr>
        <w:autoSpaceDE w:val="0"/>
        <w:autoSpaceDN w:val="0"/>
        <w:adjustRightInd w:val="0"/>
        <w:rPr>
          <w:rFonts w:cs="Univers"/>
          <w:i/>
          <w:lang w:val="en-US"/>
        </w:rPr>
      </w:pPr>
      <w:r w:rsidRPr="003F7E43">
        <w:rPr>
          <w:rFonts w:cs="Univers"/>
          <w:lang w:val="en-US"/>
        </w:rPr>
        <w:t xml:space="preserve">A register of interests of the Commissioners and the Management Team can be found on our website: </w:t>
      </w:r>
      <w:hyperlink r:id="rId28" w:history="1">
        <w:r w:rsidRPr="00B56F25">
          <w:rPr>
            <w:rStyle w:val="Hyperlink"/>
            <w:rFonts w:cs="Univers"/>
            <w:i/>
            <w:lang w:val="en-US"/>
          </w:rPr>
          <w:t>www.nihrc.org</w:t>
        </w:r>
      </w:hyperlink>
    </w:p>
    <w:p w14:paraId="28FCEAAF" w14:textId="77777777" w:rsidR="002667DD" w:rsidRPr="003F7E43" w:rsidRDefault="002667DD" w:rsidP="002667DD">
      <w:pPr>
        <w:autoSpaceDE w:val="0"/>
        <w:autoSpaceDN w:val="0"/>
        <w:adjustRightInd w:val="0"/>
        <w:rPr>
          <w:rFonts w:cs="Univers"/>
          <w:lang w:val="en-US"/>
        </w:rPr>
      </w:pPr>
    </w:p>
    <w:p w14:paraId="09C4053B" w14:textId="77777777" w:rsidR="002667DD" w:rsidRDefault="002667DD" w:rsidP="002667DD">
      <w:pPr>
        <w:widowControl w:val="0"/>
        <w:autoSpaceDE w:val="0"/>
        <w:autoSpaceDN w:val="0"/>
        <w:adjustRightInd w:val="0"/>
        <w:rPr>
          <w:b/>
        </w:rPr>
      </w:pPr>
    </w:p>
    <w:p w14:paraId="4009711D" w14:textId="77777777" w:rsidR="002667DD" w:rsidRDefault="002667DD" w:rsidP="002667DD">
      <w:pPr>
        <w:widowControl w:val="0"/>
        <w:autoSpaceDE w:val="0"/>
        <w:autoSpaceDN w:val="0"/>
        <w:adjustRightInd w:val="0"/>
        <w:rPr>
          <w:b/>
        </w:rPr>
      </w:pPr>
    </w:p>
    <w:p w14:paraId="454546B8" w14:textId="77777777" w:rsidR="002667DD" w:rsidRDefault="002667DD" w:rsidP="002667DD">
      <w:pPr>
        <w:widowControl w:val="0"/>
        <w:autoSpaceDE w:val="0"/>
        <w:autoSpaceDN w:val="0"/>
        <w:adjustRightInd w:val="0"/>
        <w:rPr>
          <w:b/>
        </w:rPr>
      </w:pPr>
    </w:p>
    <w:p w14:paraId="0DB6CAE0" w14:textId="77777777" w:rsidR="002667DD" w:rsidRDefault="002667DD" w:rsidP="002667DD">
      <w:pPr>
        <w:widowControl w:val="0"/>
        <w:autoSpaceDE w:val="0"/>
        <w:autoSpaceDN w:val="0"/>
        <w:adjustRightInd w:val="0"/>
        <w:rPr>
          <w:b/>
        </w:rPr>
      </w:pPr>
    </w:p>
    <w:p w14:paraId="3891B889" w14:textId="77777777" w:rsidR="002667DD" w:rsidRPr="003F7E43" w:rsidRDefault="002667DD" w:rsidP="002667DD">
      <w:pPr>
        <w:widowControl w:val="0"/>
        <w:autoSpaceDE w:val="0"/>
        <w:autoSpaceDN w:val="0"/>
        <w:adjustRightInd w:val="0"/>
        <w:rPr>
          <w:b/>
        </w:rPr>
      </w:pPr>
      <w:r w:rsidRPr="003F7E43">
        <w:rPr>
          <w:b/>
        </w:rPr>
        <w:lastRenderedPageBreak/>
        <w:t>Audit and Risk Management Committee</w:t>
      </w:r>
    </w:p>
    <w:p w14:paraId="49612C59" w14:textId="77777777" w:rsidR="002667DD" w:rsidRPr="003F7E43" w:rsidRDefault="002667DD" w:rsidP="002667DD">
      <w:pPr>
        <w:widowControl w:val="0"/>
        <w:autoSpaceDE w:val="0"/>
        <w:autoSpaceDN w:val="0"/>
        <w:adjustRightInd w:val="0"/>
        <w:rPr>
          <w:b/>
        </w:rPr>
      </w:pPr>
    </w:p>
    <w:p w14:paraId="2FEF1E3C" w14:textId="77777777" w:rsidR="002667DD" w:rsidRPr="003F7E43" w:rsidRDefault="002667DD" w:rsidP="002667DD">
      <w:pPr>
        <w:autoSpaceDE w:val="0"/>
        <w:autoSpaceDN w:val="0"/>
        <w:adjustRightInd w:val="0"/>
        <w:rPr>
          <w:rFonts w:cs="Univers"/>
          <w:lang w:val="en-US"/>
        </w:rPr>
      </w:pPr>
      <w:r w:rsidRPr="003F7E43">
        <w:rPr>
          <w:rFonts w:cs="Univers"/>
          <w:lang w:val="en-US"/>
        </w:rPr>
        <w:t xml:space="preserve">The Commission’s Audit and Risk Management Committee met </w:t>
      </w:r>
      <w:r>
        <w:t>two times</w:t>
      </w:r>
      <w:r w:rsidRPr="003F7E43">
        <w:rPr>
          <w:rFonts w:cs="Univers"/>
          <w:lang w:val="en-US"/>
        </w:rPr>
        <w:t xml:space="preserve"> during </w:t>
      </w:r>
      <w:r w:rsidRPr="003F7E43">
        <w:rPr>
          <w:rFonts w:cs="MetaPlusNormal-Roman"/>
          <w:lang w:val="en-US"/>
        </w:rPr>
        <w:t>the year</w:t>
      </w:r>
      <w:r>
        <w:rPr>
          <w:rFonts w:cs="Univers"/>
          <w:lang w:val="en-US"/>
        </w:rPr>
        <w:t>.</w:t>
      </w:r>
    </w:p>
    <w:p w14:paraId="0367BDB7" w14:textId="77777777" w:rsidR="002667DD" w:rsidRPr="003F7E43" w:rsidRDefault="002667DD" w:rsidP="002667DD">
      <w:pPr>
        <w:autoSpaceDE w:val="0"/>
        <w:autoSpaceDN w:val="0"/>
        <w:adjustRightInd w:val="0"/>
        <w:rPr>
          <w:rFonts w:cs="Univers"/>
          <w:lang w:val="en-US"/>
        </w:rPr>
      </w:pPr>
    </w:p>
    <w:p w14:paraId="3DE5C7C2" w14:textId="77777777" w:rsidR="002667DD" w:rsidRPr="003F7E43" w:rsidRDefault="002667DD" w:rsidP="002667DD">
      <w:pPr>
        <w:autoSpaceDE w:val="0"/>
        <w:autoSpaceDN w:val="0"/>
        <w:adjustRightInd w:val="0"/>
        <w:rPr>
          <w:rFonts w:cs="Univers"/>
          <w:lang w:val="en-US"/>
        </w:rPr>
      </w:pPr>
      <w:r w:rsidRPr="003F7E43">
        <w:rPr>
          <w:rFonts w:cs="Univers"/>
          <w:lang w:val="en-US"/>
        </w:rPr>
        <w:t xml:space="preserve">The Audit and Risk Management Committee </w:t>
      </w:r>
      <w:r>
        <w:rPr>
          <w:rFonts w:cs="Univers"/>
          <w:lang w:val="en-US"/>
        </w:rPr>
        <w:t>2022-23 comprised</w:t>
      </w:r>
      <w:r w:rsidRPr="003F7E43">
        <w:rPr>
          <w:rFonts w:cs="Univers"/>
          <w:lang w:val="en-US"/>
        </w:rPr>
        <w:t>:</w:t>
      </w:r>
    </w:p>
    <w:p w14:paraId="332D32BF" w14:textId="77777777" w:rsidR="002667DD" w:rsidRPr="003F7E43" w:rsidRDefault="002667DD" w:rsidP="002667DD">
      <w:pPr>
        <w:autoSpaceDE w:val="0"/>
        <w:autoSpaceDN w:val="0"/>
        <w:adjustRightInd w:val="0"/>
        <w:rPr>
          <w:rFonts w:cs="Univers"/>
          <w:lang w:val="en-US"/>
        </w:rPr>
      </w:pPr>
    </w:p>
    <w:p w14:paraId="680097FC" w14:textId="77777777" w:rsidR="002667DD" w:rsidRPr="00FA0F19" w:rsidRDefault="002667DD" w:rsidP="002667DD">
      <w:pPr>
        <w:numPr>
          <w:ilvl w:val="2"/>
          <w:numId w:val="5"/>
        </w:numPr>
        <w:tabs>
          <w:tab w:val="clear" w:pos="2160"/>
        </w:tabs>
        <w:autoSpaceDE w:val="0"/>
        <w:autoSpaceDN w:val="0"/>
        <w:adjustRightInd w:val="0"/>
        <w:ind w:left="567" w:hanging="567"/>
        <w:rPr>
          <w:rFonts w:cs="Arial"/>
        </w:rPr>
      </w:pPr>
      <w:r>
        <w:rPr>
          <w:rFonts w:cs="Arial"/>
        </w:rPr>
        <w:t>Sean Donaghy</w:t>
      </w:r>
      <w:r w:rsidRPr="3285EAFF">
        <w:rPr>
          <w:rFonts w:cs="Arial"/>
        </w:rPr>
        <w:t>, Independent Chairperson</w:t>
      </w:r>
    </w:p>
    <w:p w14:paraId="79D38D23" w14:textId="77777777" w:rsidR="002667DD" w:rsidRPr="00FA0F19" w:rsidRDefault="002667DD" w:rsidP="002667DD">
      <w:pPr>
        <w:numPr>
          <w:ilvl w:val="2"/>
          <w:numId w:val="5"/>
        </w:numPr>
        <w:tabs>
          <w:tab w:val="clear" w:pos="2160"/>
        </w:tabs>
        <w:autoSpaceDE w:val="0"/>
        <w:autoSpaceDN w:val="0"/>
        <w:adjustRightInd w:val="0"/>
        <w:ind w:left="567" w:hanging="567"/>
        <w:rPr>
          <w:rFonts w:cs="Univers"/>
          <w:lang w:val="en-US"/>
        </w:rPr>
      </w:pPr>
      <w:r>
        <w:rPr>
          <w:rFonts w:cs="Arial"/>
        </w:rPr>
        <w:t xml:space="preserve">David A Lavery CB </w:t>
      </w:r>
    </w:p>
    <w:p w14:paraId="43DA7BD0" w14:textId="77777777" w:rsidR="002667DD" w:rsidRPr="00FA0F19" w:rsidRDefault="002667DD" w:rsidP="002667DD">
      <w:pPr>
        <w:numPr>
          <w:ilvl w:val="2"/>
          <w:numId w:val="5"/>
        </w:numPr>
        <w:tabs>
          <w:tab w:val="clear" w:pos="2160"/>
        </w:tabs>
        <w:autoSpaceDE w:val="0"/>
        <w:autoSpaceDN w:val="0"/>
        <w:adjustRightInd w:val="0"/>
        <w:ind w:left="567" w:hanging="567"/>
        <w:rPr>
          <w:rFonts w:cs="Univers"/>
          <w:lang w:val="en-US"/>
        </w:rPr>
      </w:pPr>
      <w:r>
        <w:rPr>
          <w:rFonts w:cs="Arial"/>
        </w:rPr>
        <w:t>Eddie Rooney</w:t>
      </w:r>
    </w:p>
    <w:p w14:paraId="2FCCBD65" w14:textId="77777777" w:rsidR="002667DD" w:rsidRPr="00AF7B8A" w:rsidRDefault="002667DD" w:rsidP="002667DD">
      <w:pPr>
        <w:numPr>
          <w:ilvl w:val="2"/>
          <w:numId w:val="5"/>
        </w:numPr>
        <w:tabs>
          <w:tab w:val="clear" w:pos="2160"/>
        </w:tabs>
        <w:autoSpaceDE w:val="0"/>
        <w:autoSpaceDN w:val="0"/>
        <w:adjustRightInd w:val="0"/>
        <w:ind w:left="567" w:hanging="567"/>
        <w:rPr>
          <w:rFonts w:cs="Univers"/>
          <w:lang w:val="en-US"/>
        </w:rPr>
      </w:pPr>
      <w:r>
        <w:rPr>
          <w:rFonts w:cs="Arial"/>
        </w:rPr>
        <w:t xml:space="preserve">Stephen White OBE </w:t>
      </w:r>
    </w:p>
    <w:p w14:paraId="5C8A9592" w14:textId="77777777" w:rsidR="002667DD" w:rsidRPr="001324BD" w:rsidRDefault="002667DD" w:rsidP="002667DD">
      <w:pPr>
        <w:autoSpaceDE w:val="0"/>
        <w:autoSpaceDN w:val="0"/>
        <w:adjustRightInd w:val="0"/>
        <w:rPr>
          <w:rFonts w:cs="Univers"/>
          <w:lang w:val="en-US"/>
        </w:rPr>
      </w:pPr>
    </w:p>
    <w:p w14:paraId="4B98DFA0" w14:textId="77777777" w:rsidR="002667DD" w:rsidRPr="00C6256C" w:rsidRDefault="002667DD" w:rsidP="002667DD">
      <w:pPr>
        <w:autoSpaceDE w:val="0"/>
        <w:autoSpaceDN w:val="0"/>
        <w:adjustRightInd w:val="0"/>
        <w:rPr>
          <w:rFonts w:cs="Arial"/>
        </w:rPr>
      </w:pPr>
      <w:r w:rsidRPr="003F7E43">
        <w:rPr>
          <w:rFonts w:cs="Univers"/>
          <w:lang w:val="en-US"/>
        </w:rPr>
        <w:t>The Chief Executive, Director (Finance, Personnel and Corporate Affairs),</w:t>
      </w:r>
      <w:r>
        <w:rPr>
          <w:rFonts w:cs="Univers"/>
          <w:lang w:val="en-US"/>
        </w:rPr>
        <w:t xml:space="preserve"> Director </w:t>
      </w:r>
      <w:r>
        <w:rPr>
          <w:rFonts w:cs="Arial"/>
        </w:rPr>
        <w:t xml:space="preserve">(Engagement and Communications), Director (Legal, Research and Investigations, and Advice to Government), Director (Human Rights after EU Withdrawal), </w:t>
      </w:r>
      <w:r w:rsidRPr="003F7E43">
        <w:rPr>
          <w:rFonts w:cs="Univers"/>
          <w:lang w:val="en-US"/>
        </w:rPr>
        <w:t>Internal Audit</w:t>
      </w:r>
      <w:r>
        <w:rPr>
          <w:rFonts w:cs="Univers"/>
          <w:lang w:val="en-US"/>
        </w:rPr>
        <w:t xml:space="preserve">or, </w:t>
      </w:r>
      <w:r w:rsidRPr="003F7E43">
        <w:rPr>
          <w:rFonts w:cs="Univers"/>
          <w:lang w:val="en-US"/>
        </w:rPr>
        <w:t xml:space="preserve">External Auditor </w:t>
      </w:r>
      <w:r>
        <w:rPr>
          <w:rFonts w:cs="Univers"/>
          <w:lang w:val="en-US"/>
        </w:rPr>
        <w:t xml:space="preserve">and a representative from the NIO </w:t>
      </w:r>
      <w:r w:rsidRPr="003F7E43">
        <w:rPr>
          <w:rFonts w:cs="Univers"/>
          <w:lang w:val="en-US"/>
        </w:rPr>
        <w:t>attend Audit and Risk Management Committee meetings.</w:t>
      </w:r>
    </w:p>
    <w:p w14:paraId="42C7D1F2" w14:textId="77777777" w:rsidR="002667DD" w:rsidRPr="003F7E43" w:rsidRDefault="002667DD" w:rsidP="002667DD">
      <w:pPr>
        <w:autoSpaceDE w:val="0"/>
        <w:autoSpaceDN w:val="0"/>
        <w:adjustRightInd w:val="0"/>
        <w:rPr>
          <w:rFonts w:cs="Univers"/>
          <w:lang w:val="en-US"/>
        </w:rPr>
      </w:pPr>
    </w:p>
    <w:p w14:paraId="06CDFC12" w14:textId="77777777" w:rsidR="002667DD" w:rsidRPr="003F7E43" w:rsidRDefault="002667DD" w:rsidP="002667DD">
      <w:pPr>
        <w:autoSpaceDE w:val="0"/>
        <w:autoSpaceDN w:val="0"/>
        <w:adjustRightInd w:val="0"/>
        <w:rPr>
          <w:lang w:val="en-US"/>
        </w:rPr>
      </w:pPr>
      <w:r w:rsidRPr="003F7E43">
        <w:rPr>
          <w:rFonts w:cs="Univers"/>
          <w:lang w:val="en-US"/>
        </w:rPr>
        <w:t xml:space="preserve">The Audit and Risk Management Committee supports the Accounting Officer, and the Commission, </w:t>
      </w:r>
      <w:r w:rsidRPr="003F7E43">
        <w:rPr>
          <w:lang w:val="en-US"/>
        </w:rPr>
        <w:t xml:space="preserve">by monitoring and reviewing the risk, control and governance systems, and the associated assurance processes. This is achieved by providing an independent perspective and through a process of constructive challenge. The Chairperson or nominated Committee member </w:t>
      </w:r>
      <w:r w:rsidRPr="003F7E43">
        <w:rPr>
          <w:rFonts w:cs="Univers"/>
          <w:lang w:val="en-US"/>
        </w:rPr>
        <w:t xml:space="preserve">reports on the activities </w:t>
      </w:r>
      <w:r w:rsidRPr="003F7E43">
        <w:rPr>
          <w:lang w:val="en-US"/>
        </w:rPr>
        <w:t xml:space="preserve">of the </w:t>
      </w:r>
      <w:r w:rsidRPr="003F7E43">
        <w:rPr>
          <w:rFonts w:cs="Univers"/>
          <w:lang w:val="en-US"/>
        </w:rPr>
        <w:t>Audit and Risk Management Committee at Commission meetings. Minutes of Audit and Risk Management Committee meetings are circulated to all Commissioners.</w:t>
      </w:r>
    </w:p>
    <w:p w14:paraId="274BF923" w14:textId="77777777" w:rsidR="002667DD" w:rsidRPr="003F7E43" w:rsidRDefault="002667DD" w:rsidP="002667DD">
      <w:pPr>
        <w:widowControl w:val="0"/>
        <w:autoSpaceDE w:val="0"/>
        <w:autoSpaceDN w:val="0"/>
        <w:adjustRightInd w:val="0"/>
        <w:rPr>
          <w:b/>
        </w:rPr>
      </w:pPr>
    </w:p>
    <w:p w14:paraId="28A168D7" w14:textId="77777777" w:rsidR="002667DD" w:rsidRPr="00C6256C" w:rsidRDefault="002667DD" w:rsidP="002667DD">
      <w:pPr>
        <w:rPr>
          <w:bCs/>
          <w:noProof/>
          <w:lang w:eastAsia="en-GB"/>
        </w:rPr>
      </w:pPr>
      <w:r w:rsidRPr="003F7E43">
        <w:rPr>
          <w:b/>
        </w:rPr>
        <w:t>Risk management</w:t>
      </w:r>
      <w:r>
        <w:rPr>
          <w:b/>
        </w:rPr>
        <w:t xml:space="preserve"> </w:t>
      </w:r>
    </w:p>
    <w:p w14:paraId="533FD1A0" w14:textId="77777777" w:rsidR="002667DD" w:rsidRPr="003F7E43" w:rsidRDefault="002667DD" w:rsidP="002667DD">
      <w:pPr>
        <w:rPr>
          <w:b/>
        </w:rPr>
      </w:pPr>
    </w:p>
    <w:p w14:paraId="5259D8F1" w14:textId="77777777" w:rsidR="002667DD" w:rsidRPr="00215C42" w:rsidRDefault="002667DD" w:rsidP="002667DD">
      <w:r w:rsidRPr="00215C42">
        <w:t xml:space="preserve">The Commission is committed to ensuring a high standard of corporate governance. We have identified our risk appetite as well as defining strategy and determining resource allocation to ensure the delivery of the Commission objectives. The system of internal control is designed to manage risk to a reasonable level rather than to eliminate all risk. The Audit and Risk </w:t>
      </w:r>
      <w:r>
        <w:t xml:space="preserve">Management </w:t>
      </w:r>
      <w:r w:rsidRPr="00215C42">
        <w:t xml:space="preserve">Committee oversee this work under an independent Chair. </w:t>
      </w:r>
    </w:p>
    <w:p w14:paraId="5BE46C04" w14:textId="77777777" w:rsidR="002667DD" w:rsidRPr="00215C42" w:rsidRDefault="002667DD" w:rsidP="002667DD"/>
    <w:p w14:paraId="6510C6D1" w14:textId="77777777" w:rsidR="002667DD" w:rsidRDefault="002667DD" w:rsidP="002667DD">
      <w:r w:rsidRPr="00215C42">
        <w:t xml:space="preserve">All Commissioners have received training in the role and responsibilities of National Human Rights Institution Commissioners and as board members of non-Departmental public bodies as well as induction and </w:t>
      </w:r>
      <w:r>
        <w:t xml:space="preserve">follow up </w:t>
      </w:r>
      <w:r w:rsidRPr="00215C42">
        <w:t xml:space="preserve">training </w:t>
      </w:r>
      <w:r>
        <w:t>on</w:t>
      </w:r>
      <w:r w:rsidRPr="00215C42">
        <w:t xml:space="preserve"> the work of the Commission. The Audit and Risk Management Committee reviews its effectiveness by assessing its operation and constitution against good practice guidelines issued by the National Audit Office. </w:t>
      </w:r>
      <w:r>
        <w:t>A member of the</w:t>
      </w:r>
      <w:r w:rsidRPr="00215C42">
        <w:t xml:space="preserve"> Audit and Risk Management </w:t>
      </w:r>
      <w:r>
        <w:t>C</w:t>
      </w:r>
      <w:r w:rsidRPr="00215C42">
        <w:t xml:space="preserve">ommittee reports </w:t>
      </w:r>
      <w:r>
        <w:t>to the full Commission board following a committee meeting.</w:t>
      </w:r>
      <w:r w:rsidRPr="009A2C67">
        <w:t xml:space="preserve"> The independent chairperson normally reports annually to the full Comm</w:t>
      </w:r>
      <w:r>
        <w:t>ission board, usually in August</w:t>
      </w:r>
      <w:r w:rsidRPr="009A2C67">
        <w:t>.</w:t>
      </w:r>
    </w:p>
    <w:p w14:paraId="4FA8394F" w14:textId="77777777" w:rsidR="002667DD" w:rsidRPr="00014CBD" w:rsidRDefault="002667DD" w:rsidP="002667DD"/>
    <w:p w14:paraId="03AB6F6F" w14:textId="77777777" w:rsidR="002667DD" w:rsidRPr="00215C42" w:rsidRDefault="002667DD" w:rsidP="002667DD">
      <w:pPr>
        <w:widowControl w:val="0"/>
        <w:autoSpaceDE w:val="0"/>
        <w:autoSpaceDN w:val="0"/>
        <w:adjustRightInd w:val="0"/>
      </w:pPr>
      <w:r w:rsidRPr="00215C42">
        <w:lastRenderedPageBreak/>
        <w:t>Overall responsibility for ensuring that risks are identified and an appropriate framework is in place to manage those risks down to an acceptable level rests with the Commission’s Accounting Officer. Individual staff members can be nominated as ‘risk owners’ with responsibility delegated from the Accounting Officer. The risk register is reviewed monthly by the management team who are also responsible for reviewing the Business Continuity Plan.</w:t>
      </w:r>
    </w:p>
    <w:p w14:paraId="62DE9FBB" w14:textId="77777777" w:rsidR="002667DD" w:rsidRPr="00215C42" w:rsidRDefault="002667DD" w:rsidP="002667DD">
      <w:pPr>
        <w:widowControl w:val="0"/>
        <w:autoSpaceDE w:val="0"/>
        <w:autoSpaceDN w:val="0"/>
        <w:adjustRightInd w:val="0"/>
      </w:pPr>
    </w:p>
    <w:p w14:paraId="11A2C1CC" w14:textId="77777777" w:rsidR="002667DD" w:rsidRPr="00215C42" w:rsidRDefault="002667DD" w:rsidP="002667DD">
      <w:pPr>
        <w:widowControl w:val="0"/>
        <w:autoSpaceDE w:val="0"/>
        <w:autoSpaceDN w:val="0"/>
        <w:adjustRightInd w:val="0"/>
      </w:pPr>
      <w:r w:rsidRPr="00215C42">
        <w:t>The Commission’s risk register is presented to each Audit and Risk Management Committee meeting for scrutiny and discussion.  The Commission uses a bespoke software package for the recording of any risks, and identifies the likelihood of occurrence and the impact of the risk.  Any controls that are put in place to mitigate the risk are recorded and, if necessary, any remedial action.  Changes to the assessment and evaluation of risk are noted by the Audit and Risk Management Committee and the full Commission</w:t>
      </w:r>
      <w:r>
        <w:t xml:space="preserve"> board</w:t>
      </w:r>
      <w:r w:rsidRPr="00215C42">
        <w:t>.</w:t>
      </w:r>
    </w:p>
    <w:p w14:paraId="2BF16210" w14:textId="77777777" w:rsidR="002667DD" w:rsidRPr="008D428E" w:rsidRDefault="002667DD" w:rsidP="002667DD">
      <w:pPr>
        <w:widowControl w:val="0"/>
        <w:autoSpaceDE w:val="0"/>
        <w:autoSpaceDN w:val="0"/>
        <w:adjustRightInd w:val="0"/>
        <w:rPr>
          <w:highlight w:val="yellow"/>
        </w:rPr>
      </w:pPr>
    </w:p>
    <w:p w14:paraId="664BC711" w14:textId="77777777" w:rsidR="002667DD" w:rsidRPr="00C6256C" w:rsidRDefault="002667DD" w:rsidP="002667DD">
      <w:pPr>
        <w:rPr>
          <w:b/>
          <w:color w:val="FF0000"/>
        </w:rPr>
      </w:pPr>
      <w:r w:rsidRPr="00820476">
        <w:t xml:space="preserve">There </w:t>
      </w:r>
      <w:r>
        <w:t xml:space="preserve">were no </w:t>
      </w:r>
      <w:r w:rsidRPr="00820476">
        <w:t>complaint</w:t>
      </w:r>
      <w:r>
        <w:t>s</w:t>
      </w:r>
      <w:r w:rsidRPr="00820476">
        <w:t xml:space="preserve"> to the</w:t>
      </w:r>
      <w:r>
        <w:t xml:space="preserve"> Parliamentary Ombudsman in 2022-23 (20</w:t>
      </w:r>
      <w:r w:rsidRPr="00820476">
        <w:t>2</w:t>
      </w:r>
      <w:r>
        <w:t xml:space="preserve">1-22: One).  </w:t>
      </w:r>
    </w:p>
    <w:p w14:paraId="0420CD6B" w14:textId="77777777" w:rsidR="002667DD" w:rsidRPr="003F7E43" w:rsidRDefault="002667DD" w:rsidP="002667DD"/>
    <w:p w14:paraId="7975271B" w14:textId="77777777" w:rsidR="002667DD" w:rsidRDefault="002667DD" w:rsidP="002667DD">
      <w:pPr>
        <w:widowControl w:val="0"/>
        <w:autoSpaceDE w:val="0"/>
        <w:autoSpaceDN w:val="0"/>
        <w:adjustRightInd w:val="0"/>
        <w:rPr>
          <w:b/>
          <w:color w:val="FF0000"/>
        </w:rPr>
      </w:pPr>
      <w:r w:rsidRPr="009B4441">
        <w:rPr>
          <w:b/>
          <w:color w:val="auto"/>
        </w:rPr>
        <w:t>Personal data</w:t>
      </w:r>
      <w:r>
        <w:rPr>
          <w:b/>
          <w:color w:val="auto"/>
        </w:rPr>
        <w:t xml:space="preserve"> related incidents </w:t>
      </w:r>
    </w:p>
    <w:p w14:paraId="1E6A4194" w14:textId="77777777" w:rsidR="002667DD" w:rsidRPr="009B4441" w:rsidRDefault="002667DD" w:rsidP="002667DD">
      <w:pPr>
        <w:widowControl w:val="0"/>
        <w:autoSpaceDE w:val="0"/>
        <w:autoSpaceDN w:val="0"/>
        <w:adjustRightInd w:val="0"/>
        <w:rPr>
          <w:color w:val="auto"/>
        </w:rPr>
      </w:pPr>
    </w:p>
    <w:p w14:paraId="6D628D86" w14:textId="77777777" w:rsidR="002667DD" w:rsidRDefault="002667DD" w:rsidP="002667DD">
      <w:pPr>
        <w:widowControl w:val="0"/>
        <w:autoSpaceDE w:val="0"/>
        <w:autoSpaceDN w:val="0"/>
        <w:adjustRightInd w:val="0"/>
        <w:rPr>
          <w:rFonts w:cs="MetaPlusNormal-Roman"/>
          <w:color w:val="auto"/>
          <w:lang w:val="en-US"/>
        </w:rPr>
      </w:pPr>
      <w:r w:rsidRPr="009B4441">
        <w:rPr>
          <w:rFonts w:cs="MetaPlusNormal-Roman"/>
          <w:color w:val="auto"/>
          <w:lang w:val="en-US"/>
        </w:rPr>
        <w:t xml:space="preserve">We are committed to safeguarding all retained personal </w:t>
      </w:r>
      <w:r>
        <w:rPr>
          <w:rFonts w:cs="MetaPlusNormal-Roman"/>
          <w:color w:val="auto"/>
          <w:lang w:val="en-US"/>
        </w:rPr>
        <w:t>data and follow the General Data Protection Regulation (GDPR) as it applies in the UK, tailored by the Data Protection Act 2018</w:t>
      </w:r>
      <w:r w:rsidRPr="009B4441">
        <w:rPr>
          <w:rFonts w:cs="MetaPlusNormal-Roman"/>
          <w:color w:val="auto"/>
          <w:lang w:val="en-US"/>
        </w:rPr>
        <w:t>.</w:t>
      </w:r>
      <w:r>
        <w:rPr>
          <w:rFonts w:cs="MetaPlusNormal-Roman"/>
          <w:color w:val="auto"/>
          <w:lang w:val="en-US"/>
        </w:rPr>
        <w:t xml:space="preserve"> A member of the senior management team has been appointed as the Data Protection Officer and a member of staff provides support in the role of the Data Protection Practitioner.</w:t>
      </w:r>
      <w:r w:rsidRPr="009B4441">
        <w:rPr>
          <w:rFonts w:cs="MetaPlusNormal-Roman"/>
          <w:color w:val="auto"/>
          <w:lang w:val="en-US"/>
        </w:rPr>
        <w:t xml:space="preserve"> </w:t>
      </w:r>
    </w:p>
    <w:p w14:paraId="78DC47CF" w14:textId="77777777" w:rsidR="002667DD" w:rsidRDefault="002667DD" w:rsidP="002667DD">
      <w:pPr>
        <w:widowControl w:val="0"/>
        <w:autoSpaceDE w:val="0"/>
        <w:autoSpaceDN w:val="0"/>
        <w:adjustRightInd w:val="0"/>
        <w:rPr>
          <w:rFonts w:cs="MetaPlusNormal-Roman"/>
          <w:color w:val="auto"/>
          <w:lang w:val="en-US"/>
        </w:rPr>
      </w:pPr>
    </w:p>
    <w:p w14:paraId="35BBD366" w14:textId="77777777" w:rsidR="002667DD" w:rsidRPr="009B4441" w:rsidRDefault="002667DD" w:rsidP="002667DD">
      <w:pPr>
        <w:widowControl w:val="0"/>
        <w:autoSpaceDE w:val="0"/>
        <w:autoSpaceDN w:val="0"/>
        <w:adjustRightInd w:val="0"/>
        <w:rPr>
          <w:rFonts w:cs="MetaPlusNormal-Roman"/>
          <w:color w:val="auto"/>
          <w:lang w:val="en-US"/>
        </w:rPr>
      </w:pPr>
      <w:r w:rsidRPr="009B4441">
        <w:rPr>
          <w:rFonts w:cs="MetaPlusNormal-Roman"/>
          <w:color w:val="auto"/>
          <w:lang w:val="en-US"/>
        </w:rPr>
        <w:t>Risks in this area are recorded in the Commission’s risk register and the Audit and Risk Management Committee receives regular reports on activities to</w:t>
      </w:r>
      <w:r w:rsidRPr="009B4441">
        <w:rPr>
          <w:rFonts w:cs="MetaPlusNormal-Roman"/>
          <w:color w:val="auto"/>
        </w:rPr>
        <w:t xml:space="preserve"> minimise</w:t>
      </w:r>
      <w:r w:rsidRPr="009B4441">
        <w:rPr>
          <w:rFonts w:cs="MetaPlusNormal-Roman"/>
          <w:color w:val="auto"/>
          <w:lang w:val="en-US"/>
        </w:rPr>
        <w:t xml:space="preserve"> the likeli</w:t>
      </w:r>
      <w:r>
        <w:rPr>
          <w:rFonts w:cs="MetaPlusNormal-Roman"/>
          <w:color w:val="auto"/>
          <w:lang w:val="en-US"/>
        </w:rPr>
        <w:t>hood of the occurrence of these and other</w:t>
      </w:r>
      <w:r w:rsidRPr="009B4441">
        <w:rPr>
          <w:rFonts w:cs="MetaPlusNormal-Roman"/>
          <w:color w:val="auto"/>
          <w:lang w:val="en-US"/>
        </w:rPr>
        <w:t xml:space="preserve"> risks. </w:t>
      </w:r>
    </w:p>
    <w:p w14:paraId="01A9CBFF" w14:textId="77777777" w:rsidR="002667DD" w:rsidRDefault="002667DD" w:rsidP="002667DD">
      <w:pPr>
        <w:widowControl w:val="0"/>
        <w:autoSpaceDE w:val="0"/>
        <w:autoSpaceDN w:val="0"/>
        <w:adjustRightInd w:val="0"/>
        <w:rPr>
          <w:rFonts w:cs="MetaPlusNormal-Roman"/>
          <w:color w:val="auto"/>
          <w:lang w:val="en-US"/>
        </w:rPr>
      </w:pPr>
    </w:p>
    <w:p w14:paraId="6A03A43D" w14:textId="7DDE618C" w:rsidR="002667DD" w:rsidRPr="009B4441" w:rsidRDefault="002667DD" w:rsidP="002667DD">
      <w:r w:rsidRPr="003F7E43">
        <w:t>There w</w:t>
      </w:r>
      <w:r>
        <w:t>ere no personal data related incidents during 2022-23 (202</w:t>
      </w:r>
      <w:r w:rsidR="00C4701D">
        <w:t>1</w:t>
      </w:r>
      <w:r>
        <w:t>-2</w:t>
      </w:r>
      <w:r w:rsidR="00C4701D">
        <w:t>2</w:t>
      </w:r>
      <w:r w:rsidRPr="003F7E43">
        <w:t xml:space="preserve">: </w:t>
      </w:r>
      <w:r>
        <w:t>One</w:t>
      </w:r>
      <w:r w:rsidRPr="003F7E43">
        <w:t>).</w:t>
      </w:r>
      <w:r>
        <w:t xml:space="preserve">  All staff completed the mandatory Civil Service Learning training on Security and Data Protection during the year.</w:t>
      </w:r>
    </w:p>
    <w:p w14:paraId="28C0B79E" w14:textId="77777777" w:rsidR="002667DD" w:rsidRDefault="002667DD" w:rsidP="002667DD">
      <w:pPr>
        <w:rPr>
          <w:b/>
        </w:rPr>
      </w:pPr>
    </w:p>
    <w:p w14:paraId="0450E638" w14:textId="77777777" w:rsidR="002667DD" w:rsidRPr="003F7E43" w:rsidRDefault="002667DD" w:rsidP="002667DD">
      <w:pPr>
        <w:rPr>
          <w:b/>
        </w:rPr>
      </w:pPr>
      <w:r w:rsidRPr="003F7E43">
        <w:rPr>
          <w:b/>
        </w:rPr>
        <w:t>Register of Interests</w:t>
      </w:r>
    </w:p>
    <w:p w14:paraId="2E9CA034" w14:textId="77777777" w:rsidR="002667DD" w:rsidRPr="003F7E43" w:rsidRDefault="002667DD" w:rsidP="002667DD">
      <w:pPr>
        <w:rPr>
          <w:b/>
        </w:rPr>
      </w:pPr>
    </w:p>
    <w:p w14:paraId="49BAA4A9" w14:textId="77777777" w:rsidR="002667DD" w:rsidRPr="003F7E43" w:rsidRDefault="002667DD" w:rsidP="002667DD">
      <w:pPr>
        <w:rPr>
          <w:b/>
        </w:rPr>
      </w:pPr>
      <w:r w:rsidRPr="003F7E43">
        <w:t xml:space="preserve">The Register of Interests and Related Party Declarations for the Chief Commissioner, Commissioners, Chief Executive and senior management can be found on the Commission’s website at </w:t>
      </w:r>
      <w:hyperlink r:id="rId29" w:history="1">
        <w:r w:rsidRPr="003F7E43">
          <w:rPr>
            <w:rStyle w:val="Hyperlink"/>
          </w:rPr>
          <w:t>www.nihrc.org</w:t>
        </w:r>
      </w:hyperlink>
    </w:p>
    <w:p w14:paraId="2A93BE2D" w14:textId="77777777" w:rsidR="002667DD" w:rsidRDefault="002667DD" w:rsidP="002667DD">
      <w:pPr>
        <w:widowControl w:val="0"/>
        <w:autoSpaceDE w:val="0"/>
        <w:autoSpaceDN w:val="0"/>
        <w:adjustRightInd w:val="0"/>
        <w:rPr>
          <w:b/>
        </w:rPr>
      </w:pPr>
    </w:p>
    <w:p w14:paraId="184BC2F6" w14:textId="439AF41C" w:rsidR="002667DD" w:rsidRPr="003F7E43" w:rsidRDefault="002667DD" w:rsidP="002667DD">
      <w:pPr>
        <w:widowControl w:val="0"/>
        <w:autoSpaceDE w:val="0"/>
        <w:autoSpaceDN w:val="0"/>
        <w:adjustRightInd w:val="0"/>
        <w:rPr>
          <w:b/>
        </w:rPr>
      </w:pPr>
      <w:r w:rsidRPr="003F7E43">
        <w:rPr>
          <w:b/>
        </w:rPr>
        <w:t>Auditors</w:t>
      </w:r>
    </w:p>
    <w:p w14:paraId="2D83097F" w14:textId="77777777" w:rsidR="002667DD" w:rsidRPr="003F7E43" w:rsidRDefault="002667DD" w:rsidP="002667DD">
      <w:pPr>
        <w:widowControl w:val="0"/>
        <w:autoSpaceDE w:val="0"/>
        <w:autoSpaceDN w:val="0"/>
        <w:adjustRightInd w:val="0"/>
        <w:rPr>
          <w:b/>
        </w:rPr>
      </w:pPr>
    </w:p>
    <w:p w14:paraId="17101479" w14:textId="4493A3F8" w:rsidR="002667DD" w:rsidRPr="003F7E43" w:rsidRDefault="002667DD" w:rsidP="002667DD">
      <w:pPr>
        <w:widowControl w:val="0"/>
        <w:autoSpaceDE w:val="0"/>
        <w:autoSpaceDN w:val="0"/>
        <w:adjustRightInd w:val="0"/>
      </w:pPr>
      <w:r w:rsidRPr="003F7E43">
        <w:t>The financial statements are audited by the Comptroller and Auditor General.  The audit fe</w:t>
      </w:r>
      <w:r>
        <w:t>e for this year is £21,875 (202</w:t>
      </w:r>
      <w:r w:rsidR="00797C1F">
        <w:t>1</w:t>
      </w:r>
      <w:r>
        <w:t>-2</w:t>
      </w:r>
      <w:r w:rsidR="00797C1F">
        <w:t>2</w:t>
      </w:r>
      <w:r>
        <w:t>: £17,5</w:t>
      </w:r>
      <w:r w:rsidRPr="003F7E43">
        <w:t>00).</w:t>
      </w:r>
    </w:p>
    <w:p w14:paraId="5EEE166F" w14:textId="77777777" w:rsidR="002667DD" w:rsidRPr="003F7E43" w:rsidRDefault="002667DD" w:rsidP="002667DD">
      <w:pPr>
        <w:widowControl w:val="0"/>
        <w:autoSpaceDE w:val="0"/>
        <w:autoSpaceDN w:val="0"/>
        <w:adjustRightInd w:val="0"/>
      </w:pPr>
    </w:p>
    <w:p w14:paraId="6EDF8E2B" w14:textId="77777777" w:rsidR="002667DD" w:rsidRPr="009B4441" w:rsidRDefault="002667DD" w:rsidP="002667DD">
      <w:pPr>
        <w:widowControl w:val="0"/>
        <w:autoSpaceDE w:val="0"/>
        <w:autoSpaceDN w:val="0"/>
        <w:adjustRightInd w:val="0"/>
      </w:pPr>
      <w:r>
        <w:lastRenderedPageBreak/>
        <w:t xml:space="preserve">The Commission’s internal audit is provided by ASM (Belfast). </w:t>
      </w:r>
    </w:p>
    <w:p w14:paraId="115DEC67" w14:textId="77777777" w:rsidR="002667DD" w:rsidRPr="009B4441" w:rsidRDefault="002667DD" w:rsidP="002667DD">
      <w:pPr>
        <w:widowControl w:val="0"/>
        <w:autoSpaceDE w:val="0"/>
        <w:autoSpaceDN w:val="0"/>
        <w:adjustRightInd w:val="0"/>
        <w:rPr>
          <w:color w:val="auto"/>
        </w:rPr>
      </w:pPr>
    </w:p>
    <w:p w14:paraId="5B42EABB" w14:textId="77777777" w:rsidR="002667DD" w:rsidRPr="004113D9" w:rsidRDefault="002667DD" w:rsidP="002667DD">
      <w:pPr>
        <w:widowControl w:val="0"/>
        <w:autoSpaceDE w:val="0"/>
        <w:autoSpaceDN w:val="0"/>
        <w:adjustRightInd w:val="0"/>
        <w:rPr>
          <w:b/>
          <w:color w:val="auto"/>
        </w:rPr>
      </w:pPr>
      <w:r w:rsidRPr="004113D9">
        <w:rPr>
          <w:b/>
          <w:color w:val="auto"/>
        </w:rPr>
        <w:t>Creditor payment, policy and performance</w:t>
      </w:r>
    </w:p>
    <w:p w14:paraId="3133F46E" w14:textId="77777777" w:rsidR="002667DD" w:rsidRPr="004113D9" w:rsidRDefault="002667DD" w:rsidP="002667DD">
      <w:pPr>
        <w:widowControl w:val="0"/>
        <w:autoSpaceDE w:val="0"/>
        <w:autoSpaceDN w:val="0"/>
        <w:adjustRightInd w:val="0"/>
        <w:rPr>
          <w:color w:val="auto"/>
        </w:rPr>
      </w:pPr>
    </w:p>
    <w:p w14:paraId="3134FA67" w14:textId="77777777" w:rsidR="002667DD" w:rsidRDefault="002667DD" w:rsidP="002667DD">
      <w:pPr>
        <w:pStyle w:val="Default"/>
        <w:rPr>
          <w:rFonts w:ascii="Verdana" w:hAnsi="Verdana"/>
          <w:color w:val="auto"/>
        </w:rPr>
      </w:pPr>
      <w:r w:rsidRPr="004113D9">
        <w:rPr>
          <w:rFonts w:ascii="Verdana" w:hAnsi="Verdana"/>
          <w:color w:val="auto"/>
        </w:rPr>
        <w:t xml:space="preserve">Monthly statistics submitted to the Northern Ireland Office highlight that the Commission has paid </w:t>
      </w:r>
      <w:r>
        <w:rPr>
          <w:rFonts w:ascii="Verdana" w:hAnsi="Verdana"/>
          <w:color w:val="auto"/>
        </w:rPr>
        <w:t xml:space="preserve">98.8 </w:t>
      </w:r>
      <w:r w:rsidRPr="004113D9">
        <w:rPr>
          <w:rFonts w:ascii="Verdana" w:hAnsi="Verdana"/>
          <w:color w:val="auto"/>
        </w:rPr>
        <w:t>per cent of all undisputed invoices within five working days against the Government target of paying 80 per cent of such invoic</w:t>
      </w:r>
      <w:r>
        <w:rPr>
          <w:rFonts w:ascii="Verdana" w:hAnsi="Verdana"/>
          <w:color w:val="auto"/>
        </w:rPr>
        <w:t>es within this time period (2021-22</w:t>
      </w:r>
      <w:r w:rsidRPr="004113D9">
        <w:rPr>
          <w:rFonts w:ascii="Verdana" w:hAnsi="Verdana"/>
          <w:color w:val="auto"/>
        </w:rPr>
        <w:t xml:space="preserve">: </w:t>
      </w:r>
      <w:r>
        <w:rPr>
          <w:rFonts w:ascii="Verdana" w:hAnsi="Verdana"/>
          <w:color w:val="auto"/>
        </w:rPr>
        <w:t>99.8</w:t>
      </w:r>
      <w:r w:rsidRPr="004113D9">
        <w:rPr>
          <w:rFonts w:ascii="Verdana" w:hAnsi="Verdana"/>
          <w:color w:val="auto"/>
        </w:rPr>
        <w:t xml:space="preserve"> per cent).</w:t>
      </w:r>
      <w:r w:rsidRPr="009B4441">
        <w:rPr>
          <w:rFonts w:ascii="Verdana" w:hAnsi="Verdana"/>
          <w:color w:val="auto"/>
        </w:rPr>
        <w:t xml:space="preserve"> </w:t>
      </w:r>
    </w:p>
    <w:p w14:paraId="5876FE1C" w14:textId="77777777" w:rsidR="002667DD" w:rsidRPr="009B4441" w:rsidRDefault="002667DD" w:rsidP="002667DD">
      <w:pPr>
        <w:pStyle w:val="Default"/>
        <w:rPr>
          <w:rFonts w:ascii="Verdana" w:hAnsi="Verdana"/>
          <w:color w:val="auto"/>
          <w:lang w:eastAsia="en-GB"/>
        </w:rPr>
      </w:pPr>
    </w:p>
    <w:p w14:paraId="67FF56F4" w14:textId="77777777" w:rsidR="002667DD" w:rsidRPr="00467207" w:rsidRDefault="002667DD" w:rsidP="002667DD">
      <w:pPr>
        <w:autoSpaceDE w:val="0"/>
        <w:autoSpaceDN w:val="0"/>
        <w:adjustRightInd w:val="0"/>
        <w:rPr>
          <w:rFonts w:cs="Univers-Bold"/>
          <w:b/>
          <w:bCs/>
          <w:color w:val="auto"/>
          <w:lang w:val="en-US"/>
        </w:rPr>
      </w:pPr>
      <w:r w:rsidRPr="00467207">
        <w:rPr>
          <w:rFonts w:cs="Univers-Bold"/>
          <w:b/>
          <w:bCs/>
          <w:color w:val="auto"/>
          <w:lang w:val="en-US"/>
        </w:rPr>
        <w:t>Days lost due to absence</w:t>
      </w:r>
    </w:p>
    <w:p w14:paraId="49B7C63A" w14:textId="77777777" w:rsidR="002667DD" w:rsidRPr="00467207" w:rsidRDefault="002667DD" w:rsidP="002667DD">
      <w:pPr>
        <w:autoSpaceDE w:val="0"/>
        <w:autoSpaceDN w:val="0"/>
        <w:adjustRightInd w:val="0"/>
        <w:rPr>
          <w:rFonts w:cs="Univers"/>
          <w:color w:val="auto"/>
          <w:lang w:val="en-US"/>
        </w:rPr>
      </w:pPr>
    </w:p>
    <w:p w14:paraId="2A3C7504" w14:textId="77777777" w:rsidR="002667DD" w:rsidRPr="00467207" w:rsidRDefault="002667DD" w:rsidP="002667DD">
      <w:pPr>
        <w:autoSpaceDE w:val="0"/>
        <w:autoSpaceDN w:val="0"/>
        <w:adjustRightInd w:val="0"/>
        <w:rPr>
          <w:rFonts w:cs="Univers"/>
          <w:color w:val="auto"/>
          <w:lang w:val="en-US"/>
        </w:rPr>
      </w:pPr>
      <w:r w:rsidRPr="00467207">
        <w:rPr>
          <w:rFonts w:cs="Univers"/>
          <w:color w:val="auto"/>
          <w:lang w:val="en-US"/>
        </w:rPr>
        <w:t>The Commission encourages a culture where good attendance is expected and valued. However, we</w:t>
      </w:r>
      <w:r w:rsidRPr="00467207">
        <w:rPr>
          <w:rFonts w:cs="Univers"/>
          <w:color w:val="auto"/>
        </w:rPr>
        <w:t xml:space="preserve"> recognise</w:t>
      </w:r>
      <w:r w:rsidRPr="00467207">
        <w:rPr>
          <w:rFonts w:cs="Univers"/>
          <w:color w:val="auto"/>
          <w:lang w:val="en-US"/>
        </w:rPr>
        <w:t xml:space="preserve"> that from time to time absences for medical reasons may be unavoidable. We aim to treat staff who are ill with sympathy and fairness and where possible provide them with support, which will enable them to recover their health and attend work regularly. </w:t>
      </w:r>
    </w:p>
    <w:p w14:paraId="6C61DB0A" w14:textId="77777777" w:rsidR="002667DD" w:rsidRPr="00467207" w:rsidRDefault="002667DD" w:rsidP="002667DD">
      <w:pPr>
        <w:autoSpaceDE w:val="0"/>
        <w:autoSpaceDN w:val="0"/>
        <w:adjustRightInd w:val="0"/>
        <w:rPr>
          <w:rFonts w:cs="Univers"/>
          <w:color w:val="auto"/>
          <w:highlight w:val="yellow"/>
          <w:lang w:val="en-US"/>
        </w:rPr>
      </w:pPr>
    </w:p>
    <w:p w14:paraId="011CFE81" w14:textId="77777777" w:rsidR="002667DD" w:rsidRDefault="002667DD" w:rsidP="002667DD">
      <w:pPr>
        <w:widowControl w:val="0"/>
        <w:tabs>
          <w:tab w:val="right" w:pos="7371"/>
          <w:tab w:val="right" w:pos="9356"/>
        </w:tabs>
        <w:autoSpaceDE w:val="0"/>
        <w:autoSpaceDN w:val="0"/>
        <w:adjustRightInd w:val="0"/>
        <w:rPr>
          <w:strike/>
        </w:rPr>
      </w:pPr>
      <w:r>
        <w:t>Staff absence arising as a result of illness, including injuries, disability or other health problems, was approximately 4.98 days per employee in 2022-23 (2021-22: 1.3 days).  The increase in the number of days sick per employee is due to long-term sick absence of two members of staff. The size of the Commission means that small changes in absence can appear to have a disproportionate impact on reporting statistics.</w:t>
      </w:r>
    </w:p>
    <w:p w14:paraId="505C55AE" w14:textId="77777777" w:rsidR="002667DD" w:rsidRDefault="002667DD" w:rsidP="002667DD">
      <w:pPr>
        <w:widowControl w:val="0"/>
        <w:tabs>
          <w:tab w:val="right" w:pos="7371"/>
          <w:tab w:val="right" w:pos="9356"/>
        </w:tabs>
        <w:autoSpaceDE w:val="0"/>
        <w:autoSpaceDN w:val="0"/>
        <w:adjustRightInd w:val="0"/>
      </w:pPr>
    </w:p>
    <w:p w14:paraId="014FE49C" w14:textId="77777777" w:rsidR="002667DD" w:rsidRDefault="002667DD" w:rsidP="002667DD">
      <w:pPr>
        <w:rPr>
          <w:noProof/>
          <w:lang w:eastAsia="en-GB"/>
        </w:rPr>
      </w:pPr>
      <w:r>
        <w:rPr>
          <w:noProof/>
          <w:color w:val="2B579A"/>
          <w:shd w:val="clear" w:color="auto" w:fill="E6E6E6"/>
          <w:lang w:eastAsia="en-GB"/>
        </w:rPr>
        <w:drawing>
          <wp:inline distT="0" distB="0" distL="0" distR="0" wp14:anchorId="5C459418" wp14:editId="744F3B20">
            <wp:extent cx="2057399" cy="1182188"/>
            <wp:effectExtent l="0" t="0" r="635" b="0"/>
            <wp:docPr id="4" name="Picture 4" descr="A signature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ignature on a white background&#10;&#10;Description automatically generated with low confidence"/>
                    <pic:cNvPicPr/>
                  </pic:nvPicPr>
                  <pic:blipFill>
                    <a:blip r:embed="rId27">
                      <a:extLst>
                        <a:ext uri="{28A0092B-C50C-407E-A947-70E740481C1C}">
                          <a14:useLocalDpi xmlns:a14="http://schemas.microsoft.com/office/drawing/2010/main" val="0"/>
                        </a:ext>
                      </a:extLst>
                    </a:blip>
                    <a:stretch>
                      <a:fillRect/>
                    </a:stretch>
                  </pic:blipFill>
                  <pic:spPr>
                    <a:xfrm>
                      <a:off x="0" y="0"/>
                      <a:ext cx="2057399" cy="1182188"/>
                    </a:xfrm>
                    <a:prstGeom prst="rect">
                      <a:avLst/>
                    </a:prstGeom>
                  </pic:spPr>
                </pic:pic>
              </a:graphicData>
            </a:graphic>
          </wp:inline>
        </w:drawing>
      </w:r>
    </w:p>
    <w:p w14:paraId="7101DEEE" w14:textId="77777777" w:rsidR="002667DD" w:rsidRPr="00D80497" w:rsidRDefault="002667DD" w:rsidP="002667DD">
      <w:pPr>
        <w:widowControl w:val="0"/>
        <w:autoSpaceDE w:val="0"/>
        <w:autoSpaceDN w:val="0"/>
        <w:adjustRightInd w:val="0"/>
        <w:rPr>
          <w:b/>
        </w:rPr>
      </w:pPr>
      <w:r>
        <w:rPr>
          <w:b/>
        </w:rPr>
        <w:t>Dr David Russell</w:t>
      </w:r>
    </w:p>
    <w:p w14:paraId="6FD23B62" w14:textId="77777777" w:rsidR="002667DD" w:rsidRPr="00D80497" w:rsidRDefault="002667DD" w:rsidP="002667DD">
      <w:pPr>
        <w:widowControl w:val="0"/>
        <w:autoSpaceDE w:val="0"/>
        <w:autoSpaceDN w:val="0"/>
        <w:adjustRightInd w:val="0"/>
        <w:rPr>
          <w:b/>
        </w:rPr>
      </w:pPr>
      <w:r w:rsidRPr="00D80497">
        <w:rPr>
          <w:b/>
        </w:rPr>
        <w:t>Accounting Officer</w:t>
      </w:r>
    </w:p>
    <w:p w14:paraId="6F3D0BC5" w14:textId="77777777" w:rsidR="002667DD" w:rsidRPr="00D80497" w:rsidRDefault="002667DD" w:rsidP="002667DD">
      <w:pPr>
        <w:widowControl w:val="0"/>
        <w:tabs>
          <w:tab w:val="left" w:pos="2802"/>
        </w:tabs>
        <w:autoSpaceDE w:val="0"/>
        <w:autoSpaceDN w:val="0"/>
        <w:adjustRightInd w:val="0"/>
      </w:pPr>
    </w:p>
    <w:p w14:paraId="13F9776F" w14:textId="739A6240" w:rsidR="002667DD" w:rsidRDefault="002667DD" w:rsidP="002667DD">
      <w:pPr>
        <w:widowControl w:val="0"/>
        <w:tabs>
          <w:tab w:val="left" w:pos="851"/>
        </w:tabs>
        <w:autoSpaceDE w:val="0"/>
        <w:autoSpaceDN w:val="0"/>
        <w:adjustRightInd w:val="0"/>
        <w:rPr>
          <w:b/>
        </w:rPr>
      </w:pPr>
      <w:r w:rsidRPr="00D80497">
        <w:rPr>
          <w:b/>
        </w:rPr>
        <w:t xml:space="preserve">Date: </w:t>
      </w:r>
      <w:r w:rsidR="005E6D62">
        <w:rPr>
          <w:b/>
        </w:rPr>
        <w:t>3</w:t>
      </w:r>
      <w:r>
        <w:rPr>
          <w:b/>
        </w:rPr>
        <w:t xml:space="preserve"> </w:t>
      </w:r>
      <w:r w:rsidR="005E6D62">
        <w:rPr>
          <w:b/>
        </w:rPr>
        <w:t>July</w:t>
      </w:r>
      <w:r>
        <w:rPr>
          <w:b/>
        </w:rPr>
        <w:t xml:space="preserve"> 20</w:t>
      </w:r>
      <w:r w:rsidR="005E6D62">
        <w:rPr>
          <w:b/>
        </w:rPr>
        <w:t>23</w:t>
      </w:r>
      <w:r>
        <w:rPr>
          <w:b/>
        </w:rPr>
        <w:t xml:space="preserve"> </w:t>
      </w:r>
    </w:p>
    <w:p w14:paraId="6467A255" w14:textId="77777777" w:rsidR="002667DD" w:rsidRDefault="002667DD" w:rsidP="002667DD">
      <w:pPr>
        <w:widowControl w:val="0"/>
        <w:tabs>
          <w:tab w:val="left" w:pos="851"/>
        </w:tabs>
        <w:autoSpaceDE w:val="0"/>
        <w:autoSpaceDN w:val="0"/>
        <w:adjustRightInd w:val="0"/>
        <w:rPr>
          <w:b/>
        </w:rPr>
      </w:pPr>
    </w:p>
    <w:p w14:paraId="76CB7BE1" w14:textId="77777777" w:rsidR="002667DD" w:rsidRDefault="002667DD" w:rsidP="002667DD">
      <w:pPr>
        <w:widowControl w:val="0"/>
        <w:tabs>
          <w:tab w:val="left" w:pos="851"/>
        </w:tabs>
        <w:autoSpaceDE w:val="0"/>
        <w:autoSpaceDN w:val="0"/>
        <w:adjustRightInd w:val="0"/>
        <w:rPr>
          <w:b/>
        </w:rPr>
      </w:pPr>
    </w:p>
    <w:p w14:paraId="775C613E" w14:textId="77777777" w:rsidR="002667DD" w:rsidRDefault="002667DD" w:rsidP="002667DD">
      <w:pPr>
        <w:rPr>
          <w:b/>
        </w:rPr>
      </w:pPr>
      <w:bookmarkStart w:id="8" w:name="StatementofAccountingOfficer"/>
      <w:r>
        <w:rPr>
          <w:b/>
        </w:rPr>
        <w:br w:type="page"/>
      </w:r>
    </w:p>
    <w:p w14:paraId="2E0B8721" w14:textId="77777777" w:rsidR="002667DD" w:rsidRPr="008D428E" w:rsidRDefault="002667DD" w:rsidP="002667DD">
      <w:pPr>
        <w:rPr>
          <w:b/>
        </w:rPr>
      </w:pPr>
      <w:r w:rsidRPr="003F7E43">
        <w:rPr>
          <w:b/>
        </w:rPr>
        <w:lastRenderedPageBreak/>
        <w:t>Statement of Accounting Officer’s Responsibilities</w:t>
      </w:r>
    </w:p>
    <w:bookmarkEnd w:id="8"/>
    <w:p w14:paraId="0B4BBD5B" w14:textId="77777777" w:rsidR="002667DD" w:rsidRPr="003F7E43" w:rsidRDefault="002667DD" w:rsidP="002667DD">
      <w:pPr>
        <w:jc w:val="center"/>
      </w:pPr>
    </w:p>
    <w:p w14:paraId="73AC00A8" w14:textId="77777777" w:rsidR="002667DD" w:rsidRPr="003F7E43" w:rsidRDefault="002667DD" w:rsidP="002667DD">
      <w:pPr>
        <w:rPr>
          <w:rFonts w:cs="Arial"/>
        </w:rPr>
      </w:pPr>
      <w:r w:rsidRPr="003F7E43">
        <w:t>Under Section 7(2)(a) of Schedule 7 to the Northern Ireland Act 1998</w:t>
      </w:r>
      <w:r w:rsidRPr="003F7E43">
        <w:rPr>
          <w:rFonts w:cs="Arial"/>
        </w:rPr>
        <w:t>, the Secretary of State for Northern Ireland (with the consent of HM Treasury) has directed the Northern Ireland Human Rights Commission to prepare for each financial year a statement of accounts in the form and on the basis set out in the Accounts Direction.  The accounts are prepared on an accruals basis and must give a true and fair view of the Northern Ireland Human Rights Commission’s state of affairs at the year-end and of its income and expenditure, changes in Taxpayers’ Equity, and cash flows for the financial year.</w:t>
      </w:r>
      <w:r w:rsidRPr="003F7E43">
        <w:t xml:space="preserve"> </w:t>
      </w:r>
    </w:p>
    <w:p w14:paraId="28A21A81" w14:textId="77777777" w:rsidR="002667DD" w:rsidRPr="003F7E43" w:rsidRDefault="002667DD" w:rsidP="002667DD">
      <w:pPr>
        <w:rPr>
          <w:rFonts w:cs="Arial"/>
          <w:lang w:val="en-US"/>
        </w:rPr>
      </w:pPr>
    </w:p>
    <w:p w14:paraId="6DDF88DF" w14:textId="77777777" w:rsidR="002667DD" w:rsidRPr="003F7E43" w:rsidRDefault="002667DD" w:rsidP="002667DD">
      <w:pPr>
        <w:rPr>
          <w:rFonts w:cs="Arial"/>
        </w:rPr>
      </w:pPr>
      <w:r w:rsidRPr="003F7E43">
        <w:rPr>
          <w:rFonts w:cs="Arial"/>
        </w:rPr>
        <w:t>In preparing the accounts, the Accounting Officer is required to comply with the requirements of the HM Treasury’s</w:t>
      </w:r>
      <w:r w:rsidRPr="003F7E43">
        <w:rPr>
          <w:rFonts w:cs="Arial"/>
          <w:i/>
        </w:rPr>
        <w:t xml:space="preserve"> Financial Reporting Manual</w:t>
      </w:r>
      <w:r w:rsidRPr="003F7E43">
        <w:rPr>
          <w:rFonts w:cs="Arial"/>
          <w:iCs/>
        </w:rPr>
        <w:t xml:space="preserve"> </w:t>
      </w:r>
      <w:r w:rsidRPr="003F7E43">
        <w:rPr>
          <w:rFonts w:cs="Arial"/>
        </w:rPr>
        <w:t xml:space="preserve">and, in particular, to: </w:t>
      </w:r>
    </w:p>
    <w:p w14:paraId="3392D430" w14:textId="77777777" w:rsidR="002667DD" w:rsidRPr="003F7E43" w:rsidRDefault="002667DD" w:rsidP="002667DD">
      <w:pPr>
        <w:rPr>
          <w:rFonts w:cs="Arial"/>
        </w:rPr>
      </w:pPr>
    </w:p>
    <w:p w14:paraId="22E314F9" w14:textId="77777777" w:rsidR="002667DD" w:rsidRDefault="002667DD" w:rsidP="002667DD">
      <w:pPr>
        <w:numPr>
          <w:ilvl w:val="0"/>
          <w:numId w:val="2"/>
        </w:numPr>
        <w:rPr>
          <w:rFonts w:cs="Arial"/>
        </w:rPr>
      </w:pPr>
      <w:r>
        <w:rPr>
          <w:rFonts w:cs="Arial"/>
        </w:rPr>
        <w:t>confirm that the annual report and accounts as a whole are fair, balanced and understandable and that he takes personal responsibility for the annual report and accounts and the judgements required for determining that they are fair, balanced and understandable;</w:t>
      </w:r>
    </w:p>
    <w:p w14:paraId="7CA85EA2" w14:textId="77777777" w:rsidR="002667DD" w:rsidRDefault="002667DD" w:rsidP="002667DD">
      <w:pPr>
        <w:ind w:left="567"/>
        <w:rPr>
          <w:rFonts w:cs="Arial"/>
        </w:rPr>
      </w:pPr>
    </w:p>
    <w:p w14:paraId="6243664F" w14:textId="77777777" w:rsidR="002667DD" w:rsidRPr="003F7E43" w:rsidRDefault="002667DD" w:rsidP="002667DD">
      <w:pPr>
        <w:numPr>
          <w:ilvl w:val="0"/>
          <w:numId w:val="2"/>
        </w:numPr>
        <w:rPr>
          <w:rFonts w:cs="Arial"/>
        </w:rPr>
      </w:pPr>
      <w:r w:rsidRPr="003F7E43">
        <w:rPr>
          <w:rFonts w:cs="Arial"/>
        </w:rPr>
        <w:t>observe the Accounts Direction issued by the Secretary of State for Northern Ireland, including the relevant accounting and disclosure requirements, and apply suitable accounting policies on a consistent basis</w:t>
      </w:r>
      <w:r>
        <w:rPr>
          <w:rFonts w:cs="Arial"/>
        </w:rPr>
        <w:t>;</w:t>
      </w:r>
    </w:p>
    <w:p w14:paraId="4EB8CF79" w14:textId="77777777" w:rsidR="002667DD" w:rsidRPr="003F7E43" w:rsidRDefault="002667DD" w:rsidP="002667DD">
      <w:pPr>
        <w:rPr>
          <w:rFonts w:cs="Arial"/>
        </w:rPr>
      </w:pPr>
    </w:p>
    <w:p w14:paraId="22FC2894" w14:textId="77777777" w:rsidR="002667DD" w:rsidRPr="003F7E43" w:rsidRDefault="002667DD" w:rsidP="002667DD">
      <w:pPr>
        <w:numPr>
          <w:ilvl w:val="0"/>
          <w:numId w:val="2"/>
        </w:numPr>
        <w:rPr>
          <w:rFonts w:cs="Arial"/>
        </w:rPr>
      </w:pPr>
      <w:r w:rsidRPr="003F7E43">
        <w:rPr>
          <w:rFonts w:cs="Arial"/>
        </w:rPr>
        <w:t>make judgements and estimates on a reasonable basis</w:t>
      </w:r>
      <w:r>
        <w:rPr>
          <w:rFonts w:cs="Arial"/>
        </w:rPr>
        <w:t>;</w:t>
      </w:r>
    </w:p>
    <w:p w14:paraId="3EAD8484" w14:textId="77777777" w:rsidR="002667DD" w:rsidRPr="003F7E43" w:rsidRDefault="002667DD" w:rsidP="002667DD">
      <w:pPr>
        <w:rPr>
          <w:rFonts w:cs="Arial"/>
        </w:rPr>
      </w:pPr>
    </w:p>
    <w:p w14:paraId="21C1921F" w14:textId="77777777" w:rsidR="002667DD" w:rsidRPr="003F7E43" w:rsidRDefault="002667DD" w:rsidP="002667DD">
      <w:pPr>
        <w:numPr>
          <w:ilvl w:val="0"/>
          <w:numId w:val="2"/>
        </w:numPr>
        <w:rPr>
          <w:rFonts w:cs="Arial"/>
        </w:rPr>
      </w:pPr>
      <w:r w:rsidRPr="003F7E43">
        <w:rPr>
          <w:rFonts w:cs="Arial"/>
        </w:rPr>
        <w:t>state whether applicable accounting standards as set out in the HM Treasury’s Financial Reporting Manual</w:t>
      </w:r>
      <w:r w:rsidRPr="003F7E43">
        <w:rPr>
          <w:rFonts w:cs="Arial"/>
          <w:iCs/>
        </w:rPr>
        <w:t xml:space="preserve"> </w:t>
      </w:r>
      <w:r w:rsidRPr="003F7E43">
        <w:rPr>
          <w:rFonts w:cs="Arial"/>
        </w:rPr>
        <w:t>have been followed, and disclose and explain any material departures in the financial statements, and</w:t>
      </w:r>
      <w:r>
        <w:rPr>
          <w:rFonts w:cs="Arial"/>
        </w:rPr>
        <w:t>;</w:t>
      </w:r>
      <w:r w:rsidRPr="003F7E43">
        <w:rPr>
          <w:rFonts w:cs="Arial"/>
        </w:rPr>
        <w:t xml:space="preserve"> </w:t>
      </w:r>
    </w:p>
    <w:p w14:paraId="1A0F84C2" w14:textId="77777777" w:rsidR="002667DD" w:rsidRPr="003F7E43" w:rsidRDefault="002667DD" w:rsidP="002667DD">
      <w:pPr>
        <w:rPr>
          <w:rFonts w:cs="Arial"/>
        </w:rPr>
      </w:pPr>
    </w:p>
    <w:p w14:paraId="6064C39E" w14:textId="77777777" w:rsidR="002667DD" w:rsidRPr="003F7E43" w:rsidRDefault="002667DD" w:rsidP="002667DD">
      <w:pPr>
        <w:numPr>
          <w:ilvl w:val="0"/>
          <w:numId w:val="2"/>
        </w:numPr>
        <w:rPr>
          <w:rFonts w:cs="Arial"/>
        </w:rPr>
      </w:pPr>
      <w:r w:rsidRPr="003F7E43">
        <w:rPr>
          <w:rFonts w:cs="Arial"/>
        </w:rPr>
        <w:t xml:space="preserve">prepare the financial statements on a going concern basis. </w:t>
      </w:r>
    </w:p>
    <w:p w14:paraId="14B166A2" w14:textId="77777777" w:rsidR="002667DD" w:rsidRPr="003F7E43" w:rsidRDefault="002667DD" w:rsidP="002667DD">
      <w:pPr>
        <w:rPr>
          <w:rFonts w:cs="Arial"/>
          <w:lang w:val="en-US"/>
        </w:rPr>
      </w:pPr>
    </w:p>
    <w:p w14:paraId="74BB0D58" w14:textId="77777777" w:rsidR="002667DD" w:rsidRDefault="002667DD" w:rsidP="002667DD">
      <w:pPr>
        <w:autoSpaceDE w:val="0"/>
        <w:autoSpaceDN w:val="0"/>
        <w:adjustRightInd w:val="0"/>
        <w:rPr>
          <w:rFonts w:cs="Arial"/>
        </w:rPr>
      </w:pPr>
      <w:r w:rsidRPr="003F7E43">
        <w:rPr>
          <w:rFonts w:cs="Arial"/>
        </w:rPr>
        <w:t xml:space="preserve">The Accounting Officer of the Northern Ireland Office has designated the </w:t>
      </w:r>
      <w:r>
        <w:rPr>
          <w:rFonts w:cs="Arial"/>
        </w:rPr>
        <w:t>Chief Executive</w:t>
      </w:r>
      <w:r w:rsidRPr="003F7E43">
        <w:rPr>
          <w:rFonts w:cs="Arial"/>
        </w:rPr>
        <w:t xml:space="preserve"> as Accounting Officer of the Northern Ireland Human Rights Commission.</w:t>
      </w:r>
      <w:r>
        <w:rPr>
          <w:rFonts w:cs="Arial"/>
        </w:rPr>
        <w:t xml:space="preserve"> The Accounting Officer is responsible for ensuring that, as far as he is aware, there is no relevant audit information of which the entity’s auditors are unaware. The Accounting Officer is required to take all steps to ensure he is aware of any relevant audit information and to establish that the entity’s auditors are aware of that information.</w:t>
      </w:r>
      <w:r w:rsidRPr="003F7E43">
        <w:rPr>
          <w:rFonts w:cs="Arial"/>
        </w:rPr>
        <w:t xml:space="preserve">  </w:t>
      </w:r>
    </w:p>
    <w:p w14:paraId="46FBE786" w14:textId="77777777" w:rsidR="002667DD" w:rsidRDefault="002667DD" w:rsidP="002667DD">
      <w:pPr>
        <w:autoSpaceDE w:val="0"/>
        <w:autoSpaceDN w:val="0"/>
        <w:adjustRightInd w:val="0"/>
        <w:rPr>
          <w:rFonts w:cs="Arial"/>
        </w:rPr>
      </w:pPr>
    </w:p>
    <w:p w14:paraId="668DE2B2" w14:textId="00F37C53" w:rsidR="002667DD" w:rsidRDefault="002667DD" w:rsidP="002667DD">
      <w:pPr>
        <w:autoSpaceDE w:val="0"/>
        <w:autoSpaceDN w:val="0"/>
        <w:adjustRightInd w:val="0"/>
        <w:rPr>
          <w:rFonts w:eastAsia="Univers-Light" w:cs="Univers-Light"/>
          <w:color w:val="auto"/>
          <w:lang w:val="en-US"/>
        </w:rPr>
      </w:pPr>
      <w:r w:rsidRPr="003F7E43">
        <w:rPr>
          <w:rFonts w:eastAsia="Univers-Light" w:cs="Univers-Light"/>
          <w:color w:val="auto"/>
          <w:lang w:val="en-US"/>
        </w:rPr>
        <w:t xml:space="preserve">The responsibilities of an Accounting Officer, including responsibility for the propriety and regularity of the public finances for which the Accounting Officer is answerable, for keeping proper records and for safeguarding </w:t>
      </w:r>
      <w:r w:rsidRPr="003F7E43">
        <w:rPr>
          <w:rFonts w:cs="Arial"/>
        </w:rPr>
        <w:t>the Northern Ireland Human Rights Commission’s</w:t>
      </w:r>
      <w:r w:rsidRPr="003F7E43">
        <w:rPr>
          <w:rFonts w:eastAsia="Univers-Light" w:cs="Univers-Light"/>
          <w:color w:val="auto"/>
          <w:lang w:val="en-US"/>
        </w:rPr>
        <w:t xml:space="preserve"> assets, are set out in </w:t>
      </w:r>
      <w:r w:rsidRPr="003F7E43">
        <w:rPr>
          <w:rFonts w:eastAsia="Univers-Light" w:cs="Univers-Light"/>
          <w:i/>
          <w:color w:val="auto"/>
          <w:lang w:val="en-US"/>
        </w:rPr>
        <w:t>Managing Public Money</w:t>
      </w:r>
      <w:r w:rsidRPr="003F7E43">
        <w:rPr>
          <w:rFonts w:eastAsia="Univers-Light" w:cs="Univers-Light"/>
          <w:color w:val="auto"/>
          <w:lang w:val="en-US"/>
        </w:rPr>
        <w:t>, published by HM Treasury.</w:t>
      </w:r>
    </w:p>
    <w:p w14:paraId="6C3EAEE3" w14:textId="77777777" w:rsidR="002667DD" w:rsidRPr="003F7E43" w:rsidRDefault="002667DD" w:rsidP="002667DD">
      <w:pPr>
        <w:autoSpaceDE w:val="0"/>
        <w:autoSpaceDN w:val="0"/>
        <w:adjustRightInd w:val="0"/>
        <w:rPr>
          <w:rFonts w:cs="Univers-Bold"/>
          <w:b/>
          <w:bCs/>
          <w:color w:val="auto"/>
          <w:lang w:val="en-US"/>
        </w:rPr>
      </w:pPr>
      <w:r w:rsidRPr="003F7E43">
        <w:rPr>
          <w:rFonts w:cs="Univers-Bold"/>
          <w:b/>
          <w:bCs/>
          <w:color w:val="auto"/>
          <w:lang w:val="en-US"/>
        </w:rPr>
        <w:lastRenderedPageBreak/>
        <w:t>Disclosure of audit information</w:t>
      </w:r>
    </w:p>
    <w:p w14:paraId="3BC82DB5" w14:textId="77777777" w:rsidR="002667DD" w:rsidRPr="003F7E43" w:rsidRDefault="002667DD" w:rsidP="002667DD">
      <w:pPr>
        <w:autoSpaceDE w:val="0"/>
        <w:autoSpaceDN w:val="0"/>
        <w:adjustRightInd w:val="0"/>
        <w:rPr>
          <w:rFonts w:cs="Univers"/>
          <w:color w:val="auto"/>
          <w:lang w:val="en-US"/>
        </w:rPr>
      </w:pPr>
    </w:p>
    <w:p w14:paraId="098E3A52" w14:textId="77777777" w:rsidR="002667DD" w:rsidRPr="003F7E43" w:rsidRDefault="002667DD" w:rsidP="002667DD">
      <w:pPr>
        <w:widowControl w:val="0"/>
        <w:autoSpaceDE w:val="0"/>
        <w:autoSpaceDN w:val="0"/>
        <w:adjustRightInd w:val="0"/>
        <w:rPr>
          <w:rFonts w:cs="Arial"/>
        </w:rPr>
      </w:pPr>
      <w:r w:rsidRPr="003F7E43">
        <w:rPr>
          <w:color w:val="auto"/>
        </w:rPr>
        <w:t xml:space="preserve">As Accounting Officer, I confirm that I have taken all steps to ensure that I am aware of any relevant audit information and to ensure the Commission’s auditors are aware of that information.  As far as I am aware, there is no relevant information of which the Commission’s auditors are unaware.  The </w:t>
      </w:r>
      <w:r w:rsidRPr="003F7E43">
        <w:rPr>
          <w:rFonts w:cs="Arial"/>
        </w:rPr>
        <w:t>auditor has not received any remuneration for non-audit work.</w:t>
      </w:r>
    </w:p>
    <w:p w14:paraId="30600CCB" w14:textId="77777777" w:rsidR="002667DD" w:rsidRPr="003F7E43" w:rsidRDefault="002667DD" w:rsidP="002667DD">
      <w:pPr>
        <w:widowControl w:val="0"/>
        <w:autoSpaceDE w:val="0"/>
        <w:autoSpaceDN w:val="0"/>
        <w:adjustRightInd w:val="0"/>
        <w:rPr>
          <w:rFonts w:cs="Arial"/>
        </w:rPr>
      </w:pPr>
    </w:p>
    <w:p w14:paraId="6FD799A4" w14:textId="77777777" w:rsidR="002667DD" w:rsidRPr="009B4441" w:rsidRDefault="002667DD" w:rsidP="002667DD">
      <w:pPr>
        <w:widowControl w:val="0"/>
        <w:autoSpaceDE w:val="0"/>
        <w:autoSpaceDN w:val="0"/>
        <w:adjustRightInd w:val="0"/>
        <w:rPr>
          <w:color w:val="auto"/>
        </w:rPr>
      </w:pPr>
      <w:r w:rsidRPr="003F7E43">
        <w:rPr>
          <w:rFonts w:cs="Arial"/>
        </w:rPr>
        <w:t>As Accounting Officer, I confirm that the annual report as a whole is fair, balanced and understandable and that I take personal responsibility for the annual report and accounts and the judgments required for determining that it is fair, balanced and understandable.</w:t>
      </w:r>
    </w:p>
    <w:p w14:paraId="3D2E16E0" w14:textId="77777777" w:rsidR="002667DD" w:rsidRDefault="002667DD" w:rsidP="002667DD">
      <w:pPr>
        <w:rPr>
          <w:b/>
        </w:rPr>
      </w:pPr>
      <w:bookmarkStart w:id="9" w:name="GovernanceStatement"/>
    </w:p>
    <w:p w14:paraId="2C30513D" w14:textId="77777777" w:rsidR="002667DD" w:rsidRPr="003F7E43" w:rsidRDefault="002667DD" w:rsidP="002667DD">
      <w:pPr>
        <w:rPr>
          <w:b/>
        </w:rPr>
      </w:pPr>
      <w:r w:rsidRPr="003F7E43">
        <w:rPr>
          <w:b/>
        </w:rPr>
        <w:t>Governance Statement</w:t>
      </w:r>
    </w:p>
    <w:bookmarkEnd w:id="9"/>
    <w:p w14:paraId="54A95E09" w14:textId="77777777" w:rsidR="002667DD" w:rsidRPr="003F7E43" w:rsidRDefault="002667DD" w:rsidP="002667DD">
      <w:pPr>
        <w:jc w:val="center"/>
        <w:rPr>
          <w:b/>
        </w:rPr>
      </w:pPr>
    </w:p>
    <w:p w14:paraId="0089670D" w14:textId="77777777" w:rsidR="002667DD" w:rsidRPr="003F7E43" w:rsidRDefault="002667DD" w:rsidP="002667DD">
      <w:pPr>
        <w:rPr>
          <w:rFonts w:eastAsia="PMingLiU"/>
        </w:rPr>
      </w:pPr>
      <w:r w:rsidRPr="003F7E43">
        <w:rPr>
          <w:rFonts w:eastAsia="PMingLiU"/>
        </w:rPr>
        <w:t xml:space="preserve">As Accounting Officer, I have responsibility for maintaining a sound system of internal control that supports the achievement of the Northern Ireland Human Rights Commission’s policies, aims and objectives, as set by Commissioners, and approved by the Secretary of State for Northern Ireland, whilst safeguarding the public funds and the Commission’s assets for which I am personally responsible, in accordance with the responsibilities assigned to me in </w:t>
      </w:r>
      <w:r w:rsidRPr="003F7E43">
        <w:rPr>
          <w:rFonts w:cs="Arial"/>
          <w:i/>
        </w:rPr>
        <w:t>Managing Public Money</w:t>
      </w:r>
      <w:r w:rsidRPr="003F7E43">
        <w:rPr>
          <w:rFonts w:eastAsia="PMingLiU"/>
        </w:rPr>
        <w:t xml:space="preserve">.  Our focus is upon outcomes and robust governance procedures, which are designed to ensure that risk and opportunity are clearly identified and responded to.  </w:t>
      </w:r>
    </w:p>
    <w:p w14:paraId="324300CA" w14:textId="77777777" w:rsidR="002667DD" w:rsidRDefault="002667DD" w:rsidP="002667DD">
      <w:pPr>
        <w:widowControl w:val="0"/>
        <w:rPr>
          <w:rFonts w:cs="Humanist777BT-LightB"/>
          <w:color w:val="auto"/>
          <w:lang w:eastAsia="en-GB"/>
        </w:rPr>
      </w:pPr>
      <w:r w:rsidRPr="003F7E43">
        <w:rPr>
          <w:rFonts w:eastAsia="PMingLiU"/>
        </w:rPr>
        <w:t xml:space="preserve">The Commission complies materially with the guidance provided in </w:t>
      </w:r>
      <w:r>
        <w:rPr>
          <w:rFonts w:eastAsia="PMingLiU"/>
        </w:rPr>
        <w:t>HM Treasury’s</w:t>
      </w:r>
      <w:r w:rsidRPr="003F7E43">
        <w:rPr>
          <w:rFonts w:eastAsia="PMingLiU"/>
        </w:rPr>
        <w:t xml:space="preserve"> </w:t>
      </w:r>
      <w:r w:rsidRPr="003F7E43">
        <w:rPr>
          <w:rFonts w:cs="Humanist777BT-LightB"/>
          <w:color w:val="auto"/>
          <w:lang w:eastAsia="en-GB"/>
        </w:rPr>
        <w:t>corporate governance code for central government departments</w:t>
      </w:r>
      <w:r>
        <w:rPr>
          <w:rFonts w:cs="Humanist777BT-LightB"/>
          <w:color w:val="auto"/>
          <w:lang w:eastAsia="en-GB"/>
        </w:rPr>
        <w:t xml:space="preserve"> (April 2017)</w:t>
      </w:r>
      <w:r w:rsidRPr="003F7E43">
        <w:rPr>
          <w:rFonts w:cs="Humanist777BT-LightB"/>
          <w:color w:val="auto"/>
          <w:lang w:eastAsia="en-GB"/>
        </w:rPr>
        <w:t>.</w:t>
      </w:r>
      <w:r>
        <w:rPr>
          <w:rFonts w:cs="Humanist777BT-LightB"/>
          <w:color w:val="auto"/>
          <w:lang w:eastAsia="en-GB"/>
        </w:rPr>
        <w:t xml:space="preserve"> </w:t>
      </w:r>
    </w:p>
    <w:p w14:paraId="23272353" w14:textId="77777777" w:rsidR="00AE6221" w:rsidRDefault="00AE6221" w:rsidP="002667DD">
      <w:pPr>
        <w:widowControl w:val="0"/>
        <w:rPr>
          <w:rFonts w:cs="Humanist777BT-LightB"/>
          <w:color w:val="auto"/>
          <w:lang w:eastAsia="en-GB"/>
        </w:rPr>
      </w:pPr>
    </w:p>
    <w:p w14:paraId="36FE7B88" w14:textId="00195343" w:rsidR="00AE6221" w:rsidRPr="003F7E43" w:rsidRDefault="00AE6221" w:rsidP="002667DD">
      <w:pPr>
        <w:widowControl w:val="0"/>
        <w:rPr>
          <w:rFonts w:cs="Humanist777BT-LightB"/>
          <w:color w:val="auto"/>
          <w:lang w:eastAsia="en-GB"/>
        </w:rPr>
      </w:pPr>
      <w:r>
        <w:rPr>
          <w:rFonts w:cs="Humanist777BT-LightB"/>
          <w:color w:val="auto"/>
          <w:lang w:eastAsia="en-GB"/>
        </w:rPr>
        <w:t>Throughout 2022-23 the Commission effectively discharged its statutory functions and duties.  In line with best practice, the operational procedures of the Commission and the quality of data used is kept under continuous review to ensure the Commission is content that it is provided with all requisite information to enable it to make informed decisions.</w:t>
      </w:r>
    </w:p>
    <w:p w14:paraId="4F821F86" w14:textId="77777777" w:rsidR="002667DD" w:rsidRPr="003F7E43" w:rsidRDefault="002667DD" w:rsidP="002667DD">
      <w:pPr>
        <w:widowControl w:val="0"/>
        <w:rPr>
          <w:rFonts w:ascii="Humanist777BT-LightB" w:hAnsi="Humanist777BT-LightB" w:cs="Humanist777BT-LightB"/>
          <w:color w:val="auto"/>
          <w:lang w:eastAsia="en-GB"/>
        </w:rPr>
      </w:pPr>
    </w:p>
    <w:p w14:paraId="4E002A5D" w14:textId="77777777" w:rsidR="002667DD" w:rsidRPr="003F7E43" w:rsidRDefault="002667DD" w:rsidP="002667DD">
      <w:pPr>
        <w:widowControl w:val="0"/>
      </w:pPr>
      <w:r w:rsidRPr="003F7E43">
        <w:rPr>
          <w:rFonts w:eastAsia="PMingLiU"/>
        </w:rPr>
        <w:t>As a non–departmental public body (NDPB), sponsored by the Northern Ireland Office, responsible to Parliament through the Secretary of State for Northern Ireland the governance framework of the organisation includes a Financial Sta</w:t>
      </w:r>
      <w:r>
        <w:rPr>
          <w:rFonts w:eastAsia="PMingLiU"/>
        </w:rPr>
        <w:t>tement and Management Agreement, (Framework Document).  The previous version was reviewed and finalised in February 2023.</w:t>
      </w:r>
      <w:r w:rsidRPr="003F7E43">
        <w:rPr>
          <w:rFonts w:eastAsia="PMingLiU"/>
        </w:rPr>
        <w:t xml:space="preserve"> The Commissioners also operate in accordance with Standing Orders and guidance on corporate governance as well as agreed principles of public service in the Nolan Principles. The Chief </w:t>
      </w:r>
      <w:r w:rsidRPr="003F7E43">
        <w:t xml:space="preserve">Commissioner and Commissioners have corporate responsibility for promoting the efficient and effective use of staff and other resources by the Commission, demonstrating high standards of corporate governance at all times.  This role includes ensuring that they receive and review regular financial information concerning the management of the Commission, are informed in a timely manner about any concerns about the activities of the </w:t>
      </w:r>
      <w:r w:rsidRPr="003F7E43">
        <w:lastRenderedPageBreak/>
        <w:t>Commission, and provide assurance to the sponsoring Department that appropriate action has been taken on such concerns.</w:t>
      </w:r>
      <w:r>
        <w:t xml:space="preserve">  The Commission maintains whistleblowing procedures consistent with the Public Interest Disclosures Act 1998 and standards of conduct for staff are in place.</w:t>
      </w:r>
    </w:p>
    <w:p w14:paraId="207FAECF" w14:textId="77777777" w:rsidR="002667DD" w:rsidRPr="003F7E43" w:rsidRDefault="002667DD" w:rsidP="002667DD">
      <w:pPr>
        <w:rPr>
          <w:rFonts w:eastAsia="PMingLiU"/>
        </w:rPr>
      </w:pPr>
    </w:p>
    <w:p w14:paraId="5D61FAF6" w14:textId="77777777" w:rsidR="002667DD" w:rsidRDefault="002667DD" w:rsidP="002667DD">
      <w:pPr>
        <w:rPr>
          <w:rFonts w:eastAsia="PMingLiU"/>
        </w:rPr>
      </w:pPr>
      <w:r w:rsidRPr="003F7E43">
        <w:rPr>
          <w:rFonts w:eastAsia="PMingLiU"/>
        </w:rPr>
        <w:t>Discussions on financial matters and risk are normally held with officials at the NIO, rather than directly with Ministers.  The NIO has, in ongoing formal meetings confirmed the Commission’s fulfilment of assurances. The Chief Commissioner and Commissioners have access to the Secretary of State on request.</w:t>
      </w:r>
      <w:r w:rsidRPr="009B4441">
        <w:rPr>
          <w:rFonts w:eastAsia="PMingLiU"/>
        </w:rPr>
        <w:t xml:space="preserve">  </w:t>
      </w:r>
    </w:p>
    <w:p w14:paraId="12E59F50" w14:textId="77777777" w:rsidR="002667DD" w:rsidRDefault="002667DD" w:rsidP="002667DD">
      <w:pPr>
        <w:rPr>
          <w:rFonts w:eastAsia="PMingLiU"/>
        </w:rPr>
      </w:pPr>
    </w:p>
    <w:p w14:paraId="0E1D81C7" w14:textId="77777777" w:rsidR="002667DD" w:rsidRDefault="002667DD" w:rsidP="002667DD">
      <w:pPr>
        <w:rPr>
          <w:rFonts w:eastAsia="PMingLiU"/>
          <w:b/>
        </w:rPr>
      </w:pPr>
      <w:r>
        <w:rPr>
          <w:rFonts w:eastAsia="PMingLiU"/>
          <w:b/>
        </w:rPr>
        <w:t>Governance Framework</w:t>
      </w:r>
    </w:p>
    <w:p w14:paraId="1D086E3C" w14:textId="77777777" w:rsidR="002667DD" w:rsidRDefault="002667DD" w:rsidP="002667DD">
      <w:pPr>
        <w:rPr>
          <w:rFonts w:eastAsia="PMingLiU"/>
          <w:b/>
        </w:rPr>
      </w:pPr>
    </w:p>
    <w:p w14:paraId="6779BD73" w14:textId="77777777" w:rsidR="002667DD" w:rsidRPr="00283726" w:rsidRDefault="002667DD" w:rsidP="002667DD">
      <w:pPr>
        <w:rPr>
          <w:rFonts w:eastAsia="PMingLiU"/>
        </w:rPr>
      </w:pPr>
      <w:r>
        <w:rPr>
          <w:rFonts w:eastAsia="PMingLiU"/>
        </w:rPr>
        <w:t>As Accounting Officer, I function with the support of the Audit and Risk Management Committee and the Senior Management Team.</w:t>
      </w:r>
    </w:p>
    <w:p w14:paraId="4465D3D2" w14:textId="77777777" w:rsidR="002667DD" w:rsidRPr="009B4441" w:rsidRDefault="002667DD" w:rsidP="002667DD">
      <w:pPr>
        <w:rPr>
          <w:rFonts w:eastAsia="PMingLiU"/>
        </w:rPr>
      </w:pPr>
    </w:p>
    <w:p w14:paraId="117C0079" w14:textId="77777777" w:rsidR="002667DD" w:rsidRPr="00B814F8" w:rsidRDefault="002667DD" w:rsidP="002667DD">
      <w:pPr>
        <w:rPr>
          <w:rFonts w:eastAsia="PMingLiU"/>
          <w:b/>
        </w:rPr>
      </w:pPr>
      <w:r w:rsidRPr="00B814F8">
        <w:rPr>
          <w:rFonts w:eastAsia="PMingLiU"/>
          <w:b/>
        </w:rPr>
        <w:t>Commissioners’ Meetings</w:t>
      </w:r>
    </w:p>
    <w:p w14:paraId="5D2AEBFC" w14:textId="77777777" w:rsidR="002667DD" w:rsidRPr="00B814F8" w:rsidRDefault="002667DD" w:rsidP="002667DD">
      <w:pPr>
        <w:rPr>
          <w:rFonts w:eastAsia="PMingLiU"/>
          <w:b/>
        </w:rPr>
      </w:pPr>
    </w:p>
    <w:p w14:paraId="52AC0E11" w14:textId="77777777" w:rsidR="002667DD" w:rsidRPr="00B814F8" w:rsidRDefault="002667DD" w:rsidP="002667DD">
      <w:pPr>
        <w:rPr>
          <w:rFonts w:eastAsia="PMingLiU"/>
        </w:rPr>
      </w:pPr>
      <w:r w:rsidRPr="3285EAFF">
        <w:rPr>
          <w:rFonts w:eastAsia="PMingLiU"/>
        </w:rPr>
        <w:t xml:space="preserve">The Commission met </w:t>
      </w:r>
      <w:r>
        <w:rPr>
          <w:rFonts w:eastAsia="PMingLiU"/>
        </w:rPr>
        <w:t>11</w:t>
      </w:r>
      <w:r w:rsidRPr="3285EAFF">
        <w:rPr>
          <w:rFonts w:eastAsia="PMingLiU"/>
        </w:rPr>
        <w:t xml:space="preserve"> times during the reporting period</w:t>
      </w:r>
      <w:r>
        <w:rPr>
          <w:rFonts w:eastAsia="PMingLiU"/>
        </w:rPr>
        <w:t xml:space="preserve"> (10 ordinary Commission meetings and 1 special Commission meeting)</w:t>
      </w:r>
      <w:r w:rsidRPr="3285EAFF">
        <w:rPr>
          <w:rFonts w:eastAsia="PMingLiU"/>
        </w:rPr>
        <w:t>.</w:t>
      </w:r>
    </w:p>
    <w:p w14:paraId="2DA4951E" w14:textId="77777777" w:rsidR="002667DD" w:rsidRPr="00B814F8" w:rsidRDefault="002667DD" w:rsidP="002667DD">
      <w:pPr>
        <w:rPr>
          <w:rFonts w:eastAsia="PMingLiU"/>
        </w:rPr>
      </w:pPr>
    </w:p>
    <w:p w14:paraId="1DF96BCE" w14:textId="77777777" w:rsidR="002667DD" w:rsidRPr="00B814F8" w:rsidRDefault="002667DD" w:rsidP="002667DD">
      <w:pPr>
        <w:rPr>
          <w:rFonts w:eastAsia="PMingLiU"/>
        </w:rPr>
      </w:pPr>
      <w:r w:rsidRPr="00B814F8">
        <w:rPr>
          <w:rFonts w:eastAsia="PMingLiU"/>
        </w:rPr>
        <w:t>The following served as</w:t>
      </w:r>
      <w:r>
        <w:rPr>
          <w:rFonts w:eastAsia="PMingLiU"/>
        </w:rPr>
        <w:t xml:space="preserve"> Commissioners from 1 April 2022 - 31 March 2023</w:t>
      </w:r>
    </w:p>
    <w:p w14:paraId="04A97164" w14:textId="77777777" w:rsidR="002667DD" w:rsidRPr="00B814F8" w:rsidRDefault="002667DD" w:rsidP="002667DD">
      <w:pPr>
        <w:rPr>
          <w:rFonts w:eastAsia="PMingLiU"/>
        </w:rPr>
      </w:pPr>
    </w:p>
    <w:tbl>
      <w:tblPr>
        <w:tblW w:w="0" w:type="auto"/>
        <w:tblLook w:val="04A0" w:firstRow="1" w:lastRow="0" w:firstColumn="1" w:lastColumn="0" w:noHBand="0" w:noVBand="1"/>
      </w:tblPr>
      <w:tblGrid>
        <w:gridCol w:w="6318"/>
        <w:gridCol w:w="2753"/>
      </w:tblGrid>
      <w:tr w:rsidR="002667DD" w:rsidRPr="00B814F8" w14:paraId="763F4283" w14:textId="77777777" w:rsidTr="001958BD">
        <w:tc>
          <w:tcPr>
            <w:tcW w:w="6318" w:type="dxa"/>
            <w:shd w:val="clear" w:color="auto" w:fill="auto"/>
          </w:tcPr>
          <w:p w14:paraId="736FBB9A" w14:textId="77777777" w:rsidR="002667DD" w:rsidRPr="00B814F8" w:rsidRDefault="002667DD" w:rsidP="001958BD">
            <w:pPr>
              <w:rPr>
                <w:rFonts w:eastAsia="PMingLiU"/>
              </w:rPr>
            </w:pPr>
          </w:p>
        </w:tc>
        <w:tc>
          <w:tcPr>
            <w:tcW w:w="2753" w:type="dxa"/>
            <w:shd w:val="clear" w:color="auto" w:fill="auto"/>
          </w:tcPr>
          <w:p w14:paraId="207CFE94" w14:textId="77777777" w:rsidR="002667DD" w:rsidRPr="00B814F8" w:rsidRDefault="002667DD" w:rsidP="001958BD">
            <w:pPr>
              <w:rPr>
                <w:rFonts w:eastAsia="PMingLiU"/>
                <w:b/>
              </w:rPr>
            </w:pPr>
            <w:r w:rsidRPr="00B814F8">
              <w:rPr>
                <w:rFonts w:eastAsia="PMingLiU"/>
                <w:b/>
              </w:rPr>
              <w:t>Meetings attended</w:t>
            </w:r>
          </w:p>
        </w:tc>
      </w:tr>
      <w:tr w:rsidR="002667DD" w:rsidRPr="008711E7" w14:paraId="6CB3396F" w14:textId="77777777" w:rsidTr="001958BD">
        <w:tc>
          <w:tcPr>
            <w:tcW w:w="6318" w:type="dxa"/>
            <w:shd w:val="clear" w:color="auto" w:fill="auto"/>
          </w:tcPr>
          <w:p w14:paraId="73E7981E" w14:textId="77777777" w:rsidR="002667DD" w:rsidRDefault="002667DD" w:rsidP="001958BD">
            <w:r>
              <w:t xml:space="preserve">Alyson Kilpatrick </w:t>
            </w:r>
          </w:p>
        </w:tc>
        <w:tc>
          <w:tcPr>
            <w:tcW w:w="2753" w:type="dxa"/>
            <w:shd w:val="clear" w:color="auto" w:fill="auto"/>
          </w:tcPr>
          <w:p w14:paraId="16C3B2E8" w14:textId="77777777" w:rsidR="002667DD" w:rsidRPr="3285EAFF" w:rsidRDefault="002667DD" w:rsidP="001958BD">
            <w:pPr>
              <w:jc w:val="right"/>
              <w:rPr>
                <w:rFonts w:eastAsia="PMingLiU"/>
              </w:rPr>
            </w:pPr>
            <w:r>
              <w:rPr>
                <w:rFonts w:eastAsia="PMingLiU"/>
              </w:rPr>
              <w:t>11/11</w:t>
            </w:r>
          </w:p>
        </w:tc>
      </w:tr>
      <w:tr w:rsidR="002667DD" w:rsidRPr="008711E7" w14:paraId="652B3434" w14:textId="77777777" w:rsidTr="001958BD">
        <w:tc>
          <w:tcPr>
            <w:tcW w:w="6318" w:type="dxa"/>
            <w:shd w:val="clear" w:color="auto" w:fill="auto"/>
          </w:tcPr>
          <w:p w14:paraId="32AF3848" w14:textId="77777777" w:rsidR="002667DD" w:rsidRPr="00B814F8" w:rsidRDefault="002667DD" w:rsidP="001958BD">
            <w:r>
              <w:t>Helen Henderson</w:t>
            </w:r>
          </w:p>
        </w:tc>
        <w:tc>
          <w:tcPr>
            <w:tcW w:w="2753" w:type="dxa"/>
            <w:shd w:val="clear" w:color="auto" w:fill="auto"/>
          </w:tcPr>
          <w:p w14:paraId="070EFDCC" w14:textId="77777777" w:rsidR="002667DD" w:rsidRDefault="002667DD" w:rsidP="001958BD">
            <w:pPr>
              <w:jc w:val="right"/>
              <w:rPr>
                <w:rFonts w:eastAsia="PMingLiU"/>
              </w:rPr>
            </w:pPr>
            <w:r>
              <w:rPr>
                <w:rFonts w:eastAsia="PMingLiU"/>
              </w:rPr>
              <w:t>11/11</w:t>
            </w:r>
          </w:p>
        </w:tc>
      </w:tr>
      <w:tr w:rsidR="002667DD" w:rsidRPr="008711E7" w14:paraId="3275D802" w14:textId="77777777" w:rsidTr="001958BD">
        <w:tc>
          <w:tcPr>
            <w:tcW w:w="6318" w:type="dxa"/>
            <w:shd w:val="clear" w:color="auto" w:fill="auto"/>
          </w:tcPr>
          <w:p w14:paraId="457E9877" w14:textId="77777777" w:rsidR="002667DD" w:rsidRDefault="002667DD" w:rsidP="001958BD">
            <w:pPr>
              <w:rPr>
                <w:rFonts w:eastAsia="PMingLiU"/>
              </w:rPr>
            </w:pPr>
            <w:r>
              <w:rPr>
                <w:rFonts w:eastAsia="PMingLiU"/>
              </w:rPr>
              <w:t>Jonathan Kearney</w:t>
            </w:r>
          </w:p>
          <w:p w14:paraId="24ABE473" w14:textId="77777777" w:rsidR="002667DD" w:rsidRPr="00B814F8" w:rsidRDefault="002667DD" w:rsidP="001958BD">
            <w:pPr>
              <w:rPr>
                <w:rFonts w:eastAsia="PMingLiU"/>
              </w:rPr>
            </w:pPr>
            <w:r>
              <w:rPr>
                <w:rFonts w:eastAsia="PMingLiU"/>
              </w:rPr>
              <w:t xml:space="preserve">Justin Kouame (from 1 September 2022)                      </w:t>
            </w:r>
          </w:p>
        </w:tc>
        <w:tc>
          <w:tcPr>
            <w:tcW w:w="2753" w:type="dxa"/>
            <w:shd w:val="clear" w:color="auto" w:fill="auto"/>
          </w:tcPr>
          <w:p w14:paraId="7167D3BC" w14:textId="77777777" w:rsidR="002667DD" w:rsidRDefault="002667DD" w:rsidP="001958BD">
            <w:pPr>
              <w:jc w:val="right"/>
              <w:rPr>
                <w:rFonts w:eastAsia="PMingLiU"/>
              </w:rPr>
            </w:pPr>
            <w:r>
              <w:rPr>
                <w:rFonts w:eastAsia="PMingLiU"/>
              </w:rPr>
              <w:t>10/11</w:t>
            </w:r>
          </w:p>
          <w:p w14:paraId="3732C9D6" w14:textId="77777777" w:rsidR="002667DD" w:rsidRPr="00A71E41" w:rsidRDefault="002667DD" w:rsidP="001958BD">
            <w:pPr>
              <w:jc w:val="right"/>
              <w:rPr>
                <w:rFonts w:eastAsia="PMingLiU"/>
              </w:rPr>
            </w:pPr>
            <w:r>
              <w:rPr>
                <w:rFonts w:eastAsia="PMingLiU"/>
              </w:rPr>
              <w:t>5/5</w:t>
            </w:r>
          </w:p>
        </w:tc>
      </w:tr>
      <w:tr w:rsidR="002667DD" w:rsidRPr="008711E7" w14:paraId="03779415" w14:textId="77777777" w:rsidTr="001958BD">
        <w:tc>
          <w:tcPr>
            <w:tcW w:w="6318" w:type="dxa"/>
            <w:shd w:val="clear" w:color="auto" w:fill="auto"/>
          </w:tcPr>
          <w:p w14:paraId="6DEC8038" w14:textId="77777777" w:rsidR="002667DD" w:rsidRPr="00B814F8" w:rsidRDefault="002667DD" w:rsidP="001958BD">
            <w:r>
              <w:t>David Lavery CB</w:t>
            </w:r>
          </w:p>
        </w:tc>
        <w:tc>
          <w:tcPr>
            <w:tcW w:w="2753" w:type="dxa"/>
            <w:shd w:val="clear" w:color="auto" w:fill="auto"/>
          </w:tcPr>
          <w:p w14:paraId="24FFC6BA" w14:textId="77777777" w:rsidR="002667DD" w:rsidRDefault="002667DD" w:rsidP="001958BD">
            <w:pPr>
              <w:jc w:val="right"/>
              <w:rPr>
                <w:rFonts w:eastAsia="PMingLiU"/>
              </w:rPr>
            </w:pPr>
            <w:r>
              <w:rPr>
                <w:rFonts w:eastAsia="PMingLiU"/>
              </w:rPr>
              <w:t>9/11</w:t>
            </w:r>
          </w:p>
        </w:tc>
      </w:tr>
      <w:tr w:rsidR="002667DD" w:rsidRPr="008711E7" w14:paraId="76EFB456" w14:textId="77777777" w:rsidTr="001958BD">
        <w:tc>
          <w:tcPr>
            <w:tcW w:w="6318" w:type="dxa"/>
            <w:shd w:val="clear" w:color="auto" w:fill="auto"/>
          </w:tcPr>
          <w:p w14:paraId="1D789A2F" w14:textId="77777777" w:rsidR="002667DD" w:rsidRDefault="002667DD" w:rsidP="001958BD">
            <w:r>
              <w:t>Eddie Rooney</w:t>
            </w:r>
          </w:p>
        </w:tc>
        <w:tc>
          <w:tcPr>
            <w:tcW w:w="2753" w:type="dxa"/>
            <w:shd w:val="clear" w:color="auto" w:fill="auto"/>
          </w:tcPr>
          <w:p w14:paraId="36BFCB86" w14:textId="77777777" w:rsidR="002667DD" w:rsidRDefault="002667DD" w:rsidP="001958BD">
            <w:pPr>
              <w:jc w:val="right"/>
              <w:rPr>
                <w:rFonts w:eastAsia="PMingLiU"/>
              </w:rPr>
            </w:pPr>
            <w:r>
              <w:rPr>
                <w:rFonts w:eastAsia="PMingLiU"/>
              </w:rPr>
              <w:t>11/11</w:t>
            </w:r>
          </w:p>
        </w:tc>
      </w:tr>
      <w:tr w:rsidR="002667DD" w:rsidRPr="008711E7" w14:paraId="552DE985" w14:textId="77777777" w:rsidTr="001958BD">
        <w:tc>
          <w:tcPr>
            <w:tcW w:w="6318" w:type="dxa"/>
            <w:shd w:val="clear" w:color="auto" w:fill="auto"/>
          </w:tcPr>
          <w:p w14:paraId="64E62D38" w14:textId="77777777" w:rsidR="002667DD" w:rsidRDefault="002667DD" w:rsidP="001958BD">
            <w:r>
              <w:t>Stephen White OBE</w:t>
            </w:r>
          </w:p>
        </w:tc>
        <w:tc>
          <w:tcPr>
            <w:tcW w:w="2753" w:type="dxa"/>
            <w:shd w:val="clear" w:color="auto" w:fill="auto"/>
          </w:tcPr>
          <w:p w14:paraId="6D619F6C" w14:textId="77777777" w:rsidR="002667DD" w:rsidRDefault="002667DD" w:rsidP="001958BD">
            <w:pPr>
              <w:jc w:val="right"/>
              <w:rPr>
                <w:rFonts w:eastAsia="PMingLiU"/>
              </w:rPr>
            </w:pPr>
            <w:r>
              <w:rPr>
                <w:rFonts w:eastAsia="PMingLiU"/>
              </w:rPr>
              <w:t>11/11</w:t>
            </w:r>
          </w:p>
        </w:tc>
      </w:tr>
    </w:tbl>
    <w:p w14:paraId="316F581F" w14:textId="77777777" w:rsidR="00607470" w:rsidRDefault="00607470" w:rsidP="002667DD">
      <w:pPr>
        <w:rPr>
          <w:rFonts w:eastAsia="PMingLiU"/>
          <w:b/>
        </w:rPr>
      </w:pPr>
    </w:p>
    <w:p w14:paraId="3E1EAC90" w14:textId="106C9A7D" w:rsidR="002667DD" w:rsidRPr="00B814F8" w:rsidRDefault="002667DD" w:rsidP="002667DD">
      <w:pPr>
        <w:rPr>
          <w:rFonts w:eastAsia="PMingLiU"/>
          <w:b/>
        </w:rPr>
      </w:pPr>
      <w:r w:rsidRPr="00B814F8">
        <w:rPr>
          <w:rFonts w:eastAsia="PMingLiU"/>
          <w:b/>
        </w:rPr>
        <w:t>Audit and Risk Management Committee Meetings</w:t>
      </w:r>
    </w:p>
    <w:p w14:paraId="39CEF8D7" w14:textId="77777777" w:rsidR="002667DD" w:rsidRPr="00B814F8" w:rsidRDefault="002667DD" w:rsidP="002667DD">
      <w:pPr>
        <w:rPr>
          <w:rFonts w:eastAsia="PMingLiU"/>
          <w:b/>
        </w:rPr>
      </w:pPr>
    </w:p>
    <w:p w14:paraId="542D127E" w14:textId="77777777" w:rsidR="002667DD" w:rsidRPr="00B814F8" w:rsidRDefault="002667DD" w:rsidP="002667DD">
      <w:pPr>
        <w:rPr>
          <w:rFonts w:eastAsia="PMingLiU"/>
        </w:rPr>
      </w:pPr>
      <w:r w:rsidRPr="00B814F8">
        <w:rPr>
          <w:rFonts w:eastAsia="PMingLiU"/>
        </w:rPr>
        <w:t xml:space="preserve">The Audit and Risk Management Committee met </w:t>
      </w:r>
      <w:r>
        <w:rPr>
          <w:rFonts w:eastAsia="PMingLiU"/>
        </w:rPr>
        <w:t xml:space="preserve">two times </w:t>
      </w:r>
      <w:r w:rsidRPr="00B814F8">
        <w:rPr>
          <w:rFonts w:eastAsia="PMingLiU"/>
        </w:rPr>
        <w:t>during the reporting period.</w:t>
      </w:r>
      <w:r>
        <w:rPr>
          <w:rFonts w:cs="Univers"/>
          <w:lang w:val="en-US"/>
        </w:rPr>
        <w:t xml:space="preserve"> </w:t>
      </w:r>
    </w:p>
    <w:p w14:paraId="602B4310" w14:textId="77777777" w:rsidR="002667DD" w:rsidRPr="00B814F8" w:rsidRDefault="002667DD" w:rsidP="002667DD">
      <w:pPr>
        <w:rPr>
          <w:rFonts w:eastAsia="PMingLiU"/>
        </w:rPr>
      </w:pPr>
    </w:p>
    <w:tbl>
      <w:tblPr>
        <w:tblW w:w="0" w:type="auto"/>
        <w:tblLook w:val="04A0" w:firstRow="1" w:lastRow="0" w:firstColumn="1" w:lastColumn="0" w:noHBand="0" w:noVBand="1"/>
      </w:tblPr>
      <w:tblGrid>
        <w:gridCol w:w="6318"/>
        <w:gridCol w:w="2753"/>
      </w:tblGrid>
      <w:tr w:rsidR="002667DD" w:rsidRPr="00B814F8" w14:paraId="51AC98D9" w14:textId="77777777" w:rsidTr="001958BD">
        <w:tc>
          <w:tcPr>
            <w:tcW w:w="6318" w:type="dxa"/>
            <w:shd w:val="clear" w:color="auto" w:fill="auto"/>
          </w:tcPr>
          <w:p w14:paraId="76B8AE1A" w14:textId="77777777" w:rsidR="002667DD" w:rsidRPr="00B814F8" w:rsidRDefault="002667DD" w:rsidP="001958BD">
            <w:pPr>
              <w:rPr>
                <w:rFonts w:eastAsia="PMingLiU"/>
              </w:rPr>
            </w:pPr>
          </w:p>
        </w:tc>
        <w:tc>
          <w:tcPr>
            <w:tcW w:w="2753" w:type="dxa"/>
            <w:shd w:val="clear" w:color="auto" w:fill="auto"/>
          </w:tcPr>
          <w:p w14:paraId="25FC0DDD" w14:textId="77777777" w:rsidR="002667DD" w:rsidRPr="00B814F8" w:rsidRDefault="002667DD" w:rsidP="001958BD">
            <w:pPr>
              <w:rPr>
                <w:rFonts w:eastAsia="PMingLiU"/>
                <w:b/>
              </w:rPr>
            </w:pPr>
            <w:r w:rsidRPr="00B814F8">
              <w:rPr>
                <w:rFonts w:eastAsia="PMingLiU"/>
                <w:b/>
              </w:rPr>
              <w:t>Meetings attended</w:t>
            </w:r>
          </w:p>
        </w:tc>
      </w:tr>
      <w:tr w:rsidR="002667DD" w:rsidRPr="00B814F8" w14:paraId="29B82F88" w14:textId="77777777" w:rsidTr="001958BD">
        <w:tc>
          <w:tcPr>
            <w:tcW w:w="6318" w:type="dxa"/>
            <w:shd w:val="clear" w:color="auto" w:fill="auto"/>
          </w:tcPr>
          <w:p w14:paraId="65709432" w14:textId="77777777" w:rsidR="002667DD" w:rsidRPr="00B814F8" w:rsidRDefault="002667DD" w:rsidP="001958BD">
            <w:pPr>
              <w:rPr>
                <w:rFonts w:eastAsia="PMingLiU"/>
              </w:rPr>
            </w:pPr>
            <w:r>
              <w:rPr>
                <w:rFonts w:eastAsia="PMingLiU"/>
              </w:rPr>
              <w:t>Sean Donaghy</w:t>
            </w:r>
          </w:p>
        </w:tc>
        <w:tc>
          <w:tcPr>
            <w:tcW w:w="2753" w:type="dxa"/>
            <w:shd w:val="clear" w:color="auto" w:fill="auto"/>
          </w:tcPr>
          <w:p w14:paraId="2AF23A6D" w14:textId="77777777" w:rsidR="002667DD" w:rsidRPr="00B814F8" w:rsidRDefault="002667DD" w:rsidP="001958BD">
            <w:pPr>
              <w:jc w:val="right"/>
              <w:rPr>
                <w:rFonts w:eastAsia="PMingLiU"/>
              </w:rPr>
            </w:pPr>
            <w:r>
              <w:rPr>
                <w:rFonts w:eastAsia="PMingLiU"/>
              </w:rPr>
              <w:t>2/2</w:t>
            </w:r>
          </w:p>
        </w:tc>
      </w:tr>
      <w:tr w:rsidR="002667DD" w:rsidRPr="008711E7" w14:paraId="34F72254" w14:textId="77777777" w:rsidTr="001958BD">
        <w:tc>
          <w:tcPr>
            <w:tcW w:w="6318" w:type="dxa"/>
            <w:shd w:val="clear" w:color="auto" w:fill="auto"/>
          </w:tcPr>
          <w:p w14:paraId="1A043645" w14:textId="77777777" w:rsidR="002667DD" w:rsidRPr="00B814F8" w:rsidRDefault="002667DD" w:rsidP="001958BD">
            <w:pPr>
              <w:rPr>
                <w:rFonts w:eastAsia="PMingLiU"/>
              </w:rPr>
            </w:pPr>
            <w:r>
              <w:rPr>
                <w:rFonts w:eastAsia="PMingLiU"/>
              </w:rPr>
              <w:t>David Lavery CB</w:t>
            </w:r>
          </w:p>
        </w:tc>
        <w:tc>
          <w:tcPr>
            <w:tcW w:w="2753" w:type="dxa"/>
            <w:shd w:val="clear" w:color="auto" w:fill="auto"/>
          </w:tcPr>
          <w:p w14:paraId="2EA2C1F2" w14:textId="77777777" w:rsidR="002667DD" w:rsidRPr="008711E7" w:rsidRDefault="002667DD" w:rsidP="001958BD">
            <w:pPr>
              <w:jc w:val="right"/>
              <w:rPr>
                <w:rFonts w:eastAsia="PMingLiU"/>
              </w:rPr>
            </w:pPr>
            <w:r>
              <w:rPr>
                <w:rFonts w:eastAsia="PMingLiU"/>
              </w:rPr>
              <w:t>2/2</w:t>
            </w:r>
          </w:p>
        </w:tc>
      </w:tr>
      <w:tr w:rsidR="002667DD" w:rsidRPr="008711E7" w14:paraId="4ACD0744" w14:textId="77777777" w:rsidTr="001958BD">
        <w:tc>
          <w:tcPr>
            <w:tcW w:w="6318" w:type="dxa"/>
            <w:shd w:val="clear" w:color="auto" w:fill="auto"/>
          </w:tcPr>
          <w:p w14:paraId="07ECB9F3" w14:textId="77777777" w:rsidR="002667DD" w:rsidRDefault="002667DD" w:rsidP="001958BD">
            <w:pPr>
              <w:rPr>
                <w:rFonts w:eastAsia="PMingLiU"/>
              </w:rPr>
            </w:pPr>
            <w:r>
              <w:rPr>
                <w:rFonts w:eastAsia="PMingLiU"/>
              </w:rPr>
              <w:t>Eddie Rooney</w:t>
            </w:r>
          </w:p>
        </w:tc>
        <w:tc>
          <w:tcPr>
            <w:tcW w:w="2753" w:type="dxa"/>
            <w:shd w:val="clear" w:color="auto" w:fill="auto"/>
          </w:tcPr>
          <w:p w14:paraId="1FA6530E" w14:textId="77777777" w:rsidR="002667DD" w:rsidRDefault="002667DD" w:rsidP="001958BD">
            <w:pPr>
              <w:jc w:val="right"/>
              <w:rPr>
                <w:rFonts w:eastAsia="PMingLiU"/>
              </w:rPr>
            </w:pPr>
            <w:r>
              <w:rPr>
                <w:rFonts w:eastAsia="PMingLiU"/>
              </w:rPr>
              <w:t>2/2</w:t>
            </w:r>
          </w:p>
        </w:tc>
      </w:tr>
      <w:tr w:rsidR="002667DD" w:rsidRPr="008711E7" w14:paraId="4D8CE2BD" w14:textId="77777777" w:rsidTr="001958BD">
        <w:tc>
          <w:tcPr>
            <w:tcW w:w="6318" w:type="dxa"/>
            <w:shd w:val="clear" w:color="auto" w:fill="auto"/>
          </w:tcPr>
          <w:p w14:paraId="369CAAF9" w14:textId="77777777" w:rsidR="002667DD" w:rsidRDefault="002667DD" w:rsidP="001958BD">
            <w:pPr>
              <w:rPr>
                <w:rFonts w:eastAsia="PMingLiU"/>
              </w:rPr>
            </w:pPr>
            <w:r>
              <w:rPr>
                <w:rFonts w:eastAsia="PMingLiU"/>
              </w:rPr>
              <w:t xml:space="preserve">Stephen White OBE </w:t>
            </w:r>
          </w:p>
        </w:tc>
        <w:tc>
          <w:tcPr>
            <w:tcW w:w="2753" w:type="dxa"/>
            <w:shd w:val="clear" w:color="auto" w:fill="auto"/>
          </w:tcPr>
          <w:p w14:paraId="3357E22F" w14:textId="77777777" w:rsidR="002667DD" w:rsidRDefault="002667DD" w:rsidP="001958BD">
            <w:pPr>
              <w:jc w:val="right"/>
              <w:rPr>
                <w:rFonts w:eastAsia="PMingLiU"/>
              </w:rPr>
            </w:pPr>
            <w:r>
              <w:rPr>
                <w:rFonts w:eastAsia="PMingLiU"/>
              </w:rPr>
              <w:t>2/2</w:t>
            </w:r>
          </w:p>
        </w:tc>
      </w:tr>
      <w:tr w:rsidR="002667DD" w:rsidRPr="008711E7" w14:paraId="3BDD39EE" w14:textId="77777777" w:rsidTr="001958BD">
        <w:tc>
          <w:tcPr>
            <w:tcW w:w="6318" w:type="dxa"/>
            <w:shd w:val="clear" w:color="auto" w:fill="auto"/>
          </w:tcPr>
          <w:p w14:paraId="30E3594F" w14:textId="77777777" w:rsidR="002667DD" w:rsidRDefault="002667DD" w:rsidP="001958BD">
            <w:pPr>
              <w:rPr>
                <w:rFonts w:eastAsia="PMingLiU"/>
              </w:rPr>
            </w:pPr>
          </w:p>
        </w:tc>
        <w:tc>
          <w:tcPr>
            <w:tcW w:w="2753" w:type="dxa"/>
            <w:shd w:val="clear" w:color="auto" w:fill="auto"/>
          </w:tcPr>
          <w:p w14:paraId="1CE5EDB7" w14:textId="77777777" w:rsidR="002667DD" w:rsidRDefault="002667DD" w:rsidP="001958BD">
            <w:pPr>
              <w:jc w:val="right"/>
              <w:rPr>
                <w:rFonts w:eastAsia="PMingLiU"/>
              </w:rPr>
            </w:pPr>
          </w:p>
        </w:tc>
      </w:tr>
    </w:tbl>
    <w:p w14:paraId="0AF186D2" w14:textId="2E05D79F" w:rsidR="002667DD" w:rsidRPr="003F7E43" w:rsidRDefault="002667DD" w:rsidP="002667DD">
      <w:pPr>
        <w:pStyle w:val="Default"/>
        <w:rPr>
          <w:rFonts w:ascii="Verdana" w:hAnsi="Verdana"/>
        </w:rPr>
      </w:pPr>
      <w:r w:rsidRPr="003F7E43">
        <w:rPr>
          <w:rFonts w:ascii="Verdana" w:hAnsi="Verdana"/>
        </w:rPr>
        <w:t>The Audit and Ris</w:t>
      </w:r>
      <w:r>
        <w:rPr>
          <w:rFonts w:ascii="Verdana" w:hAnsi="Verdana"/>
        </w:rPr>
        <w:t>k Management Committee comprised</w:t>
      </w:r>
      <w:r w:rsidRPr="003F7E43">
        <w:rPr>
          <w:rFonts w:ascii="Verdana" w:hAnsi="Verdana"/>
        </w:rPr>
        <w:t xml:space="preserve"> an </w:t>
      </w:r>
      <w:r>
        <w:rPr>
          <w:rFonts w:ascii="Verdana" w:hAnsi="Verdana"/>
        </w:rPr>
        <w:t>independent Chairperson, who had</w:t>
      </w:r>
      <w:r w:rsidRPr="003F7E43">
        <w:rPr>
          <w:rFonts w:ascii="Verdana" w:hAnsi="Verdana"/>
        </w:rPr>
        <w:t xml:space="preserve"> extensive financial management experience at a senior level in the </w:t>
      </w:r>
      <w:r>
        <w:rPr>
          <w:rFonts w:ascii="Verdana" w:hAnsi="Verdana"/>
        </w:rPr>
        <w:t>public sector, and</w:t>
      </w:r>
      <w:r w:rsidRPr="003F7E43">
        <w:rPr>
          <w:rFonts w:ascii="Verdana" w:hAnsi="Verdana"/>
        </w:rPr>
        <w:t xml:space="preserve"> was appointed following an open recruitment competition, and up to </w:t>
      </w:r>
      <w:r>
        <w:rPr>
          <w:rFonts w:ascii="Verdana" w:hAnsi="Verdana"/>
        </w:rPr>
        <w:t>three</w:t>
      </w:r>
      <w:r w:rsidRPr="003F7E43">
        <w:rPr>
          <w:rFonts w:ascii="Verdana" w:hAnsi="Verdana"/>
        </w:rPr>
        <w:t xml:space="preserve"> Commissioners with a range of experience in corporate governance. Both the Commission’s internal and </w:t>
      </w:r>
      <w:r w:rsidRPr="003F7E43">
        <w:rPr>
          <w:rFonts w:ascii="Verdana" w:hAnsi="Verdana"/>
        </w:rPr>
        <w:lastRenderedPageBreak/>
        <w:t xml:space="preserve">external auditors also attend Audit and Risk Management Committee meetings, as well as a representative of the </w:t>
      </w:r>
      <w:r w:rsidRPr="003F7E43">
        <w:rPr>
          <w:rFonts w:ascii="Verdana" w:eastAsia="PMingLiU" w:hAnsi="Verdana"/>
        </w:rPr>
        <w:t>Northern Ireland Office.</w:t>
      </w:r>
      <w:r>
        <w:rPr>
          <w:rFonts w:ascii="Verdana" w:eastAsia="PMingLiU" w:hAnsi="Verdana"/>
        </w:rPr>
        <w:t xml:space="preserve"> </w:t>
      </w:r>
    </w:p>
    <w:p w14:paraId="6ECDD305" w14:textId="77777777" w:rsidR="002667DD" w:rsidRPr="003F7E43" w:rsidRDefault="002667DD" w:rsidP="002667DD">
      <w:pPr>
        <w:pStyle w:val="Default"/>
        <w:rPr>
          <w:rFonts w:ascii="Verdana" w:hAnsi="Verdana"/>
        </w:rPr>
      </w:pPr>
    </w:p>
    <w:p w14:paraId="69255183" w14:textId="77777777" w:rsidR="002667DD" w:rsidRPr="008711E7" w:rsidRDefault="002667DD" w:rsidP="002667DD">
      <w:pPr>
        <w:pStyle w:val="Default"/>
        <w:rPr>
          <w:rFonts w:ascii="Verdana" w:hAnsi="Verdana"/>
        </w:rPr>
      </w:pPr>
      <w:r w:rsidRPr="003F7E43">
        <w:rPr>
          <w:rFonts w:ascii="Verdana" w:hAnsi="Verdana"/>
        </w:rPr>
        <w:t xml:space="preserve">As outlined, </w:t>
      </w:r>
      <w:r>
        <w:rPr>
          <w:rFonts w:ascii="Verdana" w:hAnsi="Verdana"/>
        </w:rPr>
        <w:t xml:space="preserve">a Commissioner from the </w:t>
      </w:r>
      <w:r w:rsidRPr="003F7E43">
        <w:rPr>
          <w:rFonts w:ascii="Verdana" w:hAnsi="Verdana"/>
        </w:rPr>
        <w:t xml:space="preserve">Audit and Risk Management Committee </w:t>
      </w:r>
      <w:r>
        <w:rPr>
          <w:rFonts w:ascii="Verdana" w:hAnsi="Verdana"/>
        </w:rPr>
        <w:t>provides an update on the meetings to the Commission meeting</w:t>
      </w:r>
      <w:r w:rsidRPr="003F7E43">
        <w:rPr>
          <w:rFonts w:ascii="Verdana" w:hAnsi="Verdana"/>
        </w:rPr>
        <w:t xml:space="preserve"> and the Committee reports annually to the Commission. Furthermore, the Chairperson has direct access to the Chief Executive and Chief Commissioner as appropriate.</w:t>
      </w:r>
    </w:p>
    <w:p w14:paraId="57B5019B" w14:textId="77777777" w:rsidR="002667DD" w:rsidRPr="007F2DCD" w:rsidRDefault="002667DD" w:rsidP="002667DD">
      <w:pPr>
        <w:pStyle w:val="Default"/>
        <w:rPr>
          <w:rFonts w:ascii="Verdana" w:hAnsi="Verdana"/>
          <w:sz w:val="22"/>
          <w:szCs w:val="22"/>
        </w:rPr>
      </w:pPr>
    </w:p>
    <w:p w14:paraId="560B6A2E" w14:textId="77777777" w:rsidR="002667DD" w:rsidRDefault="002667DD" w:rsidP="002667DD">
      <w:pPr>
        <w:pStyle w:val="Default"/>
        <w:rPr>
          <w:rFonts w:ascii="Verdana" w:hAnsi="Verdana"/>
        </w:rPr>
      </w:pPr>
      <w:r w:rsidRPr="74585EFD">
        <w:rPr>
          <w:rFonts w:ascii="Verdana" w:hAnsi="Verdana"/>
        </w:rPr>
        <w:t xml:space="preserve">The </w:t>
      </w:r>
      <w:r w:rsidRPr="00AE6223">
        <w:rPr>
          <w:rFonts w:ascii="Verdana" w:hAnsi="Verdana"/>
        </w:rPr>
        <w:t>Audit and R</w:t>
      </w:r>
      <w:r>
        <w:rPr>
          <w:rFonts w:ascii="Verdana" w:hAnsi="Verdana"/>
        </w:rPr>
        <w:t xml:space="preserve">isk Management Committee </w:t>
      </w:r>
      <w:r w:rsidRPr="74585EFD">
        <w:rPr>
          <w:rFonts w:ascii="Verdana" w:hAnsi="Verdana"/>
        </w:rPr>
        <w:t>has scheduled a review</w:t>
      </w:r>
      <w:r>
        <w:rPr>
          <w:rFonts w:ascii="Verdana" w:hAnsi="Verdana"/>
        </w:rPr>
        <w:t xml:space="preserve"> </w:t>
      </w:r>
      <w:r w:rsidRPr="74585EFD">
        <w:rPr>
          <w:rFonts w:ascii="Verdana" w:hAnsi="Verdana"/>
        </w:rPr>
        <w:t xml:space="preserve">of </w:t>
      </w:r>
      <w:r w:rsidRPr="00AE6223">
        <w:rPr>
          <w:rFonts w:ascii="Verdana" w:hAnsi="Verdana"/>
        </w:rPr>
        <w:t>its effectiveness</w:t>
      </w:r>
      <w:r w:rsidRPr="74585EFD">
        <w:rPr>
          <w:rFonts w:ascii="Verdana" w:hAnsi="Verdana"/>
        </w:rPr>
        <w:t>.</w:t>
      </w:r>
      <w:r>
        <w:rPr>
          <w:rFonts w:ascii="Verdana" w:hAnsi="Verdana"/>
        </w:rPr>
        <w:t xml:space="preserve"> </w:t>
      </w:r>
      <w:r w:rsidRPr="74585EFD">
        <w:rPr>
          <w:rFonts w:ascii="Verdana" w:hAnsi="Verdana"/>
        </w:rPr>
        <w:t>This will be completed, by</w:t>
      </w:r>
      <w:r>
        <w:rPr>
          <w:rFonts w:ascii="Verdana" w:hAnsi="Verdana"/>
        </w:rPr>
        <w:t xml:space="preserve"> using the National Audit Office’s Audit and Risk Assurance Committee Effectiveness Checklist, which condenses the </w:t>
      </w:r>
      <w:r w:rsidRPr="00AE6223">
        <w:rPr>
          <w:rFonts w:ascii="Verdana" w:hAnsi="Verdana"/>
        </w:rPr>
        <w:t xml:space="preserve">good practice </w:t>
      </w:r>
      <w:r>
        <w:rPr>
          <w:rFonts w:ascii="Verdana" w:hAnsi="Verdana"/>
        </w:rPr>
        <w:t xml:space="preserve">principles of </w:t>
      </w:r>
      <w:r>
        <w:rPr>
          <w:rFonts w:ascii="Verdana" w:hAnsi="Verdana"/>
          <w:i/>
        </w:rPr>
        <w:t xml:space="preserve">HM Treasury’s Audit and Risk Assurance Committee Handbook. </w:t>
      </w:r>
      <w:r>
        <w:rPr>
          <w:rFonts w:ascii="Verdana" w:hAnsi="Verdana"/>
        </w:rPr>
        <w:t xml:space="preserve">The Committee noted that it was performing effectively against the core elements of the principles and concluded that on an ongoing basis the Committee should consider utilisation of external specialist resource where appropriate. Any corporate issues of concern were brought to the Commission Board for discussion and approval. </w:t>
      </w:r>
    </w:p>
    <w:p w14:paraId="0EF53C82" w14:textId="77777777" w:rsidR="002667DD" w:rsidRPr="008711E7" w:rsidRDefault="002667DD" w:rsidP="002667DD">
      <w:pPr>
        <w:pStyle w:val="Default"/>
        <w:rPr>
          <w:rFonts w:ascii="Verdana" w:hAnsi="Verdana"/>
          <w:b/>
          <w:i/>
        </w:rPr>
      </w:pPr>
    </w:p>
    <w:p w14:paraId="711EF9E0" w14:textId="77777777" w:rsidR="002667DD" w:rsidRDefault="002667DD" w:rsidP="002667DD">
      <w:pPr>
        <w:rPr>
          <w:rFonts w:eastAsia="PMingLiU"/>
        </w:rPr>
      </w:pPr>
      <w:r w:rsidRPr="003F7E43">
        <w:rPr>
          <w:rFonts w:eastAsia="PMingLiU"/>
        </w:rPr>
        <w:t xml:space="preserve">The Audit and Risk Management Committee report as required and at least annually to the full Commission board through the Independent Chair of the Committee. Audit and Risk Management Committee papers are available to all Commissioners. The Commission works through </w:t>
      </w:r>
      <w:r>
        <w:rPr>
          <w:rFonts w:eastAsia="PMingLiU"/>
        </w:rPr>
        <w:t xml:space="preserve">a monthly </w:t>
      </w:r>
      <w:r w:rsidRPr="003F7E43">
        <w:rPr>
          <w:rFonts w:eastAsia="PMingLiU"/>
        </w:rPr>
        <w:t>Commission meeting</w:t>
      </w:r>
      <w:r>
        <w:rPr>
          <w:rFonts w:eastAsia="PMingLiU"/>
        </w:rPr>
        <w:t>, though there is provision for additional meetings if required.</w:t>
      </w:r>
      <w:r w:rsidRPr="003F7E43">
        <w:rPr>
          <w:rFonts w:eastAsia="PMingLiU"/>
        </w:rPr>
        <w:t xml:space="preserve"> </w:t>
      </w:r>
      <w:r>
        <w:rPr>
          <w:rFonts w:eastAsia="PMingLiU"/>
        </w:rPr>
        <w:t xml:space="preserve">It </w:t>
      </w:r>
      <w:r w:rsidRPr="003F7E43">
        <w:rPr>
          <w:rFonts w:eastAsia="PMingLiU"/>
        </w:rPr>
        <w:t xml:space="preserve">has no separate standing Committees other than that of Audit and Risk Management. </w:t>
      </w:r>
    </w:p>
    <w:p w14:paraId="4C64FE7C" w14:textId="77777777" w:rsidR="002667DD" w:rsidRDefault="002667DD" w:rsidP="002667DD">
      <w:pPr>
        <w:rPr>
          <w:rFonts w:eastAsia="PMingLiU"/>
        </w:rPr>
      </w:pPr>
    </w:p>
    <w:p w14:paraId="5983BB7A" w14:textId="77777777" w:rsidR="002667DD" w:rsidRPr="008711E7" w:rsidRDefault="002667DD" w:rsidP="002667DD">
      <w:pPr>
        <w:rPr>
          <w:rFonts w:eastAsia="PMingLiU"/>
        </w:rPr>
      </w:pPr>
      <w:bookmarkStart w:id="10" w:name="_Hlk135828817"/>
      <w:r w:rsidRPr="003F7E43">
        <w:rPr>
          <w:rFonts w:eastAsia="PMingLiU"/>
        </w:rPr>
        <w:t>The Commission is also represented by Commissioners and staff on the joint Independent Monitoring Committee</w:t>
      </w:r>
      <w:r>
        <w:rPr>
          <w:rFonts w:eastAsia="PMingLiU"/>
        </w:rPr>
        <w:t xml:space="preserve"> for the UN Convention on the Rights of People with Disabilities in Northern Ireland</w:t>
      </w:r>
      <w:r w:rsidRPr="003F7E43">
        <w:rPr>
          <w:rFonts w:eastAsia="PMingLiU"/>
        </w:rPr>
        <w:t xml:space="preserve"> with the Equality Commission</w:t>
      </w:r>
      <w:r>
        <w:rPr>
          <w:rFonts w:eastAsia="PMingLiU"/>
        </w:rPr>
        <w:t>, and exercises statutory functions alongside the Equality Commission as the Dedicated Mechanism established under the EU Withdrawal Agreement.</w:t>
      </w:r>
    </w:p>
    <w:bookmarkEnd w:id="10"/>
    <w:p w14:paraId="2DBC2EC2" w14:textId="77777777" w:rsidR="002667DD" w:rsidRPr="008711E7" w:rsidRDefault="002667DD" w:rsidP="002667DD">
      <w:pPr>
        <w:rPr>
          <w:i/>
        </w:rPr>
      </w:pPr>
    </w:p>
    <w:p w14:paraId="275A907C" w14:textId="77777777" w:rsidR="002667DD" w:rsidRPr="008711E7" w:rsidRDefault="002667DD" w:rsidP="002667DD">
      <w:pPr>
        <w:rPr>
          <w:rFonts w:eastAsia="PMingLiU"/>
        </w:rPr>
      </w:pPr>
      <w:r w:rsidRPr="00B814F8">
        <w:rPr>
          <w:rFonts w:eastAsia="PMingLiU"/>
        </w:rPr>
        <w:t xml:space="preserve">During this year, the Commission </w:t>
      </w:r>
      <w:r>
        <w:rPr>
          <w:rFonts w:eastAsia="PMingLiU"/>
        </w:rPr>
        <w:t xml:space="preserve">Board </w:t>
      </w:r>
      <w:r w:rsidRPr="00B814F8">
        <w:rPr>
          <w:rFonts w:eastAsia="PMingLiU"/>
        </w:rPr>
        <w:t xml:space="preserve">has met </w:t>
      </w:r>
      <w:r>
        <w:rPr>
          <w:rFonts w:eastAsia="PMingLiU"/>
        </w:rPr>
        <w:t>eleven</w:t>
      </w:r>
      <w:r w:rsidRPr="00B814F8">
        <w:rPr>
          <w:rFonts w:eastAsia="PMingLiU"/>
        </w:rPr>
        <w:t xml:space="preserve"> </w:t>
      </w:r>
      <w:r>
        <w:rPr>
          <w:rFonts w:eastAsia="PMingLiU"/>
        </w:rPr>
        <w:t xml:space="preserve">times (ten ordinary Commission meetings and one special Commission meeting).  Members of the Committee provided updates on the Audit and Risk Management Committee throughout the year.  </w:t>
      </w:r>
    </w:p>
    <w:p w14:paraId="5865ADE0" w14:textId="77777777" w:rsidR="002667DD" w:rsidRPr="008711E7" w:rsidRDefault="002667DD" w:rsidP="002667DD">
      <w:pPr>
        <w:rPr>
          <w:rFonts w:eastAsia="PMingLiU"/>
        </w:rPr>
      </w:pPr>
    </w:p>
    <w:p w14:paraId="4FCC597E" w14:textId="77777777" w:rsidR="002667DD" w:rsidRDefault="002667DD" w:rsidP="002667DD">
      <w:pPr>
        <w:rPr>
          <w:rFonts w:eastAsia="PMingLiU"/>
        </w:rPr>
      </w:pPr>
      <w:r w:rsidRPr="008711E7">
        <w:rPr>
          <w:rFonts w:eastAsia="PMingLiU"/>
        </w:rPr>
        <w:t xml:space="preserve">With a reliance on robust recruitment processes and performance appraisals, the Commission satisfies itself as to the quality of professional advice provided to it.  </w:t>
      </w:r>
    </w:p>
    <w:p w14:paraId="3FF251E3" w14:textId="77777777" w:rsidR="00F04493" w:rsidRDefault="00F04493" w:rsidP="002667DD">
      <w:pPr>
        <w:rPr>
          <w:rFonts w:eastAsia="PMingLiU"/>
          <w:b/>
        </w:rPr>
      </w:pPr>
    </w:p>
    <w:p w14:paraId="19B93002" w14:textId="4239D6CD" w:rsidR="002667DD" w:rsidRDefault="002667DD" w:rsidP="002667DD">
      <w:pPr>
        <w:rPr>
          <w:rFonts w:eastAsia="PMingLiU"/>
          <w:b/>
        </w:rPr>
      </w:pPr>
      <w:r>
        <w:rPr>
          <w:rFonts w:eastAsia="PMingLiU"/>
          <w:b/>
        </w:rPr>
        <w:t>Commission’s Performance</w:t>
      </w:r>
    </w:p>
    <w:p w14:paraId="70738255" w14:textId="77777777" w:rsidR="002667DD" w:rsidRDefault="002667DD" w:rsidP="002667DD">
      <w:pPr>
        <w:rPr>
          <w:rFonts w:eastAsia="PMingLiU"/>
          <w:b/>
        </w:rPr>
      </w:pPr>
    </w:p>
    <w:p w14:paraId="1A5BED45" w14:textId="77777777" w:rsidR="002667DD" w:rsidRDefault="002667DD" w:rsidP="002667DD">
      <w:pPr>
        <w:rPr>
          <w:rFonts w:eastAsia="PMingLiU"/>
        </w:rPr>
      </w:pPr>
      <w:r>
        <w:rPr>
          <w:rFonts w:eastAsia="PMingLiU"/>
        </w:rPr>
        <w:t xml:space="preserve">Throughout 2022-23, the Commission effectively discharged its statutory functions and duties.  In line with best practice, the operational procedures of the Commission and the quality of data used by the </w:t>
      </w:r>
      <w:r>
        <w:rPr>
          <w:rFonts w:eastAsia="PMingLiU"/>
        </w:rPr>
        <w:lastRenderedPageBreak/>
        <w:t>Commission is kept under continuous review to ensure that the Commission is content that it is provided with all requisite information to enable it to make informed decisions.</w:t>
      </w:r>
    </w:p>
    <w:p w14:paraId="53AA233E" w14:textId="77777777" w:rsidR="002667DD" w:rsidRDefault="002667DD" w:rsidP="002667DD">
      <w:pPr>
        <w:rPr>
          <w:rFonts w:eastAsia="PMingLiU"/>
        </w:rPr>
      </w:pPr>
    </w:p>
    <w:p w14:paraId="4116DDAF" w14:textId="77777777" w:rsidR="002667DD" w:rsidRDefault="002667DD" w:rsidP="002667DD">
      <w:r>
        <w:t xml:space="preserve">The Commission’s Strategic Plan for 2022-2025 was published in 1 April 2022 and can be found on the Commission’s website at: </w:t>
      </w:r>
      <w:hyperlink r:id="rId30" w:history="1">
        <w:r w:rsidRPr="00F96F8C">
          <w:rPr>
            <w:rStyle w:val="Hyperlink"/>
          </w:rPr>
          <w:t>https://nihrc.org/publication/detail/strategic-plan-2022-2025</w:t>
        </w:r>
      </w:hyperlink>
    </w:p>
    <w:p w14:paraId="26A44481" w14:textId="77777777" w:rsidR="002667DD" w:rsidRDefault="002667DD" w:rsidP="002667DD">
      <w:pPr>
        <w:rPr>
          <w:rFonts w:eastAsia="PMingLiU"/>
        </w:rPr>
      </w:pPr>
    </w:p>
    <w:p w14:paraId="06E4E2B5" w14:textId="77777777" w:rsidR="002667DD" w:rsidRPr="00112AF2" w:rsidRDefault="002667DD" w:rsidP="002667DD">
      <w:pPr>
        <w:rPr>
          <w:bCs/>
          <w:noProof/>
          <w:lang w:eastAsia="en-GB"/>
        </w:rPr>
      </w:pPr>
      <w:r w:rsidRPr="00112AF2">
        <w:rPr>
          <w:rFonts w:cs="Arial"/>
          <w:b/>
        </w:rPr>
        <w:t xml:space="preserve">Risk management and control </w:t>
      </w:r>
    </w:p>
    <w:p w14:paraId="15D9E511" w14:textId="77777777" w:rsidR="002667DD" w:rsidRPr="00112AF2" w:rsidRDefault="002667DD" w:rsidP="002667DD">
      <w:pPr>
        <w:autoSpaceDE w:val="0"/>
        <w:autoSpaceDN w:val="0"/>
        <w:adjustRightInd w:val="0"/>
        <w:rPr>
          <w:rFonts w:cs="Arial"/>
          <w:b/>
        </w:rPr>
      </w:pPr>
    </w:p>
    <w:p w14:paraId="63357033" w14:textId="77777777" w:rsidR="002667DD" w:rsidRPr="00422EEA" w:rsidRDefault="002667DD" w:rsidP="002667DD">
      <w:pPr>
        <w:autoSpaceDE w:val="0"/>
        <w:autoSpaceDN w:val="0"/>
        <w:adjustRightInd w:val="0"/>
        <w:rPr>
          <w:rFonts w:cs="Arial"/>
          <w:highlight w:val="yellow"/>
        </w:rPr>
      </w:pPr>
      <w:r w:rsidRPr="00673894">
        <w:rPr>
          <w:rFonts w:cs="Arial"/>
        </w:rPr>
        <w:t xml:space="preserve">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 identify and prioritise the risks to the achievement of the Commission’s policies, aims and objectives, to evaluate the likelihood of those risks being realised and the impact should they be realised, and to manage them efficiently, effectively and economically.  The system of internal control has been in place in the Commission </w:t>
      </w:r>
      <w:r>
        <w:rPr>
          <w:rFonts w:cs="Arial"/>
        </w:rPr>
        <w:t>for the year ended 31 March 2023</w:t>
      </w:r>
      <w:r w:rsidRPr="00673894">
        <w:rPr>
          <w:rFonts w:cs="Arial"/>
        </w:rPr>
        <w:t xml:space="preserve"> and up to the date of approval of the annual report and accounts, and accords with Treasury guidance. </w:t>
      </w:r>
    </w:p>
    <w:p w14:paraId="141E491E" w14:textId="77777777" w:rsidR="002667DD" w:rsidRPr="00422EEA" w:rsidRDefault="002667DD" w:rsidP="002667DD">
      <w:pPr>
        <w:rPr>
          <w:highlight w:val="yellow"/>
        </w:rPr>
      </w:pPr>
    </w:p>
    <w:p w14:paraId="68E7CFA6" w14:textId="77777777" w:rsidR="002667DD" w:rsidRPr="00673894" w:rsidRDefault="002667DD" w:rsidP="002667DD">
      <w:pPr>
        <w:widowControl w:val="0"/>
        <w:tabs>
          <w:tab w:val="left" w:pos="8535"/>
        </w:tabs>
        <w:autoSpaceDE w:val="0"/>
        <w:autoSpaceDN w:val="0"/>
        <w:adjustRightInd w:val="0"/>
      </w:pPr>
      <w:r w:rsidRPr="00673894">
        <w:t xml:space="preserve">The Commission’s risk management framework involves Commissioners and staff in reviewing and assessing risk on a regular basis, so that risk is an integral part of the ongoing planning and monitoring processes of the Commission.  </w:t>
      </w:r>
    </w:p>
    <w:p w14:paraId="201605A6" w14:textId="77777777" w:rsidR="002667DD" w:rsidRPr="00673894" w:rsidRDefault="002667DD" w:rsidP="002667DD">
      <w:pPr>
        <w:widowControl w:val="0"/>
        <w:tabs>
          <w:tab w:val="left" w:pos="8535"/>
        </w:tabs>
        <w:autoSpaceDE w:val="0"/>
        <w:autoSpaceDN w:val="0"/>
        <w:adjustRightInd w:val="0"/>
      </w:pPr>
    </w:p>
    <w:p w14:paraId="07E36BD4" w14:textId="77777777" w:rsidR="002667DD" w:rsidRPr="00673894" w:rsidRDefault="002667DD" w:rsidP="002667DD">
      <w:pPr>
        <w:widowControl w:val="0"/>
        <w:tabs>
          <w:tab w:val="left" w:pos="8535"/>
        </w:tabs>
        <w:autoSpaceDE w:val="0"/>
        <w:autoSpaceDN w:val="0"/>
        <w:adjustRightInd w:val="0"/>
      </w:pPr>
      <w:r w:rsidRPr="00673894">
        <w:t>The Chairperson of the Commission’s Audit and Risk Management Committee, who is independent of the Commission, also provides an additional source of expertise for management and Commissioners to consult on specific issues as they arise.</w:t>
      </w:r>
    </w:p>
    <w:p w14:paraId="3AAC522C" w14:textId="77777777" w:rsidR="002667DD" w:rsidRPr="00673894" w:rsidRDefault="002667DD" w:rsidP="002667DD">
      <w:pPr>
        <w:rPr>
          <w:rFonts w:cs="Arial"/>
          <w:bCs/>
        </w:rPr>
      </w:pPr>
    </w:p>
    <w:p w14:paraId="7FD937A0" w14:textId="77777777" w:rsidR="002667DD" w:rsidRPr="00673894" w:rsidRDefault="002667DD" w:rsidP="002667DD">
      <w:pPr>
        <w:rPr>
          <w:rFonts w:cs="Arial"/>
          <w:bCs/>
        </w:rPr>
      </w:pPr>
      <w:r w:rsidRPr="00673894">
        <w:rPr>
          <w:rFonts w:cs="Arial"/>
          <w:bCs/>
        </w:rPr>
        <w:t>The Commission has a continuous, proactive and systematic approach to understand, manage and communicate risk across the organisation.  The risk management framework is comprehensive and involves Commissioners, managers and staff as follows:</w:t>
      </w:r>
    </w:p>
    <w:p w14:paraId="4B37E691" w14:textId="77777777" w:rsidR="002667DD" w:rsidRPr="00673894" w:rsidRDefault="002667DD" w:rsidP="002667DD">
      <w:pPr>
        <w:rPr>
          <w:snapToGrid w:val="0"/>
        </w:rPr>
      </w:pPr>
    </w:p>
    <w:p w14:paraId="3A9522D1" w14:textId="77777777" w:rsidR="002667DD" w:rsidRPr="00673894" w:rsidRDefault="002667DD" w:rsidP="002667DD">
      <w:pPr>
        <w:numPr>
          <w:ilvl w:val="0"/>
          <w:numId w:val="6"/>
        </w:numPr>
        <w:ind w:left="426" w:hanging="426"/>
        <w:rPr>
          <w:snapToGrid w:val="0"/>
        </w:rPr>
      </w:pPr>
      <w:r w:rsidRPr="00673894">
        <w:rPr>
          <w:snapToGrid w:val="0"/>
        </w:rPr>
        <w:t>overall responsibility for ensuring that risks are identified and an appropriate framework is in place to manage those risks down to an acceptable level rests with the Commission’s Accounting Officer</w:t>
      </w:r>
    </w:p>
    <w:p w14:paraId="0665731D" w14:textId="77777777" w:rsidR="002667DD" w:rsidRPr="00673894" w:rsidRDefault="002667DD" w:rsidP="002667DD">
      <w:pPr>
        <w:ind w:left="426" w:hanging="426"/>
        <w:rPr>
          <w:snapToGrid w:val="0"/>
        </w:rPr>
      </w:pPr>
    </w:p>
    <w:p w14:paraId="7CFDC213" w14:textId="77777777" w:rsidR="002667DD" w:rsidRPr="00673894" w:rsidRDefault="002667DD" w:rsidP="002667DD">
      <w:pPr>
        <w:numPr>
          <w:ilvl w:val="0"/>
          <w:numId w:val="6"/>
        </w:numPr>
        <w:ind w:left="426" w:hanging="426"/>
        <w:rPr>
          <w:snapToGrid w:val="0"/>
        </w:rPr>
      </w:pPr>
      <w:r w:rsidRPr="00673894">
        <w:rPr>
          <w:snapToGrid w:val="0"/>
        </w:rPr>
        <w:t xml:space="preserve">individual members of staff can be nominated as ‘risk owners’ delegated with responsibility from the Chief Executive for monitoring and reporting on specific risks within their area of work </w:t>
      </w:r>
      <w:r w:rsidRPr="00673894">
        <w:rPr>
          <w:snapToGrid w:val="0"/>
        </w:rPr>
        <w:br/>
      </w:r>
    </w:p>
    <w:p w14:paraId="2E0B48FE" w14:textId="77777777" w:rsidR="002667DD" w:rsidRPr="00673894" w:rsidRDefault="002667DD" w:rsidP="002667DD">
      <w:pPr>
        <w:numPr>
          <w:ilvl w:val="0"/>
          <w:numId w:val="6"/>
        </w:numPr>
        <w:ind w:left="426" w:hanging="426"/>
        <w:rPr>
          <w:snapToGrid w:val="0"/>
        </w:rPr>
      </w:pPr>
      <w:r w:rsidRPr="00673894">
        <w:rPr>
          <w:snapToGrid w:val="0"/>
        </w:rPr>
        <w:t xml:space="preserve">the risk register, and the effectiveness of activities to manage identified risks, is reviewed by the </w:t>
      </w:r>
      <w:r>
        <w:rPr>
          <w:snapToGrid w:val="0"/>
        </w:rPr>
        <w:t xml:space="preserve">Senior </w:t>
      </w:r>
      <w:r w:rsidRPr="00673894">
        <w:rPr>
          <w:snapToGrid w:val="0"/>
        </w:rPr>
        <w:t>Management Team</w:t>
      </w:r>
    </w:p>
    <w:p w14:paraId="01FBF5F2" w14:textId="77777777" w:rsidR="002667DD" w:rsidRPr="00422EEA" w:rsidRDefault="002667DD" w:rsidP="002667DD">
      <w:pPr>
        <w:ind w:left="426" w:hanging="426"/>
        <w:rPr>
          <w:snapToGrid w:val="0"/>
          <w:highlight w:val="yellow"/>
        </w:rPr>
      </w:pPr>
    </w:p>
    <w:p w14:paraId="3A16E4D6" w14:textId="77777777" w:rsidR="002667DD" w:rsidRPr="00673894" w:rsidRDefault="002667DD" w:rsidP="002667DD">
      <w:pPr>
        <w:numPr>
          <w:ilvl w:val="0"/>
          <w:numId w:val="6"/>
        </w:numPr>
        <w:ind w:left="426" w:hanging="426"/>
        <w:rPr>
          <w:snapToGrid w:val="0"/>
        </w:rPr>
      </w:pPr>
      <w:r w:rsidRPr="00673894">
        <w:rPr>
          <w:snapToGrid w:val="0"/>
        </w:rPr>
        <w:lastRenderedPageBreak/>
        <w:t>the Audit and Risk Management Committee, which ordinarily meets quarterly, reviews the risk register and reports to the Commission, through the Chief Executive, on the effectiveness of activities to manage identified risks following each meeting</w:t>
      </w:r>
    </w:p>
    <w:p w14:paraId="1B55A7C2" w14:textId="77777777" w:rsidR="002667DD" w:rsidRPr="00673894" w:rsidRDefault="002667DD" w:rsidP="002667DD">
      <w:pPr>
        <w:ind w:left="426" w:hanging="426"/>
        <w:rPr>
          <w:snapToGrid w:val="0"/>
        </w:rPr>
      </w:pPr>
    </w:p>
    <w:p w14:paraId="401188EE" w14:textId="77777777" w:rsidR="002667DD" w:rsidRPr="00673894" w:rsidRDefault="002667DD" w:rsidP="002667DD">
      <w:pPr>
        <w:pStyle w:val="ListParagraph"/>
        <w:numPr>
          <w:ilvl w:val="1"/>
          <w:numId w:val="6"/>
        </w:numPr>
        <w:tabs>
          <w:tab w:val="left" w:pos="709"/>
        </w:tabs>
        <w:ind w:left="426" w:hanging="426"/>
        <w:rPr>
          <w:snapToGrid w:val="0"/>
        </w:rPr>
      </w:pPr>
      <w:r w:rsidRPr="00673894">
        <w:rPr>
          <w:snapToGrid w:val="0"/>
        </w:rPr>
        <w:t xml:space="preserve">the </w:t>
      </w:r>
      <w:r>
        <w:rPr>
          <w:snapToGrid w:val="0"/>
        </w:rPr>
        <w:t>Committee</w:t>
      </w:r>
      <w:r w:rsidRPr="00673894">
        <w:rPr>
          <w:snapToGrid w:val="0"/>
        </w:rPr>
        <w:t xml:space="preserve"> reviews the risk register and the effectiveness of the risk management framework </w:t>
      </w:r>
      <w:r w:rsidRPr="00673894">
        <w:rPr>
          <w:snapToGrid w:val="0"/>
        </w:rPr>
        <w:br/>
      </w:r>
    </w:p>
    <w:p w14:paraId="7BBEE8ED" w14:textId="77777777" w:rsidR="002667DD" w:rsidRPr="00673894" w:rsidRDefault="002667DD" w:rsidP="002667DD">
      <w:pPr>
        <w:widowControl w:val="0"/>
        <w:numPr>
          <w:ilvl w:val="0"/>
          <w:numId w:val="6"/>
        </w:numPr>
        <w:tabs>
          <w:tab w:val="left" w:pos="709"/>
          <w:tab w:val="left" w:pos="8535"/>
        </w:tabs>
        <w:autoSpaceDE w:val="0"/>
        <w:autoSpaceDN w:val="0"/>
        <w:adjustRightInd w:val="0"/>
        <w:ind w:left="426" w:hanging="426"/>
      </w:pPr>
      <w:r w:rsidRPr="00673894">
        <w:rPr>
          <w:snapToGrid w:val="0"/>
        </w:rPr>
        <w:t>the external environment is assessed for any opportunistic new risks as part of the annual business planning process and in addition for the new strategic plan</w:t>
      </w:r>
      <w:r w:rsidRPr="00673894">
        <w:rPr>
          <w:snapToGrid w:val="0"/>
        </w:rPr>
        <w:br/>
      </w:r>
    </w:p>
    <w:p w14:paraId="65FABD76" w14:textId="77777777" w:rsidR="002667DD" w:rsidRPr="00673894" w:rsidRDefault="002667DD" w:rsidP="002667DD">
      <w:pPr>
        <w:widowControl w:val="0"/>
        <w:numPr>
          <w:ilvl w:val="0"/>
          <w:numId w:val="6"/>
        </w:numPr>
        <w:tabs>
          <w:tab w:val="left" w:pos="709"/>
          <w:tab w:val="left" w:pos="8535"/>
        </w:tabs>
        <w:autoSpaceDE w:val="0"/>
        <w:autoSpaceDN w:val="0"/>
        <w:adjustRightInd w:val="0"/>
        <w:ind w:left="426" w:hanging="426"/>
      </w:pPr>
      <w:r w:rsidRPr="00673894">
        <w:t>information risk is managed by the Commission within the context of the risk management framework.  The Commission seeks to manage down the likelihood of the risk materialising through an Information Assurance Policy and Information and Communications Technology (ICT) policies and procedures, supported by training for staff on these.</w:t>
      </w:r>
      <w:r w:rsidRPr="00673894">
        <w:br/>
      </w:r>
    </w:p>
    <w:p w14:paraId="5F435153" w14:textId="77777777" w:rsidR="002667DD" w:rsidRPr="00673894" w:rsidRDefault="002667DD" w:rsidP="002667DD">
      <w:pPr>
        <w:widowControl w:val="0"/>
        <w:tabs>
          <w:tab w:val="left" w:pos="709"/>
          <w:tab w:val="left" w:pos="8535"/>
        </w:tabs>
        <w:autoSpaceDE w:val="0"/>
        <w:autoSpaceDN w:val="0"/>
        <w:adjustRightInd w:val="0"/>
      </w:pPr>
      <w:r w:rsidRPr="00673894">
        <w:t>The Commission has liaised closely with the NIO network to ensure compliance.  Commissioners and staff also complete annual information assurance e-learning courses.</w:t>
      </w:r>
    </w:p>
    <w:p w14:paraId="3493C7DA" w14:textId="77777777" w:rsidR="002667DD" w:rsidRPr="00422EEA" w:rsidRDefault="002667DD" w:rsidP="002667DD">
      <w:pPr>
        <w:autoSpaceDE w:val="0"/>
        <w:autoSpaceDN w:val="0"/>
        <w:adjustRightInd w:val="0"/>
        <w:rPr>
          <w:rFonts w:cs="Arial"/>
          <w:highlight w:val="yellow"/>
        </w:rPr>
      </w:pPr>
      <w:r w:rsidRPr="00422EEA">
        <w:rPr>
          <w:rFonts w:cs="Arial"/>
          <w:highlight w:val="yellow"/>
        </w:rPr>
        <w:t xml:space="preserve"> </w:t>
      </w:r>
    </w:p>
    <w:p w14:paraId="2466C2D9" w14:textId="77777777" w:rsidR="002667DD" w:rsidRDefault="002667DD" w:rsidP="002667DD">
      <w:pPr>
        <w:autoSpaceDE w:val="0"/>
        <w:autoSpaceDN w:val="0"/>
        <w:adjustRightInd w:val="0"/>
        <w:rPr>
          <w:rFonts w:cs="Arial"/>
        </w:rPr>
      </w:pPr>
      <w:r w:rsidRPr="00673894">
        <w:rPr>
          <w:rFonts w:cs="Arial"/>
        </w:rPr>
        <w:t>During the course of 202</w:t>
      </w:r>
      <w:r>
        <w:rPr>
          <w:rFonts w:cs="Arial"/>
        </w:rPr>
        <w:t>2-23</w:t>
      </w:r>
      <w:r w:rsidRPr="00673894">
        <w:rPr>
          <w:rFonts w:cs="Arial"/>
        </w:rPr>
        <w:t xml:space="preserve">, the main risks </w:t>
      </w:r>
      <w:r>
        <w:rPr>
          <w:rFonts w:cs="Arial"/>
        </w:rPr>
        <w:t xml:space="preserve">faced by the Commission </w:t>
      </w:r>
      <w:r w:rsidRPr="00673894">
        <w:rPr>
          <w:rFonts w:cs="Arial"/>
        </w:rPr>
        <w:t>were</w:t>
      </w:r>
      <w:r>
        <w:rPr>
          <w:rFonts w:cs="Arial"/>
        </w:rPr>
        <w:t>:</w:t>
      </w:r>
    </w:p>
    <w:p w14:paraId="154DD1B5" w14:textId="77777777" w:rsidR="002667DD" w:rsidRDefault="002667DD" w:rsidP="002667DD">
      <w:pPr>
        <w:autoSpaceDE w:val="0"/>
        <w:autoSpaceDN w:val="0"/>
        <w:adjustRightInd w:val="0"/>
        <w:rPr>
          <w:rFonts w:cs="Arial"/>
        </w:rPr>
      </w:pPr>
    </w:p>
    <w:p w14:paraId="6572BC2E" w14:textId="77777777" w:rsidR="002667DD" w:rsidRDefault="002667DD" w:rsidP="002667DD">
      <w:pPr>
        <w:pStyle w:val="ListParagraph"/>
        <w:numPr>
          <w:ilvl w:val="0"/>
          <w:numId w:val="18"/>
        </w:numPr>
        <w:autoSpaceDE w:val="0"/>
        <w:autoSpaceDN w:val="0"/>
        <w:adjustRightInd w:val="0"/>
        <w:rPr>
          <w:rFonts w:cs="Arial"/>
        </w:rPr>
      </w:pPr>
      <w:r w:rsidRPr="00235025">
        <w:rPr>
          <w:rFonts w:cs="Arial"/>
        </w:rPr>
        <w:t xml:space="preserve">the deferral of the Commission’s reaccreditation as an ‘A’ status National Human Rights Institution; and </w:t>
      </w:r>
    </w:p>
    <w:p w14:paraId="7DAA3016" w14:textId="77777777" w:rsidR="002667DD" w:rsidRDefault="002667DD" w:rsidP="002667DD">
      <w:pPr>
        <w:pStyle w:val="ListParagraph"/>
        <w:numPr>
          <w:ilvl w:val="0"/>
          <w:numId w:val="18"/>
        </w:numPr>
        <w:rPr>
          <w:rFonts w:cs="Arial"/>
          <w:color w:val="000000" w:themeColor="text1"/>
        </w:rPr>
      </w:pPr>
      <w:r w:rsidRPr="74585EFD">
        <w:rPr>
          <w:rFonts w:cs="Arial"/>
          <w:color w:val="000000" w:themeColor="text1"/>
        </w:rPr>
        <w:t>ability to fulfil its statutory duties and exercise powers due to limited budget</w:t>
      </w:r>
    </w:p>
    <w:p w14:paraId="0503B41B" w14:textId="77777777" w:rsidR="002667DD" w:rsidRDefault="002667DD" w:rsidP="002667DD">
      <w:pPr>
        <w:pStyle w:val="CommentText"/>
        <w:rPr>
          <w:rFonts w:cs="Arial"/>
          <w:sz w:val="24"/>
          <w:szCs w:val="24"/>
        </w:rPr>
      </w:pPr>
    </w:p>
    <w:p w14:paraId="7A2129E0" w14:textId="77777777" w:rsidR="002667DD" w:rsidRPr="00F931C1" w:rsidRDefault="002667DD" w:rsidP="002667DD">
      <w:pPr>
        <w:pStyle w:val="CommentText"/>
        <w:rPr>
          <w:sz w:val="24"/>
          <w:szCs w:val="24"/>
        </w:rPr>
      </w:pPr>
      <w:r w:rsidRPr="00F931C1">
        <w:rPr>
          <w:rFonts w:cs="Arial"/>
          <w:sz w:val="24"/>
          <w:szCs w:val="24"/>
        </w:rPr>
        <w:t>In addition to the mechanisms outlined above, as Accounting Officer, I have responsibility for ensuring the effectiveness of the system of internal control.  Reviewing the effectiveness of the system of internal control is informed by the work of the internal auditors, and comments made by the external auditors in their management letter and other reports.  The</w:t>
      </w:r>
      <w:r w:rsidRPr="00F931C1">
        <w:rPr>
          <w:sz w:val="24"/>
          <w:szCs w:val="24"/>
        </w:rPr>
        <w:t xml:space="preserve"> Commission Board continued to receive monthly financial reports and the Commission’s Risk Register for scrutiny at each of its meetings, which were presented by the Chief Executive and the Director (Finance, Personnel and Corporate Affairs).  Any corporate issues of concern were also brought to the Commission Board for discussion and approval.   The Commission’s own management controls such as its financial management procedures and the appointment of a</w:t>
      </w:r>
      <w:r>
        <w:rPr>
          <w:sz w:val="24"/>
          <w:szCs w:val="24"/>
        </w:rPr>
        <w:t xml:space="preserve">n Independent Chair to the Audit and Risk Management Committee, </w:t>
      </w:r>
      <w:r w:rsidRPr="00F931C1">
        <w:rPr>
          <w:sz w:val="24"/>
          <w:szCs w:val="24"/>
        </w:rPr>
        <w:t>ensured that the Commission continued to operate throughout the period without any significant concerns being identified.</w:t>
      </w:r>
      <w:r>
        <w:rPr>
          <w:sz w:val="24"/>
          <w:szCs w:val="24"/>
        </w:rPr>
        <w:t xml:space="preserve">  </w:t>
      </w:r>
      <w:r w:rsidRPr="00F931C1">
        <w:rPr>
          <w:rFonts w:cs="Arial"/>
          <w:sz w:val="24"/>
          <w:szCs w:val="24"/>
        </w:rPr>
        <w:t>I have been advised on the effectiveness of the system of internal control by the Commission (the Board), the Audit and Risk Management Committee and a plan to address identified weaknesses and ensure continuous improvement of the system is in place.</w:t>
      </w:r>
      <w:r w:rsidRPr="00673894">
        <w:rPr>
          <w:rFonts w:cs="Arial"/>
        </w:rPr>
        <w:t xml:space="preserve"> </w:t>
      </w:r>
    </w:p>
    <w:p w14:paraId="179ABD40" w14:textId="77777777" w:rsidR="002667DD" w:rsidRDefault="002667DD" w:rsidP="002667DD">
      <w:pPr>
        <w:pStyle w:val="Default"/>
        <w:rPr>
          <w:rFonts w:ascii="Verdana" w:hAnsi="Verdana"/>
          <w:b/>
        </w:rPr>
      </w:pPr>
    </w:p>
    <w:p w14:paraId="59918CB8" w14:textId="7D574263" w:rsidR="002667DD" w:rsidRDefault="002667DD" w:rsidP="002667DD">
      <w:pPr>
        <w:pStyle w:val="Default"/>
        <w:rPr>
          <w:rFonts w:ascii="Verdana" w:hAnsi="Verdana"/>
          <w:b/>
        </w:rPr>
      </w:pPr>
      <w:r>
        <w:rPr>
          <w:rFonts w:ascii="Verdana" w:hAnsi="Verdana"/>
          <w:b/>
        </w:rPr>
        <w:lastRenderedPageBreak/>
        <w:t>Review of effectiveness</w:t>
      </w:r>
    </w:p>
    <w:p w14:paraId="3FD0459C" w14:textId="77777777" w:rsidR="002667DD" w:rsidRDefault="002667DD" w:rsidP="002667DD">
      <w:pPr>
        <w:pStyle w:val="Default"/>
        <w:rPr>
          <w:rFonts w:ascii="Verdana" w:hAnsi="Verdana"/>
          <w:b/>
        </w:rPr>
      </w:pPr>
    </w:p>
    <w:p w14:paraId="340B588D" w14:textId="77777777" w:rsidR="002667DD" w:rsidRDefault="002667DD" w:rsidP="002667DD">
      <w:pPr>
        <w:pStyle w:val="Default"/>
        <w:rPr>
          <w:rFonts w:ascii="Verdana" w:hAnsi="Verdana"/>
        </w:rPr>
      </w:pPr>
      <w:r w:rsidRPr="008711E7">
        <w:rPr>
          <w:rFonts w:ascii="Verdana" w:hAnsi="Verdana"/>
        </w:rPr>
        <w:t xml:space="preserve">The Audit and Risk Management Committee reviews the effectiveness of the Commission’s internal control mechanisms, including receiving and approving internal audit plans and reports, approving the Commission’s Financial Procedures Manual and </w:t>
      </w:r>
      <w:r>
        <w:rPr>
          <w:rFonts w:ascii="Verdana" w:hAnsi="Verdana"/>
        </w:rPr>
        <w:t xml:space="preserve">any </w:t>
      </w:r>
      <w:r w:rsidRPr="008711E7">
        <w:rPr>
          <w:rFonts w:ascii="Verdana" w:hAnsi="Verdana"/>
        </w:rPr>
        <w:t xml:space="preserve">significant changes to it. The Committee also oversees the risk management framework and reporting to the Commission on the effectiveness of activities to manage the occurrence or impact of identified risks. The Committee furthermore reviews all international travel undertaken by Commissioners and staff, expenses claims submitted by the Chief Commissioner and the </w:t>
      </w:r>
      <w:r>
        <w:rPr>
          <w:rFonts w:ascii="Verdana" w:hAnsi="Verdana"/>
        </w:rPr>
        <w:t>Chief Executive</w:t>
      </w:r>
      <w:r w:rsidRPr="008711E7">
        <w:rPr>
          <w:rFonts w:ascii="Verdana" w:hAnsi="Verdana"/>
        </w:rPr>
        <w:t>, and purchases over £1,000, with a particular focus on any contracts let by single tender action. As an additional reputational safeguard, the Chair of the Committee discharges the role of Authorising Officer for the Chief Commissioner’s travel and expenses claims.</w:t>
      </w:r>
    </w:p>
    <w:p w14:paraId="3250DBC3" w14:textId="77777777" w:rsidR="002667DD" w:rsidRDefault="002667DD" w:rsidP="002667DD">
      <w:pPr>
        <w:pStyle w:val="Default"/>
        <w:rPr>
          <w:rFonts w:ascii="Verdana" w:hAnsi="Verdana"/>
        </w:rPr>
      </w:pPr>
    </w:p>
    <w:p w14:paraId="630B86B4" w14:textId="6ED5C327" w:rsidR="002667DD" w:rsidRPr="008711E7" w:rsidRDefault="002667DD" w:rsidP="002667DD">
      <w:pPr>
        <w:pStyle w:val="Default"/>
        <w:rPr>
          <w:rFonts w:ascii="Verdana" w:hAnsi="Verdana"/>
        </w:rPr>
      </w:pPr>
      <w:r>
        <w:rPr>
          <w:rFonts w:ascii="Verdana" w:hAnsi="Verdana"/>
        </w:rPr>
        <w:t xml:space="preserve">The Chief Commissioner, all senior management and staff completed Civil Service Mandatory training on Security and Data Protection; Civil Service Expectations; and Health and Safety. </w:t>
      </w:r>
    </w:p>
    <w:p w14:paraId="4C3B9071" w14:textId="77777777" w:rsidR="002667DD" w:rsidRPr="008711E7" w:rsidRDefault="002667DD" w:rsidP="002667DD">
      <w:pPr>
        <w:pStyle w:val="Default"/>
        <w:rPr>
          <w:rFonts w:ascii="Verdana" w:hAnsi="Verdana"/>
        </w:rPr>
      </w:pPr>
    </w:p>
    <w:p w14:paraId="24210BDB" w14:textId="77777777" w:rsidR="002667DD" w:rsidRDefault="002667DD" w:rsidP="002667DD">
      <w:pPr>
        <w:pStyle w:val="Default"/>
        <w:rPr>
          <w:rFonts w:ascii="Verdana" w:hAnsi="Verdana"/>
        </w:rPr>
      </w:pPr>
      <w:r w:rsidRPr="008711E7">
        <w:rPr>
          <w:rFonts w:ascii="Verdana" w:hAnsi="Verdana"/>
        </w:rPr>
        <w:t xml:space="preserve">The Committee contributed an audit, risk management and value perspective to the development of the Commission’s strategic and business plans, and of its policies across a range of issues including </w:t>
      </w:r>
      <w:r>
        <w:rPr>
          <w:rFonts w:ascii="Verdana" w:hAnsi="Verdana"/>
        </w:rPr>
        <w:t>managing difficult members of the public</w:t>
      </w:r>
      <w:r w:rsidRPr="008711E7">
        <w:rPr>
          <w:rFonts w:ascii="Verdana" w:hAnsi="Verdana"/>
        </w:rPr>
        <w:t>.</w:t>
      </w:r>
    </w:p>
    <w:p w14:paraId="22D08B01" w14:textId="77777777" w:rsidR="002667DD" w:rsidRDefault="002667DD" w:rsidP="002667DD">
      <w:pPr>
        <w:pStyle w:val="Default"/>
        <w:rPr>
          <w:rFonts w:ascii="Verdana" w:hAnsi="Verdana"/>
        </w:rPr>
      </w:pPr>
    </w:p>
    <w:p w14:paraId="357172EA" w14:textId="77777777" w:rsidR="002667DD" w:rsidRDefault="002667DD" w:rsidP="002667DD">
      <w:pPr>
        <w:pStyle w:val="Default"/>
        <w:rPr>
          <w:rFonts w:ascii="Verdana" w:hAnsi="Verdana"/>
          <w:b/>
        </w:rPr>
      </w:pPr>
      <w:r>
        <w:rPr>
          <w:rFonts w:ascii="Verdana" w:hAnsi="Verdana"/>
          <w:b/>
        </w:rPr>
        <w:t xml:space="preserve">Internal Auditors </w:t>
      </w:r>
    </w:p>
    <w:p w14:paraId="5C5254C5" w14:textId="77777777" w:rsidR="002667DD" w:rsidRDefault="002667DD" w:rsidP="002667DD">
      <w:pPr>
        <w:pStyle w:val="Default"/>
        <w:rPr>
          <w:rFonts w:ascii="Verdana" w:hAnsi="Verdana"/>
          <w:b/>
        </w:rPr>
      </w:pPr>
    </w:p>
    <w:p w14:paraId="5D8AFAA2" w14:textId="77777777" w:rsidR="002667DD" w:rsidRDefault="002667DD" w:rsidP="002667DD">
      <w:pPr>
        <w:pStyle w:val="Default"/>
        <w:rPr>
          <w:rFonts w:ascii="Verdana" w:hAnsi="Verdana"/>
        </w:rPr>
      </w:pPr>
      <w:r w:rsidRPr="3285EAFF">
        <w:rPr>
          <w:rFonts w:ascii="Verdana" w:hAnsi="Verdana"/>
        </w:rPr>
        <w:t xml:space="preserve">Through a tender process ASM </w:t>
      </w:r>
      <w:r>
        <w:rPr>
          <w:rFonts w:ascii="Verdana" w:hAnsi="Verdana"/>
        </w:rPr>
        <w:t xml:space="preserve">(Belfast) </w:t>
      </w:r>
      <w:r w:rsidRPr="3285EAFF">
        <w:rPr>
          <w:rFonts w:ascii="Verdana" w:hAnsi="Verdana"/>
        </w:rPr>
        <w:t>were appointed as the Commission’s new Internal Auditors and commenced in March 202</w:t>
      </w:r>
      <w:r>
        <w:rPr>
          <w:rFonts w:ascii="Verdana" w:hAnsi="Verdana"/>
        </w:rPr>
        <w:t>1 for a period of 3 years</w:t>
      </w:r>
      <w:r w:rsidRPr="3285EAFF">
        <w:rPr>
          <w:rFonts w:ascii="Verdana" w:hAnsi="Verdana"/>
        </w:rPr>
        <w:t xml:space="preserve">. </w:t>
      </w:r>
      <w:r>
        <w:rPr>
          <w:rFonts w:ascii="Verdana" w:hAnsi="Verdana"/>
        </w:rPr>
        <w:t xml:space="preserve">The services provided by ASM operate to standards defined by the Public Sector Internal Audit Standards. </w:t>
      </w:r>
      <w:r w:rsidRPr="3285EAFF">
        <w:rPr>
          <w:rFonts w:ascii="Verdana" w:hAnsi="Verdana"/>
        </w:rPr>
        <w:t>A</w:t>
      </w:r>
      <w:r>
        <w:rPr>
          <w:rFonts w:ascii="Verdana" w:hAnsi="Verdana"/>
        </w:rPr>
        <w:t xml:space="preserve">n </w:t>
      </w:r>
      <w:r w:rsidRPr="3285EAFF">
        <w:rPr>
          <w:rFonts w:ascii="Verdana" w:hAnsi="Verdana"/>
        </w:rPr>
        <w:t>Internal Audit Plan for 202</w:t>
      </w:r>
      <w:r>
        <w:rPr>
          <w:rFonts w:ascii="Verdana" w:hAnsi="Verdana"/>
        </w:rPr>
        <w:t>2</w:t>
      </w:r>
      <w:r w:rsidRPr="3285EAFF">
        <w:rPr>
          <w:rFonts w:ascii="Verdana" w:hAnsi="Verdana"/>
        </w:rPr>
        <w:t>-2</w:t>
      </w:r>
      <w:r>
        <w:rPr>
          <w:rFonts w:ascii="Verdana" w:hAnsi="Verdana"/>
        </w:rPr>
        <w:t>3</w:t>
      </w:r>
      <w:r w:rsidRPr="3285EAFF">
        <w:rPr>
          <w:rFonts w:ascii="Verdana" w:hAnsi="Verdana"/>
        </w:rPr>
        <w:t xml:space="preserve"> was presented to the Commission’s Audit and Risk Management Committee in June 202</w:t>
      </w:r>
      <w:r>
        <w:rPr>
          <w:rFonts w:ascii="Verdana" w:hAnsi="Verdana"/>
        </w:rPr>
        <w:t>2</w:t>
      </w:r>
      <w:r w:rsidRPr="3285EAFF">
        <w:rPr>
          <w:rFonts w:ascii="Verdana" w:hAnsi="Verdana"/>
        </w:rPr>
        <w:t xml:space="preserve"> for approval.</w:t>
      </w:r>
    </w:p>
    <w:p w14:paraId="37BDF65D" w14:textId="77777777" w:rsidR="002667DD" w:rsidRDefault="002667DD" w:rsidP="002667DD">
      <w:pPr>
        <w:pStyle w:val="Default"/>
        <w:rPr>
          <w:rFonts w:ascii="Verdana" w:hAnsi="Verdana"/>
        </w:rPr>
      </w:pPr>
    </w:p>
    <w:p w14:paraId="0DA11BA4" w14:textId="77777777" w:rsidR="002667DD" w:rsidRDefault="002667DD" w:rsidP="002667DD">
      <w:pPr>
        <w:pStyle w:val="Default"/>
        <w:rPr>
          <w:rFonts w:ascii="Verdana" w:hAnsi="Verdana"/>
        </w:rPr>
      </w:pPr>
      <w:r>
        <w:rPr>
          <w:rFonts w:ascii="Verdana" w:hAnsi="Verdana"/>
        </w:rPr>
        <w:t xml:space="preserve">Internal Audit’s work plan is informed by an analysis of the risk to which the Commission is exposed. </w:t>
      </w:r>
    </w:p>
    <w:p w14:paraId="78AE0B7C" w14:textId="77777777" w:rsidR="002667DD" w:rsidRDefault="002667DD" w:rsidP="002667DD">
      <w:pPr>
        <w:pStyle w:val="Default"/>
        <w:rPr>
          <w:rFonts w:ascii="Verdana" w:hAnsi="Verdana"/>
        </w:rPr>
      </w:pPr>
    </w:p>
    <w:p w14:paraId="47FB9AFE" w14:textId="77777777" w:rsidR="002667DD" w:rsidRDefault="002667DD" w:rsidP="002667DD">
      <w:pPr>
        <w:pStyle w:val="Default"/>
        <w:rPr>
          <w:rFonts w:ascii="Verdana" w:hAnsi="Verdana"/>
        </w:rPr>
      </w:pPr>
      <w:r>
        <w:rPr>
          <w:rFonts w:ascii="Verdana" w:hAnsi="Verdana"/>
        </w:rPr>
        <w:t xml:space="preserve">The table below </w:t>
      </w:r>
      <w:r w:rsidRPr="74585EFD">
        <w:rPr>
          <w:rFonts w:ascii="Verdana" w:hAnsi="Verdana"/>
        </w:rPr>
        <w:t>outlines</w:t>
      </w:r>
      <w:r>
        <w:rPr>
          <w:rFonts w:ascii="Verdana" w:hAnsi="Verdana"/>
        </w:rPr>
        <w:t xml:space="preserve"> the internal audit programme that was carried out relating to 2022-23.</w:t>
      </w:r>
    </w:p>
    <w:p w14:paraId="101B8956" w14:textId="77777777" w:rsidR="007330CB" w:rsidRDefault="007330CB" w:rsidP="002667DD">
      <w:pPr>
        <w:pStyle w:val="Default"/>
        <w:rPr>
          <w:rFonts w:ascii="Verdana" w:hAnsi="Verdana"/>
        </w:rPr>
      </w:pPr>
    </w:p>
    <w:tbl>
      <w:tblPr>
        <w:tblStyle w:val="TableGrid"/>
        <w:tblW w:w="0" w:type="auto"/>
        <w:tblLook w:val="04A0" w:firstRow="1" w:lastRow="0" w:firstColumn="1" w:lastColumn="0" w:noHBand="0" w:noVBand="1"/>
      </w:tblPr>
      <w:tblGrid>
        <w:gridCol w:w="2815"/>
        <w:gridCol w:w="1977"/>
        <w:gridCol w:w="1975"/>
        <w:gridCol w:w="2249"/>
      </w:tblGrid>
      <w:tr w:rsidR="002667DD" w:rsidRPr="00B34FAD" w14:paraId="2ECA534E" w14:textId="77777777" w:rsidTr="001958BD">
        <w:tc>
          <w:tcPr>
            <w:tcW w:w="2815" w:type="dxa"/>
          </w:tcPr>
          <w:p w14:paraId="37534D28" w14:textId="77777777" w:rsidR="002667DD" w:rsidRPr="00B34FAD" w:rsidRDefault="002667DD" w:rsidP="001958BD">
            <w:pPr>
              <w:pStyle w:val="Default"/>
              <w:rPr>
                <w:rFonts w:ascii="Verdana" w:hAnsi="Verdana"/>
                <w:b/>
                <w:bCs/>
              </w:rPr>
            </w:pPr>
            <w:r w:rsidRPr="00B34FAD">
              <w:rPr>
                <w:rFonts w:ascii="Verdana" w:hAnsi="Verdana"/>
                <w:b/>
                <w:bCs/>
              </w:rPr>
              <w:t>System</w:t>
            </w:r>
          </w:p>
        </w:tc>
        <w:tc>
          <w:tcPr>
            <w:tcW w:w="1977" w:type="dxa"/>
          </w:tcPr>
          <w:p w14:paraId="11C3BCFE" w14:textId="77777777" w:rsidR="002667DD" w:rsidRPr="00B34FAD" w:rsidRDefault="002667DD" w:rsidP="001958BD">
            <w:pPr>
              <w:pStyle w:val="Default"/>
              <w:rPr>
                <w:rFonts w:ascii="Verdana" w:hAnsi="Verdana"/>
                <w:b/>
                <w:bCs/>
              </w:rPr>
            </w:pPr>
            <w:r w:rsidRPr="00B34FAD">
              <w:rPr>
                <w:rFonts w:ascii="Verdana" w:hAnsi="Verdana"/>
                <w:b/>
                <w:bCs/>
              </w:rPr>
              <w:t>Date of final report</w:t>
            </w:r>
          </w:p>
        </w:tc>
        <w:tc>
          <w:tcPr>
            <w:tcW w:w="1975" w:type="dxa"/>
          </w:tcPr>
          <w:p w14:paraId="1D361E5D" w14:textId="77777777" w:rsidR="002667DD" w:rsidRPr="00B34FAD" w:rsidRDefault="002667DD" w:rsidP="001958BD">
            <w:pPr>
              <w:pStyle w:val="Default"/>
              <w:rPr>
                <w:rFonts w:ascii="Verdana" w:hAnsi="Verdana"/>
                <w:b/>
                <w:bCs/>
              </w:rPr>
            </w:pPr>
            <w:r w:rsidRPr="00B34FAD">
              <w:rPr>
                <w:rFonts w:ascii="Verdana" w:hAnsi="Verdana"/>
                <w:b/>
                <w:bCs/>
              </w:rPr>
              <w:t>Assurance rating</w:t>
            </w:r>
          </w:p>
        </w:tc>
        <w:tc>
          <w:tcPr>
            <w:tcW w:w="2249" w:type="dxa"/>
          </w:tcPr>
          <w:p w14:paraId="40379134" w14:textId="77777777" w:rsidR="002667DD" w:rsidRPr="00B34FAD" w:rsidRDefault="002667DD" w:rsidP="001958BD">
            <w:pPr>
              <w:pStyle w:val="Default"/>
              <w:rPr>
                <w:rFonts w:ascii="Verdana" w:hAnsi="Verdana"/>
                <w:b/>
                <w:bCs/>
              </w:rPr>
            </w:pPr>
            <w:r w:rsidRPr="00B34FAD">
              <w:rPr>
                <w:rFonts w:ascii="Verdana" w:hAnsi="Verdana"/>
                <w:b/>
                <w:bCs/>
              </w:rPr>
              <w:t>Status</w:t>
            </w:r>
          </w:p>
        </w:tc>
      </w:tr>
      <w:tr w:rsidR="002667DD" w14:paraId="3B2C7029" w14:textId="77777777" w:rsidTr="001958BD">
        <w:tc>
          <w:tcPr>
            <w:tcW w:w="2815" w:type="dxa"/>
          </w:tcPr>
          <w:p w14:paraId="22EAA1E4" w14:textId="77777777" w:rsidR="002667DD" w:rsidRDefault="002667DD" w:rsidP="001958BD">
            <w:pPr>
              <w:pStyle w:val="Default"/>
              <w:rPr>
                <w:rFonts w:ascii="Verdana" w:hAnsi="Verdana"/>
              </w:rPr>
            </w:pPr>
            <w:r>
              <w:rPr>
                <w:rFonts w:ascii="Verdana" w:hAnsi="Verdana"/>
              </w:rPr>
              <w:t>IT Systems and Security</w:t>
            </w:r>
          </w:p>
        </w:tc>
        <w:tc>
          <w:tcPr>
            <w:tcW w:w="1977" w:type="dxa"/>
          </w:tcPr>
          <w:p w14:paraId="1E517768" w14:textId="77777777" w:rsidR="002667DD" w:rsidRDefault="002667DD" w:rsidP="001958BD">
            <w:pPr>
              <w:pStyle w:val="Default"/>
              <w:rPr>
                <w:rFonts w:ascii="Verdana" w:hAnsi="Verdana"/>
              </w:rPr>
            </w:pPr>
            <w:r>
              <w:rPr>
                <w:rFonts w:ascii="Verdana" w:hAnsi="Verdana"/>
              </w:rPr>
              <w:t>4 November 2022</w:t>
            </w:r>
          </w:p>
        </w:tc>
        <w:tc>
          <w:tcPr>
            <w:tcW w:w="1975" w:type="dxa"/>
          </w:tcPr>
          <w:p w14:paraId="365E8083" w14:textId="77777777" w:rsidR="002667DD" w:rsidRDefault="002667DD" w:rsidP="001958BD">
            <w:pPr>
              <w:pStyle w:val="Default"/>
              <w:rPr>
                <w:rFonts w:ascii="Verdana" w:hAnsi="Verdana"/>
              </w:rPr>
            </w:pPr>
            <w:r>
              <w:rPr>
                <w:rFonts w:ascii="Verdana" w:hAnsi="Verdana"/>
              </w:rPr>
              <w:t>Satisfactory</w:t>
            </w:r>
          </w:p>
        </w:tc>
        <w:tc>
          <w:tcPr>
            <w:tcW w:w="2249" w:type="dxa"/>
          </w:tcPr>
          <w:p w14:paraId="6274F01D" w14:textId="77777777" w:rsidR="002667DD" w:rsidRDefault="002667DD" w:rsidP="001958BD">
            <w:pPr>
              <w:pStyle w:val="Default"/>
              <w:rPr>
                <w:rFonts w:ascii="Verdana" w:hAnsi="Verdana"/>
              </w:rPr>
            </w:pPr>
            <w:r>
              <w:rPr>
                <w:rFonts w:ascii="Verdana" w:hAnsi="Verdana"/>
              </w:rPr>
              <w:t>Final Report</w:t>
            </w:r>
          </w:p>
        </w:tc>
      </w:tr>
      <w:tr w:rsidR="002667DD" w14:paraId="04719EAB" w14:textId="77777777" w:rsidTr="001958BD">
        <w:tc>
          <w:tcPr>
            <w:tcW w:w="2815" w:type="dxa"/>
          </w:tcPr>
          <w:p w14:paraId="32D7B6C1" w14:textId="77777777" w:rsidR="002667DD" w:rsidRDefault="002667DD" w:rsidP="001958BD">
            <w:pPr>
              <w:pStyle w:val="Default"/>
              <w:rPr>
                <w:rFonts w:ascii="Verdana" w:hAnsi="Verdana"/>
              </w:rPr>
            </w:pPr>
            <w:r>
              <w:rPr>
                <w:rFonts w:ascii="Verdana" w:hAnsi="Verdana"/>
              </w:rPr>
              <w:t>Corporate governance, risk management and complaints handling</w:t>
            </w:r>
          </w:p>
        </w:tc>
        <w:tc>
          <w:tcPr>
            <w:tcW w:w="1977" w:type="dxa"/>
          </w:tcPr>
          <w:p w14:paraId="188AC622" w14:textId="77777777" w:rsidR="002667DD" w:rsidRDefault="002667DD" w:rsidP="001958BD">
            <w:pPr>
              <w:pStyle w:val="Default"/>
              <w:rPr>
                <w:rFonts w:ascii="Verdana" w:hAnsi="Verdana"/>
              </w:rPr>
            </w:pPr>
            <w:r>
              <w:rPr>
                <w:rFonts w:ascii="Verdana" w:hAnsi="Verdana"/>
              </w:rPr>
              <w:t>21 March 2023</w:t>
            </w:r>
          </w:p>
        </w:tc>
        <w:tc>
          <w:tcPr>
            <w:tcW w:w="1975" w:type="dxa"/>
          </w:tcPr>
          <w:p w14:paraId="1EDFCCC9" w14:textId="77777777" w:rsidR="002667DD" w:rsidRDefault="002667DD" w:rsidP="001958BD">
            <w:pPr>
              <w:pStyle w:val="Default"/>
              <w:rPr>
                <w:rFonts w:ascii="Verdana" w:hAnsi="Verdana"/>
              </w:rPr>
            </w:pPr>
            <w:r>
              <w:rPr>
                <w:rFonts w:ascii="Verdana" w:hAnsi="Verdana"/>
              </w:rPr>
              <w:t>Satisfactory</w:t>
            </w:r>
          </w:p>
        </w:tc>
        <w:tc>
          <w:tcPr>
            <w:tcW w:w="2249" w:type="dxa"/>
          </w:tcPr>
          <w:p w14:paraId="0AC00AF9" w14:textId="77777777" w:rsidR="002667DD" w:rsidRDefault="002667DD" w:rsidP="001958BD">
            <w:pPr>
              <w:pStyle w:val="Default"/>
              <w:rPr>
                <w:rFonts w:ascii="Verdana" w:hAnsi="Verdana"/>
              </w:rPr>
            </w:pPr>
            <w:r>
              <w:rPr>
                <w:rFonts w:ascii="Verdana" w:hAnsi="Verdana"/>
              </w:rPr>
              <w:t>Final Report</w:t>
            </w:r>
          </w:p>
        </w:tc>
      </w:tr>
    </w:tbl>
    <w:p w14:paraId="6A342921" w14:textId="77777777" w:rsidR="002667DD" w:rsidRDefault="002667DD" w:rsidP="002667DD">
      <w:pPr>
        <w:pStyle w:val="Default"/>
        <w:rPr>
          <w:rFonts w:ascii="Verdana" w:hAnsi="Verdana"/>
        </w:rPr>
      </w:pPr>
      <w:r>
        <w:rPr>
          <w:rFonts w:ascii="Verdana" w:hAnsi="Verdana"/>
        </w:rPr>
        <w:lastRenderedPageBreak/>
        <w:t>A Satisfactory assurance level denotes that overall there is a satisfactory system of governance, risk management and control. While there may be some residual risk identified, this should not significantly impact on the achievement of system objectives.</w:t>
      </w:r>
    </w:p>
    <w:p w14:paraId="6E1ACD99" w14:textId="77777777" w:rsidR="002667DD" w:rsidRDefault="002667DD" w:rsidP="002667DD">
      <w:pPr>
        <w:pStyle w:val="Default"/>
        <w:rPr>
          <w:rFonts w:ascii="Verdana" w:hAnsi="Verdana"/>
        </w:rPr>
      </w:pPr>
    </w:p>
    <w:p w14:paraId="154E5507" w14:textId="77777777" w:rsidR="002667DD" w:rsidRDefault="002667DD" w:rsidP="002667DD">
      <w:pPr>
        <w:pStyle w:val="Default"/>
        <w:rPr>
          <w:rFonts w:ascii="Verdana" w:hAnsi="Verdana"/>
        </w:rPr>
      </w:pPr>
      <w:r>
        <w:rPr>
          <w:rFonts w:ascii="Verdana" w:hAnsi="Verdana"/>
        </w:rPr>
        <w:t>During 2022-23 a total of 14 recommendations were made across two areas.  There were no Priority One recommendations, three were identified as Priority Two and eleven as Priority Three.</w:t>
      </w:r>
    </w:p>
    <w:p w14:paraId="7920BD7D" w14:textId="77777777" w:rsidR="002667DD" w:rsidRDefault="002667DD" w:rsidP="002667DD">
      <w:pPr>
        <w:pStyle w:val="Default"/>
        <w:rPr>
          <w:rFonts w:ascii="Verdana" w:hAnsi="Verdana"/>
        </w:rPr>
      </w:pPr>
    </w:p>
    <w:p w14:paraId="78125D57" w14:textId="77777777" w:rsidR="002667DD" w:rsidRDefault="002667DD" w:rsidP="002667DD">
      <w:pPr>
        <w:pStyle w:val="Default"/>
        <w:rPr>
          <w:rFonts w:ascii="Verdana" w:hAnsi="Verdana"/>
        </w:rPr>
      </w:pPr>
      <w:r>
        <w:rPr>
          <w:rFonts w:ascii="Verdana" w:hAnsi="Verdana"/>
        </w:rPr>
        <w:t>In addition, the Follow-Up Report confirmed that of the twenty audit recommendations reviewed, seven were fully implemented, nine were partially implemented, three were not implemented and one was unable to be tested.</w:t>
      </w:r>
    </w:p>
    <w:p w14:paraId="7393D966" w14:textId="77777777" w:rsidR="002667DD" w:rsidRDefault="002667DD" w:rsidP="002667DD"/>
    <w:p w14:paraId="0A081592" w14:textId="77777777" w:rsidR="002667DD" w:rsidRDefault="002667DD" w:rsidP="002667DD">
      <w:r>
        <w:t xml:space="preserve">Internal audit findings are presented to the Audit and Risk Management Committee and copies of all final reports are provided to me, in my role as Accounting Officer.  </w:t>
      </w:r>
      <w:bookmarkStart w:id="11" w:name="_Hlk135985181"/>
      <w:r>
        <w:t xml:space="preserve">In addition, Internal Audit provided an Annual Assurance Report in May 2023, which will be presented to the Audit and Risk Management Committee in June 2023, confirming that the Commission’s systems in relation to risk management, control and governance were adequate and operated effectively, thereby providing an overall satisfactory assurance.  </w:t>
      </w:r>
    </w:p>
    <w:bookmarkEnd w:id="11"/>
    <w:p w14:paraId="73302AB9" w14:textId="77777777" w:rsidR="002667DD" w:rsidRPr="008711E7" w:rsidRDefault="002667DD" w:rsidP="002667DD"/>
    <w:p w14:paraId="19E3ED40" w14:textId="77777777" w:rsidR="002667DD" w:rsidRDefault="002667DD" w:rsidP="002667DD">
      <w:pPr>
        <w:rPr>
          <w:rFonts w:eastAsia="PMingLiU"/>
        </w:rPr>
      </w:pPr>
      <w:r w:rsidRPr="00A076E3">
        <w:rPr>
          <w:rFonts w:eastAsia="PMingLiU"/>
        </w:rPr>
        <w:t>Commissioners continue to receive monthly reports on financial performance and audit activity, and regular updates on the risk register.</w:t>
      </w:r>
      <w:r w:rsidRPr="008711E7">
        <w:rPr>
          <w:rFonts w:eastAsia="PMingLiU"/>
        </w:rPr>
        <w:t xml:space="preserve">  </w:t>
      </w:r>
    </w:p>
    <w:p w14:paraId="58117568" w14:textId="77777777" w:rsidR="002667DD" w:rsidRDefault="002667DD" w:rsidP="002667DD">
      <w:pPr>
        <w:rPr>
          <w:rFonts w:eastAsia="PMingLiU"/>
        </w:rPr>
      </w:pPr>
    </w:p>
    <w:p w14:paraId="30D209B9" w14:textId="77777777" w:rsidR="002667DD" w:rsidRDefault="002667DD" w:rsidP="002667DD">
      <w:pPr>
        <w:rPr>
          <w:rFonts w:eastAsia="PMingLiU"/>
          <w:b/>
        </w:rPr>
      </w:pPr>
      <w:r>
        <w:rPr>
          <w:rFonts w:eastAsia="PMingLiU"/>
          <w:b/>
        </w:rPr>
        <w:t xml:space="preserve">External Auditors </w:t>
      </w:r>
    </w:p>
    <w:p w14:paraId="04CBCA1D" w14:textId="77777777" w:rsidR="002667DD" w:rsidRDefault="002667DD" w:rsidP="002667DD">
      <w:pPr>
        <w:rPr>
          <w:rFonts w:eastAsia="PMingLiU"/>
          <w:b/>
        </w:rPr>
      </w:pPr>
    </w:p>
    <w:p w14:paraId="055E89F3" w14:textId="53B3BF53" w:rsidR="00AD377D" w:rsidRDefault="00AD377D" w:rsidP="00AD377D">
      <w:pPr>
        <w:rPr>
          <w:rFonts w:eastAsia="PMingLiU"/>
        </w:rPr>
      </w:pPr>
      <w:r>
        <w:rPr>
          <w:rFonts w:eastAsia="PMingLiU"/>
        </w:rPr>
        <w:t>Representatives from the National Audit Office (NAO) and its framework partner Ernst &amp; Young LLP (EY), acting on behalf of the C&amp;AG, attended all of the Committee’s meetings.  During this reporting period, the Committee had a positive engagement with auditors in respect of the completion report for the 2022-23 accounts and the preparation of the 2022-23 accounts.</w:t>
      </w:r>
    </w:p>
    <w:p w14:paraId="662D1AA1" w14:textId="77777777" w:rsidR="002667DD" w:rsidRDefault="002667DD" w:rsidP="002667DD">
      <w:pPr>
        <w:rPr>
          <w:rFonts w:eastAsia="PMingLiU"/>
        </w:rPr>
      </w:pPr>
    </w:p>
    <w:p w14:paraId="6B638E1E" w14:textId="77777777" w:rsidR="002667DD" w:rsidRPr="00213CA3" w:rsidRDefault="002667DD" w:rsidP="002667DD">
      <w:pPr>
        <w:rPr>
          <w:rFonts w:eastAsia="PMingLiU"/>
        </w:rPr>
      </w:pPr>
      <w:r>
        <w:rPr>
          <w:rFonts w:eastAsia="PMingLiU"/>
        </w:rPr>
        <w:t>The Committee has continued to work closely with the external auditors in this reporting period and will continue to do.</w:t>
      </w:r>
    </w:p>
    <w:p w14:paraId="0AD67AB5" w14:textId="77777777" w:rsidR="002667DD" w:rsidRDefault="002667DD" w:rsidP="002667DD">
      <w:pPr>
        <w:widowControl w:val="0"/>
        <w:autoSpaceDE w:val="0"/>
        <w:autoSpaceDN w:val="0"/>
        <w:adjustRightInd w:val="0"/>
        <w:rPr>
          <w:b/>
          <w:noProof/>
          <w:lang w:eastAsia="en-GB"/>
        </w:rPr>
      </w:pPr>
    </w:p>
    <w:p w14:paraId="4A972B97" w14:textId="5E1C9D96" w:rsidR="002667DD" w:rsidRDefault="002667DD" w:rsidP="002667DD">
      <w:pPr>
        <w:widowControl w:val="0"/>
        <w:autoSpaceDE w:val="0"/>
        <w:autoSpaceDN w:val="0"/>
        <w:adjustRightInd w:val="0"/>
        <w:rPr>
          <w:b/>
          <w:noProof/>
          <w:lang w:eastAsia="en-GB"/>
        </w:rPr>
      </w:pPr>
      <w:r>
        <w:rPr>
          <w:b/>
          <w:noProof/>
          <w:lang w:eastAsia="en-GB"/>
        </w:rPr>
        <w:t>Corporate Governance</w:t>
      </w:r>
    </w:p>
    <w:p w14:paraId="24702490" w14:textId="77777777" w:rsidR="002667DD" w:rsidRDefault="002667DD" w:rsidP="002667DD">
      <w:pPr>
        <w:widowControl w:val="0"/>
        <w:autoSpaceDE w:val="0"/>
        <w:autoSpaceDN w:val="0"/>
        <w:adjustRightInd w:val="0"/>
        <w:rPr>
          <w:b/>
          <w:noProof/>
          <w:lang w:eastAsia="en-GB"/>
        </w:rPr>
      </w:pPr>
    </w:p>
    <w:p w14:paraId="7D376095" w14:textId="77777777" w:rsidR="002667DD" w:rsidRDefault="002667DD" w:rsidP="002667DD">
      <w:pPr>
        <w:widowControl w:val="0"/>
        <w:autoSpaceDE w:val="0"/>
        <w:autoSpaceDN w:val="0"/>
        <w:adjustRightInd w:val="0"/>
        <w:rPr>
          <w:noProof/>
          <w:lang w:eastAsia="en-GB"/>
        </w:rPr>
      </w:pPr>
      <w:r>
        <w:rPr>
          <w:noProof/>
          <w:lang w:eastAsia="en-GB"/>
        </w:rPr>
        <w:t xml:space="preserve">The Commission conducts its affairs in accordance with a Code of Governance prepared in line with the Cabinet Office ‘Code of Conduct for Board Members of Public Bodies June 2019’.  A formal self-assessment of the Board is due to take place in June </w:t>
      </w:r>
      <w:r w:rsidRPr="74585EFD">
        <w:rPr>
          <w:noProof/>
          <w:lang w:eastAsia="en-GB"/>
        </w:rPr>
        <w:t>2023</w:t>
      </w:r>
      <w:r>
        <w:rPr>
          <w:noProof/>
          <w:lang w:eastAsia="en-GB"/>
        </w:rPr>
        <w:t xml:space="preserve"> .  It also reflects the principles set out in the Corporate Governance in central government departments: Code of Good Practice; the outcome of internal governance reviews; good governance principles developed by the Independent Commission on Good Governance and current best practice principles in coporate governance.  The Commission’s Code of Governance, including Standing Orders was </w:t>
      </w:r>
      <w:r>
        <w:rPr>
          <w:noProof/>
          <w:lang w:eastAsia="en-GB"/>
        </w:rPr>
        <w:lastRenderedPageBreak/>
        <w:t>reviewed in 2022-23.</w:t>
      </w:r>
    </w:p>
    <w:p w14:paraId="50811DC7" w14:textId="77777777" w:rsidR="002667DD" w:rsidRDefault="002667DD" w:rsidP="002667DD">
      <w:pPr>
        <w:widowControl w:val="0"/>
        <w:autoSpaceDE w:val="0"/>
        <w:autoSpaceDN w:val="0"/>
        <w:adjustRightInd w:val="0"/>
        <w:rPr>
          <w:noProof/>
          <w:lang w:eastAsia="en-GB"/>
        </w:rPr>
      </w:pPr>
    </w:p>
    <w:p w14:paraId="046039A2" w14:textId="77777777" w:rsidR="002667DD" w:rsidRDefault="002667DD" w:rsidP="002667DD">
      <w:pPr>
        <w:widowControl w:val="0"/>
        <w:autoSpaceDE w:val="0"/>
        <w:autoSpaceDN w:val="0"/>
        <w:adjustRightInd w:val="0"/>
        <w:rPr>
          <w:noProof/>
          <w:lang w:eastAsia="en-GB"/>
        </w:rPr>
      </w:pPr>
      <w:r>
        <w:rPr>
          <w:noProof/>
          <w:lang w:eastAsia="en-GB"/>
        </w:rPr>
        <w:t>The Commission has a comprehensive Framework document with the NIO which sets down its value and principles and lines of accountability.</w:t>
      </w:r>
    </w:p>
    <w:p w14:paraId="7A8FA343" w14:textId="77777777" w:rsidR="002667DD" w:rsidRDefault="002667DD" w:rsidP="002667DD">
      <w:pPr>
        <w:widowControl w:val="0"/>
        <w:autoSpaceDE w:val="0"/>
        <w:autoSpaceDN w:val="0"/>
        <w:adjustRightInd w:val="0"/>
        <w:rPr>
          <w:noProof/>
          <w:lang w:eastAsia="en-GB"/>
        </w:rPr>
      </w:pPr>
    </w:p>
    <w:p w14:paraId="73773002" w14:textId="77777777" w:rsidR="002667DD" w:rsidRDefault="002667DD" w:rsidP="002667DD">
      <w:pPr>
        <w:widowControl w:val="0"/>
        <w:autoSpaceDE w:val="0"/>
        <w:autoSpaceDN w:val="0"/>
        <w:adjustRightInd w:val="0"/>
        <w:rPr>
          <w:noProof/>
          <w:lang w:eastAsia="en-GB"/>
        </w:rPr>
      </w:pPr>
      <w:r w:rsidRPr="62F844E5">
        <w:rPr>
          <w:noProof/>
          <w:lang w:eastAsia="en-GB"/>
        </w:rPr>
        <w:t xml:space="preserve">Stewardship Statements are completed bi-annually and submitted to the NIO. </w:t>
      </w:r>
      <w:r>
        <w:rPr>
          <w:noProof/>
          <w:lang w:eastAsia="en-GB"/>
        </w:rPr>
        <w:t>The 20</w:t>
      </w:r>
      <w:r w:rsidRPr="62F844E5">
        <w:rPr>
          <w:noProof/>
          <w:lang w:eastAsia="en-GB"/>
        </w:rPr>
        <w:t>2</w:t>
      </w:r>
      <w:r>
        <w:rPr>
          <w:noProof/>
          <w:lang w:eastAsia="en-GB"/>
        </w:rPr>
        <w:t>2-23</w:t>
      </w:r>
      <w:r w:rsidRPr="62F844E5">
        <w:rPr>
          <w:noProof/>
          <w:lang w:eastAsia="en-GB"/>
        </w:rPr>
        <w:t xml:space="preserve"> statement was provided </w:t>
      </w:r>
      <w:r>
        <w:rPr>
          <w:noProof/>
          <w:lang w:eastAsia="en-GB"/>
        </w:rPr>
        <w:t xml:space="preserve">to the NIO in November 2022 and at the end of the financial year.  </w:t>
      </w:r>
      <w:r w:rsidRPr="62F844E5">
        <w:rPr>
          <w:noProof/>
          <w:lang w:eastAsia="en-GB"/>
        </w:rPr>
        <w:t>The purpose of the statements is to provide assurance that the Commission maintains a sound system of internal control within its business area to support the achievement of the NIO’s policies and objectives, whilst safeguarding public funds and assets.  These statements also inform the content of this Governance Statement.</w:t>
      </w:r>
    </w:p>
    <w:p w14:paraId="3E79A181" w14:textId="77777777" w:rsidR="002667DD" w:rsidRDefault="002667DD" w:rsidP="002667DD">
      <w:pPr>
        <w:widowControl w:val="0"/>
        <w:autoSpaceDE w:val="0"/>
        <w:autoSpaceDN w:val="0"/>
        <w:adjustRightInd w:val="0"/>
        <w:rPr>
          <w:noProof/>
          <w:lang w:eastAsia="en-GB"/>
        </w:rPr>
      </w:pPr>
    </w:p>
    <w:p w14:paraId="5B35B78A" w14:textId="77777777" w:rsidR="002667DD" w:rsidRDefault="002667DD" w:rsidP="002667DD">
      <w:pPr>
        <w:widowControl w:val="0"/>
        <w:autoSpaceDE w:val="0"/>
        <w:autoSpaceDN w:val="0"/>
        <w:adjustRightInd w:val="0"/>
        <w:rPr>
          <w:b/>
          <w:noProof/>
          <w:lang w:eastAsia="en-GB"/>
        </w:rPr>
      </w:pPr>
      <w:r w:rsidRPr="00987EA7">
        <w:rPr>
          <w:b/>
          <w:noProof/>
          <w:lang w:eastAsia="en-GB"/>
        </w:rPr>
        <w:t xml:space="preserve">Going Concern </w:t>
      </w:r>
    </w:p>
    <w:p w14:paraId="36CF15A1" w14:textId="77777777" w:rsidR="002667DD" w:rsidRPr="00987EA7" w:rsidRDefault="002667DD" w:rsidP="002667DD">
      <w:pPr>
        <w:widowControl w:val="0"/>
        <w:autoSpaceDE w:val="0"/>
        <w:autoSpaceDN w:val="0"/>
        <w:adjustRightInd w:val="0"/>
        <w:rPr>
          <w:b/>
          <w:noProof/>
          <w:lang w:eastAsia="en-GB"/>
        </w:rPr>
      </w:pPr>
    </w:p>
    <w:p w14:paraId="2FEF8891" w14:textId="77777777" w:rsidR="00E1261F" w:rsidRDefault="00E1261F" w:rsidP="00E1261F">
      <w:pPr>
        <w:ind w:left="22" w:hanging="22"/>
        <w:rPr>
          <w:bCs/>
          <w:color w:val="auto"/>
        </w:rPr>
      </w:pPr>
      <w:r>
        <w:t xml:space="preserve">The Commission’s sponsoring body is the Northern Ireland Office as laid out in </w:t>
      </w:r>
      <w:r w:rsidRPr="006867D6">
        <w:rPr>
          <w:bCs/>
          <w:color w:val="auto"/>
        </w:rPr>
        <w:t>the Northern Ireland Act 1998</w:t>
      </w:r>
      <w:r>
        <w:rPr>
          <w:bCs/>
          <w:color w:val="auto"/>
        </w:rPr>
        <w:t xml:space="preserve">. </w:t>
      </w:r>
      <w:r>
        <w:t xml:space="preserve">The Commission’s core budget for 2023-24 has been approved by the Northern Ireland Office. At the date of this report, the accounting officer has no reason to believe that further support beyond 31 March 2024 will not be forthcoming, not only due to the protections laid down in </w:t>
      </w:r>
      <w:r w:rsidRPr="006867D6">
        <w:rPr>
          <w:bCs/>
          <w:color w:val="auto"/>
        </w:rPr>
        <w:t>the Northern Ireland Act 1998</w:t>
      </w:r>
      <w:r>
        <w:rPr>
          <w:bCs/>
          <w:color w:val="auto"/>
        </w:rPr>
        <w:t xml:space="preserve">, but also following the Spending Review 2021 in which the Commission’s budget for the next two years until 31 March 2025 has been confirmed. </w:t>
      </w:r>
    </w:p>
    <w:p w14:paraId="1356E836" w14:textId="77777777" w:rsidR="00E1261F" w:rsidRDefault="00E1261F" w:rsidP="00E1261F">
      <w:pPr>
        <w:ind w:left="1440" w:hanging="1440"/>
        <w:rPr>
          <w:bCs/>
          <w:color w:val="auto"/>
        </w:rPr>
      </w:pPr>
    </w:p>
    <w:p w14:paraId="081728AD" w14:textId="77777777" w:rsidR="00E1261F" w:rsidRDefault="00E1261F" w:rsidP="00E1261F">
      <w:pPr>
        <w:rPr>
          <w:bCs/>
          <w:color w:val="auto"/>
        </w:rPr>
      </w:pPr>
      <w:r>
        <w:rPr>
          <w:bCs/>
          <w:color w:val="auto"/>
        </w:rPr>
        <w:t xml:space="preserve">The Commission also receives additional funding for the Dedicated Mechanism, which arises from a statutory requirement under the EU Withdrawal Agreement Act.  This role will continue in the future and beyond the financial year 2023-24.  The Northern Ireland Office has confirmed the budget for the next two years until 31 March 2025.  </w:t>
      </w:r>
    </w:p>
    <w:p w14:paraId="7B802C24" w14:textId="77777777" w:rsidR="00E1261F" w:rsidRDefault="00E1261F" w:rsidP="00E1261F">
      <w:pPr>
        <w:ind w:left="1440"/>
        <w:rPr>
          <w:bCs/>
          <w:color w:val="auto"/>
        </w:rPr>
      </w:pPr>
    </w:p>
    <w:p w14:paraId="7F2A633A" w14:textId="77777777" w:rsidR="00E1261F" w:rsidRPr="002F2754" w:rsidRDefault="00E1261F" w:rsidP="00E1261F">
      <w:r>
        <w:rPr>
          <w:bCs/>
          <w:color w:val="auto"/>
        </w:rPr>
        <w:t xml:space="preserve">Therefore, </w:t>
      </w:r>
      <w:r w:rsidRPr="007A5A3D">
        <w:rPr>
          <w:bCs/>
          <w:color w:val="auto"/>
        </w:rPr>
        <w:t xml:space="preserve">it has been considered appropriate to adopt a going concern basis </w:t>
      </w:r>
      <w:r>
        <w:rPr>
          <w:bCs/>
          <w:color w:val="auto"/>
        </w:rPr>
        <w:t>for the preparation of the 2022-23</w:t>
      </w:r>
      <w:r w:rsidRPr="007A5A3D">
        <w:rPr>
          <w:bCs/>
          <w:color w:val="auto"/>
        </w:rPr>
        <w:t xml:space="preserve"> financial statements</w:t>
      </w:r>
      <w:r>
        <w:rPr>
          <w:bCs/>
          <w:color w:val="auto"/>
        </w:rPr>
        <w:t xml:space="preserve"> as the Commission has budgets in place for a period of 12 months from the date of this report.</w:t>
      </w:r>
    </w:p>
    <w:p w14:paraId="764CB0C9" w14:textId="77777777" w:rsidR="00355D7C" w:rsidRDefault="00355D7C" w:rsidP="002667DD">
      <w:pPr>
        <w:widowControl w:val="0"/>
        <w:autoSpaceDE w:val="0"/>
        <w:autoSpaceDN w:val="0"/>
        <w:adjustRightInd w:val="0"/>
        <w:rPr>
          <w:b/>
          <w:color w:val="auto"/>
        </w:rPr>
      </w:pPr>
    </w:p>
    <w:p w14:paraId="1A9574B0" w14:textId="5F475227" w:rsidR="002667DD" w:rsidRPr="009B4441" w:rsidRDefault="002667DD" w:rsidP="002667DD">
      <w:pPr>
        <w:widowControl w:val="0"/>
        <w:autoSpaceDE w:val="0"/>
        <w:autoSpaceDN w:val="0"/>
        <w:adjustRightInd w:val="0"/>
        <w:rPr>
          <w:b/>
          <w:color w:val="auto"/>
        </w:rPr>
      </w:pPr>
      <w:r w:rsidRPr="009B4441">
        <w:rPr>
          <w:b/>
          <w:color w:val="auto"/>
        </w:rPr>
        <w:t>Personal data</w:t>
      </w:r>
      <w:r>
        <w:rPr>
          <w:b/>
          <w:color w:val="auto"/>
        </w:rPr>
        <w:t xml:space="preserve"> related incidents</w:t>
      </w:r>
    </w:p>
    <w:p w14:paraId="72AA3EAE" w14:textId="77777777" w:rsidR="002667DD" w:rsidRPr="009B4441" w:rsidRDefault="002667DD" w:rsidP="002667DD">
      <w:pPr>
        <w:widowControl w:val="0"/>
        <w:autoSpaceDE w:val="0"/>
        <w:autoSpaceDN w:val="0"/>
        <w:adjustRightInd w:val="0"/>
        <w:rPr>
          <w:color w:val="auto"/>
        </w:rPr>
      </w:pPr>
    </w:p>
    <w:p w14:paraId="083382A4" w14:textId="247C6377" w:rsidR="002667DD" w:rsidRDefault="002667DD" w:rsidP="002667DD">
      <w:r>
        <w:t>No personal data related incidents were reported to the Information Commissioner’s Office (ICO) (202</w:t>
      </w:r>
      <w:r w:rsidR="00AF727D">
        <w:t>1</w:t>
      </w:r>
      <w:r>
        <w:t>-2</w:t>
      </w:r>
      <w:r w:rsidR="00AF727D">
        <w:t>2</w:t>
      </w:r>
      <w:r w:rsidRPr="003F7E43">
        <w:t xml:space="preserve">: </w:t>
      </w:r>
      <w:r>
        <w:t>One</w:t>
      </w:r>
      <w:r w:rsidRPr="003F7E43">
        <w:t>).</w:t>
      </w:r>
    </w:p>
    <w:p w14:paraId="3B277092" w14:textId="77777777" w:rsidR="002667DD" w:rsidRDefault="002667DD" w:rsidP="002667DD">
      <w:pPr>
        <w:widowControl w:val="0"/>
        <w:autoSpaceDE w:val="0"/>
        <w:autoSpaceDN w:val="0"/>
        <w:adjustRightInd w:val="0"/>
        <w:rPr>
          <w:b/>
        </w:rPr>
      </w:pPr>
    </w:p>
    <w:p w14:paraId="73166435" w14:textId="77777777" w:rsidR="002667DD" w:rsidRDefault="002667DD" w:rsidP="002667DD">
      <w:pPr>
        <w:widowControl w:val="0"/>
        <w:autoSpaceDE w:val="0"/>
        <w:autoSpaceDN w:val="0"/>
        <w:adjustRightInd w:val="0"/>
        <w:rPr>
          <w:b/>
        </w:rPr>
      </w:pPr>
      <w:r>
        <w:rPr>
          <w:b/>
        </w:rPr>
        <w:t>Significant internal control weaknesses</w:t>
      </w:r>
    </w:p>
    <w:p w14:paraId="3D0F36EC" w14:textId="77777777" w:rsidR="002667DD" w:rsidRDefault="002667DD" w:rsidP="002667DD">
      <w:pPr>
        <w:widowControl w:val="0"/>
        <w:autoSpaceDE w:val="0"/>
        <w:autoSpaceDN w:val="0"/>
        <w:adjustRightInd w:val="0"/>
        <w:rPr>
          <w:b/>
        </w:rPr>
      </w:pPr>
    </w:p>
    <w:p w14:paraId="0BBAC458" w14:textId="77777777" w:rsidR="002667DD" w:rsidRPr="008711E7" w:rsidRDefault="002667DD" w:rsidP="002667DD">
      <w:pPr>
        <w:widowControl w:val="0"/>
        <w:autoSpaceDE w:val="0"/>
        <w:autoSpaceDN w:val="0"/>
        <w:adjustRightInd w:val="0"/>
      </w:pPr>
      <w:r>
        <w:t>There we</w:t>
      </w:r>
      <w:r w:rsidRPr="008711E7">
        <w:t xml:space="preserve">re no significant </w:t>
      </w:r>
      <w:r>
        <w:t xml:space="preserve">weaknesses </w:t>
      </w:r>
      <w:r w:rsidRPr="008711E7">
        <w:t>in the Commission</w:t>
      </w:r>
      <w:r>
        <w:t>’s systems of internal controls in 2022-23 that affected the achievement of the Commission’s key policies, aims and objectives</w:t>
      </w:r>
      <w:r w:rsidRPr="008711E7">
        <w:t xml:space="preserve">.  </w:t>
      </w:r>
    </w:p>
    <w:p w14:paraId="170B17D2" w14:textId="77777777" w:rsidR="002667DD" w:rsidRDefault="002667DD" w:rsidP="002667DD">
      <w:pPr>
        <w:widowControl w:val="0"/>
        <w:autoSpaceDE w:val="0"/>
        <w:autoSpaceDN w:val="0"/>
        <w:adjustRightInd w:val="0"/>
        <w:rPr>
          <w:noProof/>
          <w:lang w:eastAsia="en-GB"/>
        </w:rPr>
      </w:pPr>
      <w:r>
        <w:rPr>
          <w:noProof/>
          <w:color w:val="2B579A"/>
          <w:shd w:val="clear" w:color="auto" w:fill="E6E6E6"/>
          <w:lang w:eastAsia="en-GB"/>
        </w:rPr>
        <w:lastRenderedPageBreak/>
        <w:drawing>
          <wp:inline distT="0" distB="0" distL="0" distR="0" wp14:anchorId="1E9C35BC" wp14:editId="69C6318E">
            <wp:extent cx="2057399" cy="1182188"/>
            <wp:effectExtent l="0" t="0" r="635" b="0"/>
            <wp:docPr id="5" name="Picture 5" descr="A signature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ignature on a white background&#10;&#10;Description automatically generated with low confidence"/>
                    <pic:cNvPicPr/>
                  </pic:nvPicPr>
                  <pic:blipFill>
                    <a:blip r:embed="rId27">
                      <a:extLst>
                        <a:ext uri="{28A0092B-C50C-407E-A947-70E740481C1C}">
                          <a14:useLocalDpi xmlns:a14="http://schemas.microsoft.com/office/drawing/2010/main" val="0"/>
                        </a:ext>
                      </a:extLst>
                    </a:blip>
                    <a:stretch>
                      <a:fillRect/>
                    </a:stretch>
                  </pic:blipFill>
                  <pic:spPr>
                    <a:xfrm>
                      <a:off x="0" y="0"/>
                      <a:ext cx="2057399" cy="1182188"/>
                    </a:xfrm>
                    <a:prstGeom prst="rect">
                      <a:avLst/>
                    </a:prstGeom>
                  </pic:spPr>
                </pic:pic>
              </a:graphicData>
            </a:graphic>
          </wp:inline>
        </w:drawing>
      </w:r>
    </w:p>
    <w:p w14:paraId="1F9DA171" w14:textId="77777777" w:rsidR="002667DD" w:rsidRDefault="002667DD" w:rsidP="002667DD">
      <w:pPr>
        <w:autoSpaceDE w:val="0"/>
        <w:autoSpaceDN w:val="0"/>
        <w:adjustRightInd w:val="0"/>
        <w:rPr>
          <w:noProof/>
          <w:lang w:eastAsia="en-GB"/>
        </w:rPr>
      </w:pPr>
    </w:p>
    <w:p w14:paraId="7D4730D5" w14:textId="77777777" w:rsidR="002667DD" w:rsidRPr="00D80497" w:rsidRDefault="002667DD" w:rsidP="002667DD">
      <w:pPr>
        <w:widowControl w:val="0"/>
        <w:autoSpaceDE w:val="0"/>
        <w:autoSpaceDN w:val="0"/>
        <w:adjustRightInd w:val="0"/>
        <w:rPr>
          <w:b/>
        </w:rPr>
      </w:pPr>
      <w:r>
        <w:rPr>
          <w:b/>
        </w:rPr>
        <w:t>Dr David Russell</w:t>
      </w:r>
    </w:p>
    <w:p w14:paraId="2F2951D8" w14:textId="77777777" w:rsidR="002667DD" w:rsidRPr="00D80497" w:rsidRDefault="002667DD" w:rsidP="002667DD">
      <w:pPr>
        <w:widowControl w:val="0"/>
        <w:autoSpaceDE w:val="0"/>
        <w:autoSpaceDN w:val="0"/>
        <w:adjustRightInd w:val="0"/>
        <w:rPr>
          <w:b/>
        </w:rPr>
      </w:pPr>
      <w:r w:rsidRPr="00D80497">
        <w:rPr>
          <w:b/>
        </w:rPr>
        <w:t>Accounting Officer</w:t>
      </w:r>
    </w:p>
    <w:p w14:paraId="5F3585B0" w14:textId="77777777" w:rsidR="002667DD" w:rsidRPr="00D80497" w:rsidRDefault="002667DD" w:rsidP="002667DD">
      <w:pPr>
        <w:widowControl w:val="0"/>
        <w:tabs>
          <w:tab w:val="left" w:pos="2802"/>
        </w:tabs>
        <w:autoSpaceDE w:val="0"/>
        <w:autoSpaceDN w:val="0"/>
        <w:adjustRightInd w:val="0"/>
      </w:pPr>
    </w:p>
    <w:p w14:paraId="23568FF3" w14:textId="3C94E230" w:rsidR="002667DD" w:rsidRPr="00D80497" w:rsidRDefault="002667DD" w:rsidP="002667DD">
      <w:pPr>
        <w:widowControl w:val="0"/>
        <w:tabs>
          <w:tab w:val="left" w:pos="851"/>
        </w:tabs>
        <w:autoSpaceDE w:val="0"/>
        <w:autoSpaceDN w:val="0"/>
        <w:adjustRightInd w:val="0"/>
        <w:rPr>
          <w:b/>
        </w:rPr>
      </w:pPr>
      <w:r w:rsidRPr="00D80497">
        <w:rPr>
          <w:b/>
        </w:rPr>
        <w:t xml:space="preserve">Date: </w:t>
      </w:r>
      <w:r w:rsidR="005E6D62">
        <w:rPr>
          <w:b/>
        </w:rPr>
        <w:t>3</w:t>
      </w:r>
      <w:r>
        <w:rPr>
          <w:b/>
        </w:rPr>
        <w:t xml:space="preserve"> </w:t>
      </w:r>
      <w:r w:rsidR="005E6D62">
        <w:rPr>
          <w:b/>
        </w:rPr>
        <w:t>July</w:t>
      </w:r>
      <w:r>
        <w:rPr>
          <w:b/>
        </w:rPr>
        <w:t xml:space="preserve"> 20</w:t>
      </w:r>
      <w:r w:rsidR="005E6D62">
        <w:rPr>
          <w:b/>
        </w:rPr>
        <w:t>23</w:t>
      </w:r>
    </w:p>
    <w:p w14:paraId="7557BC36" w14:textId="77777777" w:rsidR="002667DD" w:rsidRDefault="002667DD" w:rsidP="000C2A54">
      <w:pPr>
        <w:jc w:val="center"/>
        <w:rPr>
          <w:rFonts w:cs="Arial"/>
          <w:b/>
          <w:color w:val="77328A"/>
          <w:sz w:val="30"/>
          <w:szCs w:val="30"/>
        </w:rPr>
      </w:pPr>
    </w:p>
    <w:p w14:paraId="3ED74212" w14:textId="77777777" w:rsidR="002667DD" w:rsidRDefault="002667DD" w:rsidP="000C2A54">
      <w:pPr>
        <w:jc w:val="center"/>
        <w:rPr>
          <w:rFonts w:cs="Arial"/>
          <w:b/>
          <w:color w:val="77328A"/>
          <w:sz w:val="30"/>
          <w:szCs w:val="30"/>
        </w:rPr>
      </w:pPr>
    </w:p>
    <w:p w14:paraId="3F7126F8" w14:textId="77777777" w:rsidR="002667DD" w:rsidRDefault="002667DD" w:rsidP="000C2A54">
      <w:pPr>
        <w:jc w:val="center"/>
        <w:rPr>
          <w:rFonts w:cs="Arial"/>
          <w:b/>
          <w:color w:val="77328A"/>
          <w:sz w:val="30"/>
          <w:szCs w:val="30"/>
        </w:rPr>
      </w:pPr>
    </w:p>
    <w:p w14:paraId="1DDD568A" w14:textId="77777777" w:rsidR="002667DD" w:rsidRDefault="002667DD" w:rsidP="000C2A54">
      <w:pPr>
        <w:jc w:val="center"/>
        <w:rPr>
          <w:rFonts w:cs="Arial"/>
          <w:b/>
          <w:color w:val="77328A"/>
          <w:sz w:val="30"/>
          <w:szCs w:val="30"/>
        </w:rPr>
      </w:pPr>
    </w:p>
    <w:p w14:paraId="716C6445" w14:textId="77777777" w:rsidR="002667DD" w:rsidRDefault="002667DD" w:rsidP="000C2A54">
      <w:pPr>
        <w:jc w:val="center"/>
        <w:rPr>
          <w:rFonts w:cs="Arial"/>
          <w:b/>
          <w:color w:val="77328A"/>
          <w:sz w:val="30"/>
          <w:szCs w:val="30"/>
        </w:rPr>
      </w:pPr>
    </w:p>
    <w:p w14:paraId="1850947D" w14:textId="77777777" w:rsidR="002667DD" w:rsidRDefault="002667DD" w:rsidP="000C2A54">
      <w:pPr>
        <w:jc w:val="center"/>
        <w:rPr>
          <w:rFonts w:cs="Arial"/>
          <w:b/>
          <w:color w:val="77328A"/>
          <w:sz w:val="30"/>
          <w:szCs w:val="30"/>
        </w:rPr>
      </w:pPr>
    </w:p>
    <w:p w14:paraId="247831F8" w14:textId="77777777" w:rsidR="002667DD" w:rsidRDefault="002667DD" w:rsidP="000C2A54">
      <w:pPr>
        <w:jc w:val="center"/>
        <w:rPr>
          <w:rFonts w:cs="Arial"/>
          <w:b/>
          <w:color w:val="77328A"/>
          <w:sz w:val="30"/>
          <w:szCs w:val="30"/>
        </w:rPr>
      </w:pPr>
    </w:p>
    <w:p w14:paraId="54456A6C" w14:textId="77777777" w:rsidR="002667DD" w:rsidRDefault="002667DD" w:rsidP="000C2A54">
      <w:pPr>
        <w:jc w:val="center"/>
        <w:rPr>
          <w:rFonts w:cs="Arial"/>
          <w:b/>
          <w:color w:val="77328A"/>
          <w:sz w:val="30"/>
          <w:szCs w:val="30"/>
        </w:rPr>
      </w:pPr>
    </w:p>
    <w:p w14:paraId="42E812C2" w14:textId="77777777" w:rsidR="002667DD" w:rsidRDefault="002667DD" w:rsidP="000C2A54">
      <w:pPr>
        <w:jc w:val="center"/>
        <w:rPr>
          <w:rFonts w:cs="Arial"/>
          <w:b/>
          <w:color w:val="77328A"/>
          <w:sz w:val="30"/>
          <w:szCs w:val="30"/>
        </w:rPr>
      </w:pPr>
    </w:p>
    <w:p w14:paraId="7BA58C92" w14:textId="77777777" w:rsidR="002667DD" w:rsidRDefault="002667DD" w:rsidP="000C2A54">
      <w:pPr>
        <w:jc w:val="center"/>
        <w:rPr>
          <w:rFonts w:cs="Arial"/>
          <w:b/>
          <w:color w:val="77328A"/>
          <w:sz w:val="30"/>
          <w:szCs w:val="30"/>
        </w:rPr>
      </w:pPr>
    </w:p>
    <w:p w14:paraId="665C1B3C" w14:textId="77777777" w:rsidR="002667DD" w:rsidRDefault="002667DD" w:rsidP="000C2A54">
      <w:pPr>
        <w:jc w:val="center"/>
        <w:rPr>
          <w:rFonts w:cs="Arial"/>
          <w:b/>
          <w:color w:val="77328A"/>
          <w:sz w:val="30"/>
          <w:szCs w:val="30"/>
        </w:rPr>
      </w:pPr>
    </w:p>
    <w:p w14:paraId="375D7D6D" w14:textId="77777777" w:rsidR="002667DD" w:rsidRDefault="002667DD" w:rsidP="000C2A54">
      <w:pPr>
        <w:jc w:val="center"/>
        <w:rPr>
          <w:rFonts w:cs="Arial"/>
          <w:b/>
          <w:color w:val="77328A"/>
          <w:sz w:val="30"/>
          <w:szCs w:val="30"/>
        </w:rPr>
      </w:pPr>
    </w:p>
    <w:p w14:paraId="3DBEA4D4" w14:textId="77777777" w:rsidR="00A044E4" w:rsidRDefault="00A044E4" w:rsidP="000C2A54">
      <w:pPr>
        <w:jc w:val="center"/>
        <w:rPr>
          <w:rFonts w:cs="Arial"/>
          <w:b/>
          <w:color w:val="77328A"/>
          <w:sz w:val="30"/>
          <w:szCs w:val="30"/>
        </w:rPr>
      </w:pPr>
    </w:p>
    <w:p w14:paraId="5A9EDA19" w14:textId="77777777" w:rsidR="00A044E4" w:rsidRDefault="00A044E4" w:rsidP="000C2A54">
      <w:pPr>
        <w:jc w:val="center"/>
        <w:rPr>
          <w:rFonts w:cs="Arial"/>
          <w:b/>
          <w:color w:val="77328A"/>
          <w:sz w:val="30"/>
          <w:szCs w:val="30"/>
        </w:rPr>
      </w:pPr>
    </w:p>
    <w:p w14:paraId="07E3AF13" w14:textId="77777777" w:rsidR="002667DD" w:rsidRDefault="002667DD" w:rsidP="000C2A54">
      <w:pPr>
        <w:jc w:val="center"/>
        <w:rPr>
          <w:rFonts w:cs="Arial"/>
          <w:b/>
          <w:color w:val="77328A"/>
          <w:sz w:val="30"/>
          <w:szCs w:val="30"/>
        </w:rPr>
      </w:pPr>
    </w:p>
    <w:p w14:paraId="699A09FF" w14:textId="77777777" w:rsidR="00F04493" w:rsidRDefault="00F04493" w:rsidP="000C2A54">
      <w:pPr>
        <w:jc w:val="center"/>
        <w:rPr>
          <w:rFonts w:cs="Arial"/>
          <w:b/>
          <w:color w:val="77328A"/>
          <w:sz w:val="30"/>
          <w:szCs w:val="30"/>
        </w:rPr>
      </w:pPr>
    </w:p>
    <w:p w14:paraId="380440B2" w14:textId="77777777" w:rsidR="00F04493" w:rsidRDefault="00F04493" w:rsidP="000C2A54">
      <w:pPr>
        <w:jc w:val="center"/>
        <w:rPr>
          <w:rFonts w:cs="Arial"/>
          <w:b/>
          <w:color w:val="77328A"/>
          <w:sz w:val="30"/>
          <w:szCs w:val="30"/>
        </w:rPr>
      </w:pPr>
    </w:p>
    <w:p w14:paraId="7C478761" w14:textId="77777777" w:rsidR="00F04493" w:rsidRDefault="00F04493" w:rsidP="000C2A54">
      <w:pPr>
        <w:jc w:val="center"/>
        <w:rPr>
          <w:rFonts w:cs="Arial"/>
          <w:b/>
          <w:color w:val="77328A"/>
          <w:sz w:val="30"/>
          <w:szCs w:val="30"/>
        </w:rPr>
      </w:pPr>
    </w:p>
    <w:p w14:paraId="363AC9FD" w14:textId="77777777" w:rsidR="00F04493" w:rsidRDefault="00F04493" w:rsidP="000C2A54">
      <w:pPr>
        <w:jc w:val="center"/>
        <w:rPr>
          <w:rFonts w:cs="Arial"/>
          <w:b/>
          <w:color w:val="77328A"/>
          <w:sz w:val="30"/>
          <w:szCs w:val="30"/>
        </w:rPr>
      </w:pPr>
    </w:p>
    <w:p w14:paraId="5E67A0BE" w14:textId="77777777" w:rsidR="00F04493" w:rsidRDefault="00F04493" w:rsidP="000C2A54">
      <w:pPr>
        <w:jc w:val="center"/>
        <w:rPr>
          <w:rFonts w:cs="Arial"/>
          <w:b/>
          <w:color w:val="77328A"/>
          <w:sz w:val="30"/>
          <w:szCs w:val="30"/>
        </w:rPr>
      </w:pPr>
    </w:p>
    <w:p w14:paraId="3023D398" w14:textId="77777777" w:rsidR="00355D7C" w:rsidRDefault="00355D7C" w:rsidP="000C2A54">
      <w:pPr>
        <w:jc w:val="center"/>
        <w:rPr>
          <w:rFonts w:cs="Arial"/>
          <w:b/>
          <w:color w:val="77328A"/>
          <w:sz w:val="30"/>
          <w:szCs w:val="30"/>
        </w:rPr>
      </w:pPr>
    </w:p>
    <w:p w14:paraId="6A8F52FC" w14:textId="77777777" w:rsidR="00355D7C" w:rsidRDefault="00355D7C" w:rsidP="000C2A54">
      <w:pPr>
        <w:jc w:val="center"/>
        <w:rPr>
          <w:rFonts w:cs="Arial"/>
          <w:b/>
          <w:color w:val="77328A"/>
          <w:sz w:val="30"/>
          <w:szCs w:val="30"/>
        </w:rPr>
      </w:pPr>
    </w:p>
    <w:p w14:paraId="2A95B357" w14:textId="77777777" w:rsidR="00355D7C" w:rsidRDefault="00355D7C" w:rsidP="000C2A54">
      <w:pPr>
        <w:jc w:val="center"/>
        <w:rPr>
          <w:rFonts w:cs="Arial"/>
          <w:b/>
          <w:color w:val="77328A"/>
          <w:sz w:val="30"/>
          <w:szCs w:val="30"/>
        </w:rPr>
      </w:pPr>
    </w:p>
    <w:p w14:paraId="4CDC699A" w14:textId="77777777" w:rsidR="00355D7C" w:rsidRDefault="00355D7C" w:rsidP="000C2A54">
      <w:pPr>
        <w:jc w:val="center"/>
        <w:rPr>
          <w:rFonts w:cs="Arial"/>
          <w:b/>
          <w:color w:val="77328A"/>
          <w:sz w:val="30"/>
          <w:szCs w:val="30"/>
        </w:rPr>
      </w:pPr>
    </w:p>
    <w:p w14:paraId="38609F04" w14:textId="77777777" w:rsidR="00355D7C" w:rsidRDefault="00355D7C" w:rsidP="000C2A54">
      <w:pPr>
        <w:jc w:val="center"/>
        <w:rPr>
          <w:rFonts w:cs="Arial"/>
          <w:b/>
          <w:color w:val="77328A"/>
          <w:sz w:val="30"/>
          <w:szCs w:val="30"/>
        </w:rPr>
      </w:pPr>
    </w:p>
    <w:p w14:paraId="284CACEB" w14:textId="77777777" w:rsidR="00355D7C" w:rsidRDefault="00355D7C" w:rsidP="000C2A54">
      <w:pPr>
        <w:jc w:val="center"/>
        <w:rPr>
          <w:rFonts w:cs="Arial"/>
          <w:b/>
          <w:color w:val="77328A"/>
          <w:sz w:val="30"/>
          <w:szCs w:val="30"/>
        </w:rPr>
      </w:pPr>
    </w:p>
    <w:p w14:paraId="3134A2CF" w14:textId="77777777" w:rsidR="00355D7C" w:rsidRDefault="00355D7C" w:rsidP="000C2A54">
      <w:pPr>
        <w:jc w:val="center"/>
        <w:rPr>
          <w:rFonts w:cs="Arial"/>
          <w:b/>
          <w:color w:val="77328A"/>
          <w:sz w:val="30"/>
          <w:szCs w:val="30"/>
        </w:rPr>
      </w:pPr>
    </w:p>
    <w:p w14:paraId="55ACECD8" w14:textId="77777777" w:rsidR="00355D7C" w:rsidRDefault="00355D7C" w:rsidP="000C2A54">
      <w:pPr>
        <w:jc w:val="center"/>
        <w:rPr>
          <w:rFonts w:cs="Arial"/>
          <w:b/>
          <w:color w:val="77328A"/>
          <w:sz w:val="30"/>
          <w:szCs w:val="30"/>
        </w:rPr>
      </w:pPr>
    </w:p>
    <w:p w14:paraId="56CF1B61" w14:textId="77777777" w:rsidR="00F04493" w:rsidRDefault="00F04493" w:rsidP="000C2A54">
      <w:pPr>
        <w:jc w:val="center"/>
        <w:rPr>
          <w:rFonts w:cs="Arial"/>
          <w:b/>
          <w:color w:val="77328A"/>
          <w:sz w:val="30"/>
          <w:szCs w:val="30"/>
        </w:rPr>
      </w:pPr>
    </w:p>
    <w:p w14:paraId="35911DA3" w14:textId="77777777" w:rsidR="002667DD" w:rsidRDefault="002667DD" w:rsidP="00AE6221">
      <w:pPr>
        <w:rPr>
          <w:rFonts w:cs="Arial"/>
          <w:b/>
          <w:color w:val="77328A"/>
          <w:sz w:val="30"/>
          <w:szCs w:val="30"/>
        </w:rPr>
      </w:pPr>
    </w:p>
    <w:p w14:paraId="0ED50A8C" w14:textId="2EBD7729" w:rsidR="000C2A54" w:rsidRPr="005049F6" w:rsidRDefault="0045027A" w:rsidP="000C2A54">
      <w:pPr>
        <w:jc w:val="center"/>
        <w:rPr>
          <w:b/>
          <w:sz w:val="28"/>
          <w:szCs w:val="28"/>
        </w:rPr>
      </w:pPr>
      <w:r>
        <w:rPr>
          <w:rFonts w:cs="Arial"/>
          <w:b/>
          <w:color w:val="77328A"/>
          <w:sz w:val="30"/>
          <w:szCs w:val="30"/>
        </w:rPr>
        <w:lastRenderedPageBreak/>
        <w:t>Remuneration and Staff Report</w:t>
      </w:r>
    </w:p>
    <w:p w14:paraId="1E02623F" w14:textId="77777777" w:rsidR="000C2A54" w:rsidRPr="008711E7" w:rsidRDefault="000C2A54" w:rsidP="000C2A54">
      <w:pPr>
        <w:jc w:val="center"/>
        <w:rPr>
          <w:b/>
        </w:rPr>
      </w:pPr>
    </w:p>
    <w:p w14:paraId="5C7FC601" w14:textId="77777777" w:rsidR="000C2A54" w:rsidRPr="008711E7" w:rsidRDefault="000C2A54" w:rsidP="000C2A54">
      <w:pPr>
        <w:widowControl w:val="0"/>
        <w:tabs>
          <w:tab w:val="left" w:pos="567"/>
          <w:tab w:val="center" w:pos="8647"/>
        </w:tabs>
        <w:autoSpaceDE w:val="0"/>
        <w:autoSpaceDN w:val="0"/>
        <w:adjustRightInd w:val="0"/>
        <w:rPr>
          <w:b/>
        </w:rPr>
      </w:pPr>
      <w:bookmarkStart w:id="12" w:name="RemunerationPolicy"/>
      <w:r w:rsidRPr="008711E7">
        <w:rPr>
          <w:b/>
        </w:rPr>
        <w:t xml:space="preserve">Remuneration policy </w:t>
      </w:r>
    </w:p>
    <w:bookmarkEnd w:id="12"/>
    <w:p w14:paraId="2CDBFA44" w14:textId="77777777" w:rsidR="000C2A54" w:rsidRPr="008711E7" w:rsidRDefault="000C2A54" w:rsidP="000C2A54">
      <w:pPr>
        <w:widowControl w:val="0"/>
        <w:tabs>
          <w:tab w:val="left" w:pos="567"/>
          <w:tab w:val="center" w:pos="8647"/>
        </w:tabs>
        <w:autoSpaceDE w:val="0"/>
        <w:autoSpaceDN w:val="0"/>
        <w:adjustRightInd w:val="0"/>
      </w:pPr>
    </w:p>
    <w:p w14:paraId="0E1CDDBF" w14:textId="77777777" w:rsidR="000C2A54" w:rsidRPr="008711E7" w:rsidRDefault="000C2A54" w:rsidP="000C2A54">
      <w:pPr>
        <w:widowControl w:val="0"/>
        <w:tabs>
          <w:tab w:val="left" w:pos="567"/>
          <w:tab w:val="center" w:pos="8647"/>
        </w:tabs>
        <w:autoSpaceDE w:val="0"/>
        <w:autoSpaceDN w:val="0"/>
        <w:adjustRightInd w:val="0"/>
      </w:pPr>
      <w:r w:rsidRPr="008711E7">
        <w:t>The remuneration of the Chief Commissioner and Commissioners is determined by the Secretary of State for Northern Ireland.</w:t>
      </w:r>
    </w:p>
    <w:p w14:paraId="0473901A" w14:textId="77777777" w:rsidR="000C2A54" w:rsidRPr="008711E7" w:rsidRDefault="000C2A54" w:rsidP="000C2A54">
      <w:pPr>
        <w:widowControl w:val="0"/>
        <w:tabs>
          <w:tab w:val="left" w:pos="567"/>
          <w:tab w:val="center" w:pos="8647"/>
        </w:tabs>
        <w:autoSpaceDE w:val="0"/>
        <w:autoSpaceDN w:val="0"/>
        <w:adjustRightInd w:val="0"/>
      </w:pPr>
    </w:p>
    <w:p w14:paraId="606BF342" w14:textId="64F3D499" w:rsidR="000C2A54" w:rsidRPr="008711E7" w:rsidRDefault="000C2A54" w:rsidP="000C2A54">
      <w:pPr>
        <w:autoSpaceDE w:val="0"/>
        <w:autoSpaceDN w:val="0"/>
        <w:adjustRightInd w:val="0"/>
        <w:rPr>
          <w:rFonts w:cs="MetaPlusNormal-Roman"/>
          <w:lang w:val="en-US"/>
        </w:rPr>
      </w:pPr>
      <w:r w:rsidRPr="008711E7">
        <w:t xml:space="preserve">The </w:t>
      </w:r>
      <w:r>
        <w:t xml:space="preserve">Chief Commissioner and </w:t>
      </w:r>
      <w:r w:rsidR="00F5464A">
        <w:t>Chief Executive’s</w:t>
      </w:r>
      <w:r>
        <w:t xml:space="preserve"> posts are</w:t>
      </w:r>
      <w:r w:rsidRPr="008711E7">
        <w:t xml:space="preserve"> graded within the </w:t>
      </w:r>
      <w:r w:rsidRPr="008711E7">
        <w:rPr>
          <w:rFonts w:cs="MetaPlusNormal-Roman"/>
          <w:lang w:val="en-US"/>
        </w:rPr>
        <w:t>Senior Civil Service (SCS).  Pay and performance management arrangements for this post are in line with guidance issued by the Cabinet Office</w:t>
      </w:r>
      <w:r w:rsidRPr="008711E7">
        <w:rPr>
          <w:rFonts w:cs="MetaPlusNormal-Roman"/>
          <w:i/>
          <w:lang w:val="en-US"/>
        </w:rPr>
        <w:t xml:space="preserve">: </w:t>
      </w:r>
      <w:r w:rsidRPr="008711E7">
        <w:rPr>
          <w:i/>
          <w:color w:val="auto"/>
          <w:lang w:eastAsia="en-GB"/>
        </w:rPr>
        <w:t>Guidance for Approval of Senior Pay</w:t>
      </w:r>
      <w:r w:rsidRPr="008711E7">
        <w:rPr>
          <w:color w:val="auto"/>
          <w:lang w:eastAsia="en-GB"/>
        </w:rPr>
        <w:t xml:space="preserve"> (</w:t>
      </w:r>
      <w:r w:rsidR="00BF62F1">
        <w:rPr>
          <w:color w:val="auto"/>
          <w:lang w:eastAsia="en-GB"/>
        </w:rPr>
        <w:t>September 2021</w:t>
      </w:r>
      <w:r w:rsidRPr="008711E7">
        <w:rPr>
          <w:color w:val="auto"/>
          <w:lang w:eastAsia="en-GB"/>
        </w:rPr>
        <w:t>)</w:t>
      </w:r>
      <w:r w:rsidR="00FF1FA8" w:rsidRPr="008711E7">
        <w:rPr>
          <w:i/>
        </w:rPr>
        <w:t>.</w:t>
      </w:r>
      <w:r w:rsidR="00FF1FA8" w:rsidRPr="008711E7">
        <w:rPr>
          <w:rFonts w:cs="MetaPlusNormal-Roman"/>
          <w:i/>
          <w:lang w:val="en-US"/>
        </w:rPr>
        <w:t xml:space="preserve"> </w:t>
      </w:r>
      <w:r w:rsidRPr="008711E7">
        <w:rPr>
          <w:rFonts w:cs="MetaPlusNormal-Roman"/>
          <w:lang w:val="en-US"/>
        </w:rPr>
        <w:t>Increases in the</w:t>
      </w:r>
      <w:r w:rsidRPr="008711E7">
        <w:t xml:space="preserve"> </w:t>
      </w:r>
      <w:r>
        <w:t>Chief Commissioner and Chief Executive’s</w:t>
      </w:r>
      <w:r w:rsidRPr="008711E7">
        <w:t xml:space="preserve"> pay</w:t>
      </w:r>
      <w:r w:rsidRPr="008711E7">
        <w:rPr>
          <w:i/>
        </w:rPr>
        <w:t xml:space="preserve"> </w:t>
      </w:r>
      <w:r w:rsidRPr="008711E7">
        <w:t>are in line with the parameters of the Senior Salaries Review Board</w:t>
      </w:r>
      <w:r w:rsidRPr="008711E7">
        <w:rPr>
          <w:rFonts w:cs="MetaPlusNormal-Roman"/>
          <w:lang w:val="en-US"/>
        </w:rPr>
        <w:t>.</w:t>
      </w:r>
    </w:p>
    <w:p w14:paraId="28602590" w14:textId="77777777" w:rsidR="000C2A54" w:rsidRPr="008711E7" w:rsidRDefault="000C2A54" w:rsidP="000C2A54">
      <w:pPr>
        <w:autoSpaceDE w:val="0"/>
        <w:autoSpaceDN w:val="0"/>
        <w:adjustRightInd w:val="0"/>
        <w:rPr>
          <w:rFonts w:cs="MetaPlusNormal-Roman"/>
          <w:lang w:val="en-US"/>
        </w:rPr>
      </w:pPr>
    </w:p>
    <w:p w14:paraId="0B8DBF16" w14:textId="6E65616F" w:rsidR="000C2A54" w:rsidRPr="008711E7" w:rsidRDefault="000C2A54" w:rsidP="000C2A54">
      <w:pPr>
        <w:autoSpaceDE w:val="0"/>
        <w:autoSpaceDN w:val="0"/>
        <w:adjustRightInd w:val="0"/>
        <w:rPr>
          <w:rFonts w:cs="MetaPlusNormal-Roman"/>
          <w:lang w:val="en-US"/>
        </w:rPr>
      </w:pPr>
      <w:r w:rsidRPr="008711E7">
        <w:rPr>
          <w:rFonts w:cs="MetaPlusNormal-Roman"/>
          <w:lang w:val="en-US"/>
        </w:rPr>
        <w:t xml:space="preserve">The remuneration of Commission staff aligns with those of the </w:t>
      </w:r>
      <w:r w:rsidRPr="008711E7">
        <w:t>Northern Ireland</w:t>
      </w:r>
      <w:r w:rsidRPr="008711E7">
        <w:rPr>
          <w:rFonts w:cs="MetaPlusNormal-Roman"/>
          <w:lang w:val="en-US"/>
        </w:rPr>
        <w:t xml:space="preserve"> Civil Service, in common with its sister organisations</w:t>
      </w:r>
      <w:r w:rsidR="00FF1FA8" w:rsidRPr="008711E7">
        <w:rPr>
          <w:rFonts w:cs="MetaPlusNormal-Roman"/>
          <w:lang w:val="en-US"/>
        </w:rPr>
        <w:t xml:space="preserve">. </w:t>
      </w:r>
      <w:r w:rsidRPr="008711E7">
        <w:rPr>
          <w:rFonts w:cs="MetaPlusNormal-Roman"/>
          <w:lang w:val="en-US"/>
        </w:rPr>
        <w:t xml:space="preserve">These pay arrangements continue to be </w:t>
      </w:r>
      <w:r w:rsidR="000A30FB" w:rsidRPr="008711E7">
        <w:rPr>
          <w:rFonts w:cs="MetaPlusNormal-Roman"/>
          <w:lang w:val="en-US"/>
        </w:rPr>
        <w:t>performance</w:t>
      </w:r>
      <w:r w:rsidR="000A30FB" w:rsidRPr="008711E7">
        <w:t xml:space="preserve"> related</w:t>
      </w:r>
      <w:r w:rsidR="00FF1FA8" w:rsidRPr="008711E7">
        <w:rPr>
          <w:rFonts w:cs="MetaPlusNormal-Roman"/>
          <w:lang w:val="en-US"/>
        </w:rPr>
        <w:t xml:space="preserve">. </w:t>
      </w:r>
      <w:r w:rsidRPr="008711E7">
        <w:rPr>
          <w:rFonts w:cs="MetaPlusNormal-Roman"/>
          <w:lang w:val="en-US"/>
        </w:rPr>
        <w:t>Performance is appraised by line managers in respect of achievement of agreed objectives</w:t>
      </w:r>
      <w:r w:rsidR="00FF1FA8" w:rsidRPr="008711E7">
        <w:rPr>
          <w:rFonts w:cs="MetaPlusNormal-Roman"/>
          <w:lang w:val="en-US"/>
        </w:rPr>
        <w:t xml:space="preserve">. </w:t>
      </w:r>
    </w:p>
    <w:p w14:paraId="57E86431" w14:textId="77777777" w:rsidR="000C2A54" w:rsidRPr="008711E7" w:rsidRDefault="000C2A54" w:rsidP="000C2A54">
      <w:pPr>
        <w:autoSpaceDE w:val="0"/>
        <w:autoSpaceDN w:val="0"/>
        <w:adjustRightInd w:val="0"/>
        <w:rPr>
          <w:rFonts w:cs="MetaPlusNormal-Roman"/>
          <w:lang w:val="en-US"/>
        </w:rPr>
      </w:pPr>
    </w:p>
    <w:p w14:paraId="0958844B" w14:textId="566EAB08" w:rsidR="000C2A54" w:rsidRPr="008711E7" w:rsidRDefault="000C2A54" w:rsidP="000C2A54">
      <w:pPr>
        <w:autoSpaceDE w:val="0"/>
        <w:autoSpaceDN w:val="0"/>
        <w:adjustRightInd w:val="0"/>
      </w:pPr>
      <w:r w:rsidRPr="008711E7">
        <w:rPr>
          <w:rFonts w:cs="MetaPlusNormal-Roman"/>
          <w:lang w:val="en-US"/>
        </w:rPr>
        <w:t>The Chairperson of the Commission’s Audit and Risk Management Committee was appointed through open competition</w:t>
      </w:r>
      <w:r w:rsidR="00FF1FA8" w:rsidRPr="008711E7">
        <w:rPr>
          <w:rFonts w:cs="MetaPlusNormal-Roman"/>
          <w:lang w:val="en-US"/>
        </w:rPr>
        <w:t xml:space="preserve">. </w:t>
      </w:r>
      <w:r w:rsidRPr="008711E7">
        <w:rPr>
          <w:rFonts w:cs="MetaPlusNormal-Roman"/>
          <w:lang w:val="en-US"/>
        </w:rPr>
        <w:t xml:space="preserve">The Chairperson is remunerated at a rate of £350 per meeting (the Committee usually meets four times per year) and £350 per day (pro rata) for </w:t>
      </w:r>
      <w:r w:rsidRPr="008711E7">
        <w:t>other work undertaken on behalf of, and at the request of, the Commission.</w:t>
      </w:r>
    </w:p>
    <w:p w14:paraId="23D7F894" w14:textId="77777777" w:rsidR="000C2A54" w:rsidRPr="008711E7" w:rsidRDefault="000C2A54" w:rsidP="000C2A54">
      <w:pPr>
        <w:autoSpaceDE w:val="0"/>
        <w:autoSpaceDN w:val="0"/>
        <w:adjustRightInd w:val="0"/>
      </w:pPr>
    </w:p>
    <w:p w14:paraId="2F681C9C" w14:textId="1DFB268F" w:rsidR="000C2A54" w:rsidRDefault="000C2A54" w:rsidP="000C2A54">
      <w:pPr>
        <w:autoSpaceDE w:val="0"/>
        <w:autoSpaceDN w:val="0"/>
        <w:adjustRightInd w:val="0"/>
      </w:pPr>
      <w:r w:rsidRPr="008711E7">
        <w:t>The other members of the Audit</w:t>
      </w:r>
      <w:r w:rsidR="009C387D">
        <w:t xml:space="preserve"> and Risk Management Committee we</w:t>
      </w:r>
      <w:r w:rsidRPr="008711E7">
        <w:t xml:space="preserve">re Commissioners </w:t>
      </w:r>
      <w:r w:rsidR="009C387D">
        <w:t>Eddie Rooney; David A Lavery CB</w:t>
      </w:r>
      <w:r w:rsidR="008B2B4F">
        <w:t xml:space="preserve">; </w:t>
      </w:r>
      <w:r w:rsidR="00863A14">
        <w:t xml:space="preserve">and </w:t>
      </w:r>
      <w:r w:rsidR="008B2B4F">
        <w:t>Stephen White</w:t>
      </w:r>
      <w:r w:rsidR="00BF62F1">
        <w:t xml:space="preserve"> OBE</w:t>
      </w:r>
      <w:r w:rsidRPr="008711E7">
        <w:t>.  They do not receive any additional remuneration for attendance at Committee meetings.</w:t>
      </w:r>
    </w:p>
    <w:p w14:paraId="481E5427" w14:textId="77777777" w:rsidR="000C2A54" w:rsidRPr="007F2DCD" w:rsidRDefault="000C2A54" w:rsidP="000C2A54">
      <w:pPr>
        <w:autoSpaceDE w:val="0"/>
        <w:autoSpaceDN w:val="0"/>
        <w:adjustRightInd w:val="0"/>
        <w:rPr>
          <w:sz w:val="22"/>
          <w:szCs w:val="22"/>
        </w:rPr>
      </w:pPr>
    </w:p>
    <w:p w14:paraId="4E8F40F2" w14:textId="77777777" w:rsidR="000C2A54" w:rsidRPr="008711E7" w:rsidRDefault="000C2A54" w:rsidP="000C2A54">
      <w:pPr>
        <w:autoSpaceDE w:val="0"/>
        <w:autoSpaceDN w:val="0"/>
        <w:adjustRightInd w:val="0"/>
        <w:rPr>
          <w:b/>
        </w:rPr>
      </w:pPr>
      <w:r w:rsidRPr="008711E7">
        <w:rPr>
          <w:b/>
        </w:rPr>
        <w:t>Contracts of employment</w:t>
      </w:r>
    </w:p>
    <w:p w14:paraId="68BB6984" w14:textId="77777777" w:rsidR="000C2A54" w:rsidRPr="008711E7" w:rsidRDefault="000C2A54" w:rsidP="000C2A54">
      <w:pPr>
        <w:jc w:val="both"/>
        <w:rPr>
          <w:b/>
        </w:rPr>
      </w:pPr>
    </w:p>
    <w:p w14:paraId="78CBD27A" w14:textId="77777777" w:rsidR="000C2A54" w:rsidRPr="008711E7" w:rsidRDefault="000C2A54" w:rsidP="000C2A54">
      <w:pPr>
        <w:jc w:val="both"/>
        <w:rPr>
          <w:rFonts w:cs="Arial"/>
        </w:rPr>
      </w:pPr>
      <w:r w:rsidRPr="008711E7">
        <w:rPr>
          <w:rFonts w:cs="Arial"/>
        </w:rPr>
        <w:t xml:space="preserve">The </w:t>
      </w:r>
      <w:bookmarkStart w:id="13" w:name="OLE_LINK1"/>
      <w:r w:rsidRPr="008711E7">
        <w:rPr>
          <w:rFonts w:cs="Arial"/>
        </w:rPr>
        <w:t xml:space="preserve">Chief Commissioner </w:t>
      </w:r>
      <w:bookmarkEnd w:id="13"/>
      <w:r w:rsidRPr="008711E7">
        <w:rPr>
          <w:rFonts w:cs="Arial"/>
        </w:rPr>
        <w:t>and Commission members</w:t>
      </w:r>
      <w:r w:rsidR="00F76370">
        <w:rPr>
          <w:rFonts w:cs="Arial"/>
        </w:rPr>
        <w:t xml:space="preserve"> are appointed for a period of five years and three</w:t>
      </w:r>
      <w:r w:rsidRPr="008711E7">
        <w:rPr>
          <w:rFonts w:cs="Arial"/>
        </w:rPr>
        <w:t xml:space="preserve"> years respectively by the Secretary of State for Northern Ireland.  Appointments comply with the principles of the Code of Practice of the Office of the Commissioner on Public Appointments (OCPA) </w:t>
      </w:r>
      <w:r w:rsidRPr="008711E7">
        <w:rPr>
          <w:rFonts w:cs="Arial"/>
          <w:i/>
        </w:rPr>
        <w:t>(www.ocpa.gov.uk)</w:t>
      </w:r>
      <w:r w:rsidRPr="008711E7">
        <w:rPr>
          <w:rFonts w:cs="Arial"/>
        </w:rPr>
        <w:t xml:space="preserve"> and in line with the Cabinet Code of Practice of Corporate Governance in central government departments.</w:t>
      </w:r>
    </w:p>
    <w:p w14:paraId="3E56973E" w14:textId="77777777" w:rsidR="000C2A54" w:rsidRPr="008711E7" w:rsidRDefault="000C2A54" w:rsidP="000C2A54">
      <w:pPr>
        <w:jc w:val="both"/>
        <w:rPr>
          <w:rFonts w:cs="Arial"/>
        </w:rPr>
      </w:pPr>
    </w:p>
    <w:p w14:paraId="1AF5085B" w14:textId="77777777" w:rsidR="000C2A54" w:rsidRPr="008711E7" w:rsidRDefault="000C2A54" w:rsidP="000C2A54">
      <w:pPr>
        <w:rPr>
          <w:rFonts w:cs="Arial"/>
          <w:b/>
        </w:rPr>
      </w:pPr>
      <w:r w:rsidRPr="008711E7">
        <w:rPr>
          <w:rFonts w:cs="Arial"/>
        </w:rPr>
        <w:t>The Secretary of State may extend the appointment of the Chief Commissioner for a further term or terms.  Such extensions may not exceed a maximum term in office of ten years.  The Secretary of State will normally give three months’ notice if an appointment is terminated.</w:t>
      </w:r>
    </w:p>
    <w:p w14:paraId="454E54F0" w14:textId="77777777" w:rsidR="000C2A54" w:rsidRPr="008711E7" w:rsidRDefault="000C2A54" w:rsidP="000C2A54">
      <w:pPr>
        <w:widowControl w:val="0"/>
        <w:tabs>
          <w:tab w:val="left" w:pos="567"/>
          <w:tab w:val="center" w:pos="8647"/>
        </w:tabs>
        <w:autoSpaceDE w:val="0"/>
        <w:autoSpaceDN w:val="0"/>
        <w:adjustRightInd w:val="0"/>
      </w:pPr>
    </w:p>
    <w:p w14:paraId="691D58C5" w14:textId="2DC59AE3" w:rsidR="000C2A54" w:rsidRPr="008711E7" w:rsidRDefault="000C2A54" w:rsidP="000C2A54">
      <w:pPr>
        <w:widowControl w:val="0"/>
        <w:tabs>
          <w:tab w:val="left" w:pos="567"/>
          <w:tab w:val="center" w:pos="8647"/>
        </w:tabs>
        <w:autoSpaceDE w:val="0"/>
        <w:autoSpaceDN w:val="0"/>
        <w:adjustRightInd w:val="0"/>
      </w:pPr>
      <w:r w:rsidRPr="008711E7">
        <w:t xml:space="preserve">Staff appointments are made in accordance with the Commission’s recruitment and selection policy, which requires appointments to be made strictly on merit and through fair and open competition.  </w:t>
      </w:r>
      <w:r w:rsidR="00192E19">
        <w:t xml:space="preserve">With the exception of two fixed-term contracts, staff appointments are open-ended.  </w:t>
      </w:r>
      <w:r w:rsidRPr="008711E7">
        <w:lastRenderedPageBreak/>
        <w:t>Early termination, other than for misconduct, would normally result in the individual receiving compensation as set out in the Civil Service Compensation Scheme.</w:t>
      </w:r>
    </w:p>
    <w:p w14:paraId="25E378C0" w14:textId="77777777" w:rsidR="000C2A54" w:rsidRPr="007F2DCD" w:rsidRDefault="000C2A54" w:rsidP="000C2A54">
      <w:pPr>
        <w:rPr>
          <w:sz w:val="22"/>
          <w:szCs w:val="22"/>
        </w:rPr>
      </w:pPr>
    </w:p>
    <w:p w14:paraId="229C28E8" w14:textId="77777777" w:rsidR="000C2A54" w:rsidRPr="008711E7" w:rsidRDefault="000C2A54" w:rsidP="000C2A54">
      <w:r w:rsidRPr="008711E7">
        <w:t>The Commission’s age retirement policy enables members of staff who have reached the age at which they are entitled to draw their Commission pension (which for most staff is their sixtieth birthday) to choose the age at which they will retire.</w:t>
      </w:r>
    </w:p>
    <w:p w14:paraId="5BDA06E0" w14:textId="77777777" w:rsidR="000C2A54" w:rsidRPr="007F2DCD" w:rsidRDefault="000C2A54" w:rsidP="000C2A54">
      <w:pPr>
        <w:rPr>
          <w:sz w:val="22"/>
          <w:szCs w:val="22"/>
        </w:rPr>
      </w:pPr>
    </w:p>
    <w:p w14:paraId="56469ADD" w14:textId="77777777" w:rsidR="000C2A54" w:rsidRPr="008711E7" w:rsidRDefault="000C2A54" w:rsidP="000C2A54">
      <w:bookmarkStart w:id="14" w:name="RemunerationandPensionEntitlements"/>
      <w:r w:rsidRPr="008711E7">
        <w:rPr>
          <w:b/>
        </w:rPr>
        <w:t>Remuneration</w:t>
      </w:r>
      <w:r>
        <w:rPr>
          <w:b/>
        </w:rPr>
        <w:t xml:space="preserve"> (including salary) and pension entitlements</w:t>
      </w:r>
      <w:r w:rsidRPr="008711E7">
        <w:rPr>
          <w:i/>
        </w:rPr>
        <w:t xml:space="preserve"> </w:t>
      </w:r>
      <w:r w:rsidRPr="008711E7">
        <w:rPr>
          <w:b/>
        </w:rPr>
        <w:t>(audited information)</w:t>
      </w:r>
      <w:r w:rsidR="00C34C15">
        <w:rPr>
          <w:b/>
        </w:rPr>
        <w:t xml:space="preserve"> </w:t>
      </w:r>
    </w:p>
    <w:bookmarkEnd w:id="14"/>
    <w:p w14:paraId="6DAFE1CE" w14:textId="77777777" w:rsidR="000C2A54" w:rsidRPr="008711E7" w:rsidRDefault="000C2A54" w:rsidP="000C2A54"/>
    <w:p w14:paraId="0F768DA8" w14:textId="77777777" w:rsidR="000C2A54" w:rsidRPr="008711E7" w:rsidRDefault="000C2A54" w:rsidP="000C2A54">
      <w:pPr>
        <w:widowControl w:val="0"/>
        <w:tabs>
          <w:tab w:val="center" w:pos="8647"/>
        </w:tabs>
        <w:autoSpaceDE w:val="0"/>
        <w:autoSpaceDN w:val="0"/>
        <w:adjustRightInd w:val="0"/>
      </w:pPr>
      <w:r w:rsidRPr="008711E7">
        <w:t>The following section provides details of the remuneration and pension interests of the Commissioners and the Commission’s Management Team.</w:t>
      </w:r>
      <w:r w:rsidR="009C387D">
        <w:t xml:space="preserve"> </w:t>
      </w:r>
    </w:p>
    <w:p w14:paraId="52251636" w14:textId="77777777" w:rsidR="000C2A54" w:rsidRPr="008711E7" w:rsidRDefault="000C2A54" w:rsidP="000C2A54">
      <w:pPr>
        <w:widowControl w:val="0"/>
        <w:tabs>
          <w:tab w:val="center" w:pos="8647"/>
        </w:tabs>
        <w:autoSpaceDE w:val="0"/>
        <w:autoSpaceDN w:val="0"/>
        <w:adjustRightInd w:val="0"/>
      </w:pPr>
    </w:p>
    <w:tbl>
      <w:tblPr>
        <w:tblStyle w:val="TableGrid"/>
        <w:tblW w:w="9952" w:type="dxa"/>
        <w:tblInd w:w="-601" w:type="dxa"/>
        <w:tblLayout w:type="fixed"/>
        <w:tblLook w:val="04A0" w:firstRow="1" w:lastRow="0" w:firstColumn="1" w:lastColumn="0" w:noHBand="0" w:noVBand="1"/>
      </w:tblPr>
      <w:tblGrid>
        <w:gridCol w:w="2581"/>
        <w:gridCol w:w="850"/>
        <w:gridCol w:w="851"/>
        <w:gridCol w:w="850"/>
        <w:gridCol w:w="851"/>
        <w:gridCol w:w="992"/>
        <w:gridCol w:w="992"/>
        <w:gridCol w:w="993"/>
        <w:gridCol w:w="992"/>
      </w:tblGrid>
      <w:tr w:rsidR="009F0840" w14:paraId="79DC824A" w14:textId="77777777" w:rsidTr="00863A14">
        <w:tc>
          <w:tcPr>
            <w:tcW w:w="9952" w:type="dxa"/>
            <w:gridSpan w:val="9"/>
          </w:tcPr>
          <w:p w14:paraId="73D1E796" w14:textId="77777777" w:rsidR="009F0840" w:rsidRDefault="009F0840" w:rsidP="000C2A54">
            <w:pPr>
              <w:widowControl w:val="0"/>
              <w:tabs>
                <w:tab w:val="center" w:pos="8647"/>
              </w:tabs>
              <w:autoSpaceDE w:val="0"/>
              <w:autoSpaceDN w:val="0"/>
              <w:adjustRightInd w:val="0"/>
              <w:rPr>
                <w:sz w:val="20"/>
                <w:szCs w:val="20"/>
              </w:rPr>
            </w:pPr>
            <w:r>
              <w:rPr>
                <w:sz w:val="20"/>
                <w:szCs w:val="20"/>
              </w:rPr>
              <w:t>Single total figure of remuneration (</w:t>
            </w:r>
            <w:r w:rsidR="00CC02A7">
              <w:rPr>
                <w:sz w:val="20"/>
                <w:szCs w:val="20"/>
              </w:rPr>
              <w:t>audited information)</w:t>
            </w:r>
          </w:p>
          <w:p w14:paraId="56AE5AC1" w14:textId="77777777" w:rsidR="009F0840" w:rsidRPr="00D23890" w:rsidRDefault="009F0840" w:rsidP="000C2A54">
            <w:pPr>
              <w:widowControl w:val="0"/>
              <w:tabs>
                <w:tab w:val="center" w:pos="8647"/>
              </w:tabs>
              <w:autoSpaceDE w:val="0"/>
              <w:autoSpaceDN w:val="0"/>
              <w:adjustRightInd w:val="0"/>
              <w:rPr>
                <w:sz w:val="20"/>
                <w:szCs w:val="20"/>
              </w:rPr>
            </w:pPr>
          </w:p>
        </w:tc>
      </w:tr>
      <w:tr w:rsidR="009F0840" w14:paraId="0611A3B8" w14:textId="77777777" w:rsidTr="00DC0FA7">
        <w:tc>
          <w:tcPr>
            <w:tcW w:w="2581" w:type="dxa"/>
          </w:tcPr>
          <w:p w14:paraId="1B7F4B78" w14:textId="77777777" w:rsidR="009F0840" w:rsidRPr="005B72C1" w:rsidRDefault="009F0840" w:rsidP="000C2A54">
            <w:pPr>
              <w:widowControl w:val="0"/>
              <w:tabs>
                <w:tab w:val="center" w:pos="8647"/>
              </w:tabs>
              <w:autoSpaceDE w:val="0"/>
              <w:autoSpaceDN w:val="0"/>
              <w:adjustRightInd w:val="0"/>
              <w:rPr>
                <w:sz w:val="20"/>
                <w:szCs w:val="20"/>
                <w:highlight w:val="yellow"/>
              </w:rPr>
            </w:pPr>
          </w:p>
        </w:tc>
        <w:tc>
          <w:tcPr>
            <w:tcW w:w="1701" w:type="dxa"/>
            <w:gridSpan w:val="2"/>
          </w:tcPr>
          <w:p w14:paraId="7D7EF45C" w14:textId="77777777" w:rsidR="009F0840" w:rsidRPr="00D23890" w:rsidRDefault="009F0840" w:rsidP="000C2A54">
            <w:pPr>
              <w:widowControl w:val="0"/>
              <w:tabs>
                <w:tab w:val="center" w:pos="8647"/>
              </w:tabs>
              <w:autoSpaceDE w:val="0"/>
              <w:autoSpaceDN w:val="0"/>
              <w:adjustRightInd w:val="0"/>
              <w:rPr>
                <w:sz w:val="20"/>
                <w:szCs w:val="20"/>
              </w:rPr>
            </w:pPr>
            <w:r w:rsidRPr="00D23890">
              <w:rPr>
                <w:sz w:val="20"/>
                <w:szCs w:val="20"/>
              </w:rPr>
              <w:t>Salary (£’000)</w:t>
            </w:r>
          </w:p>
        </w:tc>
        <w:tc>
          <w:tcPr>
            <w:tcW w:w="1701" w:type="dxa"/>
            <w:gridSpan w:val="2"/>
          </w:tcPr>
          <w:p w14:paraId="3CC981F9" w14:textId="59FCDE09" w:rsidR="00F61A65" w:rsidRDefault="009F0840" w:rsidP="000C2A54">
            <w:pPr>
              <w:widowControl w:val="0"/>
              <w:tabs>
                <w:tab w:val="center" w:pos="8647"/>
              </w:tabs>
              <w:autoSpaceDE w:val="0"/>
              <w:autoSpaceDN w:val="0"/>
              <w:adjustRightInd w:val="0"/>
              <w:rPr>
                <w:sz w:val="20"/>
                <w:szCs w:val="20"/>
              </w:rPr>
            </w:pPr>
            <w:r w:rsidRPr="00D23890">
              <w:rPr>
                <w:sz w:val="20"/>
                <w:szCs w:val="20"/>
              </w:rPr>
              <w:t>Benefits in kind (to nearest £100)</w:t>
            </w:r>
          </w:p>
          <w:p w14:paraId="198C02BA" w14:textId="77777777" w:rsidR="009F0840" w:rsidRPr="00D23890" w:rsidRDefault="009F0840" w:rsidP="000C2A54">
            <w:pPr>
              <w:widowControl w:val="0"/>
              <w:tabs>
                <w:tab w:val="center" w:pos="8647"/>
              </w:tabs>
              <w:autoSpaceDE w:val="0"/>
              <w:autoSpaceDN w:val="0"/>
              <w:adjustRightInd w:val="0"/>
              <w:rPr>
                <w:sz w:val="20"/>
                <w:szCs w:val="20"/>
              </w:rPr>
            </w:pPr>
          </w:p>
        </w:tc>
        <w:tc>
          <w:tcPr>
            <w:tcW w:w="1984" w:type="dxa"/>
            <w:gridSpan w:val="2"/>
          </w:tcPr>
          <w:p w14:paraId="2B51682C" w14:textId="77777777" w:rsidR="009F0840" w:rsidRPr="00D23890" w:rsidRDefault="009F0840" w:rsidP="000C2A54">
            <w:pPr>
              <w:widowControl w:val="0"/>
              <w:tabs>
                <w:tab w:val="center" w:pos="8647"/>
              </w:tabs>
              <w:autoSpaceDE w:val="0"/>
              <w:autoSpaceDN w:val="0"/>
              <w:adjustRightInd w:val="0"/>
              <w:rPr>
                <w:sz w:val="20"/>
                <w:szCs w:val="20"/>
              </w:rPr>
            </w:pPr>
            <w:r w:rsidRPr="00D23890">
              <w:rPr>
                <w:sz w:val="20"/>
                <w:szCs w:val="20"/>
              </w:rPr>
              <w:t>Pension benefits (</w:t>
            </w:r>
            <w:r w:rsidR="00F14FA6">
              <w:rPr>
                <w:sz w:val="20"/>
                <w:szCs w:val="20"/>
              </w:rPr>
              <w:t>to nearest £1,</w:t>
            </w:r>
            <w:r w:rsidRPr="00D23890">
              <w:rPr>
                <w:sz w:val="20"/>
                <w:szCs w:val="20"/>
              </w:rPr>
              <w:t>000)</w:t>
            </w:r>
            <w:r w:rsidR="0056637D">
              <w:rPr>
                <w:rStyle w:val="FootnoteReference"/>
                <w:sz w:val="20"/>
                <w:szCs w:val="20"/>
              </w:rPr>
              <w:footnoteReference w:id="12"/>
            </w:r>
          </w:p>
        </w:tc>
        <w:tc>
          <w:tcPr>
            <w:tcW w:w="1985" w:type="dxa"/>
            <w:gridSpan w:val="2"/>
          </w:tcPr>
          <w:p w14:paraId="6D162836" w14:textId="77777777" w:rsidR="009F0840" w:rsidRPr="00D23890" w:rsidRDefault="009F0840" w:rsidP="000C2A54">
            <w:pPr>
              <w:widowControl w:val="0"/>
              <w:tabs>
                <w:tab w:val="center" w:pos="8647"/>
              </w:tabs>
              <w:autoSpaceDE w:val="0"/>
              <w:autoSpaceDN w:val="0"/>
              <w:adjustRightInd w:val="0"/>
              <w:rPr>
                <w:sz w:val="20"/>
                <w:szCs w:val="20"/>
              </w:rPr>
            </w:pPr>
            <w:r w:rsidRPr="00D23890">
              <w:rPr>
                <w:sz w:val="20"/>
                <w:szCs w:val="20"/>
              </w:rPr>
              <w:t>Total (£’000)</w:t>
            </w:r>
          </w:p>
        </w:tc>
      </w:tr>
      <w:tr w:rsidR="00013EDA" w14:paraId="42A69D3A" w14:textId="77777777" w:rsidTr="00DC0FA7">
        <w:tc>
          <w:tcPr>
            <w:tcW w:w="2581" w:type="dxa"/>
          </w:tcPr>
          <w:p w14:paraId="6DC2864F" w14:textId="77777777" w:rsidR="00013EDA" w:rsidRPr="005B72C1" w:rsidRDefault="00013EDA" w:rsidP="00013EDA">
            <w:pPr>
              <w:widowControl w:val="0"/>
              <w:tabs>
                <w:tab w:val="center" w:pos="8647"/>
              </w:tabs>
              <w:autoSpaceDE w:val="0"/>
              <w:autoSpaceDN w:val="0"/>
              <w:adjustRightInd w:val="0"/>
              <w:rPr>
                <w:sz w:val="20"/>
                <w:szCs w:val="20"/>
                <w:highlight w:val="yellow"/>
              </w:rPr>
            </w:pPr>
          </w:p>
        </w:tc>
        <w:tc>
          <w:tcPr>
            <w:tcW w:w="850" w:type="dxa"/>
          </w:tcPr>
          <w:p w14:paraId="653E1F49" w14:textId="3CB24AEF" w:rsidR="00013EDA" w:rsidRPr="00D23890" w:rsidRDefault="00013EDA" w:rsidP="00013EDA">
            <w:pPr>
              <w:widowControl w:val="0"/>
              <w:tabs>
                <w:tab w:val="center" w:pos="8647"/>
              </w:tabs>
              <w:autoSpaceDE w:val="0"/>
              <w:autoSpaceDN w:val="0"/>
              <w:adjustRightInd w:val="0"/>
              <w:rPr>
                <w:sz w:val="20"/>
                <w:szCs w:val="20"/>
              </w:rPr>
            </w:pPr>
            <w:r>
              <w:rPr>
                <w:sz w:val="20"/>
                <w:szCs w:val="20"/>
              </w:rPr>
              <w:t>2022 - 23</w:t>
            </w:r>
          </w:p>
        </w:tc>
        <w:tc>
          <w:tcPr>
            <w:tcW w:w="851" w:type="dxa"/>
          </w:tcPr>
          <w:p w14:paraId="6A5F8722" w14:textId="77777777" w:rsidR="00013EDA" w:rsidRDefault="00013EDA" w:rsidP="00013EDA">
            <w:pPr>
              <w:widowControl w:val="0"/>
              <w:tabs>
                <w:tab w:val="center" w:pos="8647"/>
              </w:tabs>
              <w:autoSpaceDE w:val="0"/>
              <w:autoSpaceDN w:val="0"/>
              <w:adjustRightInd w:val="0"/>
              <w:rPr>
                <w:sz w:val="20"/>
                <w:szCs w:val="20"/>
              </w:rPr>
            </w:pPr>
            <w:r>
              <w:rPr>
                <w:sz w:val="20"/>
                <w:szCs w:val="20"/>
              </w:rPr>
              <w:t>2021-22</w:t>
            </w:r>
          </w:p>
          <w:p w14:paraId="77BA64B3" w14:textId="77777777" w:rsidR="00013EDA" w:rsidRPr="00D23890" w:rsidRDefault="00013EDA" w:rsidP="00013EDA">
            <w:pPr>
              <w:widowControl w:val="0"/>
              <w:tabs>
                <w:tab w:val="center" w:pos="8647"/>
              </w:tabs>
              <w:autoSpaceDE w:val="0"/>
              <w:autoSpaceDN w:val="0"/>
              <w:adjustRightInd w:val="0"/>
              <w:rPr>
                <w:sz w:val="20"/>
                <w:szCs w:val="20"/>
              </w:rPr>
            </w:pPr>
          </w:p>
        </w:tc>
        <w:tc>
          <w:tcPr>
            <w:tcW w:w="850" w:type="dxa"/>
          </w:tcPr>
          <w:p w14:paraId="44B62F19" w14:textId="4D8AA787" w:rsidR="00013EDA" w:rsidRPr="00D23890" w:rsidRDefault="00013EDA" w:rsidP="00013EDA">
            <w:pPr>
              <w:widowControl w:val="0"/>
              <w:tabs>
                <w:tab w:val="center" w:pos="8647"/>
              </w:tabs>
              <w:autoSpaceDE w:val="0"/>
              <w:autoSpaceDN w:val="0"/>
              <w:adjustRightInd w:val="0"/>
              <w:rPr>
                <w:sz w:val="20"/>
                <w:szCs w:val="20"/>
              </w:rPr>
            </w:pPr>
            <w:r>
              <w:rPr>
                <w:sz w:val="20"/>
                <w:szCs w:val="20"/>
              </w:rPr>
              <w:t>2022 - 23</w:t>
            </w:r>
          </w:p>
        </w:tc>
        <w:tc>
          <w:tcPr>
            <w:tcW w:w="851" w:type="dxa"/>
          </w:tcPr>
          <w:p w14:paraId="1C39A687" w14:textId="5F32C17D" w:rsidR="00013EDA" w:rsidRPr="00D23890" w:rsidRDefault="00013EDA" w:rsidP="00013EDA">
            <w:pPr>
              <w:widowControl w:val="0"/>
              <w:tabs>
                <w:tab w:val="center" w:pos="8647"/>
              </w:tabs>
              <w:autoSpaceDE w:val="0"/>
              <w:autoSpaceDN w:val="0"/>
              <w:adjustRightInd w:val="0"/>
              <w:rPr>
                <w:sz w:val="20"/>
                <w:szCs w:val="20"/>
              </w:rPr>
            </w:pPr>
            <w:r>
              <w:rPr>
                <w:sz w:val="20"/>
                <w:szCs w:val="20"/>
              </w:rPr>
              <w:t>2021-22</w:t>
            </w:r>
          </w:p>
        </w:tc>
        <w:tc>
          <w:tcPr>
            <w:tcW w:w="992" w:type="dxa"/>
          </w:tcPr>
          <w:p w14:paraId="6AB657B7" w14:textId="2CFA63CC" w:rsidR="00013EDA" w:rsidRPr="00D23890" w:rsidRDefault="00013EDA" w:rsidP="00013EDA">
            <w:pPr>
              <w:widowControl w:val="0"/>
              <w:tabs>
                <w:tab w:val="center" w:pos="8647"/>
              </w:tabs>
              <w:autoSpaceDE w:val="0"/>
              <w:autoSpaceDN w:val="0"/>
              <w:adjustRightInd w:val="0"/>
              <w:rPr>
                <w:sz w:val="20"/>
                <w:szCs w:val="20"/>
              </w:rPr>
            </w:pPr>
            <w:r>
              <w:rPr>
                <w:sz w:val="20"/>
                <w:szCs w:val="20"/>
              </w:rPr>
              <w:t>2022 - 23</w:t>
            </w:r>
          </w:p>
        </w:tc>
        <w:tc>
          <w:tcPr>
            <w:tcW w:w="992" w:type="dxa"/>
          </w:tcPr>
          <w:p w14:paraId="704FFD0A" w14:textId="221EA1EF" w:rsidR="00013EDA" w:rsidRPr="00D23890" w:rsidRDefault="00013EDA" w:rsidP="00013EDA">
            <w:pPr>
              <w:widowControl w:val="0"/>
              <w:tabs>
                <w:tab w:val="center" w:pos="8647"/>
              </w:tabs>
              <w:autoSpaceDE w:val="0"/>
              <w:autoSpaceDN w:val="0"/>
              <w:adjustRightInd w:val="0"/>
              <w:rPr>
                <w:sz w:val="20"/>
                <w:szCs w:val="20"/>
              </w:rPr>
            </w:pPr>
            <w:r>
              <w:rPr>
                <w:sz w:val="20"/>
                <w:szCs w:val="20"/>
              </w:rPr>
              <w:t>2021-22</w:t>
            </w:r>
          </w:p>
        </w:tc>
        <w:tc>
          <w:tcPr>
            <w:tcW w:w="993" w:type="dxa"/>
          </w:tcPr>
          <w:p w14:paraId="47AB689C" w14:textId="70AD6739" w:rsidR="00013EDA" w:rsidRPr="00D23890" w:rsidRDefault="00013EDA" w:rsidP="00013EDA">
            <w:pPr>
              <w:widowControl w:val="0"/>
              <w:tabs>
                <w:tab w:val="center" w:pos="8647"/>
              </w:tabs>
              <w:autoSpaceDE w:val="0"/>
              <w:autoSpaceDN w:val="0"/>
              <w:adjustRightInd w:val="0"/>
              <w:rPr>
                <w:sz w:val="20"/>
                <w:szCs w:val="20"/>
              </w:rPr>
            </w:pPr>
            <w:r>
              <w:rPr>
                <w:sz w:val="20"/>
                <w:szCs w:val="20"/>
              </w:rPr>
              <w:t>2022 - 23</w:t>
            </w:r>
          </w:p>
        </w:tc>
        <w:tc>
          <w:tcPr>
            <w:tcW w:w="992" w:type="dxa"/>
          </w:tcPr>
          <w:p w14:paraId="15D90BCE" w14:textId="5BBF4EFB" w:rsidR="00013EDA" w:rsidRPr="00D23890" w:rsidRDefault="00013EDA" w:rsidP="00013EDA">
            <w:pPr>
              <w:widowControl w:val="0"/>
              <w:tabs>
                <w:tab w:val="center" w:pos="8647"/>
              </w:tabs>
              <w:autoSpaceDE w:val="0"/>
              <w:autoSpaceDN w:val="0"/>
              <w:adjustRightInd w:val="0"/>
              <w:rPr>
                <w:sz w:val="20"/>
                <w:szCs w:val="20"/>
              </w:rPr>
            </w:pPr>
            <w:r>
              <w:rPr>
                <w:sz w:val="20"/>
                <w:szCs w:val="20"/>
              </w:rPr>
              <w:t>2021-22</w:t>
            </w:r>
          </w:p>
        </w:tc>
      </w:tr>
      <w:tr w:rsidR="00013EDA" w14:paraId="09B1E541" w14:textId="77777777" w:rsidTr="00DC0FA7">
        <w:tc>
          <w:tcPr>
            <w:tcW w:w="2581" w:type="dxa"/>
            <w:vAlign w:val="center"/>
          </w:tcPr>
          <w:p w14:paraId="2328DD2B" w14:textId="77777777" w:rsidR="00013EDA" w:rsidRDefault="00013EDA" w:rsidP="00013EDA">
            <w:pPr>
              <w:rPr>
                <w:b/>
                <w:sz w:val="18"/>
                <w:szCs w:val="18"/>
              </w:rPr>
            </w:pPr>
            <w:r>
              <w:rPr>
                <w:b/>
                <w:sz w:val="18"/>
                <w:szCs w:val="18"/>
              </w:rPr>
              <w:t>Ms Alyson Kilpatrick</w:t>
            </w:r>
          </w:p>
          <w:p w14:paraId="71B97C41" w14:textId="77777777" w:rsidR="00013EDA" w:rsidRDefault="00013EDA" w:rsidP="00013EDA">
            <w:pPr>
              <w:rPr>
                <w:sz w:val="18"/>
                <w:szCs w:val="18"/>
              </w:rPr>
            </w:pPr>
            <w:r>
              <w:rPr>
                <w:sz w:val="18"/>
                <w:szCs w:val="18"/>
              </w:rPr>
              <w:t>Chief Commissioner</w:t>
            </w:r>
          </w:p>
          <w:p w14:paraId="73E0CE4F" w14:textId="77777777" w:rsidR="00013EDA" w:rsidRDefault="00013EDA" w:rsidP="00013EDA">
            <w:pPr>
              <w:rPr>
                <w:sz w:val="18"/>
                <w:szCs w:val="18"/>
              </w:rPr>
            </w:pPr>
            <w:r>
              <w:rPr>
                <w:sz w:val="18"/>
                <w:szCs w:val="18"/>
              </w:rPr>
              <w:t>(from 1 September 2021)</w:t>
            </w:r>
          </w:p>
          <w:p w14:paraId="1257A0EB" w14:textId="77777777" w:rsidR="00013EDA" w:rsidRPr="00EA4AB9" w:rsidRDefault="00013EDA" w:rsidP="00013EDA">
            <w:pPr>
              <w:rPr>
                <w:sz w:val="18"/>
                <w:szCs w:val="18"/>
              </w:rPr>
            </w:pPr>
          </w:p>
        </w:tc>
        <w:tc>
          <w:tcPr>
            <w:tcW w:w="850" w:type="dxa"/>
          </w:tcPr>
          <w:p w14:paraId="46C5005B" w14:textId="77777777" w:rsidR="00013EDA" w:rsidRDefault="00013EDA" w:rsidP="0046013C">
            <w:pPr>
              <w:widowControl w:val="0"/>
              <w:tabs>
                <w:tab w:val="center" w:pos="8647"/>
              </w:tabs>
              <w:autoSpaceDE w:val="0"/>
              <w:autoSpaceDN w:val="0"/>
              <w:adjustRightInd w:val="0"/>
              <w:jc w:val="center"/>
              <w:rPr>
                <w:sz w:val="18"/>
                <w:szCs w:val="18"/>
              </w:rPr>
            </w:pPr>
          </w:p>
          <w:p w14:paraId="284CEABF" w14:textId="708AF3CB" w:rsidR="00760EB1" w:rsidRDefault="00760EB1" w:rsidP="0046013C">
            <w:pPr>
              <w:widowControl w:val="0"/>
              <w:tabs>
                <w:tab w:val="center" w:pos="8647"/>
              </w:tabs>
              <w:autoSpaceDE w:val="0"/>
              <w:autoSpaceDN w:val="0"/>
              <w:adjustRightInd w:val="0"/>
              <w:jc w:val="center"/>
              <w:rPr>
                <w:sz w:val="18"/>
                <w:szCs w:val="18"/>
              </w:rPr>
            </w:pPr>
            <w:r>
              <w:rPr>
                <w:sz w:val="18"/>
                <w:szCs w:val="18"/>
              </w:rPr>
              <w:t>75-80</w:t>
            </w:r>
          </w:p>
          <w:p w14:paraId="0EAB8A9D" w14:textId="6CB56690" w:rsidR="00013EDA" w:rsidRDefault="00013EDA" w:rsidP="0046013C">
            <w:pPr>
              <w:widowControl w:val="0"/>
              <w:tabs>
                <w:tab w:val="center" w:pos="8647"/>
              </w:tabs>
              <w:autoSpaceDE w:val="0"/>
              <w:autoSpaceDN w:val="0"/>
              <w:adjustRightInd w:val="0"/>
              <w:jc w:val="center"/>
              <w:rPr>
                <w:sz w:val="18"/>
                <w:szCs w:val="18"/>
              </w:rPr>
            </w:pPr>
          </w:p>
        </w:tc>
        <w:tc>
          <w:tcPr>
            <w:tcW w:w="851" w:type="dxa"/>
          </w:tcPr>
          <w:p w14:paraId="623EEF4B" w14:textId="77777777" w:rsidR="00013EDA" w:rsidRDefault="00013EDA" w:rsidP="0046013C">
            <w:pPr>
              <w:widowControl w:val="0"/>
              <w:tabs>
                <w:tab w:val="center" w:pos="8647"/>
              </w:tabs>
              <w:autoSpaceDE w:val="0"/>
              <w:autoSpaceDN w:val="0"/>
              <w:adjustRightInd w:val="0"/>
              <w:jc w:val="center"/>
              <w:rPr>
                <w:sz w:val="18"/>
                <w:szCs w:val="18"/>
              </w:rPr>
            </w:pPr>
          </w:p>
          <w:p w14:paraId="779F1D73" w14:textId="236F07C2" w:rsidR="00013EDA" w:rsidRDefault="00013EDA" w:rsidP="0046013C">
            <w:pPr>
              <w:widowControl w:val="0"/>
              <w:tabs>
                <w:tab w:val="center" w:pos="8647"/>
              </w:tabs>
              <w:autoSpaceDE w:val="0"/>
              <w:autoSpaceDN w:val="0"/>
              <w:adjustRightInd w:val="0"/>
              <w:jc w:val="center"/>
              <w:rPr>
                <w:sz w:val="18"/>
                <w:szCs w:val="18"/>
              </w:rPr>
            </w:pPr>
            <w:r>
              <w:rPr>
                <w:sz w:val="18"/>
                <w:szCs w:val="18"/>
              </w:rPr>
              <w:t>40-45</w:t>
            </w:r>
            <w:r>
              <w:rPr>
                <w:rStyle w:val="FootnoteReference"/>
                <w:sz w:val="18"/>
                <w:szCs w:val="18"/>
              </w:rPr>
              <w:footnoteReference w:id="13"/>
            </w:r>
          </w:p>
        </w:tc>
        <w:tc>
          <w:tcPr>
            <w:tcW w:w="850" w:type="dxa"/>
          </w:tcPr>
          <w:p w14:paraId="2E39B133" w14:textId="77777777" w:rsidR="00013EDA" w:rsidRDefault="00013EDA" w:rsidP="0046013C">
            <w:pPr>
              <w:widowControl w:val="0"/>
              <w:tabs>
                <w:tab w:val="center" w:pos="8647"/>
              </w:tabs>
              <w:autoSpaceDE w:val="0"/>
              <w:autoSpaceDN w:val="0"/>
              <w:adjustRightInd w:val="0"/>
              <w:jc w:val="center"/>
              <w:rPr>
                <w:sz w:val="18"/>
                <w:szCs w:val="18"/>
              </w:rPr>
            </w:pPr>
          </w:p>
          <w:p w14:paraId="764FC512" w14:textId="77777777"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5F5CAC62" w14:textId="77777777" w:rsidR="00013EDA" w:rsidRDefault="00013EDA" w:rsidP="0046013C">
            <w:pPr>
              <w:widowControl w:val="0"/>
              <w:tabs>
                <w:tab w:val="center" w:pos="8647"/>
              </w:tabs>
              <w:autoSpaceDE w:val="0"/>
              <w:autoSpaceDN w:val="0"/>
              <w:adjustRightInd w:val="0"/>
              <w:jc w:val="center"/>
              <w:rPr>
                <w:sz w:val="18"/>
                <w:szCs w:val="18"/>
              </w:rPr>
            </w:pPr>
          </w:p>
          <w:p w14:paraId="05A6E104" w14:textId="014E048C"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6A01013D" w14:textId="77777777" w:rsidR="00013EDA" w:rsidRDefault="00013EDA" w:rsidP="0046013C">
            <w:pPr>
              <w:widowControl w:val="0"/>
              <w:tabs>
                <w:tab w:val="center" w:pos="8647"/>
              </w:tabs>
              <w:autoSpaceDE w:val="0"/>
              <w:autoSpaceDN w:val="0"/>
              <w:adjustRightInd w:val="0"/>
              <w:jc w:val="center"/>
              <w:rPr>
                <w:sz w:val="18"/>
                <w:szCs w:val="18"/>
              </w:rPr>
            </w:pPr>
          </w:p>
          <w:p w14:paraId="6CD53118" w14:textId="54833490" w:rsidR="003D1DAB" w:rsidRDefault="003D1DAB" w:rsidP="0046013C">
            <w:pPr>
              <w:widowControl w:val="0"/>
              <w:tabs>
                <w:tab w:val="center" w:pos="8647"/>
              </w:tabs>
              <w:autoSpaceDE w:val="0"/>
              <w:autoSpaceDN w:val="0"/>
              <w:adjustRightInd w:val="0"/>
              <w:jc w:val="center"/>
              <w:rPr>
                <w:sz w:val="18"/>
                <w:szCs w:val="18"/>
              </w:rPr>
            </w:pPr>
            <w:r>
              <w:rPr>
                <w:sz w:val="18"/>
                <w:szCs w:val="18"/>
              </w:rPr>
              <w:t>30,000</w:t>
            </w:r>
          </w:p>
        </w:tc>
        <w:tc>
          <w:tcPr>
            <w:tcW w:w="992" w:type="dxa"/>
          </w:tcPr>
          <w:p w14:paraId="389AF1B8" w14:textId="77777777" w:rsidR="00013EDA" w:rsidRDefault="00013EDA" w:rsidP="0046013C">
            <w:pPr>
              <w:widowControl w:val="0"/>
              <w:tabs>
                <w:tab w:val="center" w:pos="8647"/>
              </w:tabs>
              <w:autoSpaceDE w:val="0"/>
              <w:autoSpaceDN w:val="0"/>
              <w:adjustRightInd w:val="0"/>
              <w:jc w:val="center"/>
              <w:rPr>
                <w:sz w:val="18"/>
                <w:szCs w:val="18"/>
              </w:rPr>
            </w:pPr>
          </w:p>
          <w:p w14:paraId="4C74F635" w14:textId="2B37EC6C" w:rsidR="00013EDA" w:rsidRDefault="00013EDA" w:rsidP="0046013C">
            <w:pPr>
              <w:widowControl w:val="0"/>
              <w:tabs>
                <w:tab w:val="center" w:pos="8647"/>
              </w:tabs>
              <w:autoSpaceDE w:val="0"/>
              <w:autoSpaceDN w:val="0"/>
              <w:adjustRightInd w:val="0"/>
              <w:jc w:val="center"/>
              <w:rPr>
                <w:sz w:val="18"/>
                <w:szCs w:val="18"/>
              </w:rPr>
            </w:pPr>
            <w:r>
              <w:rPr>
                <w:sz w:val="18"/>
                <w:szCs w:val="18"/>
              </w:rPr>
              <w:t>17,000</w:t>
            </w:r>
          </w:p>
        </w:tc>
        <w:tc>
          <w:tcPr>
            <w:tcW w:w="993" w:type="dxa"/>
          </w:tcPr>
          <w:p w14:paraId="03039E1F" w14:textId="77777777" w:rsidR="00013EDA" w:rsidRDefault="00013EDA" w:rsidP="0046013C">
            <w:pPr>
              <w:widowControl w:val="0"/>
              <w:tabs>
                <w:tab w:val="center" w:pos="8647"/>
              </w:tabs>
              <w:autoSpaceDE w:val="0"/>
              <w:autoSpaceDN w:val="0"/>
              <w:adjustRightInd w:val="0"/>
              <w:jc w:val="center"/>
              <w:rPr>
                <w:sz w:val="18"/>
                <w:szCs w:val="18"/>
                <w:vertAlign w:val="superscript"/>
              </w:rPr>
            </w:pPr>
          </w:p>
          <w:p w14:paraId="74726108" w14:textId="1F2A3241" w:rsidR="0046013C" w:rsidRPr="0046013C" w:rsidRDefault="002667DD" w:rsidP="0046013C">
            <w:pPr>
              <w:widowControl w:val="0"/>
              <w:tabs>
                <w:tab w:val="center" w:pos="8647"/>
              </w:tabs>
              <w:autoSpaceDE w:val="0"/>
              <w:autoSpaceDN w:val="0"/>
              <w:adjustRightInd w:val="0"/>
              <w:jc w:val="center"/>
              <w:rPr>
                <w:sz w:val="18"/>
                <w:szCs w:val="18"/>
              </w:rPr>
            </w:pPr>
            <w:r>
              <w:rPr>
                <w:sz w:val="18"/>
                <w:szCs w:val="18"/>
              </w:rPr>
              <w:t>105-110</w:t>
            </w:r>
          </w:p>
        </w:tc>
        <w:tc>
          <w:tcPr>
            <w:tcW w:w="992" w:type="dxa"/>
          </w:tcPr>
          <w:p w14:paraId="724FEB6B" w14:textId="77777777" w:rsidR="00013EDA" w:rsidRDefault="00013EDA" w:rsidP="0046013C">
            <w:pPr>
              <w:widowControl w:val="0"/>
              <w:tabs>
                <w:tab w:val="center" w:pos="8647"/>
              </w:tabs>
              <w:autoSpaceDE w:val="0"/>
              <w:autoSpaceDN w:val="0"/>
              <w:adjustRightInd w:val="0"/>
              <w:jc w:val="center"/>
              <w:rPr>
                <w:sz w:val="18"/>
                <w:szCs w:val="18"/>
              </w:rPr>
            </w:pPr>
          </w:p>
          <w:p w14:paraId="49958F93" w14:textId="7F0753FD" w:rsidR="00013EDA" w:rsidRDefault="00013EDA" w:rsidP="0046013C">
            <w:pPr>
              <w:widowControl w:val="0"/>
              <w:tabs>
                <w:tab w:val="center" w:pos="8647"/>
              </w:tabs>
              <w:autoSpaceDE w:val="0"/>
              <w:autoSpaceDN w:val="0"/>
              <w:adjustRightInd w:val="0"/>
              <w:jc w:val="center"/>
              <w:rPr>
                <w:sz w:val="18"/>
                <w:szCs w:val="18"/>
              </w:rPr>
            </w:pPr>
            <w:r>
              <w:rPr>
                <w:sz w:val="18"/>
                <w:szCs w:val="18"/>
              </w:rPr>
              <w:t>60-65</w:t>
            </w:r>
          </w:p>
        </w:tc>
      </w:tr>
      <w:tr w:rsidR="00013EDA" w14:paraId="66E9567B" w14:textId="77777777" w:rsidTr="00DC0FA7">
        <w:tc>
          <w:tcPr>
            <w:tcW w:w="2581" w:type="dxa"/>
            <w:vAlign w:val="center"/>
          </w:tcPr>
          <w:p w14:paraId="08B4A2D8" w14:textId="77777777" w:rsidR="00013EDA" w:rsidRDefault="00013EDA" w:rsidP="00013EDA">
            <w:pPr>
              <w:rPr>
                <w:b/>
                <w:sz w:val="18"/>
                <w:szCs w:val="18"/>
              </w:rPr>
            </w:pPr>
            <w:r>
              <w:rPr>
                <w:b/>
                <w:sz w:val="18"/>
                <w:szCs w:val="18"/>
              </w:rPr>
              <w:t>Mr Eddie Rooney</w:t>
            </w:r>
          </w:p>
          <w:p w14:paraId="14D7DCBD" w14:textId="77777777" w:rsidR="00013EDA" w:rsidRDefault="00013EDA" w:rsidP="00013EDA">
            <w:pPr>
              <w:rPr>
                <w:sz w:val="18"/>
                <w:szCs w:val="18"/>
              </w:rPr>
            </w:pPr>
            <w:r>
              <w:rPr>
                <w:sz w:val="18"/>
                <w:szCs w:val="18"/>
              </w:rPr>
              <w:t>Commissioner</w:t>
            </w:r>
          </w:p>
          <w:p w14:paraId="383BEED7" w14:textId="77777777" w:rsidR="00013EDA" w:rsidRDefault="00013EDA" w:rsidP="00013EDA">
            <w:pPr>
              <w:rPr>
                <w:b/>
                <w:sz w:val="18"/>
                <w:szCs w:val="18"/>
              </w:rPr>
            </w:pPr>
          </w:p>
        </w:tc>
        <w:tc>
          <w:tcPr>
            <w:tcW w:w="850" w:type="dxa"/>
          </w:tcPr>
          <w:p w14:paraId="6E468013" w14:textId="77777777" w:rsidR="00013EDA" w:rsidRDefault="00013EDA" w:rsidP="0046013C">
            <w:pPr>
              <w:widowControl w:val="0"/>
              <w:tabs>
                <w:tab w:val="center" w:pos="8647"/>
              </w:tabs>
              <w:autoSpaceDE w:val="0"/>
              <w:autoSpaceDN w:val="0"/>
              <w:adjustRightInd w:val="0"/>
              <w:jc w:val="center"/>
              <w:rPr>
                <w:sz w:val="18"/>
                <w:szCs w:val="18"/>
              </w:rPr>
            </w:pPr>
          </w:p>
          <w:p w14:paraId="26EC58FB" w14:textId="353EF234" w:rsidR="00760EB1" w:rsidRDefault="00760EB1" w:rsidP="0046013C">
            <w:pPr>
              <w:widowControl w:val="0"/>
              <w:tabs>
                <w:tab w:val="center" w:pos="8647"/>
              </w:tabs>
              <w:autoSpaceDE w:val="0"/>
              <w:autoSpaceDN w:val="0"/>
              <w:adjustRightInd w:val="0"/>
              <w:jc w:val="center"/>
              <w:rPr>
                <w:sz w:val="18"/>
                <w:szCs w:val="18"/>
              </w:rPr>
            </w:pPr>
            <w:r>
              <w:rPr>
                <w:sz w:val="18"/>
                <w:szCs w:val="18"/>
              </w:rPr>
              <w:t>5-10</w:t>
            </w:r>
          </w:p>
          <w:p w14:paraId="21AC4E2B" w14:textId="062C8C1D" w:rsidR="00013EDA" w:rsidRDefault="00013EDA" w:rsidP="0046013C">
            <w:pPr>
              <w:widowControl w:val="0"/>
              <w:tabs>
                <w:tab w:val="center" w:pos="8647"/>
              </w:tabs>
              <w:autoSpaceDE w:val="0"/>
              <w:autoSpaceDN w:val="0"/>
              <w:adjustRightInd w:val="0"/>
              <w:jc w:val="center"/>
              <w:rPr>
                <w:sz w:val="18"/>
                <w:szCs w:val="18"/>
              </w:rPr>
            </w:pPr>
          </w:p>
        </w:tc>
        <w:tc>
          <w:tcPr>
            <w:tcW w:w="851" w:type="dxa"/>
          </w:tcPr>
          <w:p w14:paraId="40670E67" w14:textId="77777777" w:rsidR="00013EDA" w:rsidRDefault="00013EDA" w:rsidP="0046013C">
            <w:pPr>
              <w:widowControl w:val="0"/>
              <w:tabs>
                <w:tab w:val="center" w:pos="8647"/>
              </w:tabs>
              <w:autoSpaceDE w:val="0"/>
              <w:autoSpaceDN w:val="0"/>
              <w:adjustRightInd w:val="0"/>
              <w:jc w:val="center"/>
              <w:rPr>
                <w:sz w:val="18"/>
                <w:szCs w:val="18"/>
              </w:rPr>
            </w:pPr>
          </w:p>
          <w:p w14:paraId="21EEEDE9" w14:textId="4CA04AA7" w:rsidR="00013EDA" w:rsidRDefault="00013EDA" w:rsidP="0046013C">
            <w:pPr>
              <w:widowControl w:val="0"/>
              <w:tabs>
                <w:tab w:val="center" w:pos="8647"/>
              </w:tabs>
              <w:autoSpaceDE w:val="0"/>
              <w:autoSpaceDN w:val="0"/>
              <w:adjustRightInd w:val="0"/>
              <w:jc w:val="center"/>
              <w:rPr>
                <w:sz w:val="18"/>
                <w:szCs w:val="18"/>
              </w:rPr>
            </w:pPr>
            <w:r>
              <w:rPr>
                <w:sz w:val="18"/>
                <w:szCs w:val="18"/>
              </w:rPr>
              <w:t>5-10</w:t>
            </w:r>
          </w:p>
        </w:tc>
        <w:tc>
          <w:tcPr>
            <w:tcW w:w="850" w:type="dxa"/>
          </w:tcPr>
          <w:p w14:paraId="6629BD6A" w14:textId="77777777" w:rsidR="00013EDA" w:rsidRDefault="00013EDA" w:rsidP="0046013C">
            <w:pPr>
              <w:widowControl w:val="0"/>
              <w:tabs>
                <w:tab w:val="center" w:pos="8647"/>
              </w:tabs>
              <w:autoSpaceDE w:val="0"/>
              <w:autoSpaceDN w:val="0"/>
              <w:adjustRightInd w:val="0"/>
              <w:jc w:val="center"/>
              <w:rPr>
                <w:sz w:val="18"/>
                <w:szCs w:val="18"/>
              </w:rPr>
            </w:pPr>
          </w:p>
          <w:p w14:paraId="6A546711" w14:textId="77777777"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0F1D48EA" w14:textId="77777777" w:rsidR="00013EDA" w:rsidRDefault="00013EDA" w:rsidP="0046013C">
            <w:pPr>
              <w:widowControl w:val="0"/>
              <w:tabs>
                <w:tab w:val="center" w:pos="8647"/>
              </w:tabs>
              <w:autoSpaceDE w:val="0"/>
              <w:autoSpaceDN w:val="0"/>
              <w:adjustRightInd w:val="0"/>
              <w:jc w:val="center"/>
              <w:rPr>
                <w:sz w:val="18"/>
                <w:szCs w:val="18"/>
              </w:rPr>
            </w:pPr>
          </w:p>
          <w:p w14:paraId="63A5583C" w14:textId="7182E7DF"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19307E3F" w14:textId="77777777" w:rsidR="00013EDA" w:rsidRDefault="00013EDA" w:rsidP="0046013C">
            <w:pPr>
              <w:widowControl w:val="0"/>
              <w:tabs>
                <w:tab w:val="center" w:pos="8647"/>
              </w:tabs>
              <w:autoSpaceDE w:val="0"/>
              <w:autoSpaceDN w:val="0"/>
              <w:adjustRightInd w:val="0"/>
              <w:jc w:val="center"/>
              <w:rPr>
                <w:sz w:val="18"/>
                <w:szCs w:val="18"/>
              </w:rPr>
            </w:pPr>
          </w:p>
          <w:p w14:paraId="2C1534D9" w14:textId="7467EC3C" w:rsidR="003D1DAB" w:rsidRDefault="003D1DAB"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0DFF93A2" w14:textId="77777777" w:rsidR="00013EDA" w:rsidRDefault="00013EDA" w:rsidP="0046013C">
            <w:pPr>
              <w:widowControl w:val="0"/>
              <w:tabs>
                <w:tab w:val="center" w:pos="8647"/>
              </w:tabs>
              <w:autoSpaceDE w:val="0"/>
              <w:autoSpaceDN w:val="0"/>
              <w:adjustRightInd w:val="0"/>
              <w:jc w:val="center"/>
              <w:rPr>
                <w:sz w:val="18"/>
                <w:szCs w:val="18"/>
              </w:rPr>
            </w:pPr>
          </w:p>
          <w:p w14:paraId="4283817D" w14:textId="20CF6021"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3" w:type="dxa"/>
          </w:tcPr>
          <w:p w14:paraId="6D6D7D7C" w14:textId="77777777" w:rsidR="00013EDA" w:rsidRDefault="00013EDA" w:rsidP="0046013C">
            <w:pPr>
              <w:widowControl w:val="0"/>
              <w:tabs>
                <w:tab w:val="center" w:pos="8647"/>
              </w:tabs>
              <w:autoSpaceDE w:val="0"/>
              <w:autoSpaceDN w:val="0"/>
              <w:adjustRightInd w:val="0"/>
              <w:jc w:val="center"/>
              <w:rPr>
                <w:sz w:val="18"/>
                <w:szCs w:val="18"/>
              </w:rPr>
            </w:pPr>
          </w:p>
          <w:p w14:paraId="4A0B7DF0" w14:textId="58B112F8" w:rsidR="0046013C" w:rsidRDefault="0046013C" w:rsidP="0046013C">
            <w:pPr>
              <w:widowControl w:val="0"/>
              <w:tabs>
                <w:tab w:val="center" w:pos="8647"/>
              </w:tabs>
              <w:autoSpaceDE w:val="0"/>
              <w:autoSpaceDN w:val="0"/>
              <w:adjustRightInd w:val="0"/>
              <w:jc w:val="center"/>
              <w:rPr>
                <w:sz w:val="18"/>
                <w:szCs w:val="18"/>
              </w:rPr>
            </w:pPr>
            <w:r>
              <w:rPr>
                <w:sz w:val="18"/>
                <w:szCs w:val="18"/>
              </w:rPr>
              <w:t>5-10</w:t>
            </w:r>
          </w:p>
        </w:tc>
        <w:tc>
          <w:tcPr>
            <w:tcW w:w="992" w:type="dxa"/>
          </w:tcPr>
          <w:p w14:paraId="374C56E6" w14:textId="77777777" w:rsidR="00013EDA" w:rsidRDefault="00013EDA" w:rsidP="0046013C">
            <w:pPr>
              <w:widowControl w:val="0"/>
              <w:tabs>
                <w:tab w:val="center" w:pos="8647"/>
              </w:tabs>
              <w:autoSpaceDE w:val="0"/>
              <w:autoSpaceDN w:val="0"/>
              <w:adjustRightInd w:val="0"/>
              <w:jc w:val="center"/>
              <w:rPr>
                <w:sz w:val="18"/>
                <w:szCs w:val="18"/>
              </w:rPr>
            </w:pPr>
          </w:p>
          <w:p w14:paraId="1CD30812" w14:textId="0BF5D5F1" w:rsidR="0046013C" w:rsidRDefault="0046013C" w:rsidP="0046013C">
            <w:pPr>
              <w:widowControl w:val="0"/>
              <w:tabs>
                <w:tab w:val="center" w:pos="8647"/>
              </w:tabs>
              <w:autoSpaceDE w:val="0"/>
              <w:autoSpaceDN w:val="0"/>
              <w:adjustRightInd w:val="0"/>
              <w:jc w:val="center"/>
              <w:rPr>
                <w:sz w:val="18"/>
                <w:szCs w:val="18"/>
              </w:rPr>
            </w:pPr>
            <w:r>
              <w:rPr>
                <w:sz w:val="18"/>
                <w:szCs w:val="18"/>
              </w:rPr>
              <w:t>5-10</w:t>
            </w:r>
          </w:p>
        </w:tc>
      </w:tr>
      <w:tr w:rsidR="00013EDA" w14:paraId="616843E7" w14:textId="77777777" w:rsidTr="00DC0FA7">
        <w:tc>
          <w:tcPr>
            <w:tcW w:w="2581" w:type="dxa"/>
            <w:vAlign w:val="center"/>
          </w:tcPr>
          <w:p w14:paraId="20A79283" w14:textId="77777777" w:rsidR="00013EDA" w:rsidRDefault="00013EDA" w:rsidP="00013EDA">
            <w:pPr>
              <w:rPr>
                <w:b/>
                <w:sz w:val="18"/>
                <w:szCs w:val="18"/>
              </w:rPr>
            </w:pPr>
            <w:r>
              <w:rPr>
                <w:b/>
                <w:sz w:val="18"/>
                <w:szCs w:val="18"/>
              </w:rPr>
              <w:t>Ms Helen Henderson</w:t>
            </w:r>
          </w:p>
          <w:p w14:paraId="57AC7FA9" w14:textId="77777777" w:rsidR="00013EDA" w:rsidRDefault="00013EDA" w:rsidP="00013EDA">
            <w:pPr>
              <w:rPr>
                <w:sz w:val="18"/>
                <w:szCs w:val="18"/>
              </w:rPr>
            </w:pPr>
            <w:r>
              <w:rPr>
                <w:sz w:val="18"/>
                <w:szCs w:val="18"/>
              </w:rPr>
              <w:t xml:space="preserve">Commissioner </w:t>
            </w:r>
          </w:p>
          <w:p w14:paraId="0FAA4898" w14:textId="77777777" w:rsidR="00013EDA" w:rsidRPr="001D785A" w:rsidRDefault="00013EDA" w:rsidP="00013EDA">
            <w:pPr>
              <w:rPr>
                <w:sz w:val="18"/>
                <w:szCs w:val="18"/>
              </w:rPr>
            </w:pPr>
          </w:p>
        </w:tc>
        <w:tc>
          <w:tcPr>
            <w:tcW w:w="850" w:type="dxa"/>
          </w:tcPr>
          <w:p w14:paraId="12AFACAA" w14:textId="77777777" w:rsidR="00013EDA" w:rsidRDefault="00013EDA" w:rsidP="0046013C">
            <w:pPr>
              <w:widowControl w:val="0"/>
              <w:tabs>
                <w:tab w:val="center" w:pos="8647"/>
              </w:tabs>
              <w:autoSpaceDE w:val="0"/>
              <w:autoSpaceDN w:val="0"/>
              <w:adjustRightInd w:val="0"/>
              <w:jc w:val="center"/>
              <w:rPr>
                <w:sz w:val="18"/>
                <w:szCs w:val="18"/>
              </w:rPr>
            </w:pPr>
          </w:p>
          <w:p w14:paraId="53AF74CA" w14:textId="6B483B79" w:rsidR="00760EB1" w:rsidRDefault="00760EB1" w:rsidP="0046013C">
            <w:pPr>
              <w:widowControl w:val="0"/>
              <w:tabs>
                <w:tab w:val="center" w:pos="8647"/>
              </w:tabs>
              <w:autoSpaceDE w:val="0"/>
              <w:autoSpaceDN w:val="0"/>
              <w:adjustRightInd w:val="0"/>
              <w:jc w:val="center"/>
              <w:rPr>
                <w:sz w:val="18"/>
                <w:szCs w:val="18"/>
              </w:rPr>
            </w:pPr>
            <w:r>
              <w:rPr>
                <w:sz w:val="18"/>
                <w:szCs w:val="18"/>
              </w:rPr>
              <w:t>5-10</w:t>
            </w:r>
          </w:p>
          <w:p w14:paraId="787FA722" w14:textId="7607FA4A" w:rsidR="00013EDA" w:rsidRDefault="00013EDA" w:rsidP="0046013C">
            <w:pPr>
              <w:widowControl w:val="0"/>
              <w:tabs>
                <w:tab w:val="center" w:pos="8647"/>
              </w:tabs>
              <w:autoSpaceDE w:val="0"/>
              <w:autoSpaceDN w:val="0"/>
              <w:adjustRightInd w:val="0"/>
              <w:jc w:val="center"/>
              <w:rPr>
                <w:sz w:val="18"/>
                <w:szCs w:val="18"/>
              </w:rPr>
            </w:pPr>
          </w:p>
        </w:tc>
        <w:tc>
          <w:tcPr>
            <w:tcW w:w="851" w:type="dxa"/>
          </w:tcPr>
          <w:p w14:paraId="4CAD51C3" w14:textId="77777777" w:rsidR="00013EDA" w:rsidRDefault="00013EDA" w:rsidP="0046013C">
            <w:pPr>
              <w:widowControl w:val="0"/>
              <w:tabs>
                <w:tab w:val="center" w:pos="8647"/>
              </w:tabs>
              <w:autoSpaceDE w:val="0"/>
              <w:autoSpaceDN w:val="0"/>
              <w:adjustRightInd w:val="0"/>
              <w:jc w:val="center"/>
              <w:rPr>
                <w:sz w:val="18"/>
                <w:szCs w:val="18"/>
              </w:rPr>
            </w:pPr>
          </w:p>
          <w:p w14:paraId="12122433" w14:textId="30268021" w:rsidR="00013EDA" w:rsidRDefault="00013EDA" w:rsidP="0046013C">
            <w:pPr>
              <w:widowControl w:val="0"/>
              <w:tabs>
                <w:tab w:val="center" w:pos="8647"/>
              </w:tabs>
              <w:autoSpaceDE w:val="0"/>
              <w:autoSpaceDN w:val="0"/>
              <w:adjustRightInd w:val="0"/>
              <w:jc w:val="center"/>
              <w:rPr>
                <w:sz w:val="18"/>
                <w:szCs w:val="18"/>
              </w:rPr>
            </w:pPr>
            <w:r>
              <w:rPr>
                <w:sz w:val="18"/>
                <w:szCs w:val="18"/>
              </w:rPr>
              <w:t>5-10</w:t>
            </w:r>
          </w:p>
        </w:tc>
        <w:tc>
          <w:tcPr>
            <w:tcW w:w="850" w:type="dxa"/>
          </w:tcPr>
          <w:p w14:paraId="5D0363D6" w14:textId="77777777" w:rsidR="00013EDA" w:rsidRDefault="00013EDA" w:rsidP="0046013C">
            <w:pPr>
              <w:widowControl w:val="0"/>
              <w:tabs>
                <w:tab w:val="center" w:pos="8647"/>
              </w:tabs>
              <w:autoSpaceDE w:val="0"/>
              <w:autoSpaceDN w:val="0"/>
              <w:adjustRightInd w:val="0"/>
              <w:jc w:val="center"/>
              <w:rPr>
                <w:sz w:val="18"/>
                <w:szCs w:val="18"/>
              </w:rPr>
            </w:pPr>
          </w:p>
          <w:p w14:paraId="6619E221" w14:textId="5F3E8A7F" w:rsidR="00013EDA" w:rsidRDefault="002667DD"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7CD15611" w14:textId="77777777" w:rsidR="00013EDA" w:rsidRDefault="00013EDA" w:rsidP="0046013C">
            <w:pPr>
              <w:widowControl w:val="0"/>
              <w:tabs>
                <w:tab w:val="center" w:pos="8647"/>
              </w:tabs>
              <w:autoSpaceDE w:val="0"/>
              <w:autoSpaceDN w:val="0"/>
              <w:adjustRightInd w:val="0"/>
              <w:jc w:val="center"/>
              <w:rPr>
                <w:sz w:val="18"/>
                <w:szCs w:val="18"/>
              </w:rPr>
            </w:pPr>
          </w:p>
          <w:p w14:paraId="7CF3F984" w14:textId="05DFC55D"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64B5903C" w14:textId="77777777" w:rsidR="00013EDA" w:rsidRDefault="00013EDA" w:rsidP="0046013C">
            <w:pPr>
              <w:widowControl w:val="0"/>
              <w:tabs>
                <w:tab w:val="center" w:pos="8647"/>
              </w:tabs>
              <w:autoSpaceDE w:val="0"/>
              <w:autoSpaceDN w:val="0"/>
              <w:adjustRightInd w:val="0"/>
              <w:jc w:val="center"/>
              <w:rPr>
                <w:sz w:val="18"/>
                <w:szCs w:val="18"/>
              </w:rPr>
            </w:pPr>
          </w:p>
          <w:p w14:paraId="52FB3147" w14:textId="246B2C5C" w:rsidR="003D1DAB" w:rsidRDefault="003D1DAB"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10C85D94" w14:textId="77777777" w:rsidR="00013EDA" w:rsidRDefault="00013EDA" w:rsidP="0046013C">
            <w:pPr>
              <w:widowControl w:val="0"/>
              <w:tabs>
                <w:tab w:val="center" w:pos="8647"/>
              </w:tabs>
              <w:autoSpaceDE w:val="0"/>
              <w:autoSpaceDN w:val="0"/>
              <w:adjustRightInd w:val="0"/>
              <w:jc w:val="center"/>
              <w:rPr>
                <w:sz w:val="18"/>
                <w:szCs w:val="18"/>
              </w:rPr>
            </w:pPr>
          </w:p>
          <w:p w14:paraId="19EC8BA7" w14:textId="71BABEFE"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3" w:type="dxa"/>
          </w:tcPr>
          <w:p w14:paraId="0502B594" w14:textId="77777777" w:rsidR="00013EDA" w:rsidRDefault="00013EDA" w:rsidP="0046013C">
            <w:pPr>
              <w:widowControl w:val="0"/>
              <w:tabs>
                <w:tab w:val="center" w:pos="8647"/>
              </w:tabs>
              <w:autoSpaceDE w:val="0"/>
              <w:autoSpaceDN w:val="0"/>
              <w:adjustRightInd w:val="0"/>
              <w:jc w:val="center"/>
              <w:rPr>
                <w:sz w:val="18"/>
                <w:szCs w:val="18"/>
              </w:rPr>
            </w:pPr>
          </w:p>
          <w:p w14:paraId="47614815" w14:textId="42B0F3EF" w:rsidR="0046013C" w:rsidRDefault="0046013C" w:rsidP="0046013C">
            <w:pPr>
              <w:widowControl w:val="0"/>
              <w:tabs>
                <w:tab w:val="center" w:pos="8647"/>
              </w:tabs>
              <w:autoSpaceDE w:val="0"/>
              <w:autoSpaceDN w:val="0"/>
              <w:adjustRightInd w:val="0"/>
              <w:jc w:val="center"/>
              <w:rPr>
                <w:sz w:val="18"/>
                <w:szCs w:val="18"/>
              </w:rPr>
            </w:pPr>
            <w:r>
              <w:rPr>
                <w:sz w:val="18"/>
                <w:szCs w:val="18"/>
              </w:rPr>
              <w:t>5-10</w:t>
            </w:r>
          </w:p>
        </w:tc>
        <w:tc>
          <w:tcPr>
            <w:tcW w:w="992" w:type="dxa"/>
          </w:tcPr>
          <w:p w14:paraId="40AF6F64" w14:textId="77777777" w:rsidR="00013EDA" w:rsidRDefault="00013EDA" w:rsidP="0046013C">
            <w:pPr>
              <w:widowControl w:val="0"/>
              <w:tabs>
                <w:tab w:val="center" w:pos="8647"/>
              </w:tabs>
              <w:autoSpaceDE w:val="0"/>
              <w:autoSpaceDN w:val="0"/>
              <w:adjustRightInd w:val="0"/>
              <w:jc w:val="center"/>
              <w:rPr>
                <w:sz w:val="18"/>
                <w:szCs w:val="18"/>
              </w:rPr>
            </w:pPr>
          </w:p>
          <w:p w14:paraId="65C21338" w14:textId="25512E6A" w:rsidR="00013EDA" w:rsidRDefault="00013EDA" w:rsidP="0046013C">
            <w:pPr>
              <w:widowControl w:val="0"/>
              <w:tabs>
                <w:tab w:val="center" w:pos="8647"/>
              </w:tabs>
              <w:autoSpaceDE w:val="0"/>
              <w:autoSpaceDN w:val="0"/>
              <w:adjustRightInd w:val="0"/>
              <w:jc w:val="center"/>
              <w:rPr>
                <w:sz w:val="18"/>
                <w:szCs w:val="18"/>
              </w:rPr>
            </w:pPr>
            <w:r>
              <w:rPr>
                <w:sz w:val="18"/>
                <w:szCs w:val="18"/>
              </w:rPr>
              <w:t>5-10</w:t>
            </w:r>
          </w:p>
        </w:tc>
      </w:tr>
      <w:tr w:rsidR="00013EDA" w14:paraId="3E79CDDE" w14:textId="77777777" w:rsidTr="00DC0FA7">
        <w:tc>
          <w:tcPr>
            <w:tcW w:w="2581" w:type="dxa"/>
            <w:vAlign w:val="center"/>
          </w:tcPr>
          <w:p w14:paraId="7801D8B8" w14:textId="77777777" w:rsidR="00013EDA" w:rsidRDefault="00013EDA" w:rsidP="00013EDA">
            <w:pPr>
              <w:rPr>
                <w:sz w:val="18"/>
                <w:szCs w:val="18"/>
              </w:rPr>
            </w:pPr>
            <w:r>
              <w:rPr>
                <w:b/>
                <w:sz w:val="18"/>
                <w:szCs w:val="18"/>
              </w:rPr>
              <w:t>Mr Jonathan Kearney</w:t>
            </w:r>
            <w:r>
              <w:rPr>
                <w:sz w:val="18"/>
                <w:szCs w:val="18"/>
              </w:rPr>
              <w:t xml:space="preserve"> Commissioner </w:t>
            </w:r>
          </w:p>
          <w:p w14:paraId="79E408F2" w14:textId="77777777" w:rsidR="00013EDA" w:rsidRPr="001D785A" w:rsidRDefault="00013EDA" w:rsidP="00013EDA">
            <w:pPr>
              <w:rPr>
                <w:sz w:val="18"/>
                <w:szCs w:val="18"/>
              </w:rPr>
            </w:pPr>
          </w:p>
        </w:tc>
        <w:tc>
          <w:tcPr>
            <w:tcW w:w="850" w:type="dxa"/>
          </w:tcPr>
          <w:p w14:paraId="3C3820BA" w14:textId="77777777" w:rsidR="00013EDA" w:rsidRDefault="00013EDA" w:rsidP="0046013C">
            <w:pPr>
              <w:widowControl w:val="0"/>
              <w:tabs>
                <w:tab w:val="center" w:pos="8647"/>
              </w:tabs>
              <w:autoSpaceDE w:val="0"/>
              <w:autoSpaceDN w:val="0"/>
              <w:adjustRightInd w:val="0"/>
              <w:jc w:val="center"/>
              <w:rPr>
                <w:sz w:val="18"/>
                <w:szCs w:val="18"/>
              </w:rPr>
            </w:pPr>
          </w:p>
          <w:p w14:paraId="252FEC32" w14:textId="505A54FC" w:rsidR="00760EB1" w:rsidRDefault="00760EB1" w:rsidP="0046013C">
            <w:pPr>
              <w:widowControl w:val="0"/>
              <w:tabs>
                <w:tab w:val="center" w:pos="8647"/>
              </w:tabs>
              <w:autoSpaceDE w:val="0"/>
              <w:autoSpaceDN w:val="0"/>
              <w:adjustRightInd w:val="0"/>
              <w:jc w:val="center"/>
              <w:rPr>
                <w:sz w:val="18"/>
                <w:szCs w:val="18"/>
              </w:rPr>
            </w:pPr>
            <w:r>
              <w:rPr>
                <w:sz w:val="18"/>
                <w:szCs w:val="18"/>
              </w:rPr>
              <w:t>5-10</w:t>
            </w:r>
          </w:p>
          <w:p w14:paraId="504C604D" w14:textId="2B19ED35" w:rsidR="00013EDA" w:rsidRDefault="00013EDA" w:rsidP="0046013C">
            <w:pPr>
              <w:widowControl w:val="0"/>
              <w:tabs>
                <w:tab w:val="center" w:pos="8647"/>
              </w:tabs>
              <w:autoSpaceDE w:val="0"/>
              <w:autoSpaceDN w:val="0"/>
              <w:adjustRightInd w:val="0"/>
              <w:jc w:val="center"/>
              <w:rPr>
                <w:sz w:val="18"/>
                <w:szCs w:val="18"/>
              </w:rPr>
            </w:pPr>
          </w:p>
        </w:tc>
        <w:tc>
          <w:tcPr>
            <w:tcW w:w="851" w:type="dxa"/>
          </w:tcPr>
          <w:p w14:paraId="4ECABDD6" w14:textId="77777777" w:rsidR="00013EDA" w:rsidRDefault="00013EDA" w:rsidP="0046013C">
            <w:pPr>
              <w:widowControl w:val="0"/>
              <w:tabs>
                <w:tab w:val="center" w:pos="8647"/>
              </w:tabs>
              <w:autoSpaceDE w:val="0"/>
              <w:autoSpaceDN w:val="0"/>
              <w:adjustRightInd w:val="0"/>
              <w:jc w:val="center"/>
              <w:rPr>
                <w:sz w:val="18"/>
                <w:szCs w:val="18"/>
              </w:rPr>
            </w:pPr>
          </w:p>
          <w:p w14:paraId="236E5342" w14:textId="52E18B37" w:rsidR="00013EDA" w:rsidRDefault="00013EDA" w:rsidP="0046013C">
            <w:pPr>
              <w:widowControl w:val="0"/>
              <w:tabs>
                <w:tab w:val="center" w:pos="8647"/>
              </w:tabs>
              <w:autoSpaceDE w:val="0"/>
              <w:autoSpaceDN w:val="0"/>
              <w:adjustRightInd w:val="0"/>
              <w:jc w:val="center"/>
              <w:rPr>
                <w:sz w:val="18"/>
                <w:szCs w:val="18"/>
              </w:rPr>
            </w:pPr>
            <w:r>
              <w:rPr>
                <w:sz w:val="18"/>
                <w:szCs w:val="18"/>
              </w:rPr>
              <w:t>5-10</w:t>
            </w:r>
          </w:p>
        </w:tc>
        <w:tc>
          <w:tcPr>
            <w:tcW w:w="850" w:type="dxa"/>
          </w:tcPr>
          <w:p w14:paraId="5A7CD54E" w14:textId="77777777" w:rsidR="00013EDA" w:rsidRDefault="00013EDA" w:rsidP="0046013C">
            <w:pPr>
              <w:widowControl w:val="0"/>
              <w:tabs>
                <w:tab w:val="center" w:pos="8647"/>
              </w:tabs>
              <w:autoSpaceDE w:val="0"/>
              <w:autoSpaceDN w:val="0"/>
              <w:adjustRightInd w:val="0"/>
              <w:jc w:val="center"/>
              <w:rPr>
                <w:sz w:val="18"/>
                <w:szCs w:val="18"/>
              </w:rPr>
            </w:pPr>
          </w:p>
          <w:p w14:paraId="020FF25F" w14:textId="6C3B0F4C" w:rsidR="00013EDA" w:rsidRDefault="002667DD"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31E5595C" w14:textId="77777777" w:rsidR="00013EDA" w:rsidRDefault="00013EDA" w:rsidP="0046013C">
            <w:pPr>
              <w:widowControl w:val="0"/>
              <w:tabs>
                <w:tab w:val="center" w:pos="8647"/>
              </w:tabs>
              <w:autoSpaceDE w:val="0"/>
              <w:autoSpaceDN w:val="0"/>
              <w:adjustRightInd w:val="0"/>
              <w:jc w:val="center"/>
              <w:rPr>
                <w:sz w:val="18"/>
                <w:szCs w:val="18"/>
              </w:rPr>
            </w:pPr>
          </w:p>
          <w:p w14:paraId="66EF21B6" w14:textId="46A1FA0F" w:rsidR="00013EDA" w:rsidRDefault="00013EDA" w:rsidP="0046013C">
            <w:pPr>
              <w:widowControl w:val="0"/>
              <w:tabs>
                <w:tab w:val="center" w:pos="8647"/>
              </w:tabs>
              <w:autoSpaceDE w:val="0"/>
              <w:autoSpaceDN w:val="0"/>
              <w:adjustRightInd w:val="0"/>
              <w:jc w:val="center"/>
              <w:rPr>
                <w:sz w:val="18"/>
                <w:szCs w:val="18"/>
              </w:rPr>
            </w:pPr>
            <w:r>
              <w:rPr>
                <w:sz w:val="18"/>
                <w:szCs w:val="18"/>
              </w:rPr>
              <w:t>100</w:t>
            </w:r>
          </w:p>
        </w:tc>
        <w:tc>
          <w:tcPr>
            <w:tcW w:w="992" w:type="dxa"/>
          </w:tcPr>
          <w:p w14:paraId="6F2B11F7" w14:textId="77777777" w:rsidR="00013EDA" w:rsidRDefault="00013EDA" w:rsidP="0046013C">
            <w:pPr>
              <w:widowControl w:val="0"/>
              <w:tabs>
                <w:tab w:val="center" w:pos="8647"/>
              </w:tabs>
              <w:autoSpaceDE w:val="0"/>
              <w:autoSpaceDN w:val="0"/>
              <w:adjustRightInd w:val="0"/>
              <w:jc w:val="center"/>
              <w:rPr>
                <w:sz w:val="18"/>
                <w:szCs w:val="18"/>
              </w:rPr>
            </w:pPr>
          </w:p>
          <w:p w14:paraId="6AD5A528" w14:textId="625D168E" w:rsidR="003D1DAB" w:rsidRDefault="003D1DAB"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7D869157" w14:textId="77777777" w:rsidR="00013EDA" w:rsidRDefault="00013EDA" w:rsidP="0046013C">
            <w:pPr>
              <w:widowControl w:val="0"/>
              <w:tabs>
                <w:tab w:val="center" w:pos="8647"/>
              </w:tabs>
              <w:autoSpaceDE w:val="0"/>
              <w:autoSpaceDN w:val="0"/>
              <w:adjustRightInd w:val="0"/>
              <w:jc w:val="center"/>
              <w:rPr>
                <w:sz w:val="18"/>
                <w:szCs w:val="18"/>
              </w:rPr>
            </w:pPr>
          </w:p>
          <w:p w14:paraId="75288C88" w14:textId="2E82A6D9"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3" w:type="dxa"/>
          </w:tcPr>
          <w:p w14:paraId="04D2BC80" w14:textId="77777777" w:rsidR="00013EDA" w:rsidRDefault="00013EDA" w:rsidP="0046013C">
            <w:pPr>
              <w:widowControl w:val="0"/>
              <w:tabs>
                <w:tab w:val="center" w:pos="8647"/>
              </w:tabs>
              <w:autoSpaceDE w:val="0"/>
              <w:autoSpaceDN w:val="0"/>
              <w:adjustRightInd w:val="0"/>
              <w:jc w:val="center"/>
              <w:rPr>
                <w:sz w:val="18"/>
                <w:szCs w:val="18"/>
              </w:rPr>
            </w:pPr>
          </w:p>
          <w:p w14:paraId="4878170A" w14:textId="0E4AFB2F" w:rsidR="0046013C" w:rsidRDefault="0046013C" w:rsidP="0046013C">
            <w:pPr>
              <w:widowControl w:val="0"/>
              <w:tabs>
                <w:tab w:val="center" w:pos="8647"/>
              </w:tabs>
              <w:autoSpaceDE w:val="0"/>
              <w:autoSpaceDN w:val="0"/>
              <w:adjustRightInd w:val="0"/>
              <w:jc w:val="center"/>
              <w:rPr>
                <w:sz w:val="18"/>
                <w:szCs w:val="18"/>
              </w:rPr>
            </w:pPr>
            <w:r>
              <w:rPr>
                <w:sz w:val="18"/>
                <w:szCs w:val="18"/>
              </w:rPr>
              <w:t>5-10</w:t>
            </w:r>
          </w:p>
        </w:tc>
        <w:tc>
          <w:tcPr>
            <w:tcW w:w="992" w:type="dxa"/>
          </w:tcPr>
          <w:p w14:paraId="434892FB" w14:textId="77777777" w:rsidR="00013EDA" w:rsidRDefault="00013EDA" w:rsidP="0046013C">
            <w:pPr>
              <w:widowControl w:val="0"/>
              <w:tabs>
                <w:tab w:val="center" w:pos="8647"/>
              </w:tabs>
              <w:autoSpaceDE w:val="0"/>
              <w:autoSpaceDN w:val="0"/>
              <w:adjustRightInd w:val="0"/>
              <w:jc w:val="center"/>
              <w:rPr>
                <w:sz w:val="18"/>
                <w:szCs w:val="18"/>
              </w:rPr>
            </w:pPr>
          </w:p>
          <w:p w14:paraId="4A26683D" w14:textId="523B8FA2" w:rsidR="00013EDA" w:rsidRDefault="00013EDA" w:rsidP="0046013C">
            <w:pPr>
              <w:widowControl w:val="0"/>
              <w:tabs>
                <w:tab w:val="center" w:pos="8647"/>
              </w:tabs>
              <w:autoSpaceDE w:val="0"/>
              <w:autoSpaceDN w:val="0"/>
              <w:adjustRightInd w:val="0"/>
              <w:jc w:val="center"/>
              <w:rPr>
                <w:sz w:val="18"/>
                <w:szCs w:val="18"/>
              </w:rPr>
            </w:pPr>
            <w:r>
              <w:rPr>
                <w:sz w:val="18"/>
                <w:szCs w:val="18"/>
              </w:rPr>
              <w:t>5-10</w:t>
            </w:r>
          </w:p>
        </w:tc>
      </w:tr>
      <w:tr w:rsidR="00013EDA" w14:paraId="10CF367D" w14:textId="77777777" w:rsidTr="00DC0FA7">
        <w:tc>
          <w:tcPr>
            <w:tcW w:w="2581" w:type="dxa"/>
            <w:vAlign w:val="center"/>
          </w:tcPr>
          <w:p w14:paraId="1CB0B922" w14:textId="77777777" w:rsidR="00013EDA" w:rsidRDefault="00013EDA" w:rsidP="00013EDA">
            <w:pPr>
              <w:rPr>
                <w:b/>
                <w:sz w:val="18"/>
                <w:szCs w:val="18"/>
              </w:rPr>
            </w:pPr>
            <w:r>
              <w:rPr>
                <w:b/>
                <w:sz w:val="18"/>
                <w:szCs w:val="18"/>
              </w:rPr>
              <w:t>Mr Justin Kouame</w:t>
            </w:r>
          </w:p>
          <w:p w14:paraId="1CD08308" w14:textId="5EFBA10D" w:rsidR="00013EDA" w:rsidRDefault="00013EDA" w:rsidP="00013EDA">
            <w:pPr>
              <w:rPr>
                <w:bCs/>
                <w:sz w:val="18"/>
                <w:szCs w:val="18"/>
              </w:rPr>
            </w:pPr>
            <w:r w:rsidRPr="00863A14">
              <w:rPr>
                <w:bCs/>
                <w:sz w:val="18"/>
                <w:szCs w:val="18"/>
              </w:rPr>
              <w:t>Commissioner</w:t>
            </w:r>
          </w:p>
          <w:p w14:paraId="1B7ADC81" w14:textId="3AFAD0C4" w:rsidR="00013EDA" w:rsidRPr="00863A14" w:rsidRDefault="00013EDA" w:rsidP="00013EDA">
            <w:pPr>
              <w:rPr>
                <w:bCs/>
                <w:sz w:val="18"/>
                <w:szCs w:val="18"/>
              </w:rPr>
            </w:pPr>
            <w:r>
              <w:rPr>
                <w:bCs/>
                <w:sz w:val="18"/>
                <w:szCs w:val="18"/>
              </w:rPr>
              <w:t>(from 1 September 2022)</w:t>
            </w:r>
          </w:p>
          <w:p w14:paraId="22C7DF4B" w14:textId="2375EE0E" w:rsidR="00013EDA" w:rsidRDefault="00013EDA" w:rsidP="00013EDA">
            <w:pPr>
              <w:rPr>
                <w:b/>
                <w:sz w:val="18"/>
                <w:szCs w:val="18"/>
              </w:rPr>
            </w:pPr>
          </w:p>
        </w:tc>
        <w:tc>
          <w:tcPr>
            <w:tcW w:w="850" w:type="dxa"/>
          </w:tcPr>
          <w:p w14:paraId="71BCD025" w14:textId="77777777" w:rsidR="00013EDA" w:rsidRDefault="00013EDA" w:rsidP="0046013C">
            <w:pPr>
              <w:widowControl w:val="0"/>
              <w:tabs>
                <w:tab w:val="center" w:pos="8647"/>
              </w:tabs>
              <w:autoSpaceDE w:val="0"/>
              <w:autoSpaceDN w:val="0"/>
              <w:adjustRightInd w:val="0"/>
              <w:jc w:val="center"/>
              <w:rPr>
                <w:sz w:val="18"/>
                <w:szCs w:val="18"/>
              </w:rPr>
            </w:pPr>
          </w:p>
          <w:p w14:paraId="68CE0481" w14:textId="089E2EDC" w:rsidR="00760EB1" w:rsidRDefault="00760EB1" w:rsidP="0046013C">
            <w:pPr>
              <w:widowControl w:val="0"/>
              <w:tabs>
                <w:tab w:val="center" w:pos="8647"/>
              </w:tabs>
              <w:autoSpaceDE w:val="0"/>
              <w:autoSpaceDN w:val="0"/>
              <w:adjustRightInd w:val="0"/>
              <w:jc w:val="center"/>
              <w:rPr>
                <w:sz w:val="18"/>
                <w:szCs w:val="18"/>
              </w:rPr>
            </w:pPr>
            <w:r>
              <w:rPr>
                <w:sz w:val="18"/>
                <w:szCs w:val="18"/>
              </w:rPr>
              <w:t>0-5</w:t>
            </w:r>
            <w:r>
              <w:rPr>
                <w:rStyle w:val="FootnoteReference"/>
                <w:sz w:val="18"/>
                <w:szCs w:val="18"/>
              </w:rPr>
              <w:footnoteReference w:id="14"/>
            </w:r>
          </w:p>
        </w:tc>
        <w:tc>
          <w:tcPr>
            <w:tcW w:w="851" w:type="dxa"/>
          </w:tcPr>
          <w:p w14:paraId="428FB4E9" w14:textId="77777777" w:rsidR="00013EDA" w:rsidRDefault="00013EDA" w:rsidP="0046013C">
            <w:pPr>
              <w:widowControl w:val="0"/>
              <w:tabs>
                <w:tab w:val="center" w:pos="8647"/>
              </w:tabs>
              <w:autoSpaceDE w:val="0"/>
              <w:autoSpaceDN w:val="0"/>
              <w:adjustRightInd w:val="0"/>
              <w:jc w:val="center"/>
              <w:rPr>
                <w:sz w:val="18"/>
                <w:szCs w:val="18"/>
              </w:rPr>
            </w:pPr>
          </w:p>
        </w:tc>
        <w:tc>
          <w:tcPr>
            <w:tcW w:w="850" w:type="dxa"/>
          </w:tcPr>
          <w:p w14:paraId="34E9A34D" w14:textId="77777777" w:rsidR="00013EDA" w:rsidRDefault="00013EDA" w:rsidP="0046013C">
            <w:pPr>
              <w:widowControl w:val="0"/>
              <w:tabs>
                <w:tab w:val="center" w:pos="8647"/>
              </w:tabs>
              <w:autoSpaceDE w:val="0"/>
              <w:autoSpaceDN w:val="0"/>
              <w:adjustRightInd w:val="0"/>
              <w:jc w:val="center"/>
              <w:rPr>
                <w:sz w:val="18"/>
                <w:szCs w:val="18"/>
              </w:rPr>
            </w:pPr>
          </w:p>
          <w:p w14:paraId="1E1C25A4" w14:textId="022A9F76"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43D14F69" w14:textId="77777777" w:rsidR="00013EDA" w:rsidRDefault="00013EDA" w:rsidP="0046013C">
            <w:pPr>
              <w:widowControl w:val="0"/>
              <w:tabs>
                <w:tab w:val="center" w:pos="8647"/>
              </w:tabs>
              <w:autoSpaceDE w:val="0"/>
              <w:autoSpaceDN w:val="0"/>
              <w:adjustRightInd w:val="0"/>
              <w:jc w:val="center"/>
              <w:rPr>
                <w:sz w:val="18"/>
                <w:szCs w:val="18"/>
              </w:rPr>
            </w:pPr>
          </w:p>
          <w:p w14:paraId="38DCB3A2" w14:textId="4FE0453D"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49089E91" w14:textId="77777777" w:rsidR="00013EDA" w:rsidRDefault="00013EDA" w:rsidP="0046013C">
            <w:pPr>
              <w:widowControl w:val="0"/>
              <w:tabs>
                <w:tab w:val="center" w:pos="8647"/>
              </w:tabs>
              <w:autoSpaceDE w:val="0"/>
              <w:autoSpaceDN w:val="0"/>
              <w:adjustRightInd w:val="0"/>
              <w:jc w:val="center"/>
              <w:rPr>
                <w:sz w:val="18"/>
                <w:szCs w:val="18"/>
              </w:rPr>
            </w:pPr>
          </w:p>
          <w:p w14:paraId="05E42A64" w14:textId="6AB80C1F" w:rsidR="003D1DAB" w:rsidRDefault="003D1DAB"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6AA2B1E2" w14:textId="77777777" w:rsidR="00013EDA" w:rsidRDefault="00013EDA" w:rsidP="0046013C">
            <w:pPr>
              <w:widowControl w:val="0"/>
              <w:tabs>
                <w:tab w:val="center" w:pos="8647"/>
              </w:tabs>
              <w:autoSpaceDE w:val="0"/>
              <w:autoSpaceDN w:val="0"/>
              <w:adjustRightInd w:val="0"/>
              <w:jc w:val="center"/>
              <w:rPr>
                <w:sz w:val="18"/>
                <w:szCs w:val="18"/>
              </w:rPr>
            </w:pPr>
          </w:p>
          <w:p w14:paraId="1D3AFE52" w14:textId="7E8F0AC8" w:rsidR="003D1DAB" w:rsidRDefault="003D1DAB" w:rsidP="0046013C">
            <w:pPr>
              <w:widowControl w:val="0"/>
              <w:tabs>
                <w:tab w:val="center" w:pos="8647"/>
              </w:tabs>
              <w:autoSpaceDE w:val="0"/>
              <w:autoSpaceDN w:val="0"/>
              <w:adjustRightInd w:val="0"/>
              <w:jc w:val="center"/>
              <w:rPr>
                <w:sz w:val="18"/>
                <w:szCs w:val="18"/>
              </w:rPr>
            </w:pPr>
            <w:r>
              <w:rPr>
                <w:sz w:val="18"/>
                <w:szCs w:val="18"/>
              </w:rPr>
              <w:t>-</w:t>
            </w:r>
          </w:p>
        </w:tc>
        <w:tc>
          <w:tcPr>
            <w:tcW w:w="993" w:type="dxa"/>
          </w:tcPr>
          <w:p w14:paraId="37291D7C" w14:textId="77777777" w:rsidR="00013EDA" w:rsidRDefault="00013EDA" w:rsidP="0046013C">
            <w:pPr>
              <w:widowControl w:val="0"/>
              <w:tabs>
                <w:tab w:val="center" w:pos="8647"/>
              </w:tabs>
              <w:autoSpaceDE w:val="0"/>
              <w:autoSpaceDN w:val="0"/>
              <w:adjustRightInd w:val="0"/>
              <w:jc w:val="center"/>
              <w:rPr>
                <w:sz w:val="18"/>
                <w:szCs w:val="18"/>
              </w:rPr>
            </w:pPr>
          </w:p>
          <w:p w14:paraId="7B3B47E8" w14:textId="3A166369" w:rsidR="0046013C" w:rsidRDefault="0046013C" w:rsidP="0046013C">
            <w:pPr>
              <w:widowControl w:val="0"/>
              <w:tabs>
                <w:tab w:val="center" w:pos="8647"/>
              </w:tabs>
              <w:autoSpaceDE w:val="0"/>
              <w:autoSpaceDN w:val="0"/>
              <w:adjustRightInd w:val="0"/>
              <w:jc w:val="center"/>
              <w:rPr>
                <w:sz w:val="18"/>
                <w:szCs w:val="18"/>
              </w:rPr>
            </w:pPr>
            <w:r>
              <w:rPr>
                <w:sz w:val="18"/>
                <w:szCs w:val="18"/>
              </w:rPr>
              <w:t>0-5</w:t>
            </w:r>
          </w:p>
        </w:tc>
        <w:tc>
          <w:tcPr>
            <w:tcW w:w="992" w:type="dxa"/>
          </w:tcPr>
          <w:p w14:paraId="30AB64C0" w14:textId="77777777" w:rsidR="00013EDA" w:rsidRDefault="00013EDA" w:rsidP="0046013C">
            <w:pPr>
              <w:widowControl w:val="0"/>
              <w:tabs>
                <w:tab w:val="center" w:pos="8647"/>
              </w:tabs>
              <w:autoSpaceDE w:val="0"/>
              <w:autoSpaceDN w:val="0"/>
              <w:adjustRightInd w:val="0"/>
              <w:jc w:val="center"/>
              <w:rPr>
                <w:sz w:val="18"/>
                <w:szCs w:val="18"/>
              </w:rPr>
            </w:pPr>
          </w:p>
          <w:p w14:paraId="2C42915C" w14:textId="3A44D53E" w:rsidR="0046013C" w:rsidRDefault="0046013C" w:rsidP="0046013C">
            <w:pPr>
              <w:widowControl w:val="0"/>
              <w:tabs>
                <w:tab w:val="center" w:pos="8647"/>
              </w:tabs>
              <w:autoSpaceDE w:val="0"/>
              <w:autoSpaceDN w:val="0"/>
              <w:adjustRightInd w:val="0"/>
              <w:jc w:val="center"/>
              <w:rPr>
                <w:sz w:val="18"/>
                <w:szCs w:val="18"/>
              </w:rPr>
            </w:pPr>
            <w:r>
              <w:rPr>
                <w:sz w:val="18"/>
                <w:szCs w:val="18"/>
              </w:rPr>
              <w:t>-</w:t>
            </w:r>
          </w:p>
        </w:tc>
      </w:tr>
      <w:tr w:rsidR="00013EDA" w14:paraId="30921300" w14:textId="77777777" w:rsidTr="00DC0FA7">
        <w:tc>
          <w:tcPr>
            <w:tcW w:w="2581" w:type="dxa"/>
            <w:vAlign w:val="center"/>
          </w:tcPr>
          <w:p w14:paraId="61DB9217" w14:textId="77777777" w:rsidR="00013EDA" w:rsidRDefault="00013EDA" w:rsidP="00013EDA">
            <w:pPr>
              <w:rPr>
                <w:b/>
                <w:sz w:val="18"/>
                <w:szCs w:val="18"/>
              </w:rPr>
            </w:pPr>
            <w:r>
              <w:rPr>
                <w:b/>
                <w:sz w:val="18"/>
                <w:szCs w:val="18"/>
              </w:rPr>
              <w:t>Mr David A Lavery CB</w:t>
            </w:r>
          </w:p>
          <w:p w14:paraId="3F807165" w14:textId="77777777" w:rsidR="00013EDA" w:rsidRDefault="00013EDA" w:rsidP="00013EDA">
            <w:pPr>
              <w:rPr>
                <w:sz w:val="18"/>
                <w:szCs w:val="18"/>
              </w:rPr>
            </w:pPr>
            <w:r>
              <w:rPr>
                <w:sz w:val="18"/>
                <w:szCs w:val="18"/>
              </w:rPr>
              <w:t xml:space="preserve">Commissioner </w:t>
            </w:r>
          </w:p>
          <w:p w14:paraId="3D8AFEE4" w14:textId="77777777" w:rsidR="00013EDA" w:rsidRPr="001D785A" w:rsidRDefault="00013EDA" w:rsidP="00013EDA">
            <w:pPr>
              <w:rPr>
                <w:sz w:val="18"/>
                <w:szCs w:val="18"/>
              </w:rPr>
            </w:pPr>
          </w:p>
        </w:tc>
        <w:tc>
          <w:tcPr>
            <w:tcW w:w="850" w:type="dxa"/>
          </w:tcPr>
          <w:p w14:paraId="18614A72" w14:textId="77777777" w:rsidR="00013EDA" w:rsidRDefault="00013EDA" w:rsidP="0046013C">
            <w:pPr>
              <w:widowControl w:val="0"/>
              <w:tabs>
                <w:tab w:val="center" w:pos="8647"/>
              </w:tabs>
              <w:autoSpaceDE w:val="0"/>
              <w:autoSpaceDN w:val="0"/>
              <w:adjustRightInd w:val="0"/>
              <w:jc w:val="center"/>
              <w:rPr>
                <w:sz w:val="18"/>
                <w:szCs w:val="18"/>
              </w:rPr>
            </w:pPr>
          </w:p>
          <w:p w14:paraId="6771B42E" w14:textId="31FE9E6A" w:rsidR="00013EDA" w:rsidRDefault="00760EB1" w:rsidP="0046013C">
            <w:pPr>
              <w:widowControl w:val="0"/>
              <w:tabs>
                <w:tab w:val="center" w:pos="8647"/>
              </w:tabs>
              <w:autoSpaceDE w:val="0"/>
              <w:autoSpaceDN w:val="0"/>
              <w:adjustRightInd w:val="0"/>
              <w:jc w:val="center"/>
              <w:rPr>
                <w:sz w:val="18"/>
                <w:szCs w:val="18"/>
              </w:rPr>
            </w:pPr>
            <w:r>
              <w:rPr>
                <w:sz w:val="18"/>
                <w:szCs w:val="18"/>
              </w:rPr>
              <w:t>5-10</w:t>
            </w:r>
          </w:p>
        </w:tc>
        <w:tc>
          <w:tcPr>
            <w:tcW w:w="851" w:type="dxa"/>
          </w:tcPr>
          <w:p w14:paraId="5F6D8287" w14:textId="77777777" w:rsidR="00013EDA" w:rsidRDefault="00013EDA" w:rsidP="0046013C">
            <w:pPr>
              <w:widowControl w:val="0"/>
              <w:tabs>
                <w:tab w:val="center" w:pos="8647"/>
              </w:tabs>
              <w:autoSpaceDE w:val="0"/>
              <w:autoSpaceDN w:val="0"/>
              <w:adjustRightInd w:val="0"/>
              <w:jc w:val="center"/>
              <w:rPr>
                <w:sz w:val="18"/>
                <w:szCs w:val="18"/>
              </w:rPr>
            </w:pPr>
          </w:p>
          <w:p w14:paraId="57755855" w14:textId="0735612B" w:rsidR="00013EDA" w:rsidRDefault="00013EDA" w:rsidP="0046013C">
            <w:pPr>
              <w:widowControl w:val="0"/>
              <w:tabs>
                <w:tab w:val="center" w:pos="8647"/>
              </w:tabs>
              <w:autoSpaceDE w:val="0"/>
              <w:autoSpaceDN w:val="0"/>
              <w:adjustRightInd w:val="0"/>
              <w:jc w:val="center"/>
              <w:rPr>
                <w:sz w:val="18"/>
                <w:szCs w:val="18"/>
              </w:rPr>
            </w:pPr>
            <w:r>
              <w:rPr>
                <w:sz w:val="18"/>
                <w:szCs w:val="18"/>
              </w:rPr>
              <w:t>5-10</w:t>
            </w:r>
          </w:p>
        </w:tc>
        <w:tc>
          <w:tcPr>
            <w:tcW w:w="850" w:type="dxa"/>
          </w:tcPr>
          <w:p w14:paraId="4BCA8B32" w14:textId="77777777" w:rsidR="00013EDA" w:rsidRDefault="00013EDA" w:rsidP="0046013C">
            <w:pPr>
              <w:widowControl w:val="0"/>
              <w:tabs>
                <w:tab w:val="center" w:pos="8647"/>
              </w:tabs>
              <w:autoSpaceDE w:val="0"/>
              <w:autoSpaceDN w:val="0"/>
              <w:adjustRightInd w:val="0"/>
              <w:jc w:val="center"/>
              <w:rPr>
                <w:sz w:val="18"/>
                <w:szCs w:val="18"/>
              </w:rPr>
            </w:pPr>
          </w:p>
          <w:p w14:paraId="344AE098" w14:textId="77777777"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3EE0DDDB" w14:textId="77777777" w:rsidR="00013EDA" w:rsidRDefault="00013EDA" w:rsidP="0046013C">
            <w:pPr>
              <w:widowControl w:val="0"/>
              <w:tabs>
                <w:tab w:val="center" w:pos="8647"/>
              </w:tabs>
              <w:autoSpaceDE w:val="0"/>
              <w:autoSpaceDN w:val="0"/>
              <w:adjustRightInd w:val="0"/>
              <w:jc w:val="center"/>
              <w:rPr>
                <w:sz w:val="18"/>
                <w:szCs w:val="18"/>
              </w:rPr>
            </w:pPr>
          </w:p>
          <w:p w14:paraId="37470BAA" w14:textId="53ABF1C6"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2B5AE6D2" w14:textId="77777777" w:rsidR="00013EDA" w:rsidRDefault="00013EDA" w:rsidP="0046013C">
            <w:pPr>
              <w:widowControl w:val="0"/>
              <w:tabs>
                <w:tab w:val="center" w:pos="8647"/>
              </w:tabs>
              <w:autoSpaceDE w:val="0"/>
              <w:autoSpaceDN w:val="0"/>
              <w:adjustRightInd w:val="0"/>
              <w:jc w:val="center"/>
              <w:rPr>
                <w:sz w:val="18"/>
                <w:szCs w:val="18"/>
              </w:rPr>
            </w:pPr>
          </w:p>
          <w:p w14:paraId="36FAECBF" w14:textId="5955DFD4" w:rsidR="003D1DAB" w:rsidRDefault="003D1DAB"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0A4D8D6F" w14:textId="77777777" w:rsidR="00013EDA" w:rsidRDefault="00013EDA" w:rsidP="0046013C">
            <w:pPr>
              <w:widowControl w:val="0"/>
              <w:tabs>
                <w:tab w:val="center" w:pos="8647"/>
              </w:tabs>
              <w:autoSpaceDE w:val="0"/>
              <w:autoSpaceDN w:val="0"/>
              <w:adjustRightInd w:val="0"/>
              <w:jc w:val="center"/>
              <w:rPr>
                <w:sz w:val="18"/>
                <w:szCs w:val="18"/>
              </w:rPr>
            </w:pPr>
          </w:p>
          <w:p w14:paraId="1FB7EB1E" w14:textId="5C379E3C"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3" w:type="dxa"/>
          </w:tcPr>
          <w:p w14:paraId="3911C3B7" w14:textId="77777777" w:rsidR="00013EDA" w:rsidRDefault="00013EDA" w:rsidP="0046013C">
            <w:pPr>
              <w:widowControl w:val="0"/>
              <w:tabs>
                <w:tab w:val="center" w:pos="8647"/>
              </w:tabs>
              <w:autoSpaceDE w:val="0"/>
              <w:autoSpaceDN w:val="0"/>
              <w:adjustRightInd w:val="0"/>
              <w:jc w:val="center"/>
              <w:rPr>
                <w:sz w:val="18"/>
                <w:szCs w:val="18"/>
              </w:rPr>
            </w:pPr>
          </w:p>
          <w:p w14:paraId="0350BA2E" w14:textId="0C1E432E" w:rsidR="0046013C" w:rsidRDefault="0046013C" w:rsidP="0046013C">
            <w:pPr>
              <w:widowControl w:val="0"/>
              <w:tabs>
                <w:tab w:val="center" w:pos="8647"/>
              </w:tabs>
              <w:autoSpaceDE w:val="0"/>
              <w:autoSpaceDN w:val="0"/>
              <w:adjustRightInd w:val="0"/>
              <w:jc w:val="center"/>
              <w:rPr>
                <w:sz w:val="18"/>
                <w:szCs w:val="18"/>
              </w:rPr>
            </w:pPr>
            <w:r>
              <w:rPr>
                <w:sz w:val="18"/>
                <w:szCs w:val="18"/>
              </w:rPr>
              <w:t>5-10</w:t>
            </w:r>
          </w:p>
        </w:tc>
        <w:tc>
          <w:tcPr>
            <w:tcW w:w="992" w:type="dxa"/>
          </w:tcPr>
          <w:p w14:paraId="35EAF144" w14:textId="77777777" w:rsidR="00013EDA" w:rsidRDefault="00013EDA" w:rsidP="0046013C">
            <w:pPr>
              <w:widowControl w:val="0"/>
              <w:tabs>
                <w:tab w:val="center" w:pos="8647"/>
              </w:tabs>
              <w:autoSpaceDE w:val="0"/>
              <w:autoSpaceDN w:val="0"/>
              <w:adjustRightInd w:val="0"/>
              <w:jc w:val="center"/>
              <w:rPr>
                <w:sz w:val="18"/>
                <w:szCs w:val="18"/>
              </w:rPr>
            </w:pPr>
          </w:p>
          <w:p w14:paraId="52B2CDE8" w14:textId="11368843" w:rsidR="00013EDA" w:rsidRDefault="00013EDA" w:rsidP="0046013C">
            <w:pPr>
              <w:widowControl w:val="0"/>
              <w:tabs>
                <w:tab w:val="center" w:pos="8647"/>
              </w:tabs>
              <w:autoSpaceDE w:val="0"/>
              <w:autoSpaceDN w:val="0"/>
              <w:adjustRightInd w:val="0"/>
              <w:jc w:val="center"/>
              <w:rPr>
                <w:sz w:val="18"/>
                <w:szCs w:val="18"/>
              </w:rPr>
            </w:pPr>
            <w:r>
              <w:rPr>
                <w:sz w:val="18"/>
                <w:szCs w:val="18"/>
              </w:rPr>
              <w:t>5-10</w:t>
            </w:r>
          </w:p>
        </w:tc>
      </w:tr>
      <w:tr w:rsidR="00013EDA" w14:paraId="62552E36" w14:textId="77777777" w:rsidTr="00DC0FA7">
        <w:tc>
          <w:tcPr>
            <w:tcW w:w="2581" w:type="dxa"/>
            <w:vAlign w:val="center"/>
          </w:tcPr>
          <w:p w14:paraId="39AAB4C7" w14:textId="77777777" w:rsidR="00013EDA" w:rsidRDefault="00013EDA" w:rsidP="00013EDA">
            <w:pPr>
              <w:rPr>
                <w:b/>
                <w:sz w:val="18"/>
                <w:szCs w:val="18"/>
              </w:rPr>
            </w:pPr>
            <w:r>
              <w:rPr>
                <w:b/>
                <w:sz w:val="18"/>
                <w:szCs w:val="18"/>
              </w:rPr>
              <w:t>Mr Stephen White OBE</w:t>
            </w:r>
          </w:p>
          <w:p w14:paraId="31E116A4" w14:textId="77777777" w:rsidR="00013EDA" w:rsidRDefault="00013EDA" w:rsidP="00013EDA">
            <w:pPr>
              <w:rPr>
                <w:sz w:val="18"/>
                <w:szCs w:val="18"/>
              </w:rPr>
            </w:pPr>
            <w:r>
              <w:rPr>
                <w:sz w:val="18"/>
                <w:szCs w:val="18"/>
              </w:rPr>
              <w:t xml:space="preserve">Commissioner </w:t>
            </w:r>
          </w:p>
          <w:p w14:paraId="696D355E" w14:textId="54DEE03A" w:rsidR="0046013C" w:rsidRPr="001D785A" w:rsidRDefault="0046013C" w:rsidP="00013EDA">
            <w:pPr>
              <w:rPr>
                <w:sz w:val="18"/>
                <w:szCs w:val="18"/>
              </w:rPr>
            </w:pPr>
          </w:p>
        </w:tc>
        <w:tc>
          <w:tcPr>
            <w:tcW w:w="850" w:type="dxa"/>
          </w:tcPr>
          <w:p w14:paraId="1DA535A3" w14:textId="77777777" w:rsidR="00013EDA" w:rsidRDefault="00013EDA" w:rsidP="0046013C">
            <w:pPr>
              <w:widowControl w:val="0"/>
              <w:tabs>
                <w:tab w:val="center" w:pos="8647"/>
              </w:tabs>
              <w:autoSpaceDE w:val="0"/>
              <w:autoSpaceDN w:val="0"/>
              <w:adjustRightInd w:val="0"/>
              <w:jc w:val="center"/>
              <w:rPr>
                <w:sz w:val="18"/>
                <w:szCs w:val="18"/>
              </w:rPr>
            </w:pPr>
          </w:p>
          <w:p w14:paraId="55366B2F" w14:textId="72A68F0A" w:rsidR="00760EB1" w:rsidRDefault="00760EB1" w:rsidP="0046013C">
            <w:pPr>
              <w:widowControl w:val="0"/>
              <w:tabs>
                <w:tab w:val="center" w:pos="8647"/>
              </w:tabs>
              <w:autoSpaceDE w:val="0"/>
              <w:autoSpaceDN w:val="0"/>
              <w:adjustRightInd w:val="0"/>
              <w:jc w:val="center"/>
              <w:rPr>
                <w:sz w:val="18"/>
                <w:szCs w:val="18"/>
              </w:rPr>
            </w:pPr>
            <w:r>
              <w:rPr>
                <w:sz w:val="18"/>
                <w:szCs w:val="18"/>
              </w:rPr>
              <w:t>5-10</w:t>
            </w:r>
          </w:p>
          <w:p w14:paraId="66076390" w14:textId="54D24CE0" w:rsidR="00013EDA" w:rsidRDefault="00013EDA" w:rsidP="0046013C">
            <w:pPr>
              <w:widowControl w:val="0"/>
              <w:tabs>
                <w:tab w:val="center" w:pos="8647"/>
              </w:tabs>
              <w:autoSpaceDE w:val="0"/>
              <w:autoSpaceDN w:val="0"/>
              <w:adjustRightInd w:val="0"/>
              <w:jc w:val="center"/>
              <w:rPr>
                <w:sz w:val="18"/>
                <w:szCs w:val="18"/>
              </w:rPr>
            </w:pPr>
          </w:p>
        </w:tc>
        <w:tc>
          <w:tcPr>
            <w:tcW w:w="851" w:type="dxa"/>
          </w:tcPr>
          <w:p w14:paraId="39A743A4" w14:textId="77777777" w:rsidR="00013EDA" w:rsidRDefault="00013EDA" w:rsidP="0046013C">
            <w:pPr>
              <w:widowControl w:val="0"/>
              <w:tabs>
                <w:tab w:val="center" w:pos="8647"/>
              </w:tabs>
              <w:autoSpaceDE w:val="0"/>
              <w:autoSpaceDN w:val="0"/>
              <w:adjustRightInd w:val="0"/>
              <w:jc w:val="center"/>
              <w:rPr>
                <w:sz w:val="18"/>
                <w:szCs w:val="18"/>
              </w:rPr>
            </w:pPr>
          </w:p>
          <w:p w14:paraId="01AF451E" w14:textId="60DAC77D" w:rsidR="00013EDA" w:rsidRDefault="00013EDA" w:rsidP="0046013C">
            <w:pPr>
              <w:widowControl w:val="0"/>
              <w:tabs>
                <w:tab w:val="center" w:pos="8647"/>
              </w:tabs>
              <w:autoSpaceDE w:val="0"/>
              <w:autoSpaceDN w:val="0"/>
              <w:adjustRightInd w:val="0"/>
              <w:jc w:val="center"/>
              <w:rPr>
                <w:sz w:val="18"/>
                <w:szCs w:val="18"/>
              </w:rPr>
            </w:pPr>
            <w:r>
              <w:rPr>
                <w:sz w:val="18"/>
                <w:szCs w:val="18"/>
              </w:rPr>
              <w:t>5-10</w:t>
            </w:r>
          </w:p>
        </w:tc>
        <w:tc>
          <w:tcPr>
            <w:tcW w:w="850" w:type="dxa"/>
          </w:tcPr>
          <w:p w14:paraId="3BFB4120" w14:textId="77777777" w:rsidR="00013EDA" w:rsidRDefault="00013EDA" w:rsidP="0046013C">
            <w:pPr>
              <w:widowControl w:val="0"/>
              <w:tabs>
                <w:tab w:val="center" w:pos="8647"/>
              </w:tabs>
              <w:autoSpaceDE w:val="0"/>
              <w:autoSpaceDN w:val="0"/>
              <w:adjustRightInd w:val="0"/>
              <w:jc w:val="center"/>
              <w:rPr>
                <w:sz w:val="18"/>
                <w:szCs w:val="18"/>
              </w:rPr>
            </w:pPr>
          </w:p>
          <w:p w14:paraId="79133832" w14:textId="631BC0CE" w:rsidR="00013EDA" w:rsidRDefault="002667DD" w:rsidP="0046013C">
            <w:pPr>
              <w:widowControl w:val="0"/>
              <w:tabs>
                <w:tab w:val="center" w:pos="8647"/>
              </w:tabs>
              <w:autoSpaceDE w:val="0"/>
              <w:autoSpaceDN w:val="0"/>
              <w:adjustRightInd w:val="0"/>
              <w:jc w:val="center"/>
              <w:rPr>
                <w:sz w:val="18"/>
                <w:szCs w:val="18"/>
              </w:rPr>
            </w:pPr>
            <w:r>
              <w:rPr>
                <w:sz w:val="18"/>
                <w:szCs w:val="18"/>
              </w:rPr>
              <w:t>-</w:t>
            </w:r>
          </w:p>
          <w:p w14:paraId="30FE4F6E" w14:textId="23B63DCE" w:rsidR="00013EDA" w:rsidRDefault="00013EDA" w:rsidP="0046013C">
            <w:pPr>
              <w:widowControl w:val="0"/>
              <w:tabs>
                <w:tab w:val="center" w:pos="8647"/>
              </w:tabs>
              <w:autoSpaceDE w:val="0"/>
              <w:autoSpaceDN w:val="0"/>
              <w:adjustRightInd w:val="0"/>
              <w:jc w:val="center"/>
              <w:rPr>
                <w:sz w:val="18"/>
                <w:szCs w:val="18"/>
              </w:rPr>
            </w:pPr>
          </w:p>
        </w:tc>
        <w:tc>
          <w:tcPr>
            <w:tcW w:w="851" w:type="dxa"/>
          </w:tcPr>
          <w:p w14:paraId="3DC044C9" w14:textId="77777777" w:rsidR="00013EDA" w:rsidRDefault="00013EDA" w:rsidP="0046013C">
            <w:pPr>
              <w:widowControl w:val="0"/>
              <w:tabs>
                <w:tab w:val="center" w:pos="8647"/>
              </w:tabs>
              <w:autoSpaceDE w:val="0"/>
              <w:autoSpaceDN w:val="0"/>
              <w:adjustRightInd w:val="0"/>
              <w:jc w:val="center"/>
              <w:rPr>
                <w:sz w:val="18"/>
                <w:szCs w:val="18"/>
              </w:rPr>
            </w:pPr>
          </w:p>
          <w:p w14:paraId="77599EB0" w14:textId="141BBA80" w:rsidR="00013EDA" w:rsidRDefault="00013EDA" w:rsidP="0046013C">
            <w:pPr>
              <w:widowControl w:val="0"/>
              <w:tabs>
                <w:tab w:val="center" w:pos="8647"/>
              </w:tabs>
              <w:autoSpaceDE w:val="0"/>
              <w:autoSpaceDN w:val="0"/>
              <w:adjustRightInd w:val="0"/>
              <w:jc w:val="center"/>
              <w:rPr>
                <w:sz w:val="18"/>
                <w:szCs w:val="18"/>
              </w:rPr>
            </w:pPr>
            <w:r>
              <w:rPr>
                <w:sz w:val="18"/>
                <w:szCs w:val="18"/>
              </w:rPr>
              <w:t>100</w:t>
            </w:r>
          </w:p>
        </w:tc>
        <w:tc>
          <w:tcPr>
            <w:tcW w:w="992" w:type="dxa"/>
          </w:tcPr>
          <w:p w14:paraId="053F3C3A" w14:textId="77777777" w:rsidR="00013EDA" w:rsidRDefault="00013EDA" w:rsidP="0046013C">
            <w:pPr>
              <w:widowControl w:val="0"/>
              <w:tabs>
                <w:tab w:val="center" w:pos="8647"/>
              </w:tabs>
              <w:autoSpaceDE w:val="0"/>
              <w:autoSpaceDN w:val="0"/>
              <w:adjustRightInd w:val="0"/>
              <w:jc w:val="center"/>
              <w:rPr>
                <w:sz w:val="18"/>
                <w:szCs w:val="18"/>
              </w:rPr>
            </w:pPr>
          </w:p>
          <w:p w14:paraId="0E3C2BF0" w14:textId="65F6236E" w:rsidR="003D1DAB" w:rsidRDefault="003D1DAB"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0A7D3A50" w14:textId="77777777" w:rsidR="00013EDA" w:rsidRDefault="00013EDA" w:rsidP="0046013C">
            <w:pPr>
              <w:widowControl w:val="0"/>
              <w:tabs>
                <w:tab w:val="center" w:pos="8647"/>
              </w:tabs>
              <w:autoSpaceDE w:val="0"/>
              <w:autoSpaceDN w:val="0"/>
              <w:adjustRightInd w:val="0"/>
              <w:jc w:val="center"/>
              <w:rPr>
                <w:sz w:val="18"/>
                <w:szCs w:val="18"/>
              </w:rPr>
            </w:pPr>
          </w:p>
          <w:p w14:paraId="66234CDD" w14:textId="0132B761"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3" w:type="dxa"/>
          </w:tcPr>
          <w:p w14:paraId="350F72AD" w14:textId="77777777" w:rsidR="00013EDA" w:rsidRDefault="00013EDA" w:rsidP="0046013C">
            <w:pPr>
              <w:widowControl w:val="0"/>
              <w:tabs>
                <w:tab w:val="center" w:pos="8647"/>
              </w:tabs>
              <w:autoSpaceDE w:val="0"/>
              <w:autoSpaceDN w:val="0"/>
              <w:adjustRightInd w:val="0"/>
              <w:jc w:val="center"/>
              <w:rPr>
                <w:sz w:val="18"/>
                <w:szCs w:val="18"/>
              </w:rPr>
            </w:pPr>
          </w:p>
          <w:p w14:paraId="44F9A3AE" w14:textId="7E7A9198" w:rsidR="0046013C" w:rsidRDefault="0046013C" w:rsidP="0046013C">
            <w:pPr>
              <w:widowControl w:val="0"/>
              <w:tabs>
                <w:tab w:val="center" w:pos="8647"/>
              </w:tabs>
              <w:autoSpaceDE w:val="0"/>
              <w:autoSpaceDN w:val="0"/>
              <w:adjustRightInd w:val="0"/>
              <w:jc w:val="center"/>
              <w:rPr>
                <w:sz w:val="18"/>
                <w:szCs w:val="18"/>
              </w:rPr>
            </w:pPr>
            <w:r>
              <w:rPr>
                <w:sz w:val="18"/>
                <w:szCs w:val="18"/>
              </w:rPr>
              <w:t>5-10</w:t>
            </w:r>
          </w:p>
        </w:tc>
        <w:tc>
          <w:tcPr>
            <w:tcW w:w="992" w:type="dxa"/>
          </w:tcPr>
          <w:p w14:paraId="0F2BC652" w14:textId="77777777" w:rsidR="00013EDA" w:rsidRDefault="00013EDA" w:rsidP="0046013C">
            <w:pPr>
              <w:widowControl w:val="0"/>
              <w:tabs>
                <w:tab w:val="center" w:pos="8647"/>
              </w:tabs>
              <w:autoSpaceDE w:val="0"/>
              <w:autoSpaceDN w:val="0"/>
              <w:adjustRightInd w:val="0"/>
              <w:jc w:val="center"/>
              <w:rPr>
                <w:sz w:val="18"/>
                <w:szCs w:val="18"/>
              </w:rPr>
            </w:pPr>
          </w:p>
          <w:p w14:paraId="53F7BE87" w14:textId="1D63E007" w:rsidR="00013EDA" w:rsidRDefault="00013EDA" w:rsidP="0046013C">
            <w:pPr>
              <w:widowControl w:val="0"/>
              <w:tabs>
                <w:tab w:val="center" w:pos="8647"/>
              </w:tabs>
              <w:autoSpaceDE w:val="0"/>
              <w:autoSpaceDN w:val="0"/>
              <w:adjustRightInd w:val="0"/>
              <w:jc w:val="center"/>
              <w:rPr>
                <w:sz w:val="18"/>
                <w:szCs w:val="18"/>
              </w:rPr>
            </w:pPr>
            <w:r>
              <w:rPr>
                <w:sz w:val="18"/>
                <w:szCs w:val="18"/>
              </w:rPr>
              <w:t>5-10</w:t>
            </w:r>
          </w:p>
        </w:tc>
      </w:tr>
      <w:tr w:rsidR="00013EDA" w14:paraId="0BD2A1B5" w14:textId="77777777" w:rsidTr="00DC0FA7">
        <w:tc>
          <w:tcPr>
            <w:tcW w:w="2581" w:type="dxa"/>
            <w:vAlign w:val="center"/>
          </w:tcPr>
          <w:p w14:paraId="37DBE48C" w14:textId="77777777" w:rsidR="00013EDA" w:rsidRDefault="00013EDA" w:rsidP="00013EDA">
            <w:pPr>
              <w:rPr>
                <w:b/>
                <w:sz w:val="18"/>
                <w:szCs w:val="18"/>
              </w:rPr>
            </w:pPr>
            <w:r>
              <w:rPr>
                <w:b/>
                <w:sz w:val="18"/>
                <w:szCs w:val="18"/>
              </w:rPr>
              <w:t>Ms Maura Muldoon</w:t>
            </w:r>
          </w:p>
          <w:p w14:paraId="09DBA7BA" w14:textId="77777777" w:rsidR="00013EDA" w:rsidRDefault="00013EDA" w:rsidP="00013EDA">
            <w:pPr>
              <w:rPr>
                <w:sz w:val="18"/>
                <w:szCs w:val="18"/>
              </w:rPr>
            </w:pPr>
            <w:r>
              <w:rPr>
                <w:sz w:val="18"/>
                <w:szCs w:val="18"/>
              </w:rPr>
              <w:t xml:space="preserve">Commissioner </w:t>
            </w:r>
          </w:p>
          <w:p w14:paraId="284D6843" w14:textId="77777777" w:rsidR="0046013C" w:rsidRDefault="00013EDA" w:rsidP="00013EDA">
            <w:pPr>
              <w:rPr>
                <w:sz w:val="18"/>
                <w:szCs w:val="18"/>
              </w:rPr>
            </w:pPr>
            <w:r>
              <w:rPr>
                <w:sz w:val="18"/>
                <w:szCs w:val="18"/>
              </w:rPr>
              <w:t>(until 31 August 2021)</w:t>
            </w:r>
          </w:p>
          <w:p w14:paraId="01D1C7D8" w14:textId="1E9481B9" w:rsidR="00DC0FA7" w:rsidRPr="001D785A" w:rsidRDefault="00DC0FA7" w:rsidP="00013EDA">
            <w:pPr>
              <w:rPr>
                <w:sz w:val="18"/>
                <w:szCs w:val="18"/>
              </w:rPr>
            </w:pPr>
          </w:p>
        </w:tc>
        <w:tc>
          <w:tcPr>
            <w:tcW w:w="850" w:type="dxa"/>
          </w:tcPr>
          <w:p w14:paraId="42038051" w14:textId="77777777" w:rsidR="00013EDA" w:rsidRDefault="00013EDA" w:rsidP="0046013C">
            <w:pPr>
              <w:widowControl w:val="0"/>
              <w:tabs>
                <w:tab w:val="center" w:pos="8647"/>
              </w:tabs>
              <w:autoSpaceDE w:val="0"/>
              <w:autoSpaceDN w:val="0"/>
              <w:adjustRightInd w:val="0"/>
              <w:jc w:val="center"/>
              <w:rPr>
                <w:sz w:val="18"/>
                <w:szCs w:val="18"/>
              </w:rPr>
            </w:pPr>
          </w:p>
          <w:p w14:paraId="6F3E1E0A" w14:textId="1B5E7A92" w:rsidR="00760EB1" w:rsidRDefault="00760EB1"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071DD98B" w14:textId="77777777" w:rsidR="00013EDA" w:rsidRDefault="00013EDA" w:rsidP="0046013C">
            <w:pPr>
              <w:widowControl w:val="0"/>
              <w:tabs>
                <w:tab w:val="center" w:pos="8647"/>
              </w:tabs>
              <w:autoSpaceDE w:val="0"/>
              <w:autoSpaceDN w:val="0"/>
              <w:adjustRightInd w:val="0"/>
              <w:jc w:val="center"/>
              <w:rPr>
                <w:sz w:val="18"/>
                <w:szCs w:val="18"/>
              </w:rPr>
            </w:pPr>
          </w:p>
          <w:p w14:paraId="27BBA804" w14:textId="3547335C" w:rsidR="00013EDA" w:rsidRDefault="00013EDA" w:rsidP="0046013C">
            <w:pPr>
              <w:widowControl w:val="0"/>
              <w:tabs>
                <w:tab w:val="center" w:pos="8647"/>
              </w:tabs>
              <w:autoSpaceDE w:val="0"/>
              <w:autoSpaceDN w:val="0"/>
              <w:adjustRightInd w:val="0"/>
              <w:jc w:val="center"/>
              <w:rPr>
                <w:sz w:val="18"/>
                <w:szCs w:val="18"/>
              </w:rPr>
            </w:pPr>
            <w:r>
              <w:rPr>
                <w:sz w:val="18"/>
                <w:szCs w:val="18"/>
              </w:rPr>
              <w:t>0-5</w:t>
            </w:r>
            <w:r>
              <w:rPr>
                <w:rStyle w:val="FootnoteReference"/>
                <w:sz w:val="18"/>
                <w:szCs w:val="18"/>
              </w:rPr>
              <w:footnoteReference w:id="15"/>
            </w:r>
          </w:p>
        </w:tc>
        <w:tc>
          <w:tcPr>
            <w:tcW w:w="850" w:type="dxa"/>
          </w:tcPr>
          <w:p w14:paraId="65297585" w14:textId="77777777" w:rsidR="00013EDA" w:rsidRDefault="00013EDA" w:rsidP="0046013C">
            <w:pPr>
              <w:widowControl w:val="0"/>
              <w:tabs>
                <w:tab w:val="center" w:pos="8647"/>
              </w:tabs>
              <w:autoSpaceDE w:val="0"/>
              <w:autoSpaceDN w:val="0"/>
              <w:adjustRightInd w:val="0"/>
              <w:jc w:val="center"/>
              <w:rPr>
                <w:sz w:val="18"/>
                <w:szCs w:val="18"/>
              </w:rPr>
            </w:pPr>
          </w:p>
          <w:p w14:paraId="028E67E1" w14:textId="77777777"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3860F9B6" w14:textId="77777777" w:rsidR="00013EDA" w:rsidRDefault="00013EDA" w:rsidP="0046013C">
            <w:pPr>
              <w:widowControl w:val="0"/>
              <w:tabs>
                <w:tab w:val="center" w:pos="8647"/>
              </w:tabs>
              <w:autoSpaceDE w:val="0"/>
              <w:autoSpaceDN w:val="0"/>
              <w:adjustRightInd w:val="0"/>
              <w:jc w:val="center"/>
              <w:rPr>
                <w:sz w:val="18"/>
                <w:szCs w:val="18"/>
              </w:rPr>
            </w:pPr>
          </w:p>
          <w:p w14:paraId="5D2C1C74" w14:textId="7B5880CC"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3849A3EE" w14:textId="77777777" w:rsidR="00013EDA" w:rsidRDefault="00013EDA" w:rsidP="0046013C">
            <w:pPr>
              <w:widowControl w:val="0"/>
              <w:tabs>
                <w:tab w:val="center" w:pos="8647"/>
              </w:tabs>
              <w:autoSpaceDE w:val="0"/>
              <w:autoSpaceDN w:val="0"/>
              <w:adjustRightInd w:val="0"/>
              <w:jc w:val="center"/>
              <w:rPr>
                <w:sz w:val="18"/>
                <w:szCs w:val="18"/>
              </w:rPr>
            </w:pPr>
          </w:p>
          <w:p w14:paraId="0FF885F1" w14:textId="7C22BAD9" w:rsidR="003D1DAB" w:rsidRDefault="003D1DAB"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68498B84" w14:textId="77777777" w:rsidR="00013EDA" w:rsidRDefault="00013EDA" w:rsidP="0046013C">
            <w:pPr>
              <w:widowControl w:val="0"/>
              <w:tabs>
                <w:tab w:val="center" w:pos="8647"/>
              </w:tabs>
              <w:autoSpaceDE w:val="0"/>
              <w:autoSpaceDN w:val="0"/>
              <w:adjustRightInd w:val="0"/>
              <w:jc w:val="center"/>
              <w:rPr>
                <w:sz w:val="18"/>
                <w:szCs w:val="18"/>
              </w:rPr>
            </w:pPr>
          </w:p>
          <w:p w14:paraId="7CB0A918" w14:textId="687A3595"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3" w:type="dxa"/>
          </w:tcPr>
          <w:p w14:paraId="3FA1B3FC" w14:textId="77777777" w:rsidR="00013EDA" w:rsidRDefault="00013EDA" w:rsidP="0046013C">
            <w:pPr>
              <w:widowControl w:val="0"/>
              <w:tabs>
                <w:tab w:val="center" w:pos="8647"/>
              </w:tabs>
              <w:autoSpaceDE w:val="0"/>
              <w:autoSpaceDN w:val="0"/>
              <w:adjustRightInd w:val="0"/>
              <w:jc w:val="center"/>
              <w:rPr>
                <w:sz w:val="18"/>
                <w:szCs w:val="18"/>
              </w:rPr>
            </w:pPr>
          </w:p>
          <w:p w14:paraId="4ED1549F" w14:textId="3982963A" w:rsidR="0046013C" w:rsidRDefault="0046013C"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6C736DAA" w14:textId="77777777" w:rsidR="00013EDA" w:rsidRDefault="00013EDA" w:rsidP="0046013C">
            <w:pPr>
              <w:widowControl w:val="0"/>
              <w:tabs>
                <w:tab w:val="center" w:pos="8647"/>
              </w:tabs>
              <w:autoSpaceDE w:val="0"/>
              <w:autoSpaceDN w:val="0"/>
              <w:adjustRightInd w:val="0"/>
              <w:jc w:val="center"/>
              <w:rPr>
                <w:sz w:val="18"/>
                <w:szCs w:val="18"/>
              </w:rPr>
            </w:pPr>
          </w:p>
          <w:p w14:paraId="009268FF" w14:textId="2342F584" w:rsidR="00013EDA" w:rsidRDefault="00013EDA" w:rsidP="0046013C">
            <w:pPr>
              <w:widowControl w:val="0"/>
              <w:tabs>
                <w:tab w:val="center" w:pos="8647"/>
              </w:tabs>
              <w:autoSpaceDE w:val="0"/>
              <w:autoSpaceDN w:val="0"/>
              <w:adjustRightInd w:val="0"/>
              <w:jc w:val="center"/>
              <w:rPr>
                <w:sz w:val="18"/>
                <w:szCs w:val="18"/>
              </w:rPr>
            </w:pPr>
            <w:r>
              <w:rPr>
                <w:sz w:val="18"/>
                <w:szCs w:val="18"/>
              </w:rPr>
              <w:t>0-5</w:t>
            </w:r>
          </w:p>
        </w:tc>
      </w:tr>
      <w:tr w:rsidR="00013EDA" w14:paraId="500691D9" w14:textId="77777777" w:rsidTr="00DC0FA7">
        <w:tc>
          <w:tcPr>
            <w:tcW w:w="2581" w:type="dxa"/>
          </w:tcPr>
          <w:p w14:paraId="396DEB4B" w14:textId="77777777" w:rsidR="00013EDA" w:rsidRPr="001F61FA" w:rsidRDefault="00013EDA" w:rsidP="00013EDA">
            <w:pPr>
              <w:rPr>
                <w:b/>
                <w:sz w:val="18"/>
                <w:szCs w:val="18"/>
              </w:rPr>
            </w:pPr>
            <w:r w:rsidRPr="001F61FA">
              <w:rPr>
                <w:b/>
                <w:sz w:val="18"/>
                <w:szCs w:val="18"/>
              </w:rPr>
              <w:lastRenderedPageBreak/>
              <w:t>Mr Les Allamby</w:t>
            </w:r>
          </w:p>
          <w:p w14:paraId="48E87449" w14:textId="77777777" w:rsidR="00013EDA" w:rsidRDefault="00013EDA" w:rsidP="00013EDA">
            <w:pPr>
              <w:rPr>
                <w:sz w:val="18"/>
                <w:szCs w:val="18"/>
              </w:rPr>
            </w:pPr>
            <w:r w:rsidRPr="001F61FA">
              <w:rPr>
                <w:sz w:val="18"/>
                <w:szCs w:val="18"/>
              </w:rPr>
              <w:t xml:space="preserve">Chief Commissioner </w:t>
            </w:r>
          </w:p>
          <w:p w14:paraId="18C1FEC5" w14:textId="77777777" w:rsidR="00013EDA" w:rsidRDefault="00013EDA" w:rsidP="00013EDA">
            <w:pPr>
              <w:rPr>
                <w:sz w:val="18"/>
                <w:szCs w:val="18"/>
              </w:rPr>
            </w:pPr>
            <w:r>
              <w:rPr>
                <w:sz w:val="18"/>
                <w:szCs w:val="18"/>
              </w:rPr>
              <w:t>(until 31 August 2021)</w:t>
            </w:r>
          </w:p>
          <w:p w14:paraId="655794C5" w14:textId="77777777" w:rsidR="00013EDA" w:rsidRPr="001F61FA" w:rsidRDefault="00013EDA" w:rsidP="00013EDA">
            <w:pPr>
              <w:rPr>
                <w:sz w:val="18"/>
                <w:szCs w:val="18"/>
              </w:rPr>
            </w:pPr>
          </w:p>
        </w:tc>
        <w:tc>
          <w:tcPr>
            <w:tcW w:w="850" w:type="dxa"/>
          </w:tcPr>
          <w:p w14:paraId="6BF33529" w14:textId="77777777" w:rsidR="00013EDA" w:rsidRDefault="00013EDA" w:rsidP="0046013C">
            <w:pPr>
              <w:widowControl w:val="0"/>
              <w:tabs>
                <w:tab w:val="center" w:pos="8647"/>
              </w:tabs>
              <w:autoSpaceDE w:val="0"/>
              <w:autoSpaceDN w:val="0"/>
              <w:adjustRightInd w:val="0"/>
              <w:jc w:val="center"/>
              <w:rPr>
                <w:sz w:val="18"/>
                <w:szCs w:val="18"/>
              </w:rPr>
            </w:pPr>
          </w:p>
          <w:p w14:paraId="5D553733" w14:textId="293386A1" w:rsidR="00760EB1" w:rsidRDefault="00760EB1" w:rsidP="0046013C">
            <w:pPr>
              <w:widowControl w:val="0"/>
              <w:tabs>
                <w:tab w:val="center" w:pos="8647"/>
              </w:tabs>
              <w:autoSpaceDE w:val="0"/>
              <w:autoSpaceDN w:val="0"/>
              <w:adjustRightInd w:val="0"/>
              <w:jc w:val="center"/>
              <w:rPr>
                <w:sz w:val="18"/>
                <w:szCs w:val="18"/>
              </w:rPr>
            </w:pPr>
            <w:r>
              <w:rPr>
                <w:sz w:val="18"/>
                <w:szCs w:val="18"/>
              </w:rPr>
              <w:t>-</w:t>
            </w:r>
          </w:p>
          <w:p w14:paraId="6C4B5FCD" w14:textId="48392DEE" w:rsidR="00013EDA" w:rsidRPr="001F61FA" w:rsidRDefault="00013EDA" w:rsidP="0046013C">
            <w:pPr>
              <w:widowControl w:val="0"/>
              <w:tabs>
                <w:tab w:val="center" w:pos="8647"/>
              </w:tabs>
              <w:autoSpaceDE w:val="0"/>
              <w:autoSpaceDN w:val="0"/>
              <w:adjustRightInd w:val="0"/>
              <w:jc w:val="center"/>
              <w:rPr>
                <w:sz w:val="18"/>
                <w:szCs w:val="18"/>
              </w:rPr>
            </w:pPr>
          </w:p>
        </w:tc>
        <w:tc>
          <w:tcPr>
            <w:tcW w:w="851" w:type="dxa"/>
          </w:tcPr>
          <w:p w14:paraId="0C295833" w14:textId="77777777" w:rsidR="00013EDA" w:rsidRDefault="00013EDA" w:rsidP="0046013C">
            <w:pPr>
              <w:widowControl w:val="0"/>
              <w:tabs>
                <w:tab w:val="center" w:pos="8647"/>
              </w:tabs>
              <w:autoSpaceDE w:val="0"/>
              <w:autoSpaceDN w:val="0"/>
              <w:adjustRightInd w:val="0"/>
              <w:jc w:val="center"/>
              <w:rPr>
                <w:sz w:val="18"/>
                <w:szCs w:val="18"/>
              </w:rPr>
            </w:pPr>
          </w:p>
          <w:p w14:paraId="01F74CA3" w14:textId="29294D62"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30-35</w:t>
            </w:r>
            <w:r>
              <w:rPr>
                <w:rStyle w:val="FootnoteReference"/>
                <w:sz w:val="18"/>
                <w:szCs w:val="18"/>
              </w:rPr>
              <w:footnoteReference w:id="16"/>
            </w:r>
          </w:p>
        </w:tc>
        <w:tc>
          <w:tcPr>
            <w:tcW w:w="850" w:type="dxa"/>
          </w:tcPr>
          <w:p w14:paraId="0743BAD2" w14:textId="77777777" w:rsidR="00013EDA" w:rsidRDefault="00013EDA" w:rsidP="0046013C">
            <w:pPr>
              <w:widowControl w:val="0"/>
              <w:tabs>
                <w:tab w:val="center" w:pos="8647"/>
              </w:tabs>
              <w:autoSpaceDE w:val="0"/>
              <w:autoSpaceDN w:val="0"/>
              <w:adjustRightInd w:val="0"/>
              <w:jc w:val="center"/>
              <w:rPr>
                <w:sz w:val="18"/>
                <w:szCs w:val="18"/>
              </w:rPr>
            </w:pPr>
          </w:p>
          <w:p w14:paraId="4C62C735" w14:textId="77777777"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0D520F78" w14:textId="77777777" w:rsidR="00013EDA" w:rsidRDefault="00013EDA" w:rsidP="0046013C">
            <w:pPr>
              <w:widowControl w:val="0"/>
              <w:tabs>
                <w:tab w:val="center" w:pos="8647"/>
              </w:tabs>
              <w:autoSpaceDE w:val="0"/>
              <w:autoSpaceDN w:val="0"/>
              <w:adjustRightInd w:val="0"/>
              <w:jc w:val="center"/>
              <w:rPr>
                <w:sz w:val="18"/>
                <w:szCs w:val="18"/>
              </w:rPr>
            </w:pPr>
          </w:p>
          <w:p w14:paraId="611EA539" w14:textId="20281DBA"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1B2DF9FD" w14:textId="77777777" w:rsidR="00013EDA" w:rsidRDefault="00013EDA" w:rsidP="0046013C">
            <w:pPr>
              <w:widowControl w:val="0"/>
              <w:tabs>
                <w:tab w:val="center" w:pos="8647"/>
              </w:tabs>
              <w:autoSpaceDE w:val="0"/>
              <w:autoSpaceDN w:val="0"/>
              <w:adjustRightInd w:val="0"/>
              <w:jc w:val="center"/>
              <w:rPr>
                <w:color w:val="auto"/>
                <w:sz w:val="18"/>
                <w:szCs w:val="18"/>
              </w:rPr>
            </w:pPr>
          </w:p>
          <w:p w14:paraId="1A800EF5" w14:textId="4DDC2AE3" w:rsidR="003D1DAB" w:rsidRPr="001F61FA" w:rsidRDefault="003D1DAB" w:rsidP="0046013C">
            <w:pPr>
              <w:widowControl w:val="0"/>
              <w:tabs>
                <w:tab w:val="center" w:pos="8647"/>
              </w:tabs>
              <w:autoSpaceDE w:val="0"/>
              <w:autoSpaceDN w:val="0"/>
              <w:adjustRightInd w:val="0"/>
              <w:jc w:val="center"/>
              <w:rPr>
                <w:color w:val="auto"/>
                <w:sz w:val="18"/>
                <w:szCs w:val="18"/>
              </w:rPr>
            </w:pPr>
            <w:r>
              <w:rPr>
                <w:color w:val="auto"/>
                <w:sz w:val="18"/>
                <w:szCs w:val="18"/>
              </w:rPr>
              <w:t>-</w:t>
            </w:r>
          </w:p>
        </w:tc>
        <w:tc>
          <w:tcPr>
            <w:tcW w:w="992" w:type="dxa"/>
          </w:tcPr>
          <w:p w14:paraId="7FB863DA" w14:textId="77777777" w:rsidR="00013EDA" w:rsidRDefault="00013EDA" w:rsidP="0046013C">
            <w:pPr>
              <w:widowControl w:val="0"/>
              <w:tabs>
                <w:tab w:val="center" w:pos="8647"/>
              </w:tabs>
              <w:autoSpaceDE w:val="0"/>
              <w:autoSpaceDN w:val="0"/>
              <w:adjustRightInd w:val="0"/>
              <w:jc w:val="center"/>
              <w:rPr>
                <w:color w:val="auto"/>
                <w:sz w:val="18"/>
                <w:szCs w:val="18"/>
              </w:rPr>
            </w:pPr>
          </w:p>
          <w:p w14:paraId="1DACB4FA" w14:textId="5FDB9CC7" w:rsidR="00013EDA" w:rsidRPr="001F61FA" w:rsidRDefault="00013EDA" w:rsidP="0046013C">
            <w:pPr>
              <w:widowControl w:val="0"/>
              <w:tabs>
                <w:tab w:val="center" w:pos="8647"/>
              </w:tabs>
              <w:autoSpaceDE w:val="0"/>
              <w:autoSpaceDN w:val="0"/>
              <w:adjustRightInd w:val="0"/>
              <w:jc w:val="center"/>
              <w:rPr>
                <w:sz w:val="18"/>
                <w:szCs w:val="18"/>
              </w:rPr>
            </w:pPr>
            <w:r>
              <w:rPr>
                <w:color w:val="auto"/>
                <w:sz w:val="18"/>
                <w:szCs w:val="18"/>
              </w:rPr>
              <w:t>13,000</w:t>
            </w:r>
          </w:p>
        </w:tc>
        <w:tc>
          <w:tcPr>
            <w:tcW w:w="993" w:type="dxa"/>
          </w:tcPr>
          <w:p w14:paraId="1BA58846" w14:textId="77777777" w:rsidR="00013EDA" w:rsidRDefault="00013EDA" w:rsidP="0046013C">
            <w:pPr>
              <w:widowControl w:val="0"/>
              <w:tabs>
                <w:tab w:val="center" w:pos="8647"/>
              </w:tabs>
              <w:autoSpaceDE w:val="0"/>
              <w:autoSpaceDN w:val="0"/>
              <w:adjustRightInd w:val="0"/>
              <w:jc w:val="center"/>
              <w:rPr>
                <w:sz w:val="18"/>
                <w:szCs w:val="18"/>
                <w:vertAlign w:val="superscript"/>
              </w:rPr>
            </w:pPr>
          </w:p>
          <w:p w14:paraId="0B1E67D9" w14:textId="0FAB09E2" w:rsidR="0046013C" w:rsidRPr="003867FD" w:rsidRDefault="0046013C" w:rsidP="0046013C">
            <w:pPr>
              <w:widowControl w:val="0"/>
              <w:tabs>
                <w:tab w:val="center" w:pos="8647"/>
              </w:tabs>
              <w:autoSpaceDE w:val="0"/>
              <w:autoSpaceDN w:val="0"/>
              <w:adjustRightInd w:val="0"/>
              <w:jc w:val="center"/>
              <w:rPr>
                <w:sz w:val="18"/>
                <w:szCs w:val="18"/>
                <w:vertAlign w:val="superscript"/>
              </w:rPr>
            </w:pPr>
            <w:r>
              <w:rPr>
                <w:sz w:val="18"/>
                <w:szCs w:val="18"/>
                <w:vertAlign w:val="superscript"/>
              </w:rPr>
              <w:t>-</w:t>
            </w:r>
          </w:p>
        </w:tc>
        <w:tc>
          <w:tcPr>
            <w:tcW w:w="992" w:type="dxa"/>
          </w:tcPr>
          <w:p w14:paraId="33F53EBC" w14:textId="77777777" w:rsidR="00013EDA" w:rsidRDefault="00013EDA" w:rsidP="0046013C">
            <w:pPr>
              <w:widowControl w:val="0"/>
              <w:tabs>
                <w:tab w:val="center" w:pos="8647"/>
              </w:tabs>
              <w:autoSpaceDE w:val="0"/>
              <w:autoSpaceDN w:val="0"/>
              <w:adjustRightInd w:val="0"/>
              <w:jc w:val="center"/>
              <w:rPr>
                <w:sz w:val="18"/>
                <w:szCs w:val="18"/>
              </w:rPr>
            </w:pPr>
          </w:p>
          <w:p w14:paraId="39F03AA5" w14:textId="62747E7F"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45-50</w:t>
            </w:r>
          </w:p>
        </w:tc>
      </w:tr>
      <w:tr w:rsidR="00013EDA" w:rsidRPr="00D23890" w14:paraId="5EC49A9E" w14:textId="77777777" w:rsidTr="00DC0FA7">
        <w:tc>
          <w:tcPr>
            <w:tcW w:w="2581" w:type="dxa"/>
            <w:vAlign w:val="center"/>
          </w:tcPr>
          <w:p w14:paraId="73CA43F8" w14:textId="77777777" w:rsidR="00013EDA" w:rsidRDefault="00013EDA" w:rsidP="00013EDA">
            <w:pPr>
              <w:rPr>
                <w:b/>
                <w:sz w:val="18"/>
                <w:szCs w:val="18"/>
              </w:rPr>
            </w:pPr>
            <w:r>
              <w:rPr>
                <w:b/>
                <w:sz w:val="18"/>
                <w:szCs w:val="18"/>
              </w:rPr>
              <w:t>Mr Sean Donaghy</w:t>
            </w:r>
          </w:p>
          <w:p w14:paraId="319E6C3E" w14:textId="77777777" w:rsidR="00013EDA" w:rsidRDefault="00013EDA" w:rsidP="00013EDA">
            <w:pPr>
              <w:rPr>
                <w:sz w:val="18"/>
                <w:szCs w:val="18"/>
              </w:rPr>
            </w:pPr>
            <w:r>
              <w:rPr>
                <w:sz w:val="18"/>
                <w:szCs w:val="18"/>
              </w:rPr>
              <w:t>Chair of the Audit and Risk Management Committee (from 2 June 2021)</w:t>
            </w:r>
          </w:p>
          <w:p w14:paraId="25AB56C6" w14:textId="77777777" w:rsidR="00013EDA" w:rsidRPr="00EA4AB9" w:rsidRDefault="00013EDA" w:rsidP="00013EDA">
            <w:pPr>
              <w:rPr>
                <w:sz w:val="18"/>
                <w:szCs w:val="18"/>
              </w:rPr>
            </w:pPr>
          </w:p>
        </w:tc>
        <w:tc>
          <w:tcPr>
            <w:tcW w:w="850" w:type="dxa"/>
          </w:tcPr>
          <w:p w14:paraId="392CB203" w14:textId="77777777" w:rsidR="00013EDA" w:rsidRDefault="00013EDA" w:rsidP="0046013C">
            <w:pPr>
              <w:widowControl w:val="0"/>
              <w:tabs>
                <w:tab w:val="center" w:pos="8647"/>
              </w:tabs>
              <w:autoSpaceDE w:val="0"/>
              <w:autoSpaceDN w:val="0"/>
              <w:adjustRightInd w:val="0"/>
              <w:jc w:val="center"/>
              <w:rPr>
                <w:sz w:val="18"/>
                <w:szCs w:val="18"/>
              </w:rPr>
            </w:pPr>
          </w:p>
          <w:p w14:paraId="51AA7453" w14:textId="4E862AF6" w:rsidR="00760EB1" w:rsidRDefault="00760EB1" w:rsidP="0046013C">
            <w:pPr>
              <w:widowControl w:val="0"/>
              <w:tabs>
                <w:tab w:val="center" w:pos="8647"/>
              </w:tabs>
              <w:autoSpaceDE w:val="0"/>
              <w:autoSpaceDN w:val="0"/>
              <w:adjustRightInd w:val="0"/>
              <w:jc w:val="center"/>
              <w:rPr>
                <w:sz w:val="18"/>
                <w:szCs w:val="18"/>
              </w:rPr>
            </w:pPr>
            <w:r>
              <w:rPr>
                <w:sz w:val="18"/>
                <w:szCs w:val="18"/>
              </w:rPr>
              <w:t>0-5</w:t>
            </w:r>
            <w:r w:rsidR="00431AE4">
              <w:rPr>
                <w:rStyle w:val="FootnoteReference"/>
                <w:sz w:val="18"/>
                <w:szCs w:val="18"/>
              </w:rPr>
              <w:footnoteReference w:id="17"/>
            </w:r>
          </w:p>
          <w:p w14:paraId="02B5ECE4" w14:textId="54A3DA74" w:rsidR="00013EDA" w:rsidRPr="00051C2A" w:rsidRDefault="00013EDA" w:rsidP="0046013C">
            <w:pPr>
              <w:widowControl w:val="0"/>
              <w:tabs>
                <w:tab w:val="center" w:pos="8647"/>
              </w:tabs>
              <w:autoSpaceDE w:val="0"/>
              <w:autoSpaceDN w:val="0"/>
              <w:adjustRightInd w:val="0"/>
              <w:jc w:val="center"/>
              <w:rPr>
                <w:sz w:val="18"/>
                <w:szCs w:val="18"/>
              </w:rPr>
            </w:pPr>
          </w:p>
        </w:tc>
        <w:tc>
          <w:tcPr>
            <w:tcW w:w="851" w:type="dxa"/>
          </w:tcPr>
          <w:p w14:paraId="73E09C85" w14:textId="77777777" w:rsidR="00013EDA" w:rsidRDefault="00013EDA" w:rsidP="0046013C">
            <w:pPr>
              <w:widowControl w:val="0"/>
              <w:tabs>
                <w:tab w:val="center" w:pos="8647"/>
              </w:tabs>
              <w:autoSpaceDE w:val="0"/>
              <w:autoSpaceDN w:val="0"/>
              <w:adjustRightInd w:val="0"/>
              <w:jc w:val="center"/>
              <w:rPr>
                <w:sz w:val="18"/>
                <w:szCs w:val="18"/>
              </w:rPr>
            </w:pPr>
          </w:p>
          <w:p w14:paraId="4BACF8C7" w14:textId="37841379" w:rsidR="00903341" w:rsidRDefault="00903341" w:rsidP="00903341">
            <w:pPr>
              <w:widowControl w:val="0"/>
              <w:tabs>
                <w:tab w:val="center" w:pos="8647"/>
              </w:tabs>
              <w:autoSpaceDE w:val="0"/>
              <w:autoSpaceDN w:val="0"/>
              <w:adjustRightInd w:val="0"/>
              <w:jc w:val="center"/>
              <w:rPr>
                <w:sz w:val="18"/>
                <w:szCs w:val="18"/>
              </w:rPr>
            </w:pPr>
            <w:r>
              <w:rPr>
                <w:sz w:val="18"/>
                <w:szCs w:val="18"/>
              </w:rPr>
              <w:t>0-5</w:t>
            </w:r>
            <w:r w:rsidR="00D948A4">
              <w:rPr>
                <w:sz w:val="18"/>
                <w:szCs w:val="18"/>
                <w:vertAlign w:val="superscript"/>
              </w:rPr>
              <w:t>16</w:t>
            </w:r>
          </w:p>
          <w:p w14:paraId="76B7B664" w14:textId="4FBAC88F" w:rsidR="00013EDA" w:rsidRPr="00903341" w:rsidRDefault="00013EDA" w:rsidP="0046013C">
            <w:pPr>
              <w:widowControl w:val="0"/>
              <w:tabs>
                <w:tab w:val="center" w:pos="8647"/>
              </w:tabs>
              <w:autoSpaceDE w:val="0"/>
              <w:autoSpaceDN w:val="0"/>
              <w:adjustRightInd w:val="0"/>
              <w:jc w:val="center"/>
              <w:rPr>
                <w:b/>
                <w:bCs/>
                <w:sz w:val="18"/>
                <w:szCs w:val="18"/>
              </w:rPr>
            </w:pPr>
          </w:p>
        </w:tc>
        <w:tc>
          <w:tcPr>
            <w:tcW w:w="850" w:type="dxa"/>
          </w:tcPr>
          <w:p w14:paraId="00DD1A16" w14:textId="77777777" w:rsidR="00013EDA" w:rsidRDefault="00013EDA" w:rsidP="0046013C">
            <w:pPr>
              <w:widowControl w:val="0"/>
              <w:tabs>
                <w:tab w:val="center" w:pos="8647"/>
              </w:tabs>
              <w:autoSpaceDE w:val="0"/>
              <w:autoSpaceDN w:val="0"/>
              <w:adjustRightInd w:val="0"/>
              <w:jc w:val="center"/>
              <w:rPr>
                <w:sz w:val="18"/>
                <w:szCs w:val="18"/>
              </w:rPr>
            </w:pPr>
          </w:p>
          <w:p w14:paraId="3D3E65EE" w14:textId="77777777"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7FF89958" w14:textId="77777777" w:rsidR="00013EDA" w:rsidRDefault="00013EDA" w:rsidP="0046013C">
            <w:pPr>
              <w:widowControl w:val="0"/>
              <w:tabs>
                <w:tab w:val="center" w:pos="8647"/>
              </w:tabs>
              <w:autoSpaceDE w:val="0"/>
              <w:autoSpaceDN w:val="0"/>
              <w:adjustRightInd w:val="0"/>
              <w:jc w:val="center"/>
              <w:rPr>
                <w:sz w:val="18"/>
                <w:szCs w:val="18"/>
              </w:rPr>
            </w:pPr>
          </w:p>
          <w:p w14:paraId="2FCD9465" w14:textId="7F1FCA30"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740055D9" w14:textId="77777777" w:rsidR="00013EDA" w:rsidRDefault="00013EDA" w:rsidP="0046013C">
            <w:pPr>
              <w:widowControl w:val="0"/>
              <w:tabs>
                <w:tab w:val="center" w:pos="8647"/>
              </w:tabs>
              <w:autoSpaceDE w:val="0"/>
              <w:autoSpaceDN w:val="0"/>
              <w:adjustRightInd w:val="0"/>
              <w:jc w:val="center"/>
              <w:rPr>
                <w:sz w:val="18"/>
                <w:szCs w:val="18"/>
              </w:rPr>
            </w:pPr>
          </w:p>
          <w:p w14:paraId="5649F41D" w14:textId="4BEA61D7" w:rsidR="003D1DAB" w:rsidRDefault="003D1DAB"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19A5572A" w14:textId="77777777" w:rsidR="00013EDA" w:rsidRDefault="00013EDA" w:rsidP="0046013C">
            <w:pPr>
              <w:widowControl w:val="0"/>
              <w:tabs>
                <w:tab w:val="center" w:pos="8647"/>
              </w:tabs>
              <w:autoSpaceDE w:val="0"/>
              <w:autoSpaceDN w:val="0"/>
              <w:adjustRightInd w:val="0"/>
              <w:jc w:val="center"/>
              <w:rPr>
                <w:sz w:val="18"/>
                <w:szCs w:val="18"/>
              </w:rPr>
            </w:pPr>
          </w:p>
          <w:p w14:paraId="62207C60" w14:textId="770D9862"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3" w:type="dxa"/>
          </w:tcPr>
          <w:p w14:paraId="44D3B3F4" w14:textId="77777777" w:rsidR="00013EDA" w:rsidRDefault="00013EDA" w:rsidP="0046013C">
            <w:pPr>
              <w:widowControl w:val="0"/>
              <w:tabs>
                <w:tab w:val="center" w:pos="8647"/>
              </w:tabs>
              <w:autoSpaceDE w:val="0"/>
              <w:autoSpaceDN w:val="0"/>
              <w:adjustRightInd w:val="0"/>
              <w:jc w:val="center"/>
              <w:rPr>
                <w:sz w:val="18"/>
                <w:szCs w:val="18"/>
                <w:vertAlign w:val="superscript"/>
              </w:rPr>
            </w:pPr>
          </w:p>
          <w:p w14:paraId="0AE85BCF" w14:textId="70B37FF9" w:rsidR="0046013C" w:rsidRPr="0046013C" w:rsidRDefault="0046013C" w:rsidP="0046013C">
            <w:pPr>
              <w:widowControl w:val="0"/>
              <w:tabs>
                <w:tab w:val="center" w:pos="8647"/>
              </w:tabs>
              <w:autoSpaceDE w:val="0"/>
              <w:autoSpaceDN w:val="0"/>
              <w:adjustRightInd w:val="0"/>
              <w:jc w:val="center"/>
              <w:rPr>
                <w:sz w:val="18"/>
                <w:szCs w:val="18"/>
              </w:rPr>
            </w:pPr>
            <w:r>
              <w:rPr>
                <w:sz w:val="18"/>
                <w:szCs w:val="18"/>
              </w:rPr>
              <w:t>0-5</w:t>
            </w:r>
          </w:p>
        </w:tc>
        <w:tc>
          <w:tcPr>
            <w:tcW w:w="992" w:type="dxa"/>
          </w:tcPr>
          <w:p w14:paraId="05DA2342" w14:textId="77777777" w:rsidR="00013EDA" w:rsidRDefault="00013EDA" w:rsidP="0046013C">
            <w:pPr>
              <w:widowControl w:val="0"/>
              <w:tabs>
                <w:tab w:val="center" w:pos="8647"/>
              </w:tabs>
              <w:autoSpaceDE w:val="0"/>
              <w:autoSpaceDN w:val="0"/>
              <w:adjustRightInd w:val="0"/>
              <w:jc w:val="center"/>
              <w:rPr>
                <w:sz w:val="18"/>
                <w:szCs w:val="18"/>
              </w:rPr>
            </w:pPr>
          </w:p>
          <w:p w14:paraId="7A3BAF64" w14:textId="1C874B62" w:rsidR="00013EDA" w:rsidRPr="00D23890" w:rsidRDefault="00013EDA" w:rsidP="0046013C">
            <w:pPr>
              <w:widowControl w:val="0"/>
              <w:tabs>
                <w:tab w:val="center" w:pos="8647"/>
              </w:tabs>
              <w:autoSpaceDE w:val="0"/>
              <w:autoSpaceDN w:val="0"/>
              <w:adjustRightInd w:val="0"/>
              <w:jc w:val="center"/>
              <w:rPr>
                <w:sz w:val="18"/>
                <w:szCs w:val="18"/>
              </w:rPr>
            </w:pPr>
            <w:r>
              <w:rPr>
                <w:sz w:val="18"/>
                <w:szCs w:val="18"/>
              </w:rPr>
              <w:t>0-5</w:t>
            </w:r>
          </w:p>
        </w:tc>
      </w:tr>
      <w:tr w:rsidR="00013EDA" w:rsidRPr="00280EA2" w14:paraId="34821AF2" w14:textId="77777777" w:rsidTr="00DC0FA7">
        <w:tc>
          <w:tcPr>
            <w:tcW w:w="2581" w:type="dxa"/>
            <w:vAlign w:val="center"/>
          </w:tcPr>
          <w:p w14:paraId="376C9303" w14:textId="77777777" w:rsidR="00013EDA" w:rsidRPr="00C54DF1" w:rsidRDefault="00013EDA" w:rsidP="00013EDA">
            <w:pPr>
              <w:rPr>
                <w:rFonts w:cs="Verdana"/>
                <w:b/>
                <w:sz w:val="18"/>
                <w:szCs w:val="18"/>
                <w:lang w:eastAsia="en-GB"/>
              </w:rPr>
            </w:pPr>
            <w:r w:rsidRPr="00C54DF1">
              <w:rPr>
                <w:b/>
                <w:sz w:val="18"/>
                <w:szCs w:val="18"/>
              </w:rPr>
              <w:t xml:space="preserve">Dr </w:t>
            </w:r>
            <w:r w:rsidRPr="00C54DF1">
              <w:rPr>
                <w:rFonts w:cs="Verdana"/>
                <w:b/>
                <w:sz w:val="18"/>
                <w:szCs w:val="18"/>
                <w:lang w:eastAsia="en-GB"/>
              </w:rPr>
              <w:t>David Russell</w:t>
            </w:r>
          </w:p>
          <w:p w14:paraId="5B50BE58" w14:textId="77777777" w:rsidR="00013EDA" w:rsidRDefault="00013EDA" w:rsidP="00013EDA">
            <w:pPr>
              <w:rPr>
                <w:rFonts w:cs="Verdana"/>
                <w:sz w:val="18"/>
                <w:szCs w:val="18"/>
                <w:lang w:eastAsia="en-GB"/>
              </w:rPr>
            </w:pPr>
            <w:r w:rsidRPr="00C54DF1">
              <w:rPr>
                <w:rFonts w:cs="Verdana"/>
                <w:sz w:val="18"/>
                <w:szCs w:val="18"/>
                <w:lang w:eastAsia="en-GB"/>
              </w:rPr>
              <w:t xml:space="preserve">Chief Executive </w:t>
            </w:r>
          </w:p>
          <w:p w14:paraId="43A31128" w14:textId="77777777" w:rsidR="00013EDA" w:rsidRDefault="00013EDA" w:rsidP="00013EDA">
            <w:pPr>
              <w:rPr>
                <w:rFonts w:cs="Verdana"/>
                <w:sz w:val="18"/>
                <w:szCs w:val="18"/>
                <w:lang w:eastAsia="en-GB"/>
              </w:rPr>
            </w:pPr>
          </w:p>
          <w:p w14:paraId="61D6078B" w14:textId="77777777" w:rsidR="00013EDA" w:rsidRPr="00C54DF1" w:rsidRDefault="00013EDA" w:rsidP="00013EDA">
            <w:pPr>
              <w:rPr>
                <w:rFonts w:cs="Verdana"/>
                <w:sz w:val="18"/>
                <w:szCs w:val="18"/>
                <w:lang w:eastAsia="en-GB"/>
              </w:rPr>
            </w:pPr>
          </w:p>
        </w:tc>
        <w:tc>
          <w:tcPr>
            <w:tcW w:w="850" w:type="dxa"/>
          </w:tcPr>
          <w:p w14:paraId="6AEC3B6E" w14:textId="77777777" w:rsidR="00013EDA" w:rsidRDefault="00013EDA" w:rsidP="0046013C">
            <w:pPr>
              <w:widowControl w:val="0"/>
              <w:tabs>
                <w:tab w:val="center" w:pos="8647"/>
              </w:tabs>
              <w:autoSpaceDE w:val="0"/>
              <w:autoSpaceDN w:val="0"/>
              <w:adjustRightInd w:val="0"/>
              <w:jc w:val="center"/>
              <w:rPr>
                <w:sz w:val="18"/>
                <w:szCs w:val="18"/>
              </w:rPr>
            </w:pPr>
          </w:p>
          <w:p w14:paraId="03B0E64C" w14:textId="2BDA016A" w:rsidR="00013EDA" w:rsidRPr="00C54DF1" w:rsidRDefault="00431AE4" w:rsidP="0046013C">
            <w:pPr>
              <w:widowControl w:val="0"/>
              <w:tabs>
                <w:tab w:val="center" w:pos="8647"/>
              </w:tabs>
              <w:autoSpaceDE w:val="0"/>
              <w:autoSpaceDN w:val="0"/>
              <w:adjustRightInd w:val="0"/>
              <w:jc w:val="center"/>
              <w:rPr>
                <w:sz w:val="18"/>
                <w:szCs w:val="18"/>
              </w:rPr>
            </w:pPr>
            <w:r>
              <w:rPr>
                <w:sz w:val="18"/>
                <w:szCs w:val="18"/>
              </w:rPr>
              <w:t>80-85</w:t>
            </w:r>
          </w:p>
        </w:tc>
        <w:tc>
          <w:tcPr>
            <w:tcW w:w="851" w:type="dxa"/>
          </w:tcPr>
          <w:p w14:paraId="4A8B62F0" w14:textId="77777777" w:rsidR="00013EDA" w:rsidRDefault="00013EDA" w:rsidP="0046013C">
            <w:pPr>
              <w:widowControl w:val="0"/>
              <w:tabs>
                <w:tab w:val="center" w:pos="8647"/>
              </w:tabs>
              <w:autoSpaceDE w:val="0"/>
              <w:autoSpaceDN w:val="0"/>
              <w:adjustRightInd w:val="0"/>
              <w:jc w:val="center"/>
              <w:rPr>
                <w:sz w:val="18"/>
                <w:szCs w:val="18"/>
              </w:rPr>
            </w:pPr>
          </w:p>
          <w:p w14:paraId="1FD60FB3" w14:textId="605F682D" w:rsidR="00013EDA" w:rsidRPr="00C54DF1" w:rsidRDefault="00013EDA" w:rsidP="0046013C">
            <w:pPr>
              <w:widowControl w:val="0"/>
              <w:tabs>
                <w:tab w:val="center" w:pos="8647"/>
              </w:tabs>
              <w:autoSpaceDE w:val="0"/>
              <w:autoSpaceDN w:val="0"/>
              <w:adjustRightInd w:val="0"/>
              <w:jc w:val="center"/>
              <w:rPr>
                <w:sz w:val="18"/>
                <w:szCs w:val="18"/>
              </w:rPr>
            </w:pPr>
            <w:r>
              <w:rPr>
                <w:sz w:val="18"/>
                <w:szCs w:val="18"/>
              </w:rPr>
              <w:t>75-80</w:t>
            </w:r>
          </w:p>
        </w:tc>
        <w:tc>
          <w:tcPr>
            <w:tcW w:w="850" w:type="dxa"/>
          </w:tcPr>
          <w:p w14:paraId="72251A05" w14:textId="77777777" w:rsidR="00013EDA" w:rsidRDefault="00013EDA" w:rsidP="0046013C">
            <w:pPr>
              <w:widowControl w:val="0"/>
              <w:tabs>
                <w:tab w:val="center" w:pos="8647"/>
              </w:tabs>
              <w:autoSpaceDE w:val="0"/>
              <w:autoSpaceDN w:val="0"/>
              <w:adjustRightInd w:val="0"/>
              <w:jc w:val="center"/>
              <w:rPr>
                <w:sz w:val="18"/>
                <w:szCs w:val="18"/>
              </w:rPr>
            </w:pPr>
          </w:p>
          <w:p w14:paraId="14642369" w14:textId="77777777" w:rsidR="00013EDA" w:rsidRPr="00C54DF1"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6E9F4EE9" w14:textId="77777777" w:rsidR="00013EDA" w:rsidRDefault="00013EDA" w:rsidP="0046013C">
            <w:pPr>
              <w:widowControl w:val="0"/>
              <w:tabs>
                <w:tab w:val="center" w:pos="8647"/>
              </w:tabs>
              <w:autoSpaceDE w:val="0"/>
              <w:autoSpaceDN w:val="0"/>
              <w:adjustRightInd w:val="0"/>
              <w:jc w:val="center"/>
              <w:rPr>
                <w:sz w:val="18"/>
                <w:szCs w:val="18"/>
              </w:rPr>
            </w:pPr>
          </w:p>
          <w:p w14:paraId="3C85DB1F" w14:textId="70A326B2" w:rsidR="00013EDA" w:rsidRPr="00C54DF1"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2C8604EF" w14:textId="77777777" w:rsidR="00013EDA" w:rsidRDefault="00013EDA" w:rsidP="0046013C">
            <w:pPr>
              <w:widowControl w:val="0"/>
              <w:tabs>
                <w:tab w:val="center" w:pos="8647"/>
              </w:tabs>
              <w:autoSpaceDE w:val="0"/>
              <w:autoSpaceDN w:val="0"/>
              <w:adjustRightInd w:val="0"/>
              <w:jc w:val="center"/>
              <w:rPr>
                <w:sz w:val="18"/>
                <w:szCs w:val="18"/>
              </w:rPr>
            </w:pPr>
          </w:p>
          <w:p w14:paraId="44DD1AD3" w14:textId="7D9B4BE6" w:rsidR="003D1DAB" w:rsidRPr="00C54DF1" w:rsidRDefault="00760EB1" w:rsidP="0046013C">
            <w:pPr>
              <w:widowControl w:val="0"/>
              <w:tabs>
                <w:tab w:val="center" w:pos="8647"/>
              </w:tabs>
              <w:autoSpaceDE w:val="0"/>
              <w:autoSpaceDN w:val="0"/>
              <w:adjustRightInd w:val="0"/>
              <w:jc w:val="center"/>
              <w:rPr>
                <w:sz w:val="18"/>
                <w:szCs w:val="18"/>
              </w:rPr>
            </w:pPr>
            <w:r>
              <w:rPr>
                <w:sz w:val="18"/>
                <w:szCs w:val="18"/>
              </w:rPr>
              <w:t>2</w:t>
            </w:r>
            <w:r w:rsidR="003D1DAB">
              <w:rPr>
                <w:sz w:val="18"/>
                <w:szCs w:val="18"/>
              </w:rPr>
              <w:t>2,000</w:t>
            </w:r>
          </w:p>
        </w:tc>
        <w:tc>
          <w:tcPr>
            <w:tcW w:w="992" w:type="dxa"/>
          </w:tcPr>
          <w:p w14:paraId="78529B73" w14:textId="77777777" w:rsidR="00013EDA" w:rsidRDefault="00013EDA" w:rsidP="0046013C">
            <w:pPr>
              <w:widowControl w:val="0"/>
              <w:tabs>
                <w:tab w:val="center" w:pos="8647"/>
              </w:tabs>
              <w:autoSpaceDE w:val="0"/>
              <w:autoSpaceDN w:val="0"/>
              <w:adjustRightInd w:val="0"/>
              <w:jc w:val="center"/>
              <w:rPr>
                <w:sz w:val="18"/>
                <w:szCs w:val="18"/>
              </w:rPr>
            </w:pPr>
          </w:p>
          <w:p w14:paraId="4A0A9C9D" w14:textId="142278A0" w:rsidR="00013EDA" w:rsidRPr="00C54DF1" w:rsidRDefault="00013EDA" w:rsidP="0046013C">
            <w:pPr>
              <w:widowControl w:val="0"/>
              <w:tabs>
                <w:tab w:val="center" w:pos="8647"/>
              </w:tabs>
              <w:autoSpaceDE w:val="0"/>
              <w:autoSpaceDN w:val="0"/>
              <w:adjustRightInd w:val="0"/>
              <w:jc w:val="center"/>
              <w:rPr>
                <w:sz w:val="18"/>
                <w:szCs w:val="18"/>
              </w:rPr>
            </w:pPr>
            <w:r>
              <w:rPr>
                <w:sz w:val="18"/>
                <w:szCs w:val="18"/>
              </w:rPr>
              <w:t>31,000</w:t>
            </w:r>
          </w:p>
        </w:tc>
        <w:tc>
          <w:tcPr>
            <w:tcW w:w="993" w:type="dxa"/>
          </w:tcPr>
          <w:p w14:paraId="332AB851" w14:textId="77777777" w:rsidR="00013EDA" w:rsidRDefault="00013EDA" w:rsidP="0046013C">
            <w:pPr>
              <w:widowControl w:val="0"/>
              <w:tabs>
                <w:tab w:val="center" w:pos="8647"/>
              </w:tabs>
              <w:autoSpaceDE w:val="0"/>
              <w:autoSpaceDN w:val="0"/>
              <w:adjustRightInd w:val="0"/>
              <w:jc w:val="center"/>
              <w:rPr>
                <w:sz w:val="18"/>
                <w:szCs w:val="18"/>
              </w:rPr>
            </w:pPr>
          </w:p>
          <w:p w14:paraId="3B4226BC" w14:textId="731541AA" w:rsidR="0046013C" w:rsidRPr="00C54DF1" w:rsidRDefault="0046013C" w:rsidP="0046013C">
            <w:pPr>
              <w:widowControl w:val="0"/>
              <w:tabs>
                <w:tab w:val="center" w:pos="8647"/>
              </w:tabs>
              <w:autoSpaceDE w:val="0"/>
              <w:autoSpaceDN w:val="0"/>
              <w:adjustRightInd w:val="0"/>
              <w:jc w:val="center"/>
              <w:rPr>
                <w:sz w:val="18"/>
                <w:szCs w:val="18"/>
              </w:rPr>
            </w:pPr>
            <w:r>
              <w:rPr>
                <w:sz w:val="18"/>
                <w:szCs w:val="18"/>
              </w:rPr>
              <w:t>105-110</w:t>
            </w:r>
          </w:p>
        </w:tc>
        <w:tc>
          <w:tcPr>
            <w:tcW w:w="992" w:type="dxa"/>
          </w:tcPr>
          <w:p w14:paraId="4441D46F" w14:textId="77777777" w:rsidR="00013EDA" w:rsidRDefault="00013EDA" w:rsidP="0046013C">
            <w:pPr>
              <w:widowControl w:val="0"/>
              <w:tabs>
                <w:tab w:val="center" w:pos="8647"/>
              </w:tabs>
              <w:autoSpaceDE w:val="0"/>
              <w:autoSpaceDN w:val="0"/>
              <w:adjustRightInd w:val="0"/>
              <w:jc w:val="center"/>
              <w:rPr>
                <w:sz w:val="18"/>
                <w:szCs w:val="18"/>
              </w:rPr>
            </w:pPr>
          </w:p>
          <w:p w14:paraId="45AA6218" w14:textId="2C7F8B8E" w:rsidR="00013EDA" w:rsidRPr="00D8281D" w:rsidRDefault="00013EDA" w:rsidP="0046013C">
            <w:pPr>
              <w:widowControl w:val="0"/>
              <w:tabs>
                <w:tab w:val="center" w:pos="8647"/>
              </w:tabs>
              <w:autoSpaceDE w:val="0"/>
              <w:autoSpaceDN w:val="0"/>
              <w:adjustRightInd w:val="0"/>
              <w:jc w:val="center"/>
              <w:rPr>
                <w:sz w:val="18"/>
                <w:szCs w:val="18"/>
              </w:rPr>
            </w:pPr>
            <w:r>
              <w:rPr>
                <w:sz w:val="18"/>
                <w:szCs w:val="18"/>
              </w:rPr>
              <w:t>110-115</w:t>
            </w:r>
          </w:p>
        </w:tc>
      </w:tr>
      <w:tr w:rsidR="00013EDA" w:rsidRPr="00280EA2" w14:paraId="4998433F" w14:textId="77777777" w:rsidTr="00DC0FA7">
        <w:tc>
          <w:tcPr>
            <w:tcW w:w="2581" w:type="dxa"/>
            <w:vAlign w:val="center"/>
          </w:tcPr>
          <w:p w14:paraId="7E5082C9" w14:textId="77777777" w:rsidR="00013EDA" w:rsidRPr="001F61FA" w:rsidRDefault="00013EDA" w:rsidP="00013EDA">
            <w:pPr>
              <w:rPr>
                <w:b/>
                <w:sz w:val="18"/>
                <w:szCs w:val="18"/>
              </w:rPr>
            </w:pPr>
            <w:r w:rsidRPr="001F61FA">
              <w:rPr>
                <w:b/>
                <w:sz w:val="18"/>
                <w:szCs w:val="18"/>
              </w:rPr>
              <w:t>Mrs Lorraine Hamill</w:t>
            </w:r>
          </w:p>
          <w:p w14:paraId="71B66728" w14:textId="77777777" w:rsidR="00013EDA" w:rsidRDefault="00013EDA" w:rsidP="00013EDA">
            <w:pPr>
              <w:rPr>
                <w:sz w:val="18"/>
                <w:szCs w:val="18"/>
              </w:rPr>
            </w:pPr>
            <w:r w:rsidRPr="001F61FA">
              <w:rPr>
                <w:sz w:val="18"/>
                <w:szCs w:val="18"/>
              </w:rPr>
              <w:t xml:space="preserve">Director </w:t>
            </w:r>
          </w:p>
          <w:p w14:paraId="7DA05965" w14:textId="77777777" w:rsidR="00013EDA" w:rsidRPr="001F61FA" w:rsidRDefault="00013EDA" w:rsidP="00013EDA">
            <w:pPr>
              <w:rPr>
                <w:sz w:val="18"/>
                <w:szCs w:val="18"/>
              </w:rPr>
            </w:pPr>
          </w:p>
        </w:tc>
        <w:tc>
          <w:tcPr>
            <w:tcW w:w="850" w:type="dxa"/>
          </w:tcPr>
          <w:p w14:paraId="0B927F3D" w14:textId="77777777" w:rsidR="00013EDA" w:rsidRDefault="00013EDA" w:rsidP="0046013C">
            <w:pPr>
              <w:widowControl w:val="0"/>
              <w:tabs>
                <w:tab w:val="center" w:pos="8647"/>
              </w:tabs>
              <w:autoSpaceDE w:val="0"/>
              <w:autoSpaceDN w:val="0"/>
              <w:adjustRightInd w:val="0"/>
              <w:jc w:val="center"/>
              <w:rPr>
                <w:sz w:val="18"/>
                <w:szCs w:val="18"/>
              </w:rPr>
            </w:pPr>
          </w:p>
          <w:p w14:paraId="58AAB962" w14:textId="465CD669" w:rsidR="00431AE4" w:rsidRDefault="00431AE4" w:rsidP="0046013C">
            <w:pPr>
              <w:widowControl w:val="0"/>
              <w:tabs>
                <w:tab w:val="center" w:pos="8647"/>
              </w:tabs>
              <w:autoSpaceDE w:val="0"/>
              <w:autoSpaceDN w:val="0"/>
              <w:adjustRightInd w:val="0"/>
              <w:jc w:val="center"/>
              <w:rPr>
                <w:sz w:val="18"/>
                <w:szCs w:val="18"/>
              </w:rPr>
            </w:pPr>
            <w:r>
              <w:rPr>
                <w:sz w:val="18"/>
                <w:szCs w:val="18"/>
              </w:rPr>
              <w:t>55-60</w:t>
            </w:r>
          </w:p>
          <w:p w14:paraId="0E281145" w14:textId="03DE6F7D" w:rsidR="00013EDA" w:rsidRPr="001F61FA" w:rsidRDefault="00013EDA" w:rsidP="0046013C">
            <w:pPr>
              <w:widowControl w:val="0"/>
              <w:tabs>
                <w:tab w:val="center" w:pos="8647"/>
              </w:tabs>
              <w:autoSpaceDE w:val="0"/>
              <w:autoSpaceDN w:val="0"/>
              <w:adjustRightInd w:val="0"/>
              <w:jc w:val="center"/>
              <w:rPr>
                <w:sz w:val="18"/>
                <w:szCs w:val="18"/>
              </w:rPr>
            </w:pPr>
          </w:p>
        </w:tc>
        <w:tc>
          <w:tcPr>
            <w:tcW w:w="851" w:type="dxa"/>
          </w:tcPr>
          <w:p w14:paraId="11890887" w14:textId="77777777" w:rsidR="00013EDA" w:rsidRDefault="00013EDA" w:rsidP="0046013C">
            <w:pPr>
              <w:widowControl w:val="0"/>
              <w:tabs>
                <w:tab w:val="center" w:pos="8647"/>
              </w:tabs>
              <w:autoSpaceDE w:val="0"/>
              <w:autoSpaceDN w:val="0"/>
              <w:adjustRightInd w:val="0"/>
              <w:jc w:val="center"/>
              <w:rPr>
                <w:sz w:val="18"/>
                <w:szCs w:val="18"/>
              </w:rPr>
            </w:pPr>
          </w:p>
          <w:p w14:paraId="3CF098D6" w14:textId="5118E308"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55-60</w:t>
            </w:r>
          </w:p>
        </w:tc>
        <w:tc>
          <w:tcPr>
            <w:tcW w:w="850" w:type="dxa"/>
          </w:tcPr>
          <w:p w14:paraId="75241604" w14:textId="77777777" w:rsidR="00013EDA" w:rsidRDefault="00013EDA" w:rsidP="0046013C">
            <w:pPr>
              <w:widowControl w:val="0"/>
              <w:tabs>
                <w:tab w:val="center" w:pos="8647"/>
              </w:tabs>
              <w:autoSpaceDE w:val="0"/>
              <w:autoSpaceDN w:val="0"/>
              <w:adjustRightInd w:val="0"/>
              <w:jc w:val="center"/>
              <w:rPr>
                <w:sz w:val="18"/>
                <w:szCs w:val="18"/>
              </w:rPr>
            </w:pPr>
          </w:p>
          <w:p w14:paraId="046D9436" w14:textId="77777777"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1785FC93" w14:textId="77777777" w:rsidR="00013EDA" w:rsidRDefault="00013EDA" w:rsidP="0046013C">
            <w:pPr>
              <w:widowControl w:val="0"/>
              <w:tabs>
                <w:tab w:val="center" w:pos="8647"/>
              </w:tabs>
              <w:autoSpaceDE w:val="0"/>
              <w:autoSpaceDN w:val="0"/>
              <w:adjustRightInd w:val="0"/>
              <w:jc w:val="center"/>
              <w:rPr>
                <w:sz w:val="18"/>
                <w:szCs w:val="18"/>
              </w:rPr>
            </w:pPr>
          </w:p>
          <w:p w14:paraId="568B80AE" w14:textId="0A37441C"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29BF1D40" w14:textId="77777777" w:rsidR="00013EDA" w:rsidRDefault="00013EDA" w:rsidP="0046013C">
            <w:pPr>
              <w:widowControl w:val="0"/>
              <w:tabs>
                <w:tab w:val="center" w:pos="8647"/>
              </w:tabs>
              <w:autoSpaceDE w:val="0"/>
              <w:autoSpaceDN w:val="0"/>
              <w:adjustRightInd w:val="0"/>
              <w:jc w:val="center"/>
              <w:rPr>
                <w:sz w:val="18"/>
                <w:szCs w:val="18"/>
              </w:rPr>
            </w:pPr>
          </w:p>
          <w:p w14:paraId="31375416" w14:textId="76DA0A99" w:rsidR="003D1DAB" w:rsidRPr="001F61FA" w:rsidRDefault="00760EB1" w:rsidP="0046013C">
            <w:pPr>
              <w:widowControl w:val="0"/>
              <w:tabs>
                <w:tab w:val="center" w:pos="8647"/>
              </w:tabs>
              <w:autoSpaceDE w:val="0"/>
              <w:autoSpaceDN w:val="0"/>
              <w:adjustRightInd w:val="0"/>
              <w:jc w:val="center"/>
              <w:rPr>
                <w:sz w:val="18"/>
                <w:szCs w:val="18"/>
              </w:rPr>
            </w:pPr>
            <w:r>
              <w:rPr>
                <w:sz w:val="18"/>
                <w:szCs w:val="18"/>
              </w:rPr>
              <w:t>11</w:t>
            </w:r>
            <w:r w:rsidR="003D1DAB">
              <w:rPr>
                <w:sz w:val="18"/>
                <w:szCs w:val="18"/>
              </w:rPr>
              <w:t>,000</w:t>
            </w:r>
          </w:p>
        </w:tc>
        <w:tc>
          <w:tcPr>
            <w:tcW w:w="992" w:type="dxa"/>
          </w:tcPr>
          <w:p w14:paraId="3476637A" w14:textId="77777777" w:rsidR="00013EDA" w:rsidRDefault="00013EDA" w:rsidP="0046013C">
            <w:pPr>
              <w:widowControl w:val="0"/>
              <w:tabs>
                <w:tab w:val="center" w:pos="8647"/>
              </w:tabs>
              <w:autoSpaceDE w:val="0"/>
              <w:autoSpaceDN w:val="0"/>
              <w:adjustRightInd w:val="0"/>
              <w:jc w:val="center"/>
              <w:rPr>
                <w:sz w:val="18"/>
                <w:szCs w:val="18"/>
              </w:rPr>
            </w:pPr>
          </w:p>
          <w:p w14:paraId="7AB31373" w14:textId="3CD31C9B"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23,000</w:t>
            </w:r>
          </w:p>
        </w:tc>
        <w:tc>
          <w:tcPr>
            <w:tcW w:w="993" w:type="dxa"/>
          </w:tcPr>
          <w:p w14:paraId="48D7086E" w14:textId="77777777" w:rsidR="00013EDA" w:rsidRDefault="00013EDA" w:rsidP="0046013C">
            <w:pPr>
              <w:widowControl w:val="0"/>
              <w:tabs>
                <w:tab w:val="center" w:pos="8647"/>
              </w:tabs>
              <w:autoSpaceDE w:val="0"/>
              <w:autoSpaceDN w:val="0"/>
              <w:adjustRightInd w:val="0"/>
              <w:jc w:val="center"/>
              <w:rPr>
                <w:sz w:val="18"/>
                <w:szCs w:val="18"/>
              </w:rPr>
            </w:pPr>
          </w:p>
          <w:p w14:paraId="2AB34761" w14:textId="523AC81C" w:rsidR="0046013C" w:rsidRPr="001F61FA" w:rsidRDefault="0046013C" w:rsidP="0046013C">
            <w:pPr>
              <w:widowControl w:val="0"/>
              <w:tabs>
                <w:tab w:val="center" w:pos="8647"/>
              </w:tabs>
              <w:autoSpaceDE w:val="0"/>
              <w:autoSpaceDN w:val="0"/>
              <w:adjustRightInd w:val="0"/>
              <w:jc w:val="center"/>
              <w:rPr>
                <w:sz w:val="18"/>
                <w:szCs w:val="18"/>
              </w:rPr>
            </w:pPr>
            <w:r>
              <w:rPr>
                <w:sz w:val="18"/>
                <w:szCs w:val="18"/>
              </w:rPr>
              <w:t>70-75</w:t>
            </w:r>
          </w:p>
        </w:tc>
        <w:tc>
          <w:tcPr>
            <w:tcW w:w="992" w:type="dxa"/>
          </w:tcPr>
          <w:p w14:paraId="52B40F3B" w14:textId="77777777" w:rsidR="00013EDA" w:rsidRDefault="00013EDA" w:rsidP="0046013C">
            <w:pPr>
              <w:widowControl w:val="0"/>
              <w:tabs>
                <w:tab w:val="center" w:pos="8647"/>
              </w:tabs>
              <w:autoSpaceDE w:val="0"/>
              <w:autoSpaceDN w:val="0"/>
              <w:adjustRightInd w:val="0"/>
              <w:jc w:val="center"/>
              <w:rPr>
                <w:sz w:val="18"/>
                <w:szCs w:val="18"/>
              </w:rPr>
            </w:pPr>
          </w:p>
          <w:p w14:paraId="5F332ED3" w14:textId="60B92B3D" w:rsidR="00013EDA" w:rsidRPr="00AF5373" w:rsidRDefault="00013EDA" w:rsidP="0046013C">
            <w:pPr>
              <w:widowControl w:val="0"/>
              <w:tabs>
                <w:tab w:val="center" w:pos="8647"/>
              </w:tabs>
              <w:autoSpaceDE w:val="0"/>
              <w:autoSpaceDN w:val="0"/>
              <w:adjustRightInd w:val="0"/>
              <w:jc w:val="center"/>
              <w:rPr>
                <w:sz w:val="18"/>
                <w:szCs w:val="18"/>
              </w:rPr>
            </w:pPr>
            <w:r>
              <w:rPr>
                <w:sz w:val="18"/>
                <w:szCs w:val="18"/>
              </w:rPr>
              <w:t>80-85</w:t>
            </w:r>
          </w:p>
        </w:tc>
      </w:tr>
      <w:tr w:rsidR="00013EDA" w:rsidRPr="00280EA2" w14:paraId="330E0BD4" w14:textId="77777777" w:rsidTr="00DC0FA7">
        <w:tc>
          <w:tcPr>
            <w:tcW w:w="2581" w:type="dxa"/>
            <w:vAlign w:val="center"/>
          </w:tcPr>
          <w:p w14:paraId="7158A59F" w14:textId="77777777" w:rsidR="00013EDA" w:rsidRPr="001F61FA" w:rsidRDefault="00013EDA" w:rsidP="00013EDA">
            <w:pPr>
              <w:rPr>
                <w:b/>
                <w:sz w:val="18"/>
                <w:szCs w:val="18"/>
              </w:rPr>
            </w:pPr>
            <w:r w:rsidRPr="001F61FA">
              <w:rPr>
                <w:b/>
                <w:sz w:val="18"/>
                <w:szCs w:val="18"/>
              </w:rPr>
              <w:t>Ms Claire Martin</w:t>
            </w:r>
          </w:p>
          <w:p w14:paraId="28708AC3" w14:textId="77777777" w:rsidR="00013EDA" w:rsidRDefault="00013EDA" w:rsidP="00013EDA">
            <w:pPr>
              <w:rPr>
                <w:sz w:val="18"/>
                <w:szCs w:val="18"/>
              </w:rPr>
            </w:pPr>
            <w:r w:rsidRPr="001F61FA">
              <w:rPr>
                <w:sz w:val="18"/>
                <w:szCs w:val="18"/>
              </w:rPr>
              <w:t xml:space="preserve">Director </w:t>
            </w:r>
          </w:p>
          <w:p w14:paraId="70D6A784" w14:textId="77777777" w:rsidR="0046013C" w:rsidRPr="001F61FA" w:rsidRDefault="0046013C" w:rsidP="00013EDA">
            <w:pPr>
              <w:rPr>
                <w:sz w:val="18"/>
                <w:szCs w:val="18"/>
              </w:rPr>
            </w:pPr>
          </w:p>
        </w:tc>
        <w:tc>
          <w:tcPr>
            <w:tcW w:w="850" w:type="dxa"/>
          </w:tcPr>
          <w:p w14:paraId="75E55C60" w14:textId="77777777" w:rsidR="00013EDA" w:rsidRDefault="00013EDA" w:rsidP="0046013C">
            <w:pPr>
              <w:widowControl w:val="0"/>
              <w:tabs>
                <w:tab w:val="center" w:pos="8647"/>
              </w:tabs>
              <w:autoSpaceDE w:val="0"/>
              <w:autoSpaceDN w:val="0"/>
              <w:adjustRightInd w:val="0"/>
              <w:jc w:val="center"/>
              <w:rPr>
                <w:sz w:val="18"/>
                <w:szCs w:val="18"/>
              </w:rPr>
            </w:pPr>
          </w:p>
          <w:p w14:paraId="7B15BE97" w14:textId="45E45CCD" w:rsidR="00013EDA" w:rsidRPr="001F61FA" w:rsidRDefault="00431AE4" w:rsidP="0046013C">
            <w:pPr>
              <w:widowControl w:val="0"/>
              <w:tabs>
                <w:tab w:val="center" w:pos="8647"/>
              </w:tabs>
              <w:autoSpaceDE w:val="0"/>
              <w:autoSpaceDN w:val="0"/>
              <w:adjustRightInd w:val="0"/>
              <w:jc w:val="center"/>
              <w:rPr>
                <w:sz w:val="18"/>
                <w:szCs w:val="18"/>
              </w:rPr>
            </w:pPr>
            <w:r>
              <w:rPr>
                <w:sz w:val="18"/>
                <w:szCs w:val="18"/>
              </w:rPr>
              <w:t>65-70</w:t>
            </w:r>
          </w:p>
        </w:tc>
        <w:tc>
          <w:tcPr>
            <w:tcW w:w="851" w:type="dxa"/>
          </w:tcPr>
          <w:p w14:paraId="6EDF400A" w14:textId="77777777" w:rsidR="00013EDA" w:rsidRDefault="00013EDA" w:rsidP="0046013C">
            <w:pPr>
              <w:widowControl w:val="0"/>
              <w:tabs>
                <w:tab w:val="center" w:pos="8647"/>
              </w:tabs>
              <w:autoSpaceDE w:val="0"/>
              <w:autoSpaceDN w:val="0"/>
              <w:adjustRightInd w:val="0"/>
              <w:jc w:val="center"/>
              <w:rPr>
                <w:sz w:val="18"/>
                <w:szCs w:val="18"/>
              </w:rPr>
            </w:pPr>
          </w:p>
          <w:p w14:paraId="3341C794" w14:textId="05A8A610"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65-70</w:t>
            </w:r>
          </w:p>
        </w:tc>
        <w:tc>
          <w:tcPr>
            <w:tcW w:w="850" w:type="dxa"/>
          </w:tcPr>
          <w:p w14:paraId="7D924424" w14:textId="77777777" w:rsidR="00013EDA" w:rsidRDefault="00013EDA" w:rsidP="0046013C">
            <w:pPr>
              <w:widowControl w:val="0"/>
              <w:tabs>
                <w:tab w:val="center" w:pos="8647"/>
              </w:tabs>
              <w:autoSpaceDE w:val="0"/>
              <w:autoSpaceDN w:val="0"/>
              <w:adjustRightInd w:val="0"/>
              <w:jc w:val="center"/>
              <w:rPr>
                <w:sz w:val="18"/>
                <w:szCs w:val="18"/>
              </w:rPr>
            </w:pPr>
          </w:p>
          <w:p w14:paraId="6F4D0EF0" w14:textId="77777777"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01410295" w14:textId="77777777" w:rsidR="00013EDA" w:rsidRDefault="00013EDA" w:rsidP="0046013C">
            <w:pPr>
              <w:widowControl w:val="0"/>
              <w:tabs>
                <w:tab w:val="center" w:pos="8647"/>
              </w:tabs>
              <w:autoSpaceDE w:val="0"/>
              <w:autoSpaceDN w:val="0"/>
              <w:adjustRightInd w:val="0"/>
              <w:jc w:val="center"/>
              <w:rPr>
                <w:sz w:val="18"/>
                <w:szCs w:val="18"/>
              </w:rPr>
            </w:pPr>
          </w:p>
          <w:p w14:paraId="77CD5970" w14:textId="360CCE7E"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09BB2938" w14:textId="77777777" w:rsidR="00013EDA" w:rsidRDefault="00013EDA" w:rsidP="0046013C">
            <w:pPr>
              <w:widowControl w:val="0"/>
              <w:tabs>
                <w:tab w:val="center" w:pos="8647"/>
              </w:tabs>
              <w:autoSpaceDE w:val="0"/>
              <w:autoSpaceDN w:val="0"/>
              <w:adjustRightInd w:val="0"/>
              <w:jc w:val="center"/>
              <w:rPr>
                <w:sz w:val="18"/>
                <w:szCs w:val="18"/>
              </w:rPr>
            </w:pPr>
          </w:p>
          <w:p w14:paraId="6F536B98" w14:textId="1C5E0386" w:rsidR="00760EB1" w:rsidRPr="001F61FA" w:rsidRDefault="00760EB1" w:rsidP="0046013C">
            <w:pPr>
              <w:widowControl w:val="0"/>
              <w:tabs>
                <w:tab w:val="center" w:pos="8647"/>
              </w:tabs>
              <w:autoSpaceDE w:val="0"/>
              <w:autoSpaceDN w:val="0"/>
              <w:adjustRightInd w:val="0"/>
              <w:jc w:val="center"/>
              <w:rPr>
                <w:sz w:val="18"/>
                <w:szCs w:val="18"/>
              </w:rPr>
            </w:pPr>
            <w:r>
              <w:rPr>
                <w:sz w:val="18"/>
                <w:szCs w:val="18"/>
              </w:rPr>
              <w:t>15,000</w:t>
            </w:r>
          </w:p>
        </w:tc>
        <w:tc>
          <w:tcPr>
            <w:tcW w:w="992" w:type="dxa"/>
          </w:tcPr>
          <w:p w14:paraId="54649A09" w14:textId="77777777" w:rsidR="00013EDA" w:rsidRDefault="00013EDA" w:rsidP="0046013C">
            <w:pPr>
              <w:widowControl w:val="0"/>
              <w:tabs>
                <w:tab w:val="center" w:pos="8647"/>
              </w:tabs>
              <w:autoSpaceDE w:val="0"/>
              <w:autoSpaceDN w:val="0"/>
              <w:adjustRightInd w:val="0"/>
              <w:jc w:val="center"/>
              <w:rPr>
                <w:sz w:val="18"/>
                <w:szCs w:val="18"/>
              </w:rPr>
            </w:pPr>
          </w:p>
          <w:p w14:paraId="18B73F55" w14:textId="32762ABB"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37,000</w:t>
            </w:r>
          </w:p>
        </w:tc>
        <w:tc>
          <w:tcPr>
            <w:tcW w:w="993" w:type="dxa"/>
          </w:tcPr>
          <w:p w14:paraId="7EFBC6B2" w14:textId="77777777" w:rsidR="00013EDA" w:rsidRDefault="00013EDA" w:rsidP="0046013C">
            <w:pPr>
              <w:widowControl w:val="0"/>
              <w:tabs>
                <w:tab w:val="center" w:pos="8647"/>
              </w:tabs>
              <w:autoSpaceDE w:val="0"/>
              <w:autoSpaceDN w:val="0"/>
              <w:adjustRightInd w:val="0"/>
              <w:jc w:val="center"/>
              <w:rPr>
                <w:sz w:val="18"/>
                <w:szCs w:val="18"/>
              </w:rPr>
            </w:pPr>
          </w:p>
          <w:p w14:paraId="6FFEF1D4" w14:textId="41CD706E" w:rsidR="0046013C" w:rsidRPr="001F61FA" w:rsidRDefault="0046013C" w:rsidP="0046013C">
            <w:pPr>
              <w:widowControl w:val="0"/>
              <w:tabs>
                <w:tab w:val="center" w:pos="8647"/>
              </w:tabs>
              <w:autoSpaceDE w:val="0"/>
              <w:autoSpaceDN w:val="0"/>
              <w:adjustRightInd w:val="0"/>
              <w:jc w:val="center"/>
              <w:rPr>
                <w:sz w:val="18"/>
                <w:szCs w:val="18"/>
              </w:rPr>
            </w:pPr>
            <w:r>
              <w:rPr>
                <w:sz w:val="18"/>
                <w:szCs w:val="18"/>
              </w:rPr>
              <w:t>8</w:t>
            </w:r>
            <w:r w:rsidR="00DC0FA7">
              <w:rPr>
                <w:sz w:val="18"/>
                <w:szCs w:val="18"/>
              </w:rPr>
              <w:t>0</w:t>
            </w:r>
            <w:r>
              <w:rPr>
                <w:sz w:val="18"/>
                <w:szCs w:val="18"/>
              </w:rPr>
              <w:t>-</w:t>
            </w:r>
            <w:r w:rsidR="00DC0FA7">
              <w:rPr>
                <w:sz w:val="18"/>
                <w:szCs w:val="18"/>
              </w:rPr>
              <w:t>85</w:t>
            </w:r>
          </w:p>
        </w:tc>
        <w:tc>
          <w:tcPr>
            <w:tcW w:w="992" w:type="dxa"/>
          </w:tcPr>
          <w:p w14:paraId="3ABCB713" w14:textId="77777777" w:rsidR="00013EDA" w:rsidRDefault="00013EDA" w:rsidP="0046013C">
            <w:pPr>
              <w:widowControl w:val="0"/>
              <w:tabs>
                <w:tab w:val="center" w:pos="8647"/>
              </w:tabs>
              <w:autoSpaceDE w:val="0"/>
              <w:autoSpaceDN w:val="0"/>
              <w:adjustRightInd w:val="0"/>
              <w:jc w:val="center"/>
              <w:rPr>
                <w:sz w:val="18"/>
                <w:szCs w:val="18"/>
              </w:rPr>
            </w:pPr>
          </w:p>
          <w:p w14:paraId="66AA6C6A" w14:textId="74C82DAA"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105-110</w:t>
            </w:r>
          </w:p>
        </w:tc>
      </w:tr>
      <w:tr w:rsidR="00013EDA" w:rsidRPr="00280EA2" w14:paraId="6A6C9444" w14:textId="77777777" w:rsidTr="00DC0FA7">
        <w:tc>
          <w:tcPr>
            <w:tcW w:w="2581" w:type="dxa"/>
            <w:vAlign w:val="center"/>
          </w:tcPr>
          <w:p w14:paraId="3CE89E61" w14:textId="77777777" w:rsidR="00013EDA" w:rsidRDefault="00013EDA" w:rsidP="00013EDA">
            <w:pPr>
              <w:rPr>
                <w:b/>
                <w:sz w:val="18"/>
                <w:szCs w:val="18"/>
              </w:rPr>
            </w:pPr>
            <w:r>
              <w:rPr>
                <w:b/>
                <w:sz w:val="18"/>
                <w:szCs w:val="18"/>
              </w:rPr>
              <w:t>Ms Rhyannon Blythe</w:t>
            </w:r>
          </w:p>
          <w:p w14:paraId="4310CB53" w14:textId="77777777" w:rsidR="00013EDA" w:rsidRDefault="00013EDA" w:rsidP="00013EDA">
            <w:pPr>
              <w:rPr>
                <w:sz w:val="18"/>
                <w:szCs w:val="18"/>
              </w:rPr>
            </w:pPr>
            <w:r>
              <w:rPr>
                <w:sz w:val="18"/>
                <w:szCs w:val="18"/>
              </w:rPr>
              <w:t>Director</w:t>
            </w:r>
          </w:p>
          <w:p w14:paraId="7655120E" w14:textId="77777777" w:rsidR="00013EDA" w:rsidRPr="00C34C15" w:rsidRDefault="00013EDA" w:rsidP="00013EDA">
            <w:pPr>
              <w:rPr>
                <w:i/>
                <w:sz w:val="18"/>
                <w:szCs w:val="18"/>
              </w:rPr>
            </w:pPr>
          </w:p>
        </w:tc>
        <w:tc>
          <w:tcPr>
            <w:tcW w:w="850" w:type="dxa"/>
          </w:tcPr>
          <w:p w14:paraId="38A29A4C" w14:textId="77777777" w:rsidR="00013EDA" w:rsidRDefault="00013EDA" w:rsidP="0046013C">
            <w:pPr>
              <w:widowControl w:val="0"/>
              <w:tabs>
                <w:tab w:val="center" w:pos="8647"/>
              </w:tabs>
              <w:autoSpaceDE w:val="0"/>
              <w:autoSpaceDN w:val="0"/>
              <w:adjustRightInd w:val="0"/>
              <w:jc w:val="center"/>
              <w:rPr>
                <w:sz w:val="18"/>
                <w:szCs w:val="18"/>
              </w:rPr>
            </w:pPr>
          </w:p>
          <w:p w14:paraId="0E2A30BB" w14:textId="192822D9" w:rsidR="00431AE4" w:rsidRDefault="00431AE4" w:rsidP="0046013C">
            <w:pPr>
              <w:widowControl w:val="0"/>
              <w:tabs>
                <w:tab w:val="center" w:pos="8647"/>
              </w:tabs>
              <w:autoSpaceDE w:val="0"/>
              <w:autoSpaceDN w:val="0"/>
              <w:adjustRightInd w:val="0"/>
              <w:jc w:val="center"/>
              <w:rPr>
                <w:sz w:val="18"/>
                <w:szCs w:val="18"/>
              </w:rPr>
            </w:pPr>
            <w:r>
              <w:rPr>
                <w:sz w:val="18"/>
                <w:szCs w:val="18"/>
              </w:rPr>
              <w:t>65-70</w:t>
            </w:r>
          </w:p>
          <w:p w14:paraId="51062F26" w14:textId="3465FD8A" w:rsidR="00013EDA" w:rsidRPr="001F61FA" w:rsidRDefault="00013EDA" w:rsidP="0046013C">
            <w:pPr>
              <w:widowControl w:val="0"/>
              <w:tabs>
                <w:tab w:val="center" w:pos="8647"/>
              </w:tabs>
              <w:autoSpaceDE w:val="0"/>
              <w:autoSpaceDN w:val="0"/>
              <w:adjustRightInd w:val="0"/>
              <w:jc w:val="center"/>
              <w:rPr>
                <w:sz w:val="18"/>
                <w:szCs w:val="18"/>
              </w:rPr>
            </w:pPr>
          </w:p>
        </w:tc>
        <w:tc>
          <w:tcPr>
            <w:tcW w:w="851" w:type="dxa"/>
          </w:tcPr>
          <w:p w14:paraId="7D02BF60" w14:textId="77777777" w:rsidR="00013EDA" w:rsidRDefault="00013EDA" w:rsidP="0046013C">
            <w:pPr>
              <w:widowControl w:val="0"/>
              <w:tabs>
                <w:tab w:val="center" w:pos="8647"/>
              </w:tabs>
              <w:autoSpaceDE w:val="0"/>
              <w:autoSpaceDN w:val="0"/>
              <w:adjustRightInd w:val="0"/>
              <w:jc w:val="center"/>
              <w:rPr>
                <w:sz w:val="18"/>
                <w:szCs w:val="18"/>
              </w:rPr>
            </w:pPr>
          </w:p>
          <w:p w14:paraId="716B0D9A" w14:textId="6D74CEEB"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60-65</w:t>
            </w:r>
          </w:p>
        </w:tc>
        <w:tc>
          <w:tcPr>
            <w:tcW w:w="850" w:type="dxa"/>
          </w:tcPr>
          <w:p w14:paraId="32F5C01C" w14:textId="77777777" w:rsidR="00013EDA" w:rsidRDefault="00013EDA" w:rsidP="0046013C">
            <w:pPr>
              <w:widowControl w:val="0"/>
              <w:tabs>
                <w:tab w:val="center" w:pos="8647"/>
              </w:tabs>
              <w:autoSpaceDE w:val="0"/>
              <w:autoSpaceDN w:val="0"/>
              <w:adjustRightInd w:val="0"/>
              <w:jc w:val="center"/>
              <w:rPr>
                <w:sz w:val="18"/>
                <w:szCs w:val="18"/>
              </w:rPr>
            </w:pPr>
          </w:p>
          <w:p w14:paraId="18D7D30F" w14:textId="77777777"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41BC2F3B" w14:textId="77777777" w:rsidR="00013EDA" w:rsidRDefault="00013EDA" w:rsidP="0046013C">
            <w:pPr>
              <w:widowControl w:val="0"/>
              <w:tabs>
                <w:tab w:val="center" w:pos="8647"/>
              </w:tabs>
              <w:autoSpaceDE w:val="0"/>
              <w:autoSpaceDN w:val="0"/>
              <w:adjustRightInd w:val="0"/>
              <w:jc w:val="center"/>
              <w:rPr>
                <w:sz w:val="18"/>
                <w:szCs w:val="18"/>
              </w:rPr>
            </w:pPr>
          </w:p>
          <w:p w14:paraId="6BF9D3F3" w14:textId="6B6CCAB7"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3EC6F24C" w14:textId="77777777" w:rsidR="00013EDA" w:rsidRDefault="00013EDA" w:rsidP="0046013C">
            <w:pPr>
              <w:widowControl w:val="0"/>
              <w:tabs>
                <w:tab w:val="center" w:pos="8647"/>
              </w:tabs>
              <w:autoSpaceDE w:val="0"/>
              <w:autoSpaceDN w:val="0"/>
              <w:adjustRightInd w:val="0"/>
              <w:jc w:val="center"/>
              <w:rPr>
                <w:sz w:val="18"/>
                <w:szCs w:val="18"/>
              </w:rPr>
            </w:pPr>
          </w:p>
          <w:p w14:paraId="748626FB" w14:textId="72C6DE6C" w:rsidR="00760EB1" w:rsidRPr="001F61FA" w:rsidRDefault="00760EB1" w:rsidP="0046013C">
            <w:pPr>
              <w:widowControl w:val="0"/>
              <w:tabs>
                <w:tab w:val="center" w:pos="8647"/>
              </w:tabs>
              <w:autoSpaceDE w:val="0"/>
              <w:autoSpaceDN w:val="0"/>
              <w:adjustRightInd w:val="0"/>
              <w:jc w:val="center"/>
              <w:rPr>
                <w:sz w:val="18"/>
                <w:szCs w:val="18"/>
              </w:rPr>
            </w:pPr>
            <w:r>
              <w:rPr>
                <w:sz w:val="18"/>
                <w:szCs w:val="18"/>
              </w:rPr>
              <w:t>25,000</w:t>
            </w:r>
          </w:p>
        </w:tc>
        <w:tc>
          <w:tcPr>
            <w:tcW w:w="992" w:type="dxa"/>
          </w:tcPr>
          <w:p w14:paraId="388261A9" w14:textId="77777777" w:rsidR="00013EDA" w:rsidRDefault="00013EDA" w:rsidP="0046013C">
            <w:pPr>
              <w:widowControl w:val="0"/>
              <w:tabs>
                <w:tab w:val="center" w:pos="8647"/>
              </w:tabs>
              <w:autoSpaceDE w:val="0"/>
              <w:autoSpaceDN w:val="0"/>
              <w:adjustRightInd w:val="0"/>
              <w:jc w:val="center"/>
              <w:rPr>
                <w:sz w:val="18"/>
                <w:szCs w:val="18"/>
              </w:rPr>
            </w:pPr>
          </w:p>
          <w:p w14:paraId="5E62C6FD" w14:textId="7CE9545A"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25,000</w:t>
            </w:r>
          </w:p>
        </w:tc>
        <w:tc>
          <w:tcPr>
            <w:tcW w:w="993" w:type="dxa"/>
          </w:tcPr>
          <w:p w14:paraId="6B1FE4BB" w14:textId="77777777" w:rsidR="00013EDA" w:rsidRDefault="00013EDA" w:rsidP="0046013C">
            <w:pPr>
              <w:widowControl w:val="0"/>
              <w:tabs>
                <w:tab w:val="center" w:pos="8647"/>
              </w:tabs>
              <w:autoSpaceDE w:val="0"/>
              <w:autoSpaceDN w:val="0"/>
              <w:adjustRightInd w:val="0"/>
              <w:jc w:val="center"/>
              <w:rPr>
                <w:sz w:val="18"/>
                <w:szCs w:val="18"/>
              </w:rPr>
            </w:pPr>
          </w:p>
          <w:p w14:paraId="47DA7DD3" w14:textId="273B2EB2" w:rsidR="0046013C" w:rsidRPr="001F61FA" w:rsidRDefault="0046013C" w:rsidP="0046013C">
            <w:pPr>
              <w:widowControl w:val="0"/>
              <w:tabs>
                <w:tab w:val="center" w:pos="8647"/>
              </w:tabs>
              <w:autoSpaceDE w:val="0"/>
              <w:autoSpaceDN w:val="0"/>
              <w:adjustRightInd w:val="0"/>
              <w:jc w:val="center"/>
              <w:rPr>
                <w:sz w:val="18"/>
                <w:szCs w:val="18"/>
              </w:rPr>
            </w:pPr>
            <w:r>
              <w:rPr>
                <w:sz w:val="18"/>
                <w:szCs w:val="18"/>
              </w:rPr>
              <w:t>9</w:t>
            </w:r>
            <w:r w:rsidR="00DC0FA7">
              <w:rPr>
                <w:sz w:val="18"/>
                <w:szCs w:val="18"/>
              </w:rPr>
              <w:t>0</w:t>
            </w:r>
            <w:r>
              <w:rPr>
                <w:sz w:val="18"/>
                <w:szCs w:val="18"/>
              </w:rPr>
              <w:t>-</w:t>
            </w:r>
            <w:r w:rsidR="00DC0FA7">
              <w:rPr>
                <w:sz w:val="18"/>
                <w:szCs w:val="18"/>
              </w:rPr>
              <w:t>95</w:t>
            </w:r>
          </w:p>
        </w:tc>
        <w:tc>
          <w:tcPr>
            <w:tcW w:w="992" w:type="dxa"/>
          </w:tcPr>
          <w:p w14:paraId="3941533D" w14:textId="77777777" w:rsidR="00013EDA" w:rsidRDefault="00013EDA" w:rsidP="0046013C">
            <w:pPr>
              <w:widowControl w:val="0"/>
              <w:tabs>
                <w:tab w:val="center" w:pos="8647"/>
              </w:tabs>
              <w:autoSpaceDE w:val="0"/>
              <w:autoSpaceDN w:val="0"/>
              <w:adjustRightInd w:val="0"/>
              <w:jc w:val="center"/>
              <w:rPr>
                <w:sz w:val="18"/>
                <w:szCs w:val="18"/>
              </w:rPr>
            </w:pPr>
          </w:p>
          <w:p w14:paraId="12DAAEB2" w14:textId="1A231FFB"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85-90</w:t>
            </w:r>
          </w:p>
        </w:tc>
      </w:tr>
      <w:tr w:rsidR="00013EDA" w:rsidRPr="00280EA2" w14:paraId="79600FFD" w14:textId="77777777" w:rsidTr="00DC0FA7">
        <w:tc>
          <w:tcPr>
            <w:tcW w:w="2581" w:type="dxa"/>
            <w:vAlign w:val="center"/>
          </w:tcPr>
          <w:p w14:paraId="6280D7FB" w14:textId="77777777" w:rsidR="00013EDA" w:rsidRDefault="00013EDA" w:rsidP="00013EDA">
            <w:pPr>
              <w:rPr>
                <w:b/>
                <w:sz w:val="18"/>
                <w:szCs w:val="18"/>
              </w:rPr>
            </w:pPr>
            <w:r>
              <w:rPr>
                <w:b/>
                <w:sz w:val="18"/>
                <w:szCs w:val="18"/>
              </w:rPr>
              <w:t>Ms Eilis Haughey</w:t>
            </w:r>
          </w:p>
          <w:p w14:paraId="03EAABE0" w14:textId="77777777" w:rsidR="00013EDA" w:rsidRDefault="00013EDA" w:rsidP="00013EDA">
            <w:pPr>
              <w:rPr>
                <w:sz w:val="18"/>
                <w:szCs w:val="18"/>
              </w:rPr>
            </w:pPr>
            <w:r>
              <w:rPr>
                <w:sz w:val="18"/>
                <w:szCs w:val="18"/>
              </w:rPr>
              <w:t>Director</w:t>
            </w:r>
          </w:p>
          <w:p w14:paraId="5CD0753C" w14:textId="77777777" w:rsidR="00013EDA" w:rsidRDefault="00013EDA" w:rsidP="00013EDA">
            <w:pPr>
              <w:rPr>
                <w:b/>
                <w:sz w:val="18"/>
                <w:szCs w:val="18"/>
              </w:rPr>
            </w:pPr>
          </w:p>
        </w:tc>
        <w:tc>
          <w:tcPr>
            <w:tcW w:w="850" w:type="dxa"/>
          </w:tcPr>
          <w:p w14:paraId="442E55DD" w14:textId="77777777" w:rsidR="00013EDA" w:rsidRDefault="00013EDA" w:rsidP="0046013C">
            <w:pPr>
              <w:widowControl w:val="0"/>
              <w:tabs>
                <w:tab w:val="center" w:pos="8647"/>
              </w:tabs>
              <w:autoSpaceDE w:val="0"/>
              <w:autoSpaceDN w:val="0"/>
              <w:adjustRightInd w:val="0"/>
              <w:jc w:val="center"/>
              <w:rPr>
                <w:sz w:val="18"/>
                <w:szCs w:val="18"/>
              </w:rPr>
            </w:pPr>
          </w:p>
          <w:p w14:paraId="40A0DBAC" w14:textId="5DF9FD9E" w:rsidR="00013EDA" w:rsidRDefault="00431AE4" w:rsidP="0046013C">
            <w:pPr>
              <w:widowControl w:val="0"/>
              <w:tabs>
                <w:tab w:val="center" w:pos="8647"/>
              </w:tabs>
              <w:autoSpaceDE w:val="0"/>
              <w:autoSpaceDN w:val="0"/>
              <w:adjustRightInd w:val="0"/>
              <w:jc w:val="center"/>
              <w:rPr>
                <w:sz w:val="18"/>
                <w:szCs w:val="18"/>
              </w:rPr>
            </w:pPr>
            <w:r>
              <w:rPr>
                <w:sz w:val="18"/>
                <w:szCs w:val="18"/>
              </w:rPr>
              <w:t>65-70</w:t>
            </w:r>
          </w:p>
        </w:tc>
        <w:tc>
          <w:tcPr>
            <w:tcW w:w="851" w:type="dxa"/>
          </w:tcPr>
          <w:p w14:paraId="7E24859E" w14:textId="77777777" w:rsidR="00013EDA" w:rsidRDefault="00013EDA" w:rsidP="0046013C">
            <w:pPr>
              <w:widowControl w:val="0"/>
              <w:tabs>
                <w:tab w:val="center" w:pos="8647"/>
              </w:tabs>
              <w:autoSpaceDE w:val="0"/>
              <w:autoSpaceDN w:val="0"/>
              <w:adjustRightInd w:val="0"/>
              <w:jc w:val="center"/>
              <w:rPr>
                <w:sz w:val="18"/>
                <w:szCs w:val="18"/>
              </w:rPr>
            </w:pPr>
          </w:p>
          <w:p w14:paraId="18A5B749" w14:textId="5A26FBAD" w:rsidR="00013EDA" w:rsidRDefault="00013EDA" w:rsidP="0046013C">
            <w:pPr>
              <w:widowControl w:val="0"/>
              <w:tabs>
                <w:tab w:val="center" w:pos="8647"/>
              </w:tabs>
              <w:autoSpaceDE w:val="0"/>
              <w:autoSpaceDN w:val="0"/>
              <w:adjustRightInd w:val="0"/>
              <w:jc w:val="center"/>
              <w:rPr>
                <w:sz w:val="18"/>
                <w:szCs w:val="18"/>
              </w:rPr>
            </w:pPr>
            <w:r>
              <w:rPr>
                <w:sz w:val="18"/>
                <w:szCs w:val="18"/>
              </w:rPr>
              <w:t>65-70</w:t>
            </w:r>
          </w:p>
        </w:tc>
        <w:tc>
          <w:tcPr>
            <w:tcW w:w="850" w:type="dxa"/>
          </w:tcPr>
          <w:p w14:paraId="28752032" w14:textId="77777777" w:rsidR="00013EDA" w:rsidRDefault="00013EDA" w:rsidP="0046013C">
            <w:pPr>
              <w:widowControl w:val="0"/>
              <w:tabs>
                <w:tab w:val="center" w:pos="8647"/>
              </w:tabs>
              <w:autoSpaceDE w:val="0"/>
              <w:autoSpaceDN w:val="0"/>
              <w:adjustRightInd w:val="0"/>
              <w:jc w:val="center"/>
              <w:rPr>
                <w:sz w:val="18"/>
                <w:szCs w:val="18"/>
              </w:rPr>
            </w:pPr>
          </w:p>
          <w:p w14:paraId="3060EC3E" w14:textId="77777777"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5503E86E" w14:textId="77777777" w:rsidR="00013EDA" w:rsidRDefault="00013EDA" w:rsidP="0046013C">
            <w:pPr>
              <w:widowControl w:val="0"/>
              <w:tabs>
                <w:tab w:val="center" w:pos="8647"/>
              </w:tabs>
              <w:autoSpaceDE w:val="0"/>
              <w:autoSpaceDN w:val="0"/>
              <w:adjustRightInd w:val="0"/>
              <w:jc w:val="center"/>
              <w:rPr>
                <w:sz w:val="18"/>
                <w:szCs w:val="18"/>
              </w:rPr>
            </w:pPr>
          </w:p>
          <w:p w14:paraId="55A011D3" w14:textId="11F8B269"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5CCA2F47" w14:textId="77777777" w:rsidR="00013EDA" w:rsidRDefault="00013EDA" w:rsidP="0046013C">
            <w:pPr>
              <w:widowControl w:val="0"/>
              <w:tabs>
                <w:tab w:val="center" w:pos="8647"/>
              </w:tabs>
              <w:autoSpaceDE w:val="0"/>
              <w:autoSpaceDN w:val="0"/>
              <w:adjustRightInd w:val="0"/>
              <w:jc w:val="center"/>
              <w:rPr>
                <w:sz w:val="18"/>
                <w:szCs w:val="18"/>
              </w:rPr>
            </w:pPr>
          </w:p>
          <w:p w14:paraId="2B431995" w14:textId="70307E84" w:rsidR="00760EB1" w:rsidRDefault="00760EB1" w:rsidP="0046013C">
            <w:pPr>
              <w:widowControl w:val="0"/>
              <w:tabs>
                <w:tab w:val="center" w:pos="8647"/>
              </w:tabs>
              <w:autoSpaceDE w:val="0"/>
              <w:autoSpaceDN w:val="0"/>
              <w:adjustRightInd w:val="0"/>
              <w:jc w:val="center"/>
              <w:rPr>
                <w:sz w:val="18"/>
                <w:szCs w:val="18"/>
              </w:rPr>
            </w:pPr>
            <w:r>
              <w:rPr>
                <w:sz w:val="18"/>
                <w:szCs w:val="18"/>
              </w:rPr>
              <w:t>26,000</w:t>
            </w:r>
          </w:p>
        </w:tc>
        <w:tc>
          <w:tcPr>
            <w:tcW w:w="992" w:type="dxa"/>
          </w:tcPr>
          <w:p w14:paraId="62FA7A0F" w14:textId="77777777" w:rsidR="00013EDA" w:rsidRDefault="00013EDA" w:rsidP="0046013C">
            <w:pPr>
              <w:widowControl w:val="0"/>
              <w:tabs>
                <w:tab w:val="center" w:pos="8647"/>
              </w:tabs>
              <w:autoSpaceDE w:val="0"/>
              <w:autoSpaceDN w:val="0"/>
              <w:adjustRightInd w:val="0"/>
              <w:jc w:val="center"/>
              <w:rPr>
                <w:sz w:val="18"/>
                <w:szCs w:val="18"/>
              </w:rPr>
            </w:pPr>
          </w:p>
          <w:p w14:paraId="579CF7D5" w14:textId="3E29734E" w:rsidR="00013EDA" w:rsidRDefault="00013EDA" w:rsidP="0046013C">
            <w:pPr>
              <w:widowControl w:val="0"/>
              <w:tabs>
                <w:tab w:val="center" w:pos="8647"/>
              </w:tabs>
              <w:autoSpaceDE w:val="0"/>
              <w:autoSpaceDN w:val="0"/>
              <w:adjustRightInd w:val="0"/>
              <w:jc w:val="center"/>
              <w:rPr>
                <w:sz w:val="18"/>
                <w:szCs w:val="18"/>
              </w:rPr>
            </w:pPr>
            <w:r>
              <w:rPr>
                <w:sz w:val="18"/>
                <w:szCs w:val="18"/>
              </w:rPr>
              <w:t>25,000</w:t>
            </w:r>
          </w:p>
        </w:tc>
        <w:tc>
          <w:tcPr>
            <w:tcW w:w="993" w:type="dxa"/>
          </w:tcPr>
          <w:p w14:paraId="080464B7" w14:textId="77777777" w:rsidR="00013EDA" w:rsidRDefault="00013EDA" w:rsidP="0046013C">
            <w:pPr>
              <w:widowControl w:val="0"/>
              <w:tabs>
                <w:tab w:val="center" w:pos="8647"/>
              </w:tabs>
              <w:autoSpaceDE w:val="0"/>
              <w:autoSpaceDN w:val="0"/>
              <w:adjustRightInd w:val="0"/>
              <w:jc w:val="center"/>
              <w:rPr>
                <w:sz w:val="18"/>
                <w:szCs w:val="18"/>
              </w:rPr>
            </w:pPr>
          </w:p>
          <w:p w14:paraId="19404734" w14:textId="0C3000B2" w:rsidR="0046013C" w:rsidRDefault="0046013C" w:rsidP="0046013C">
            <w:pPr>
              <w:widowControl w:val="0"/>
              <w:tabs>
                <w:tab w:val="center" w:pos="8647"/>
              </w:tabs>
              <w:autoSpaceDE w:val="0"/>
              <w:autoSpaceDN w:val="0"/>
              <w:adjustRightInd w:val="0"/>
              <w:jc w:val="center"/>
              <w:rPr>
                <w:sz w:val="18"/>
                <w:szCs w:val="18"/>
              </w:rPr>
            </w:pPr>
            <w:r>
              <w:rPr>
                <w:sz w:val="18"/>
                <w:szCs w:val="18"/>
              </w:rPr>
              <w:t>95-100</w:t>
            </w:r>
          </w:p>
        </w:tc>
        <w:tc>
          <w:tcPr>
            <w:tcW w:w="992" w:type="dxa"/>
          </w:tcPr>
          <w:p w14:paraId="0C4FE334" w14:textId="77777777" w:rsidR="00013EDA" w:rsidRDefault="00013EDA" w:rsidP="0046013C">
            <w:pPr>
              <w:widowControl w:val="0"/>
              <w:tabs>
                <w:tab w:val="center" w:pos="8647"/>
              </w:tabs>
              <w:autoSpaceDE w:val="0"/>
              <w:autoSpaceDN w:val="0"/>
              <w:adjustRightInd w:val="0"/>
              <w:jc w:val="center"/>
              <w:rPr>
                <w:sz w:val="18"/>
                <w:szCs w:val="18"/>
              </w:rPr>
            </w:pPr>
          </w:p>
          <w:p w14:paraId="3DB8E619" w14:textId="6FCBF703" w:rsidR="00013EDA" w:rsidRDefault="00013EDA" w:rsidP="0046013C">
            <w:pPr>
              <w:widowControl w:val="0"/>
              <w:tabs>
                <w:tab w:val="center" w:pos="8647"/>
              </w:tabs>
              <w:autoSpaceDE w:val="0"/>
              <w:autoSpaceDN w:val="0"/>
              <w:adjustRightInd w:val="0"/>
              <w:jc w:val="center"/>
              <w:rPr>
                <w:sz w:val="18"/>
                <w:szCs w:val="18"/>
              </w:rPr>
            </w:pPr>
            <w:r>
              <w:rPr>
                <w:sz w:val="18"/>
                <w:szCs w:val="18"/>
              </w:rPr>
              <w:t>90-95</w:t>
            </w:r>
          </w:p>
        </w:tc>
      </w:tr>
      <w:tr w:rsidR="00013EDA" w:rsidRPr="00280EA2" w14:paraId="030F1F16" w14:textId="77777777" w:rsidTr="00DC0FA7">
        <w:tc>
          <w:tcPr>
            <w:tcW w:w="2581" w:type="dxa"/>
            <w:vAlign w:val="center"/>
          </w:tcPr>
          <w:p w14:paraId="6B762770" w14:textId="77777777" w:rsidR="00013EDA" w:rsidRDefault="00013EDA" w:rsidP="00013EDA">
            <w:pPr>
              <w:rPr>
                <w:b/>
                <w:sz w:val="18"/>
                <w:szCs w:val="18"/>
              </w:rPr>
            </w:pPr>
            <w:r>
              <w:rPr>
                <w:b/>
                <w:sz w:val="18"/>
                <w:szCs w:val="18"/>
              </w:rPr>
              <w:t>Colin Caughey</w:t>
            </w:r>
          </w:p>
          <w:p w14:paraId="1BD6A65F" w14:textId="77777777" w:rsidR="00013EDA" w:rsidRDefault="00013EDA" w:rsidP="00013EDA">
            <w:pPr>
              <w:rPr>
                <w:bCs/>
                <w:sz w:val="18"/>
                <w:szCs w:val="18"/>
              </w:rPr>
            </w:pPr>
            <w:r>
              <w:rPr>
                <w:bCs/>
                <w:sz w:val="18"/>
                <w:szCs w:val="18"/>
              </w:rPr>
              <w:t>Director</w:t>
            </w:r>
          </w:p>
          <w:p w14:paraId="300E1526" w14:textId="77777777" w:rsidR="00013EDA" w:rsidRDefault="00013EDA" w:rsidP="00013EDA">
            <w:pPr>
              <w:rPr>
                <w:bCs/>
                <w:sz w:val="18"/>
                <w:szCs w:val="18"/>
              </w:rPr>
            </w:pPr>
            <w:r>
              <w:rPr>
                <w:bCs/>
                <w:sz w:val="18"/>
                <w:szCs w:val="18"/>
              </w:rPr>
              <w:t>(from 1 August 2022)</w:t>
            </w:r>
          </w:p>
          <w:p w14:paraId="690DD638" w14:textId="37884CB2" w:rsidR="00DC0FA7" w:rsidRPr="00863A14" w:rsidRDefault="00DC0FA7" w:rsidP="00013EDA">
            <w:pPr>
              <w:rPr>
                <w:bCs/>
                <w:sz w:val="18"/>
                <w:szCs w:val="18"/>
              </w:rPr>
            </w:pPr>
          </w:p>
        </w:tc>
        <w:tc>
          <w:tcPr>
            <w:tcW w:w="850" w:type="dxa"/>
          </w:tcPr>
          <w:p w14:paraId="6DBD4279" w14:textId="77777777" w:rsidR="00013EDA" w:rsidRDefault="00013EDA" w:rsidP="0046013C">
            <w:pPr>
              <w:widowControl w:val="0"/>
              <w:tabs>
                <w:tab w:val="center" w:pos="8647"/>
              </w:tabs>
              <w:autoSpaceDE w:val="0"/>
              <w:autoSpaceDN w:val="0"/>
              <w:adjustRightInd w:val="0"/>
              <w:jc w:val="center"/>
              <w:rPr>
                <w:sz w:val="18"/>
                <w:szCs w:val="18"/>
              </w:rPr>
            </w:pPr>
          </w:p>
          <w:p w14:paraId="52E00027" w14:textId="450E3824" w:rsidR="0046013C" w:rsidRDefault="0046013C" w:rsidP="0046013C">
            <w:pPr>
              <w:widowControl w:val="0"/>
              <w:tabs>
                <w:tab w:val="center" w:pos="8647"/>
              </w:tabs>
              <w:autoSpaceDE w:val="0"/>
              <w:autoSpaceDN w:val="0"/>
              <w:adjustRightInd w:val="0"/>
              <w:jc w:val="center"/>
              <w:rPr>
                <w:sz w:val="18"/>
                <w:szCs w:val="18"/>
              </w:rPr>
            </w:pPr>
            <w:r>
              <w:rPr>
                <w:sz w:val="18"/>
                <w:szCs w:val="18"/>
              </w:rPr>
              <w:t>40-45</w:t>
            </w:r>
            <w:r>
              <w:rPr>
                <w:rStyle w:val="FootnoteReference"/>
                <w:sz w:val="18"/>
                <w:szCs w:val="18"/>
              </w:rPr>
              <w:footnoteReference w:id="18"/>
            </w:r>
          </w:p>
        </w:tc>
        <w:tc>
          <w:tcPr>
            <w:tcW w:w="851" w:type="dxa"/>
          </w:tcPr>
          <w:p w14:paraId="07F1A41C" w14:textId="77777777" w:rsidR="00013EDA" w:rsidRDefault="00013EDA" w:rsidP="0046013C">
            <w:pPr>
              <w:widowControl w:val="0"/>
              <w:tabs>
                <w:tab w:val="center" w:pos="8647"/>
              </w:tabs>
              <w:autoSpaceDE w:val="0"/>
              <w:autoSpaceDN w:val="0"/>
              <w:adjustRightInd w:val="0"/>
              <w:jc w:val="center"/>
              <w:rPr>
                <w:sz w:val="18"/>
                <w:szCs w:val="18"/>
              </w:rPr>
            </w:pPr>
          </w:p>
          <w:p w14:paraId="7672C1E4" w14:textId="5C317E38"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850" w:type="dxa"/>
          </w:tcPr>
          <w:p w14:paraId="43AB325E" w14:textId="77777777" w:rsidR="00013EDA" w:rsidRDefault="00013EDA" w:rsidP="0046013C">
            <w:pPr>
              <w:widowControl w:val="0"/>
              <w:tabs>
                <w:tab w:val="center" w:pos="8647"/>
              </w:tabs>
              <w:autoSpaceDE w:val="0"/>
              <w:autoSpaceDN w:val="0"/>
              <w:adjustRightInd w:val="0"/>
              <w:jc w:val="center"/>
              <w:rPr>
                <w:sz w:val="18"/>
                <w:szCs w:val="18"/>
              </w:rPr>
            </w:pPr>
          </w:p>
          <w:p w14:paraId="2B852CFC" w14:textId="19B827B4"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1BA96F83" w14:textId="77777777" w:rsidR="00013EDA" w:rsidRDefault="00013EDA" w:rsidP="0046013C">
            <w:pPr>
              <w:widowControl w:val="0"/>
              <w:tabs>
                <w:tab w:val="center" w:pos="8647"/>
              </w:tabs>
              <w:autoSpaceDE w:val="0"/>
              <w:autoSpaceDN w:val="0"/>
              <w:adjustRightInd w:val="0"/>
              <w:jc w:val="center"/>
              <w:rPr>
                <w:sz w:val="18"/>
                <w:szCs w:val="18"/>
              </w:rPr>
            </w:pPr>
          </w:p>
          <w:p w14:paraId="2F1B7B6A" w14:textId="4E27BAA6"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38B60700" w14:textId="77777777" w:rsidR="00013EDA" w:rsidRDefault="00013EDA" w:rsidP="0046013C">
            <w:pPr>
              <w:widowControl w:val="0"/>
              <w:tabs>
                <w:tab w:val="center" w:pos="8647"/>
              </w:tabs>
              <w:autoSpaceDE w:val="0"/>
              <w:autoSpaceDN w:val="0"/>
              <w:adjustRightInd w:val="0"/>
              <w:jc w:val="center"/>
              <w:rPr>
                <w:sz w:val="18"/>
                <w:szCs w:val="18"/>
              </w:rPr>
            </w:pPr>
          </w:p>
          <w:p w14:paraId="4C5A705E" w14:textId="730F4E61" w:rsidR="00760EB1" w:rsidRDefault="00760EB1" w:rsidP="0046013C">
            <w:pPr>
              <w:widowControl w:val="0"/>
              <w:tabs>
                <w:tab w:val="center" w:pos="8647"/>
              </w:tabs>
              <w:autoSpaceDE w:val="0"/>
              <w:autoSpaceDN w:val="0"/>
              <w:adjustRightInd w:val="0"/>
              <w:jc w:val="center"/>
              <w:rPr>
                <w:sz w:val="18"/>
                <w:szCs w:val="18"/>
              </w:rPr>
            </w:pPr>
            <w:r>
              <w:rPr>
                <w:sz w:val="18"/>
                <w:szCs w:val="18"/>
              </w:rPr>
              <w:t>17,000</w:t>
            </w:r>
          </w:p>
        </w:tc>
        <w:tc>
          <w:tcPr>
            <w:tcW w:w="992" w:type="dxa"/>
          </w:tcPr>
          <w:p w14:paraId="5C9C4B6D" w14:textId="77777777" w:rsidR="00013EDA" w:rsidRDefault="00013EDA" w:rsidP="0046013C">
            <w:pPr>
              <w:widowControl w:val="0"/>
              <w:tabs>
                <w:tab w:val="center" w:pos="8647"/>
              </w:tabs>
              <w:autoSpaceDE w:val="0"/>
              <w:autoSpaceDN w:val="0"/>
              <w:adjustRightInd w:val="0"/>
              <w:jc w:val="center"/>
              <w:rPr>
                <w:sz w:val="18"/>
                <w:szCs w:val="18"/>
              </w:rPr>
            </w:pPr>
          </w:p>
          <w:p w14:paraId="44959E57" w14:textId="73066D29" w:rsidR="00760EB1" w:rsidRDefault="00760EB1" w:rsidP="0046013C">
            <w:pPr>
              <w:widowControl w:val="0"/>
              <w:tabs>
                <w:tab w:val="center" w:pos="8647"/>
              </w:tabs>
              <w:autoSpaceDE w:val="0"/>
              <w:autoSpaceDN w:val="0"/>
              <w:adjustRightInd w:val="0"/>
              <w:jc w:val="center"/>
              <w:rPr>
                <w:sz w:val="18"/>
                <w:szCs w:val="18"/>
              </w:rPr>
            </w:pPr>
            <w:r>
              <w:rPr>
                <w:sz w:val="18"/>
                <w:szCs w:val="18"/>
              </w:rPr>
              <w:t>-</w:t>
            </w:r>
          </w:p>
        </w:tc>
        <w:tc>
          <w:tcPr>
            <w:tcW w:w="993" w:type="dxa"/>
          </w:tcPr>
          <w:p w14:paraId="538688C8" w14:textId="77777777" w:rsidR="00013EDA" w:rsidRDefault="00013EDA" w:rsidP="0046013C">
            <w:pPr>
              <w:widowControl w:val="0"/>
              <w:tabs>
                <w:tab w:val="center" w:pos="8647"/>
              </w:tabs>
              <w:autoSpaceDE w:val="0"/>
              <w:autoSpaceDN w:val="0"/>
              <w:adjustRightInd w:val="0"/>
              <w:jc w:val="center"/>
              <w:rPr>
                <w:sz w:val="18"/>
                <w:szCs w:val="18"/>
              </w:rPr>
            </w:pPr>
          </w:p>
          <w:p w14:paraId="3AE8416E" w14:textId="302DBC98" w:rsidR="0046013C" w:rsidRDefault="0046013C" w:rsidP="0046013C">
            <w:pPr>
              <w:widowControl w:val="0"/>
              <w:tabs>
                <w:tab w:val="center" w:pos="8647"/>
              </w:tabs>
              <w:autoSpaceDE w:val="0"/>
              <w:autoSpaceDN w:val="0"/>
              <w:adjustRightInd w:val="0"/>
              <w:jc w:val="center"/>
              <w:rPr>
                <w:sz w:val="18"/>
                <w:szCs w:val="18"/>
              </w:rPr>
            </w:pPr>
            <w:r>
              <w:rPr>
                <w:sz w:val="18"/>
                <w:szCs w:val="18"/>
              </w:rPr>
              <w:t>60-65</w:t>
            </w:r>
          </w:p>
        </w:tc>
        <w:tc>
          <w:tcPr>
            <w:tcW w:w="992" w:type="dxa"/>
          </w:tcPr>
          <w:p w14:paraId="1A9E6104" w14:textId="77777777" w:rsidR="00013EDA" w:rsidRDefault="00013EDA" w:rsidP="0046013C">
            <w:pPr>
              <w:widowControl w:val="0"/>
              <w:tabs>
                <w:tab w:val="center" w:pos="8647"/>
              </w:tabs>
              <w:autoSpaceDE w:val="0"/>
              <w:autoSpaceDN w:val="0"/>
              <w:adjustRightInd w:val="0"/>
              <w:jc w:val="center"/>
              <w:rPr>
                <w:sz w:val="18"/>
                <w:szCs w:val="18"/>
              </w:rPr>
            </w:pPr>
          </w:p>
          <w:p w14:paraId="7B22D9EC" w14:textId="48FC8A01" w:rsidR="0046013C" w:rsidRDefault="0046013C" w:rsidP="0046013C">
            <w:pPr>
              <w:widowControl w:val="0"/>
              <w:tabs>
                <w:tab w:val="center" w:pos="8647"/>
              </w:tabs>
              <w:autoSpaceDE w:val="0"/>
              <w:autoSpaceDN w:val="0"/>
              <w:adjustRightInd w:val="0"/>
              <w:jc w:val="center"/>
              <w:rPr>
                <w:sz w:val="18"/>
                <w:szCs w:val="18"/>
              </w:rPr>
            </w:pPr>
            <w:r>
              <w:rPr>
                <w:sz w:val="18"/>
                <w:szCs w:val="18"/>
              </w:rPr>
              <w:t>-</w:t>
            </w:r>
          </w:p>
        </w:tc>
      </w:tr>
    </w:tbl>
    <w:p w14:paraId="25142AFC" w14:textId="77777777" w:rsidR="00CF03F1" w:rsidRDefault="00CF03F1" w:rsidP="000C2A54">
      <w:pPr>
        <w:widowControl w:val="0"/>
        <w:tabs>
          <w:tab w:val="center" w:pos="8647"/>
        </w:tabs>
        <w:autoSpaceDE w:val="0"/>
        <w:autoSpaceDN w:val="0"/>
        <w:adjustRightInd w:val="0"/>
        <w:rPr>
          <w:color w:val="auto"/>
        </w:rPr>
      </w:pPr>
    </w:p>
    <w:p w14:paraId="11C1D5A6" w14:textId="70D0211D" w:rsidR="000C2A54" w:rsidRDefault="004C65CF" w:rsidP="000C2A54">
      <w:pPr>
        <w:widowControl w:val="0"/>
        <w:tabs>
          <w:tab w:val="center" w:pos="8647"/>
        </w:tabs>
        <w:autoSpaceDE w:val="0"/>
        <w:autoSpaceDN w:val="0"/>
        <w:adjustRightInd w:val="0"/>
        <w:rPr>
          <w:color w:val="auto"/>
        </w:rPr>
      </w:pPr>
      <w:r w:rsidRPr="009F0840">
        <w:rPr>
          <w:color w:val="auto"/>
        </w:rPr>
        <w:t>No pe</w:t>
      </w:r>
      <w:r w:rsidR="00855C80">
        <w:rPr>
          <w:color w:val="auto"/>
        </w:rPr>
        <w:t>rformance related pay or bonus payments</w:t>
      </w:r>
      <w:r w:rsidRPr="009F0840">
        <w:rPr>
          <w:color w:val="auto"/>
        </w:rPr>
        <w:t xml:space="preserve"> have been </w:t>
      </w:r>
      <w:r w:rsidR="00855C80">
        <w:rPr>
          <w:color w:val="auto"/>
        </w:rPr>
        <w:t>made</w:t>
      </w:r>
      <w:r w:rsidR="005C717D">
        <w:rPr>
          <w:color w:val="auto"/>
        </w:rPr>
        <w:t xml:space="preserve"> in 202</w:t>
      </w:r>
      <w:r w:rsidR="00863A14">
        <w:rPr>
          <w:color w:val="auto"/>
        </w:rPr>
        <w:t>2</w:t>
      </w:r>
      <w:r w:rsidR="005C717D">
        <w:rPr>
          <w:color w:val="auto"/>
        </w:rPr>
        <w:t>-2</w:t>
      </w:r>
      <w:r w:rsidR="00863A14">
        <w:rPr>
          <w:color w:val="auto"/>
        </w:rPr>
        <w:t>3</w:t>
      </w:r>
      <w:r w:rsidR="008765D5">
        <w:rPr>
          <w:color w:val="auto"/>
        </w:rPr>
        <w:t xml:space="preserve"> (202</w:t>
      </w:r>
      <w:r w:rsidR="00863A14">
        <w:rPr>
          <w:color w:val="auto"/>
        </w:rPr>
        <w:t>1</w:t>
      </w:r>
      <w:r w:rsidR="005C717D">
        <w:rPr>
          <w:color w:val="auto"/>
        </w:rPr>
        <w:t>-2</w:t>
      </w:r>
      <w:r w:rsidR="00863A14">
        <w:rPr>
          <w:color w:val="auto"/>
        </w:rPr>
        <w:t>2</w:t>
      </w:r>
      <w:r w:rsidRPr="009F0840">
        <w:rPr>
          <w:color w:val="auto"/>
        </w:rPr>
        <w:t xml:space="preserve">: </w:t>
      </w:r>
      <w:r w:rsidR="00856545">
        <w:rPr>
          <w:color w:val="auto"/>
        </w:rPr>
        <w:t>£</w:t>
      </w:r>
      <w:r w:rsidRPr="009F0840">
        <w:rPr>
          <w:color w:val="auto"/>
        </w:rPr>
        <w:t>nil).</w:t>
      </w:r>
    </w:p>
    <w:p w14:paraId="031442D2" w14:textId="77777777" w:rsidR="001E5939" w:rsidRDefault="001E5939" w:rsidP="000C2A54">
      <w:pPr>
        <w:rPr>
          <w:b/>
          <w:sz w:val="22"/>
          <w:szCs w:val="22"/>
        </w:rPr>
      </w:pPr>
    </w:p>
    <w:p w14:paraId="3AC5F5FA" w14:textId="045F33F2" w:rsidR="00283547" w:rsidRPr="00C87C4B" w:rsidRDefault="00283547" w:rsidP="00283547">
      <w:pPr>
        <w:pStyle w:val="Heading4"/>
        <w:spacing w:before="0" w:after="0"/>
        <w:rPr>
          <w:rFonts w:ascii="Verdana" w:hAnsi="Verdana"/>
          <w:b w:val="0"/>
          <w:bCs w:val="0"/>
          <w:snapToGrid w:val="0"/>
          <w:sz w:val="24"/>
          <w:szCs w:val="24"/>
        </w:rPr>
      </w:pPr>
      <w:r w:rsidRPr="005B72C1">
        <w:rPr>
          <w:rFonts w:ascii="Verdana" w:hAnsi="Verdana"/>
          <w:snapToGrid w:val="0"/>
          <w:sz w:val="24"/>
          <w:szCs w:val="24"/>
        </w:rPr>
        <w:t>Salary</w:t>
      </w:r>
      <w:r>
        <w:rPr>
          <w:rFonts w:ascii="Verdana" w:hAnsi="Verdana"/>
          <w:snapToGrid w:val="0"/>
          <w:sz w:val="24"/>
          <w:szCs w:val="24"/>
        </w:rPr>
        <w:t xml:space="preserve"> </w:t>
      </w:r>
    </w:p>
    <w:p w14:paraId="577A48BE" w14:textId="77777777" w:rsidR="00283547" w:rsidRPr="005B72C1" w:rsidRDefault="00283547" w:rsidP="00283547"/>
    <w:p w14:paraId="09458176" w14:textId="77777777" w:rsidR="00283547" w:rsidRDefault="00283547" w:rsidP="00283547">
      <w:pPr>
        <w:pStyle w:val="BodyTextIndent"/>
        <w:spacing w:after="0"/>
        <w:ind w:left="0"/>
      </w:pPr>
      <w:r w:rsidRPr="005B72C1">
        <w:t>‘Salary’ includes gross salary</w:t>
      </w:r>
      <w:r>
        <w:t>;</w:t>
      </w:r>
      <w:r w:rsidRPr="005B72C1">
        <w:t xml:space="preserve"> overtime; and any other allowance </w:t>
      </w:r>
      <w:r>
        <w:t xml:space="preserve">to the extent that is </w:t>
      </w:r>
      <w:r w:rsidRPr="005B72C1">
        <w:t>subject to UK taxation.</w:t>
      </w:r>
      <w:r>
        <w:t xml:space="preserve">  No </w:t>
      </w:r>
      <w:r w:rsidRPr="005B72C1">
        <w:t xml:space="preserve">performance </w:t>
      </w:r>
      <w:r>
        <w:t xml:space="preserve">related </w:t>
      </w:r>
      <w:r w:rsidRPr="005B72C1">
        <w:t xml:space="preserve">pay </w:t>
      </w:r>
      <w:r>
        <w:t xml:space="preserve">or bonus payments were made in year (2021-22: £nil).  </w:t>
      </w:r>
      <w:r w:rsidRPr="005B72C1">
        <w:t>This report is based on accrued payments made by the Commission and thus recorded in these accounts.</w:t>
      </w:r>
    </w:p>
    <w:p w14:paraId="4A843693" w14:textId="77777777" w:rsidR="00283547" w:rsidRPr="005B72C1" w:rsidRDefault="00283547" w:rsidP="00283547">
      <w:pPr>
        <w:pStyle w:val="BodyTextIndent"/>
        <w:spacing w:after="0"/>
        <w:ind w:left="0"/>
      </w:pPr>
    </w:p>
    <w:p w14:paraId="4D2E93C5" w14:textId="29ED8596" w:rsidR="00283547" w:rsidRPr="00C87C4B" w:rsidRDefault="00283547" w:rsidP="00283547">
      <w:pPr>
        <w:pStyle w:val="Heading4"/>
        <w:spacing w:before="0" w:after="0"/>
        <w:rPr>
          <w:rFonts w:ascii="Verdana" w:hAnsi="Verdana"/>
          <w:b w:val="0"/>
          <w:bCs w:val="0"/>
          <w:snapToGrid w:val="0"/>
          <w:sz w:val="24"/>
          <w:szCs w:val="24"/>
        </w:rPr>
      </w:pPr>
      <w:r w:rsidRPr="005B72C1">
        <w:rPr>
          <w:rFonts w:ascii="Verdana" w:hAnsi="Verdana"/>
          <w:snapToGrid w:val="0"/>
          <w:sz w:val="24"/>
          <w:szCs w:val="24"/>
        </w:rPr>
        <w:t>Benefits in kind</w:t>
      </w:r>
      <w:r>
        <w:rPr>
          <w:rFonts w:ascii="Verdana" w:hAnsi="Verdana"/>
          <w:snapToGrid w:val="0"/>
          <w:sz w:val="24"/>
          <w:szCs w:val="24"/>
        </w:rPr>
        <w:t xml:space="preserve"> </w:t>
      </w:r>
    </w:p>
    <w:p w14:paraId="0EE7DBC3" w14:textId="77777777" w:rsidR="00283547" w:rsidRPr="005B72C1" w:rsidRDefault="00283547" w:rsidP="00283547">
      <w:pPr>
        <w:rPr>
          <w:lang w:val="en-US"/>
        </w:rPr>
      </w:pPr>
    </w:p>
    <w:p w14:paraId="6FE69098" w14:textId="77777777" w:rsidR="00283547" w:rsidRPr="00D80497" w:rsidRDefault="00283547" w:rsidP="00283547">
      <w:pPr>
        <w:widowControl w:val="0"/>
        <w:tabs>
          <w:tab w:val="left" w:pos="567"/>
          <w:tab w:val="left" w:pos="3075"/>
        </w:tabs>
        <w:autoSpaceDE w:val="0"/>
        <w:autoSpaceDN w:val="0"/>
        <w:adjustRightInd w:val="0"/>
        <w:rPr>
          <w:rFonts w:cs="Arial"/>
        </w:rPr>
      </w:pPr>
      <w:r w:rsidRPr="005B72C1">
        <w:rPr>
          <w:snapToGrid w:val="0"/>
        </w:rPr>
        <w:t xml:space="preserve">The monetary value of benefits in kind covers any benefits provided by the employer and treated by HM Revenue and Customs as a taxable emolument (salary).   </w:t>
      </w:r>
      <w:r w:rsidRPr="005B72C1">
        <w:rPr>
          <w:rFonts w:cs="Arial"/>
        </w:rPr>
        <w:t>Mileage Allowance Payments for Commissioners are classed as a benefit in kind and relate to the use of their own vehicles for travel to the Commission’s office for meetings.</w:t>
      </w:r>
      <w:r w:rsidRPr="00D80497">
        <w:rPr>
          <w:rFonts w:cs="Arial"/>
        </w:rPr>
        <w:t xml:space="preserve">   </w:t>
      </w:r>
    </w:p>
    <w:p w14:paraId="7B45FF5E" w14:textId="77777777" w:rsidR="00283547" w:rsidRPr="00D80497" w:rsidRDefault="00283547" w:rsidP="00283547">
      <w:pPr>
        <w:widowControl w:val="0"/>
        <w:tabs>
          <w:tab w:val="left" w:pos="567"/>
          <w:tab w:val="left" w:pos="3075"/>
        </w:tabs>
        <w:autoSpaceDE w:val="0"/>
        <w:autoSpaceDN w:val="0"/>
        <w:adjustRightInd w:val="0"/>
        <w:rPr>
          <w:snapToGrid w:val="0"/>
        </w:rPr>
      </w:pPr>
    </w:p>
    <w:p w14:paraId="4762A592" w14:textId="77777777" w:rsidR="00283547" w:rsidRDefault="00283547" w:rsidP="00283547">
      <w:pPr>
        <w:widowControl w:val="0"/>
        <w:tabs>
          <w:tab w:val="left" w:pos="567"/>
          <w:tab w:val="left" w:pos="3075"/>
        </w:tabs>
        <w:autoSpaceDE w:val="0"/>
        <w:autoSpaceDN w:val="0"/>
        <w:adjustRightInd w:val="0"/>
      </w:pPr>
      <w:r w:rsidRPr="006269AD">
        <w:t>Benefits in kind paid</w:t>
      </w:r>
      <w:r>
        <w:t xml:space="preserve"> during the 2022-23</w:t>
      </w:r>
      <w:r w:rsidRPr="006269AD">
        <w:t xml:space="preserve"> financial year were </w:t>
      </w:r>
      <w:r>
        <w:t>£105 (2021-22</w:t>
      </w:r>
      <w:r w:rsidRPr="006269AD">
        <w:t>: £</w:t>
      </w:r>
      <w:r>
        <w:t>152</w:t>
      </w:r>
      <w:r w:rsidRPr="006269AD">
        <w:t>).</w:t>
      </w:r>
    </w:p>
    <w:p w14:paraId="2E76A596" w14:textId="77777777" w:rsidR="00283547" w:rsidRDefault="00283547" w:rsidP="00283547">
      <w:pPr>
        <w:widowControl w:val="0"/>
        <w:tabs>
          <w:tab w:val="left" w:pos="567"/>
          <w:tab w:val="left" w:pos="3075"/>
        </w:tabs>
        <w:autoSpaceDE w:val="0"/>
        <w:autoSpaceDN w:val="0"/>
        <w:adjustRightInd w:val="0"/>
      </w:pPr>
    </w:p>
    <w:p w14:paraId="18BB3347" w14:textId="77777777" w:rsidR="00283547" w:rsidRDefault="00283547" w:rsidP="00283547">
      <w:pPr>
        <w:widowControl w:val="0"/>
        <w:tabs>
          <w:tab w:val="left" w:pos="567"/>
          <w:tab w:val="left" w:pos="3075"/>
        </w:tabs>
        <w:autoSpaceDE w:val="0"/>
        <w:autoSpaceDN w:val="0"/>
        <w:adjustRightInd w:val="0"/>
      </w:pPr>
      <w:r>
        <w:lastRenderedPageBreak/>
        <w:t>There were no non-cash benefits made during the 2022-23 financial year (2021-22: None).</w:t>
      </w:r>
    </w:p>
    <w:p w14:paraId="6E2194FE" w14:textId="77777777" w:rsidR="00AE29C3" w:rsidRDefault="00AE29C3" w:rsidP="00283547">
      <w:pPr>
        <w:widowControl w:val="0"/>
        <w:tabs>
          <w:tab w:val="left" w:pos="567"/>
          <w:tab w:val="left" w:pos="3075"/>
        </w:tabs>
        <w:autoSpaceDE w:val="0"/>
        <w:autoSpaceDN w:val="0"/>
        <w:adjustRightInd w:val="0"/>
      </w:pPr>
    </w:p>
    <w:p w14:paraId="6BD6E9FF" w14:textId="528B0DA1" w:rsidR="00AE29C3" w:rsidRDefault="00AE29C3" w:rsidP="00283547">
      <w:pPr>
        <w:widowControl w:val="0"/>
        <w:tabs>
          <w:tab w:val="left" w:pos="567"/>
          <w:tab w:val="left" w:pos="3075"/>
        </w:tabs>
        <w:autoSpaceDE w:val="0"/>
        <w:autoSpaceDN w:val="0"/>
        <w:adjustRightInd w:val="0"/>
      </w:pPr>
      <w:r>
        <w:rPr>
          <w:b/>
          <w:bCs/>
        </w:rPr>
        <w:t>Bonuses</w:t>
      </w:r>
    </w:p>
    <w:p w14:paraId="4F6D67D9" w14:textId="77777777" w:rsidR="00AE29C3" w:rsidRDefault="00AE29C3" w:rsidP="00283547">
      <w:pPr>
        <w:widowControl w:val="0"/>
        <w:tabs>
          <w:tab w:val="left" w:pos="567"/>
          <w:tab w:val="left" w:pos="3075"/>
        </w:tabs>
        <w:autoSpaceDE w:val="0"/>
        <w:autoSpaceDN w:val="0"/>
        <w:adjustRightInd w:val="0"/>
      </w:pPr>
    </w:p>
    <w:p w14:paraId="14EE4C12" w14:textId="16D05AC4" w:rsidR="00431AE4" w:rsidRDefault="00AE29C3" w:rsidP="000C2A54">
      <w:pPr>
        <w:rPr>
          <w:b/>
          <w:sz w:val="22"/>
          <w:szCs w:val="22"/>
        </w:rPr>
      </w:pPr>
      <w:r>
        <w:t>The Commission does not make bonus payments in respect of staff performance.  No bonuses were payable to staff or to senior managers in respect of the year ended 31 March 2023 (nil for the year ended 31 March 2022).</w:t>
      </w:r>
    </w:p>
    <w:p w14:paraId="41EDAC33" w14:textId="77777777" w:rsidR="00431AE4" w:rsidRDefault="00431AE4" w:rsidP="000C2A54">
      <w:pPr>
        <w:rPr>
          <w:b/>
          <w:sz w:val="22"/>
          <w:szCs w:val="22"/>
        </w:rPr>
      </w:pPr>
    </w:p>
    <w:p w14:paraId="3B54362D" w14:textId="77777777" w:rsidR="000C2A54" w:rsidRDefault="00E80A5B" w:rsidP="000C2A54">
      <w:pPr>
        <w:rPr>
          <w:b/>
          <w:sz w:val="22"/>
          <w:szCs w:val="22"/>
        </w:rPr>
      </w:pPr>
      <w:r>
        <w:rPr>
          <w:b/>
          <w:sz w:val="22"/>
          <w:szCs w:val="22"/>
        </w:rPr>
        <w:t>Fair Pay Disclosure – (audited information)</w:t>
      </w:r>
    </w:p>
    <w:p w14:paraId="728C3DA5" w14:textId="7CEBA691" w:rsidR="00DC7D8F" w:rsidRDefault="00DC7D8F" w:rsidP="000C2A54">
      <w:pPr>
        <w:rPr>
          <w:color w:val="auto"/>
          <w:lang w:val="en-US"/>
        </w:rPr>
      </w:pPr>
    </w:p>
    <w:tbl>
      <w:tblPr>
        <w:tblStyle w:val="TableGrid"/>
        <w:tblW w:w="0" w:type="auto"/>
        <w:tblLook w:val="04A0" w:firstRow="1" w:lastRow="0" w:firstColumn="1" w:lastColumn="0" w:noHBand="0" w:noVBand="1"/>
      </w:tblPr>
      <w:tblGrid>
        <w:gridCol w:w="3020"/>
        <w:gridCol w:w="3020"/>
        <w:gridCol w:w="3021"/>
      </w:tblGrid>
      <w:tr w:rsidR="00A14CED" w14:paraId="58F70778" w14:textId="77777777" w:rsidTr="00ED406F">
        <w:tc>
          <w:tcPr>
            <w:tcW w:w="3020" w:type="dxa"/>
          </w:tcPr>
          <w:p w14:paraId="07640700" w14:textId="77777777" w:rsidR="00ED406F" w:rsidRDefault="00ED406F" w:rsidP="000C2A54">
            <w:pPr>
              <w:rPr>
                <w:color w:val="auto"/>
              </w:rPr>
            </w:pPr>
          </w:p>
        </w:tc>
        <w:tc>
          <w:tcPr>
            <w:tcW w:w="3020" w:type="dxa"/>
          </w:tcPr>
          <w:p w14:paraId="1D25970A" w14:textId="3B5D9527" w:rsidR="00ED406F" w:rsidRDefault="00ED406F" w:rsidP="000C2A54">
            <w:pPr>
              <w:rPr>
                <w:color w:val="auto"/>
              </w:rPr>
            </w:pPr>
            <w:r>
              <w:rPr>
                <w:color w:val="auto"/>
              </w:rPr>
              <w:t>202</w:t>
            </w:r>
            <w:r w:rsidR="0046013C">
              <w:rPr>
                <w:color w:val="auto"/>
              </w:rPr>
              <w:t>2</w:t>
            </w:r>
            <w:r>
              <w:rPr>
                <w:color w:val="auto"/>
              </w:rPr>
              <w:t>-2</w:t>
            </w:r>
            <w:r w:rsidR="0046013C">
              <w:rPr>
                <w:color w:val="auto"/>
              </w:rPr>
              <w:t>3</w:t>
            </w:r>
          </w:p>
          <w:p w14:paraId="236D47FE" w14:textId="1ADCA152" w:rsidR="00D75ECC" w:rsidRDefault="00D75ECC" w:rsidP="000C2A54">
            <w:pPr>
              <w:rPr>
                <w:color w:val="auto"/>
              </w:rPr>
            </w:pPr>
          </w:p>
        </w:tc>
        <w:tc>
          <w:tcPr>
            <w:tcW w:w="3021" w:type="dxa"/>
          </w:tcPr>
          <w:p w14:paraId="326FAF92" w14:textId="40491DF6" w:rsidR="00ED406F" w:rsidRDefault="00ED406F" w:rsidP="000C2A54">
            <w:pPr>
              <w:rPr>
                <w:color w:val="auto"/>
              </w:rPr>
            </w:pPr>
            <w:r>
              <w:rPr>
                <w:color w:val="auto"/>
              </w:rPr>
              <w:t>202</w:t>
            </w:r>
            <w:r w:rsidR="0046013C">
              <w:rPr>
                <w:color w:val="auto"/>
              </w:rPr>
              <w:t>1</w:t>
            </w:r>
            <w:r>
              <w:rPr>
                <w:color w:val="auto"/>
              </w:rPr>
              <w:t>-2</w:t>
            </w:r>
            <w:r w:rsidR="0046013C">
              <w:rPr>
                <w:color w:val="auto"/>
              </w:rPr>
              <w:t>2</w:t>
            </w:r>
          </w:p>
        </w:tc>
      </w:tr>
      <w:tr w:rsidR="00A14CED" w14:paraId="027A28FF" w14:textId="77777777" w:rsidTr="00ED406F">
        <w:tc>
          <w:tcPr>
            <w:tcW w:w="3020" w:type="dxa"/>
          </w:tcPr>
          <w:p w14:paraId="2B624CF5" w14:textId="77777777" w:rsidR="00ED406F" w:rsidRDefault="00ED406F" w:rsidP="000C2A54">
            <w:pPr>
              <w:rPr>
                <w:color w:val="auto"/>
              </w:rPr>
            </w:pPr>
            <w:r>
              <w:rPr>
                <w:color w:val="auto"/>
              </w:rPr>
              <w:t>Band of Highest Paid Director FTE Total Remuneration</w:t>
            </w:r>
          </w:p>
          <w:p w14:paraId="7729A972" w14:textId="42394D96" w:rsidR="00D75ECC" w:rsidRDefault="00D75ECC" w:rsidP="000C2A54">
            <w:pPr>
              <w:rPr>
                <w:color w:val="auto"/>
              </w:rPr>
            </w:pPr>
          </w:p>
        </w:tc>
        <w:tc>
          <w:tcPr>
            <w:tcW w:w="3020" w:type="dxa"/>
          </w:tcPr>
          <w:p w14:paraId="14568110" w14:textId="28CB590C" w:rsidR="00ED406F" w:rsidRDefault="0046013C" w:rsidP="000C2A54">
            <w:pPr>
              <w:rPr>
                <w:color w:val="auto"/>
              </w:rPr>
            </w:pPr>
            <w:r>
              <w:rPr>
                <w:color w:val="auto"/>
              </w:rPr>
              <w:t>£80,000-£85,000</w:t>
            </w:r>
          </w:p>
        </w:tc>
        <w:tc>
          <w:tcPr>
            <w:tcW w:w="3021" w:type="dxa"/>
          </w:tcPr>
          <w:p w14:paraId="55A20606" w14:textId="31FD92DF" w:rsidR="00ED406F" w:rsidRDefault="00863804" w:rsidP="000C2A54">
            <w:pPr>
              <w:rPr>
                <w:color w:val="auto"/>
              </w:rPr>
            </w:pPr>
            <w:r>
              <w:rPr>
                <w:color w:val="auto"/>
              </w:rPr>
              <w:t>£75,000-£80,000</w:t>
            </w:r>
          </w:p>
        </w:tc>
      </w:tr>
      <w:tr w:rsidR="00A14CED" w14:paraId="4B00B6AF" w14:textId="77777777" w:rsidTr="00ED406F">
        <w:tc>
          <w:tcPr>
            <w:tcW w:w="3020" w:type="dxa"/>
          </w:tcPr>
          <w:p w14:paraId="787AE5CD" w14:textId="144E5A8A" w:rsidR="00D75ECC" w:rsidRDefault="00950FF1" w:rsidP="000C2A54">
            <w:pPr>
              <w:rPr>
                <w:color w:val="auto"/>
              </w:rPr>
            </w:pPr>
            <w:r>
              <w:rPr>
                <w:color w:val="auto"/>
              </w:rPr>
              <w:t>Me</w:t>
            </w:r>
            <w:r w:rsidR="00A054D0">
              <w:rPr>
                <w:color w:val="auto"/>
              </w:rPr>
              <w:t>di</w:t>
            </w:r>
            <w:r>
              <w:rPr>
                <w:color w:val="auto"/>
              </w:rPr>
              <w:t xml:space="preserve">an </w:t>
            </w:r>
            <w:r w:rsidR="002A2679">
              <w:rPr>
                <w:color w:val="auto"/>
              </w:rPr>
              <w:t>total pay and benefits</w:t>
            </w:r>
            <w:r w:rsidR="008E5580">
              <w:rPr>
                <w:color w:val="auto"/>
              </w:rPr>
              <w:t xml:space="preserve"> </w:t>
            </w:r>
            <w:r w:rsidR="002A2679">
              <w:rPr>
                <w:color w:val="auto"/>
              </w:rPr>
              <w:t>r</w:t>
            </w:r>
            <w:r w:rsidR="008E5580">
              <w:rPr>
                <w:color w:val="auto"/>
              </w:rPr>
              <w:t>atio</w:t>
            </w:r>
          </w:p>
        </w:tc>
        <w:tc>
          <w:tcPr>
            <w:tcW w:w="3020" w:type="dxa"/>
          </w:tcPr>
          <w:p w14:paraId="413CDA46" w14:textId="77777777" w:rsidR="00A054D0" w:rsidRDefault="0046013C" w:rsidP="000C2A54">
            <w:pPr>
              <w:rPr>
                <w:color w:val="auto"/>
              </w:rPr>
            </w:pPr>
            <w:r>
              <w:rPr>
                <w:color w:val="auto"/>
              </w:rPr>
              <w:t>1.95</w:t>
            </w:r>
          </w:p>
          <w:p w14:paraId="329A0BBE" w14:textId="77777777" w:rsidR="0046013C" w:rsidRDefault="0046013C" w:rsidP="000C2A54">
            <w:pPr>
              <w:rPr>
                <w:color w:val="auto"/>
              </w:rPr>
            </w:pPr>
          </w:p>
          <w:p w14:paraId="1DCEF478" w14:textId="6CD5D0AB" w:rsidR="0046013C" w:rsidRDefault="0046013C" w:rsidP="000C2A54">
            <w:pPr>
              <w:rPr>
                <w:color w:val="auto"/>
              </w:rPr>
            </w:pPr>
          </w:p>
        </w:tc>
        <w:tc>
          <w:tcPr>
            <w:tcW w:w="3021" w:type="dxa"/>
          </w:tcPr>
          <w:p w14:paraId="48824F8B" w14:textId="758372E3" w:rsidR="00A50DA8" w:rsidRDefault="00572615" w:rsidP="000C2A54">
            <w:pPr>
              <w:rPr>
                <w:color w:val="auto"/>
              </w:rPr>
            </w:pPr>
            <w:r>
              <w:rPr>
                <w:color w:val="auto"/>
              </w:rPr>
              <w:t>1.9</w:t>
            </w:r>
            <w:r w:rsidR="0046013C">
              <w:rPr>
                <w:color w:val="auto"/>
              </w:rPr>
              <w:t>0</w:t>
            </w:r>
          </w:p>
          <w:p w14:paraId="7212B4C6" w14:textId="77777777" w:rsidR="00A054D0" w:rsidRDefault="00A054D0" w:rsidP="000C2A54">
            <w:pPr>
              <w:rPr>
                <w:color w:val="auto"/>
              </w:rPr>
            </w:pPr>
          </w:p>
          <w:p w14:paraId="278550F9" w14:textId="2FEA8D93" w:rsidR="00950FF1" w:rsidRDefault="00950FF1" w:rsidP="000C2A54">
            <w:pPr>
              <w:rPr>
                <w:color w:val="auto"/>
              </w:rPr>
            </w:pPr>
          </w:p>
        </w:tc>
      </w:tr>
      <w:tr w:rsidR="008E5580" w14:paraId="77E880BD" w14:textId="77777777" w:rsidTr="00ED406F">
        <w:tc>
          <w:tcPr>
            <w:tcW w:w="3020" w:type="dxa"/>
          </w:tcPr>
          <w:p w14:paraId="668B50B0" w14:textId="7AC3D057" w:rsidR="008E5580" w:rsidRDefault="008E5580" w:rsidP="000C2A54">
            <w:pPr>
              <w:rPr>
                <w:color w:val="auto"/>
              </w:rPr>
            </w:pPr>
            <w:r>
              <w:rPr>
                <w:color w:val="auto"/>
              </w:rPr>
              <w:t xml:space="preserve">Median </w:t>
            </w:r>
            <w:r w:rsidR="002A2679">
              <w:rPr>
                <w:color w:val="auto"/>
              </w:rPr>
              <w:t>total pay and benefits</w:t>
            </w:r>
          </w:p>
          <w:p w14:paraId="5FE1C30E" w14:textId="0F9D8199" w:rsidR="008E5580" w:rsidRDefault="008E5580" w:rsidP="000C2A54">
            <w:pPr>
              <w:rPr>
                <w:color w:val="auto"/>
              </w:rPr>
            </w:pPr>
          </w:p>
        </w:tc>
        <w:tc>
          <w:tcPr>
            <w:tcW w:w="3020" w:type="dxa"/>
          </w:tcPr>
          <w:p w14:paraId="7304E01A" w14:textId="39B17DCA" w:rsidR="008E5580" w:rsidRDefault="008E5580" w:rsidP="000C2A54">
            <w:pPr>
              <w:rPr>
                <w:color w:val="auto"/>
              </w:rPr>
            </w:pPr>
            <w:r>
              <w:rPr>
                <w:color w:val="auto"/>
              </w:rPr>
              <w:t>£42,227</w:t>
            </w:r>
          </w:p>
        </w:tc>
        <w:tc>
          <w:tcPr>
            <w:tcW w:w="3021" w:type="dxa"/>
          </w:tcPr>
          <w:p w14:paraId="1D16347E" w14:textId="5E65EAAB" w:rsidR="008E5580" w:rsidRDefault="008E5580" w:rsidP="000C2A54">
            <w:pPr>
              <w:rPr>
                <w:color w:val="auto"/>
              </w:rPr>
            </w:pPr>
            <w:r>
              <w:rPr>
                <w:color w:val="auto"/>
              </w:rPr>
              <w:t>£40,711</w:t>
            </w:r>
          </w:p>
        </w:tc>
      </w:tr>
      <w:tr w:rsidR="00A14CED" w14:paraId="7D21D80A" w14:textId="77777777" w:rsidTr="00ED406F">
        <w:tc>
          <w:tcPr>
            <w:tcW w:w="3020" w:type="dxa"/>
          </w:tcPr>
          <w:p w14:paraId="70CB206F" w14:textId="28DC42EE" w:rsidR="00A50DA8" w:rsidRDefault="00566B25" w:rsidP="000C2A54">
            <w:pPr>
              <w:rPr>
                <w:color w:val="auto"/>
              </w:rPr>
            </w:pPr>
            <w:r>
              <w:rPr>
                <w:color w:val="auto"/>
              </w:rPr>
              <w:t>Median total pay and benefits range</w:t>
            </w:r>
          </w:p>
          <w:p w14:paraId="00028E8E" w14:textId="42EBF2B7" w:rsidR="00D75ECC" w:rsidRDefault="00D75ECC" w:rsidP="000C2A54">
            <w:pPr>
              <w:rPr>
                <w:color w:val="auto"/>
              </w:rPr>
            </w:pPr>
          </w:p>
        </w:tc>
        <w:tc>
          <w:tcPr>
            <w:tcW w:w="3020" w:type="dxa"/>
          </w:tcPr>
          <w:p w14:paraId="7D23940E" w14:textId="0BA13422" w:rsidR="00A50DA8" w:rsidRDefault="0046013C" w:rsidP="000C2A54">
            <w:pPr>
              <w:rPr>
                <w:color w:val="auto"/>
              </w:rPr>
            </w:pPr>
            <w:r>
              <w:rPr>
                <w:color w:val="auto"/>
              </w:rPr>
              <w:t>£23,000-£82,000</w:t>
            </w:r>
          </w:p>
        </w:tc>
        <w:tc>
          <w:tcPr>
            <w:tcW w:w="3021" w:type="dxa"/>
          </w:tcPr>
          <w:p w14:paraId="58F3DF50" w14:textId="5B59525D" w:rsidR="00A50DA8" w:rsidRDefault="00950FF1" w:rsidP="000C2A54">
            <w:pPr>
              <w:rPr>
                <w:color w:val="auto"/>
              </w:rPr>
            </w:pPr>
            <w:r>
              <w:rPr>
                <w:color w:val="auto"/>
              </w:rPr>
              <w:t>£2</w:t>
            </w:r>
            <w:r w:rsidR="0046013C">
              <w:rPr>
                <w:color w:val="auto"/>
              </w:rPr>
              <w:t>2</w:t>
            </w:r>
            <w:r>
              <w:rPr>
                <w:color w:val="auto"/>
              </w:rPr>
              <w:t>,000-£</w:t>
            </w:r>
            <w:r w:rsidR="0046013C">
              <w:rPr>
                <w:color w:val="auto"/>
              </w:rPr>
              <w:t>80</w:t>
            </w:r>
            <w:r>
              <w:rPr>
                <w:color w:val="auto"/>
              </w:rPr>
              <w:t>,000</w:t>
            </w:r>
          </w:p>
        </w:tc>
      </w:tr>
      <w:tr w:rsidR="00A14CED" w14:paraId="4319F37D" w14:textId="77777777" w:rsidTr="00ED406F">
        <w:tc>
          <w:tcPr>
            <w:tcW w:w="3020" w:type="dxa"/>
          </w:tcPr>
          <w:p w14:paraId="427EAF05" w14:textId="6738D6B2" w:rsidR="00CA3328" w:rsidRDefault="00950FF1" w:rsidP="000C2A54">
            <w:pPr>
              <w:rPr>
                <w:color w:val="auto"/>
              </w:rPr>
            </w:pPr>
            <w:r>
              <w:rPr>
                <w:color w:val="auto"/>
              </w:rPr>
              <w:t xml:space="preserve">Percentage change in Director </w:t>
            </w:r>
            <w:r w:rsidR="00F734F0">
              <w:rPr>
                <w:color w:val="auto"/>
              </w:rPr>
              <w:t>total pay and benefits</w:t>
            </w:r>
          </w:p>
          <w:p w14:paraId="0B2F3537" w14:textId="128CE6CB" w:rsidR="00D75ECC" w:rsidRDefault="00D75ECC" w:rsidP="000C2A54">
            <w:pPr>
              <w:rPr>
                <w:color w:val="auto"/>
              </w:rPr>
            </w:pPr>
          </w:p>
        </w:tc>
        <w:tc>
          <w:tcPr>
            <w:tcW w:w="3020" w:type="dxa"/>
          </w:tcPr>
          <w:p w14:paraId="2D1934A1" w14:textId="1177D545" w:rsidR="00CA3328" w:rsidRDefault="0046013C" w:rsidP="000C2A54">
            <w:pPr>
              <w:rPr>
                <w:color w:val="auto"/>
              </w:rPr>
            </w:pPr>
            <w:r>
              <w:rPr>
                <w:color w:val="auto"/>
              </w:rPr>
              <w:t>2.63%</w:t>
            </w:r>
          </w:p>
        </w:tc>
        <w:tc>
          <w:tcPr>
            <w:tcW w:w="3021" w:type="dxa"/>
          </w:tcPr>
          <w:p w14:paraId="3B04E06D" w14:textId="72ABFFB9" w:rsidR="00CA3328" w:rsidRDefault="0046013C" w:rsidP="000C2A54">
            <w:pPr>
              <w:rPr>
                <w:color w:val="auto"/>
              </w:rPr>
            </w:pPr>
            <w:r>
              <w:rPr>
                <w:color w:val="auto"/>
              </w:rPr>
              <w:t>4.02%</w:t>
            </w:r>
          </w:p>
        </w:tc>
      </w:tr>
      <w:tr w:rsidR="00A14CED" w14:paraId="71DED2BB" w14:textId="77777777" w:rsidTr="00ED406F">
        <w:tc>
          <w:tcPr>
            <w:tcW w:w="3020" w:type="dxa"/>
          </w:tcPr>
          <w:p w14:paraId="5B81D2FF" w14:textId="7880F3BD" w:rsidR="00CA3328" w:rsidRDefault="00950FF1" w:rsidP="000C2A54">
            <w:pPr>
              <w:rPr>
                <w:color w:val="auto"/>
              </w:rPr>
            </w:pPr>
            <w:r>
              <w:rPr>
                <w:color w:val="auto"/>
              </w:rPr>
              <w:t>Ratio between highest paid director and 25</w:t>
            </w:r>
            <w:r w:rsidRPr="00950FF1">
              <w:rPr>
                <w:color w:val="auto"/>
                <w:vertAlign w:val="superscript"/>
              </w:rPr>
              <w:t>th</w:t>
            </w:r>
            <w:r>
              <w:rPr>
                <w:color w:val="auto"/>
              </w:rPr>
              <w:t xml:space="preserve"> Percentile</w:t>
            </w:r>
          </w:p>
          <w:p w14:paraId="142D7FD6" w14:textId="279A0A17" w:rsidR="00D75ECC" w:rsidRDefault="00D75ECC" w:rsidP="000C2A54">
            <w:pPr>
              <w:rPr>
                <w:color w:val="auto"/>
              </w:rPr>
            </w:pPr>
          </w:p>
        </w:tc>
        <w:tc>
          <w:tcPr>
            <w:tcW w:w="3020" w:type="dxa"/>
          </w:tcPr>
          <w:p w14:paraId="308DF76E" w14:textId="535E7729" w:rsidR="00CA3328" w:rsidRDefault="0046013C" w:rsidP="000C2A54">
            <w:pPr>
              <w:rPr>
                <w:color w:val="auto"/>
              </w:rPr>
            </w:pPr>
            <w:r>
              <w:rPr>
                <w:color w:val="auto"/>
              </w:rPr>
              <w:t>2.51</w:t>
            </w:r>
          </w:p>
        </w:tc>
        <w:tc>
          <w:tcPr>
            <w:tcW w:w="3021" w:type="dxa"/>
          </w:tcPr>
          <w:p w14:paraId="515A03C3" w14:textId="46BADBC6" w:rsidR="00CA3328" w:rsidRDefault="00572615" w:rsidP="000C2A54">
            <w:pPr>
              <w:rPr>
                <w:color w:val="auto"/>
              </w:rPr>
            </w:pPr>
            <w:r>
              <w:rPr>
                <w:color w:val="auto"/>
              </w:rPr>
              <w:t>2.4</w:t>
            </w:r>
            <w:r w:rsidR="0046013C">
              <w:rPr>
                <w:color w:val="auto"/>
              </w:rPr>
              <w:t>0</w:t>
            </w:r>
          </w:p>
        </w:tc>
      </w:tr>
      <w:tr w:rsidR="00A14CED" w14:paraId="5F0F1512" w14:textId="77777777" w:rsidTr="00ED406F">
        <w:tc>
          <w:tcPr>
            <w:tcW w:w="3020" w:type="dxa"/>
          </w:tcPr>
          <w:p w14:paraId="1571E876" w14:textId="11F6F3DB" w:rsidR="00CA3328" w:rsidRDefault="00950FF1" w:rsidP="000C2A54">
            <w:pPr>
              <w:rPr>
                <w:color w:val="auto"/>
              </w:rPr>
            </w:pPr>
            <w:r>
              <w:rPr>
                <w:color w:val="auto"/>
              </w:rPr>
              <w:t>25</w:t>
            </w:r>
            <w:r w:rsidRPr="00950FF1">
              <w:rPr>
                <w:color w:val="auto"/>
                <w:vertAlign w:val="superscript"/>
              </w:rPr>
              <w:t>th</w:t>
            </w:r>
            <w:r>
              <w:rPr>
                <w:color w:val="auto"/>
              </w:rPr>
              <w:t xml:space="preserve"> Percentile </w:t>
            </w:r>
            <w:r w:rsidR="00F734F0">
              <w:rPr>
                <w:color w:val="auto"/>
              </w:rPr>
              <w:t>total pay and benefits</w:t>
            </w:r>
          </w:p>
          <w:p w14:paraId="3B008A32" w14:textId="257505F2" w:rsidR="00D75ECC" w:rsidRDefault="00D75ECC" w:rsidP="000C2A54">
            <w:pPr>
              <w:rPr>
                <w:color w:val="auto"/>
              </w:rPr>
            </w:pPr>
          </w:p>
        </w:tc>
        <w:tc>
          <w:tcPr>
            <w:tcW w:w="3020" w:type="dxa"/>
          </w:tcPr>
          <w:p w14:paraId="1EC26CD1" w14:textId="50E76431" w:rsidR="00CA3328" w:rsidRDefault="0046013C" w:rsidP="000C2A54">
            <w:pPr>
              <w:rPr>
                <w:color w:val="auto"/>
              </w:rPr>
            </w:pPr>
            <w:r>
              <w:rPr>
                <w:color w:val="auto"/>
              </w:rPr>
              <w:t>£32,880</w:t>
            </w:r>
          </w:p>
        </w:tc>
        <w:tc>
          <w:tcPr>
            <w:tcW w:w="3021" w:type="dxa"/>
          </w:tcPr>
          <w:p w14:paraId="23D560CC" w14:textId="664D23AF" w:rsidR="00CA3328" w:rsidRDefault="00572615" w:rsidP="000C2A54">
            <w:pPr>
              <w:rPr>
                <w:color w:val="auto"/>
              </w:rPr>
            </w:pPr>
            <w:r>
              <w:rPr>
                <w:color w:val="auto"/>
              </w:rPr>
              <w:t>£3</w:t>
            </w:r>
            <w:r w:rsidR="0046013C">
              <w:rPr>
                <w:color w:val="auto"/>
              </w:rPr>
              <w:t>2,328</w:t>
            </w:r>
          </w:p>
        </w:tc>
      </w:tr>
      <w:tr w:rsidR="00A14CED" w14:paraId="69508802" w14:textId="77777777" w:rsidTr="00ED406F">
        <w:tc>
          <w:tcPr>
            <w:tcW w:w="3020" w:type="dxa"/>
          </w:tcPr>
          <w:p w14:paraId="29D1B0A7" w14:textId="10A53C1E" w:rsidR="00664580" w:rsidRDefault="00950FF1" w:rsidP="000C2A54">
            <w:pPr>
              <w:rPr>
                <w:color w:val="auto"/>
              </w:rPr>
            </w:pPr>
            <w:r>
              <w:rPr>
                <w:color w:val="auto"/>
              </w:rPr>
              <w:t>Ratio between highest paid director and 75</w:t>
            </w:r>
            <w:r w:rsidRPr="00950FF1">
              <w:rPr>
                <w:color w:val="auto"/>
                <w:vertAlign w:val="superscript"/>
              </w:rPr>
              <w:t>th</w:t>
            </w:r>
            <w:r>
              <w:rPr>
                <w:color w:val="auto"/>
              </w:rPr>
              <w:t xml:space="preserve"> Percentile </w:t>
            </w:r>
          </w:p>
          <w:p w14:paraId="529E6C44" w14:textId="338253B2" w:rsidR="00D75ECC" w:rsidRDefault="00D75ECC" w:rsidP="000C2A54">
            <w:pPr>
              <w:rPr>
                <w:color w:val="auto"/>
              </w:rPr>
            </w:pPr>
          </w:p>
        </w:tc>
        <w:tc>
          <w:tcPr>
            <w:tcW w:w="3020" w:type="dxa"/>
          </w:tcPr>
          <w:p w14:paraId="22AC6172" w14:textId="2F45BCA7" w:rsidR="00664580" w:rsidRDefault="0046013C" w:rsidP="000C2A54">
            <w:pPr>
              <w:rPr>
                <w:color w:val="auto"/>
              </w:rPr>
            </w:pPr>
            <w:r>
              <w:rPr>
                <w:color w:val="auto"/>
              </w:rPr>
              <w:t>1.53</w:t>
            </w:r>
          </w:p>
        </w:tc>
        <w:tc>
          <w:tcPr>
            <w:tcW w:w="3021" w:type="dxa"/>
          </w:tcPr>
          <w:p w14:paraId="4A2305BD" w14:textId="27B8F3FC" w:rsidR="00664580" w:rsidRDefault="00572615" w:rsidP="000C2A54">
            <w:pPr>
              <w:rPr>
                <w:color w:val="auto"/>
              </w:rPr>
            </w:pPr>
            <w:r>
              <w:rPr>
                <w:color w:val="auto"/>
              </w:rPr>
              <w:t>1.4</w:t>
            </w:r>
            <w:r w:rsidR="0046013C">
              <w:rPr>
                <w:color w:val="auto"/>
              </w:rPr>
              <w:t>9</w:t>
            </w:r>
          </w:p>
        </w:tc>
      </w:tr>
      <w:tr w:rsidR="00950FF1" w14:paraId="5FF661E9" w14:textId="77777777" w:rsidTr="00ED406F">
        <w:tc>
          <w:tcPr>
            <w:tcW w:w="3020" w:type="dxa"/>
          </w:tcPr>
          <w:p w14:paraId="1B644822" w14:textId="447A70F7" w:rsidR="00950FF1" w:rsidRDefault="00950FF1" w:rsidP="000C2A54">
            <w:pPr>
              <w:rPr>
                <w:color w:val="auto"/>
              </w:rPr>
            </w:pPr>
            <w:r>
              <w:rPr>
                <w:color w:val="auto"/>
              </w:rPr>
              <w:t>75</w:t>
            </w:r>
            <w:r w:rsidRPr="00950FF1">
              <w:rPr>
                <w:color w:val="auto"/>
                <w:vertAlign w:val="superscript"/>
              </w:rPr>
              <w:t>th</w:t>
            </w:r>
            <w:r>
              <w:rPr>
                <w:color w:val="auto"/>
              </w:rPr>
              <w:t xml:space="preserve"> Percentile </w:t>
            </w:r>
            <w:r w:rsidR="0028726E">
              <w:rPr>
                <w:color w:val="auto"/>
              </w:rPr>
              <w:t>total pay and benefits</w:t>
            </w:r>
          </w:p>
        </w:tc>
        <w:tc>
          <w:tcPr>
            <w:tcW w:w="3020" w:type="dxa"/>
          </w:tcPr>
          <w:p w14:paraId="712FEEBB" w14:textId="6298482B" w:rsidR="00950FF1" w:rsidRDefault="0046013C" w:rsidP="000C2A54">
            <w:pPr>
              <w:rPr>
                <w:color w:val="auto"/>
              </w:rPr>
            </w:pPr>
            <w:r>
              <w:rPr>
                <w:color w:val="auto"/>
              </w:rPr>
              <w:t>£53,797</w:t>
            </w:r>
          </w:p>
        </w:tc>
        <w:tc>
          <w:tcPr>
            <w:tcW w:w="3021" w:type="dxa"/>
          </w:tcPr>
          <w:p w14:paraId="56E6667B" w14:textId="68844A12" w:rsidR="00950FF1" w:rsidRDefault="00572615" w:rsidP="000C2A54">
            <w:pPr>
              <w:rPr>
                <w:color w:val="auto"/>
              </w:rPr>
            </w:pPr>
            <w:r>
              <w:rPr>
                <w:color w:val="auto"/>
              </w:rPr>
              <w:t>£52,</w:t>
            </w:r>
            <w:r w:rsidR="0046013C">
              <w:rPr>
                <w:color w:val="auto"/>
              </w:rPr>
              <w:t>026</w:t>
            </w:r>
          </w:p>
        </w:tc>
      </w:tr>
    </w:tbl>
    <w:p w14:paraId="7761F206" w14:textId="77777777" w:rsidR="00592635" w:rsidRPr="002265A4" w:rsidRDefault="00592635" w:rsidP="000C2A54">
      <w:pPr>
        <w:rPr>
          <w:color w:val="auto"/>
          <w:lang w:val="en-US"/>
        </w:rPr>
      </w:pPr>
    </w:p>
    <w:p w14:paraId="35311519" w14:textId="443F65D4" w:rsidR="005109F1" w:rsidRDefault="005109F1" w:rsidP="005109F1">
      <w:pPr>
        <w:rPr>
          <w:color w:val="auto"/>
          <w:lang w:val="en-US"/>
        </w:rPr>
      </w:pPr>
      <w:r>
        <w:rPr>
          <w:color w:val="auto"/>
          <w:lang w:val="en-US"/>
        </w:rPr>
        <w:t>For the Northern Ireland Human Rights Commission there is no difference between total pay and benefits and the salary component of total pay and benefits</w:t>
      </w:r>
      <w:r w:rsidR="007D38B3">
        <w:rPr>
          <w:color w:val="auto"/>
          <w:lang w:val="en-US"/>
        </w:rPr>
        <w:t>.</w:t>
      </w:r>
    </w:p>
    <w:p w14:paraId="30E2D912" w14:textId="77777777" w:rsidR="000C2A54" w:rsidRDefault="000C2A54" w:rsidP="000C2A54">
      <w:pPr>
        <w:rPr>
          <w:color w:val="auto"/>
          <w:lang w:val="en-US"/>
        </w:rPr>
      </w:pPr>
      <w:r w:rsidRPr="005B72C1">
        <w:rPr>
          <w:color w:val="auto"/>
          <w:lang w:val="en-US"/>
        </w:rPr>
        <w:lastRenderedPageBreak/>
        <w:t xml:space="preserve">Reporting bodies are required to disclose the relationship between the remuneration of the highest-paid </w:t>
      </w:r>
      <w:r w:rsidR="005D25E3">
        <w:rPr>
          <w:color w:val="auto"/>
          <w:lang w:val="en-US"/>
        </w:rPr>
        <w:t>director</w:t>
      </w:r>
      <w:r w:rsidR="005D25E3" w:rsidRPr="005B72C1">
        <w:rPr>
          <w:color w:val="auto"/>
          <w:lang w:val="en-US"/>
        </w:rPr>
        <w:t xml:space="preserve"> </w:t>
      </w:r>
      <w:r w:rsidRPr="005B72C1">
        <w:rPr>
          <w:color w:val="auto"/>
          <w:lang w:val="en-US"/>
        </w:rPr>
        <w:t>in their organisation and the median remuneration of the organisation’s workforce.</w:t>
      </w:r>
    </w:p>
    <w:p w14:paraId="09AE6354" w14:textId="77777777" w:rsidR="00150E9A" w:rsidRDefault="00150E9A" w:rsidP="000C2A54">
      <w:pPr>
        <w:rPr>
          <w:color w:val="auto"/>
          <w:lang w:val="en-US"/>
        </w:rPr>
      </w:pPr>
    </w:p>
    <w:p w14:paraId="0225548D" w14:textId="1073EE99" w:rsidR="00150E9A" w:rsidRDefault="00150E9A" w:rsidP="000C2A54">
      <w:pPr>
        <w:rPr>
          <w:color w:val="auto"/>
          <w:lang w:val="en-US"/>
        </w:rPr>
      </w:pPr>
      <w:r>
        <w:rPr>
          <w:color w:val="auto"/>
          <w:lang w:val="en-US"/>
        </w:rPr>
        <w:t xml:space="preserve">The calculations exclude the remuneration to the part-time Commissioners as their employment terms and conditions, including rates of remuneration are determined by the United Kingdom </w:t>
      </w:r>
      <w:r w:rsidR="00D33D70">
        <w:rPr>
          <w:color w:val="auto"/>
          <w:lang w:val="en-US"/>
        </w:rPr>
        <w:t>Government</w:t>
      </w:r>
      <w:r>
        <w:rPr>
          <w:color w:val="auto"/>
          <w:lang w:val="en-US"/>
        </w:rPr>
        <w:t xml:space="preserve"> and the </w:t>
      </w:r>
      <w:r w:rsidR="0097191B">
        <w:rPr>
          <w:color w:val="auto"/>
          <w:lang w:val="en-US"/>
        </w:rPr>
        <w:t>Northern Ireland Human Rights</w:t>
      </w:r>
      <w:r>
        <w:rPr>
          <w:color w:val="auto"/>
          <w:lang w:val="en-US"/>
        </w:rPr>
        <w:t xml:space="preserve"> Commission is unable to influence those rates</w:t>
      </w:r>
      <w:r w:rsidR="00FF1FA8">
        <w:rPr>
          <w:color w:val="auto"/>
          <w:lang w:val="en-US"/>
        </w:rPr>
        <w:t xml:space="preserve">. </w:t>
      </w:r>
      <w:r>
        <w:rPr>
          <w:color w:val="auto"/>
          <w:lang w:val="en-US"/>
        </w:rPr>
        <w:t>Details of their remuneration are provided above.</w:t>
      </w:r>
    </w:p>
    <w:p w14:paraId="6D296030" w14:textId="77777777" w:rsidR="005D25E3" w:rsidRDefault="005D25E3" w:rsidP="000C2A54">
      <w:pPr>
        <w:rPr>
          <w:color w:val="auto"/>
          <w:lang w:val="en-US"/>
        </w:rPr>
      </w:pPr>
    </w:p>
    <w:p w14:paraId="675C0FC4" w14:textId="70C86EB2" w:rsidR="005D25E3" w:rsidRDefault="005D25E3" w:rsidP="000C2A54">
      <w:pPr>
        <w:rPr>
          <w:color w:val="auto"/>
          <w:lang w:val="en-US"/>
        </w:rPr>
      </w:pPr>
      <w:r>
        <w:rPr>
          <w:color w:val="auto"/>
          <w:lang w:val="en-US"/>
        </w:rPr>
        <w:t xml:space="preserve">The banded remuneration of the highest-paid director in the organisation in the financial year </w:t>
      </w:r>
      <w:r w:rsidR="005C717D">
        <w:rPr>
          <w:color w:val="auto"/>
          <w:lang w:val="en-US"/>
        </w:rPr>
        <w:t>202</w:t>
      </w:r>
      <w:r w:rsidR="0046013C">
        <w:rPr>
          <w:color w:val="auto"/>
          <w:lang w:val="en-US"/>
        </w:rPr>
        <w:t>2</w:t>
      </w:r>
      <w:r w:rsidR="005C717D">
        <w:rPr>
          <w:color w:val="auto"/>
          <w:lang w:val="en-US"/>
        </w:rPr>
        <w:t>-2</w:t>
      </w:r>
      <w:r w:rsidR="0046013C">
        <w:rPr>
          <w:color w:val="auto"/>
          <w:lang w:val="en-US"/>
        </w:rPr>
        <w:t>3</w:t>
      </w:r>
      <w:r w:rsidR="005C717D">
        <w:rPr>
          <w:color w:val="auto"/>
          <w:lang w:val="en-US"/>
        </w:rPr>
        <w:t xml:space="preserve"> was £</w:t>
      </w:r>
      <w:r w:rsidR="0046013C">
        <w:rPr>
          <w:color w:val="auto"/>
          <w:lang w:val="en-US"/>
        </w:rPr>
        <w:t>80</w:t>
      </w:r>
      <w:r w:rsidR="005C717D">
        <w:rPr>
          <w:color w:val="auto"/>
          <w:lang w:val="en-US"/>
        </w:rPr>
        <w:t>,000-£8</w:t>
      </w:r>
      <w:r w:rsidR="0046013C">
        <w:rPr>
          <w:color w:val="auto"/>
          <w:lang w:val="en-US"/>
        </w:rPr>
        <w:t>5</w:t>
      </w:r>
      <w:r w:rsidR="005C717D">
        <w:rPr>
          <w:color w:val="auto"/>
          <w:lang w:val="en-US"/>
        </w:rPr>
        <w:t>,000 (</w:t>
      </w:r>
      <w:r>
        <w:rPr>
          <w:color w:val="auto"/>
          <w:lang w:val="en-US"/>
        </w:rPr>
        <w:t>20</w:t>
      </w:r>
      <w:r w:rsidR="00C34C15">
        <w:rPr>
          <w:color w:val="auto"/>
          <w:lang w:val="en-US"/>
        </w:rPr>
        <w:t>2</w:t>
      </w:r>
      <w:r w:rsidR="0046013C">
        <w:rPr>
          <w:color w:val="auto"/>
          <w:lang w:val="en-US"/>
        </w:rPr>
        <w:t>1</w:t>
      </w:r>
      <w:r w:rsidR="008765D5">
        <w:rPr>
          <w:color w:val="auto"/>
          <w:lang w:val="en-US"/>
        </w:rPr>
        <w:t>-2</w:t>
      </w:r>
      <w:r w:rsidR="0046013C">
        <w:rPr>
          <w:color w:val="auto"/>
          <w:lang w:val="en-US"/>
        </w:rPr>
        <w:t>2</w:t>
      </w:r>
      <w:r w:rsidR="005C717D">
        <w:rPr>
          <w:color w:val="auto"/>
          <w:lang w:val="en-US"/>
        </w:rPr>
        <w:t xml:space="preserve">: </w:t>
      </w:r>
      <w:r w:rsidR="00DE3AEE">
        <w:rPr>
          <w:color w:val="auto"/>
          <w:lang w:val="en-US"/>
        </w:rPr>
        <w:t>£</w:t>
      </w:r>
      <w:r w:rsidR="008765D5">
        <w:rPr>
          <w:color w:val="auto"/>
          <w:lang w:val="en-US"/>
        </w:rPr>
        <w:t>75,000-£80</w:t>
      </w:r>
      <w:r w:rsidR="00023AAA">
        <w:rPr>
          <w:color w:val="auto"/>
          <w:lang w:val="en-US"/>
        </w:rPr>
        <w:t>,000</w:t>
      </w:r>
      <w:r w:rsidR="00A044E4">
        <w:rPr>
          <w:color w:val="auto"/>
          <w:lang w:val="en-US"/>
        </w:rPr>
        <w:t>)</w:t>
      </w:r>
      <w:r w:rsidR="000A30FB">
        <w:rPr>
          <w:color w:val="auto"/>
          <w:lang w:val="en-US"/>
        </w:rPr>
        <w:t xml:space="preserve">. </w:t>
      </w:r>
      <w:r w:rsidR="00F60144">
        <w:rPr>
          <w:color w:val="auto"/>
          <w:lang w:val="en-US"/>
        </w:rPr>
        <w:t xml:space="preserve">This was </w:t>
      </w:r>
      <w:r w:rsidR="005C717D">
        <w:rPr>
          <w:color w:val="auto"/>
          <w:lang w:val="en-US"/>
        </w:rPr>
        <w:t>1.</w:t>
      </w:r>
      <w:r w:rsidR="00127DA2">
        <w:rPr>
          <w:color w:val="auto"/>
          <w:lang w:val="en-US"/>
        </w:rPr>
        <w:t>9</w:t>
      </w:r>
      <w:r w:rsidR="0046013C">
        <w:rPr>
          <w:color w:val="auto"/>
          <w:lang w:val="en-US"/>
        </w:rPr>
        <w:t>5</w:t>
      </w:r>
      <w:r w:rsidR="005C717D">
        <w:rPr>
          <w:color w:val="auto"/>
          <w:lang w:val="en-US"/>
        </w:rPr>
        <w:t xml:space="preserve"> times </w:t>
      </w:r>
      <w:r w:rsidR="00F60144">
        <w:rPr>
          <w:color w:val="auto"/>
          <w:lang w:val="en-US"/>
        </w:rPr>
        <w:t xml:space="preserve">the median remuneration of the workforce, which was </w:t>
      </w:r>
      <w:r w:rsidR="005C717D">
        <w:rPr>
          <w:color w:val="auto"/>
          <w:lang w:val="en-US"/>
        </w:rPr>
        <w:t>£4</w:t>
      </w:r>
      <w:r w:rsidR="00196F98">
        <w:rPr>
          <w:color w:val="auto"/>
          <w:lang w:val="en-US"/>
        </w:rPr>
        <w:t>2</w:t>
      </w:r>
      <w:r w:rsidR="00572615">
        <w:rPr>
          <w:color w:val="auto"/>
          <w:lang w:val="en-US"/>
        </w:rPr>
        <w:t>,</w:t>
      </w:r>
      <w:r w:rsidR="00196F98">
        <w:rPr>
          <w:color w:val="auto"/>
          <w:lang w:val="en-US"/>
        </w:rPr>
        <w:t>227</w:t>
      </w:r>
      <w:r w:rsidR="00572615">
        <w:rPr>
          <w:color w:val="auto"/>
          <w:lang w:val="en-US"/>
        </w:rPr>
        <w:t xml:space="preserve"> (202</w:t>
      </w:r>
      <w:r w:rsidR="00196F98">
        <w:rPr>
          <w:color w:val="auto"/>
          <w:lang w:val="en-US"/>
        </w:rPr>
        <w:t>1</w:t>
      </w:r>
      <w:r w:rsidR="00572615">
        <w:rPr>
          <w:color w:val="auto"/>
          <w:lang w:val="en-US"/>
        </w:rPr>
        <w:t>-2</w:t>
      </w:r>
      <w:r w:rsidR="00196F98">
        <w:rPr>
          <w:color w:val="auto"/>
          <w:lang w:val="en-US"/>
        </w:rPr>
        <w:t>2</w:t>
      </w:r>
      <w:r w:rsidR="00FA395A">
        <w:rPr>
          <w:color w:val="auto"/>
          <w:lang w:val="en-US"/>
        </w:rPr>
        <w:t>:</w:t>
      </w:r>
      <w:r w:rsidR="00572615">
        <w:rPr>
          <w:color w:val="auto"/>
          <w:lang w:val="en-US"/>
        </w:rPr>
        <w:t xml:space="preserve"> 1.9</w:t>
      </w:r>
      <w:r w:rsidR="00196F98">
        <w:rPr>
          <w:color w:val="auto"/>
          <w:lang w:val="en-US"/>
        </w:rPr>
        <w:t>0</w:t>
      </w:r>
      <w:r w:rsidR="00572615">
        <w:rPr>
          <w:color w:val="auto"/>
          <w:lang w:val="en-US"/>
        </w:rPr>
        <w:t xml:space="preserve"> times and £</w:t>
      </w:r>
      <w:r w:rsidR="00196F98">
        <w:rPr>
          <w:color w:val="auto"/>
          <w:lang w:val="en-US"/>
        </w:rPr>
        <w:t>40</w:t>
      </w:r>
      <w:r w:rsidR="00572615">
        <w:rPr>
          <w:color w:val="auto"/>
          <w:lang w:val="en-US"/>
        </w:rPr>
        <w:t>,</w:t>
      </w:r>
      <w:r w:rsidR="00196F98">
        <w:rPr>
          <w:color w:val="auto"/>
          <w:lang w:val="en-US"/>
        </w:rPr>
        <w:t>711</w:t>
      </w:r>
      <w:r w:rsidR="00572615">
        <w:rPr>
          <w:color w:val="auto"/>
          <w:lang w:val="en-US"/>
        </w:rPr>
        <w:t>)</w:t>
      </w:r>
      <w:r w:rsidR="00FF1FA8">
        <w:rPr>
          <w:color w:val="auto"/>
          <w:lang w:val="en-US"/>
        </w:rPr>
        <w:t xml:space="preserve">. </w:t>
      </w:r>
      <w:r w:rsidR="008E5580">
        <w:rPr>
          <w:color w:val="auto"/>
          <w:lang w:val="en-US"/>
        </w:rPr>
        <w:t>The pay multiple of 1.95 was almost the same as the 1.90 in the year ended 31 March 2022.  The reason for this is that the changes in pay in the NICS arrangements and the Commission were in keeping with one another and the profile of staff has remained largely consistent with the previous year.</w:t>
      </w:r>
    </w:p>
    <w:p w14:paraId="51D5CC8F" w14:textId="77777777" w:rsidR="006D4EB9" w:rsidRDefault="006D4EB9" w:rsidP="000C2A54">
      <w:pPr>
        <w:rPr>
          <w:color w:val="auto"/>
          <w:lang w:val="en-US"/>
        </w:rPr>
      </w:pPr>
    </w:p>
    <w:p w14:paraId="6602E3B1" w14:textId="68FA11CB" w:rsidR="00F618FC" w:rsidRDefault="008E5580" w:rsidP="000C2A54">
      <w:pPr>
        <w:rPr>
          <w:color w:val="auto"/>
          <w:lang w:val="en-US"/>
        </w:rPr>
      </w:pPr>
      <w:r>
        <w:rPr>
          <w:color w:val="auto"/>
          <w:lang w:val="en-US"/>
        </w:rPr>
        <w:t>Staff in the Commission hold a range of posts.  The level of remuneration varies according to the post that is held.  The range of r</w:t>
      </w:r>
      <w:r w:rsidR="006D4EB9">
        <w:rPr>
          <w:color w:val="auto"/>
          <w:lang w:val="en-US"/>
        </w:rPr>
        <w:t>emuneration</w:t>
      </w:r>
      <w:r>
        <w:rPr>
          <w:color w:val="auto"/>
          <w:lang w:val="en-US"/>
        </w:rPr>
        <w:t xml:space="preserve"> on a full time equivalent basis within the Commission is</w:t>
      </w:r>
      <w:r w:rsidR="0040697A">
        <w:rPr>
          <w:color w:val="auto"/>
          <w:lang w:val="en-US"/>
        </w:rPr>
        <w:t xml:space="preserve"> £2</w:t>
      </w:r>
      <w:r w:rsidR="00196F98">
        <w:rPr>
          <w:color w:val="auto"/>
          <w:lang w:val="en-US"/>
        </w:rPr>
        <w:t>3</w:t>
      </w:r>
      <w:r w:rsidR="0040697A">
        <w:rPr>
          <w:color w:val="auto"/>
          <w:lang w:val="en-US"/>
        </w:rPr>
        <w:t>,000</w:t>
      </w:r>
      <w:r w:rsidR="00A054D0">
        <w:rPr>
          <w:color w:val="auto"/>
          <w:lang w:val="en-US"/>
        </w:rPr>
        <w:t>-£8</w:t>
      </w:r>
      <w:r w:rsidR="00196F98">
        <w:rPr>
          <w:color w:val="auto"/>
          <w:lang w:val="en-US"/>
        </w:rPr>
        <w:t>2</w:t>
      </w:r>
      <w:r w:rsidR="0040697A">
        <w:rPr>
          <w:color w:val="auto"/>
          <w:lang w:val="en-US"/>
        </w:rPr>
        <w:t>,000</w:t>
      </w:r>
      <w:r w:rsidR="003404D0">
        <w:rPr>
          <w:color w:val="auto"/>
          <w:lang w:val="en-US"/>
        </w:rPr>
        <w:t xml:space="preserve"> </w:t>
      </w:r>
      <w:r w:rsidR="00C0695B">
        <w:rPr>
          <w:color w:val="auto"/>
          <w:lang w:val="en-US"/>
        </w:rPr>
        <w:t>(202</w:t>
      </w:r>
      <w:r w:rsidR="00196F98">
        <w:rPr>
          <w:color w:val="auto"/>
          <w:lang w:val="en-US"/>
        </w:rPr>
        <w:t>1</w:t>
      </w:r>
      <w:r w:rsidR="00C0695B">
        <w:rPr>
          <w:color w:val="auto"/>
          <w:lang w:val="en-US"/>
        </w:rPr>
        <w:t>-2</w:t>
      </w:r>
      <w:r w:rsidR="00196F98">
        <w:rPr>
          <w:color w:val="auto"/>
          <w:lang w:val="en-US"/>
        </w:rPr>
        <w:t>2</w:t>
      </w:r>
      <w:r w:rsidR="00C0695B">
        <w:rPr>
          <w:color w:val="auto"/>
          <w:lang w:val="en-US"/>
        </w:rPr>
        <w:t xml:space="preserve">: </w:t>
      </w:r>
      <w:r w:rsidR="00804A8F">
        <w:rPr>
          <w:color w:val="auto"/>
          <w:lang w:val="en-US"/>
        </w:rPr>
        <w:t>£2</w:t>
      </w:r>
      <w:r w:rsidR="00196F98">
        <w:rPr>
          <w:color w:val="auto"/>
          <w:lang w:val="en-US"/>
        </w:rPr>
        <w:t>2</w:t>
      </w:r>
      <w:r w:rsidR="00804A8F">
        <w:rPr>
          <w:color w:val="auto"/>
          <w:lang w:val="en-US"/>
        </w:rPr>
        <w:t>,000</w:t>
      </w:r>
      <w:r w:rsidR="00A054D0">
        <w:rPr>
          <w:color w:val="auto"/>
          <w:lang w:val="en-US"/>
        </w:rPr>
        <w:t>-</w:t>
      </w:r>
      <w:r w:rsidR="0040697A">
        <w:rPr>
          <w:color w:val="auto"/>
          <w:lang w:val="en-US"/>
        </w:rPr>
        <w:t>£</w:t>
      </w:r>
      <w:r w:rsidR="00196F98">
        <w:rPr>
          <w:color w:val="auto"/>
          <w:lang w:val="en-US"/>
        </w:rPr>
        <w:t>80</w:t>
      </w:r>
      <w:r w:rsidR="0040697A">
        <w:rPr>
          <w:color w:val="auto"/>
          <w:lang w:val="en-US"/>
        </w:rPr>
        <w:t>,000</w:t>
      </w:r>
      <w:r w:rsidR="00804A8F">
        <w:rPr>
          <w:color w:val="auto"/>
          <w:lang w:val="en-US"/>
        </w:rPr>
        <w:t>)</w:t>
      </w:r>
      <w:r w:rsidR="006D4EB9">
        <w:rPr>
          <w:color w:val="auto"/>
          <w:lang w:val="en-US"/>
        </w:rPr>
        <w:t>.</w:t>
      </w:r>
    </w:p>
    <w:p w14:paraId="50582992" w14:textId="77777777" w:rsidR="00F46CF5" w:rsidRDefault="00F46CF5" w:rsidP="000C2A54">
      <w:pPr>
        <w:rPr>
          <w:color w:val="auto"/>
          <w:lang w:val="en-US"/>
        </w:rPr>
      </w:pPr>
    </w:p>
    <w:p w14:paraId="45D0C30C" w14:textId="66D6BC8C" w:rsidR="00F618FC" w:rsidRDefault="00F618FC" w:rsidP="000C2A54">
      <w:pPr>
        <w:rPr>
          <w:color w:val="auto"/>
          <w:lang w:val="en-US"/>
        </w:rPr>
      </w:pPr>
      <w:r>
        <w:rPr>
          <w:color w:val="auto"/>
          <w:lang w:val="en-US"/>
        </w:rPr>
        <w:t xml:space="preserve">The percentage change </w:t>
      </w:r>
      <w:r w:rsidR="00D455AF">
        <w:rPr>
          <w:color w:val="auto"/>
          <w:lang w:val="en-US"/>
        </w:rPr>
        <w:t xml:space="preserve">from the previous financial year in respect of </w:t>
      </w:r>
      <w:r>
        <w:rPr>
          <w:color w:val="auto"/>
          <w:lang w:val="en-US"/>
        </w:rPr>
        <w:t xml:space="preserve">the highest paid director’s salary was </w:t>
      </w:r>
      <w:r w:rsidR="00196F98">
        <w:rPr>
          <w:color w:val="auto"/>
          <w:lang w:val="en-US"/>
        </w:rPr>
        <w:t>2.63</w:t>
      </w:r>
      <w:r w:rsidR="005B20B7">
        <w:rPr>
          <w:color w:val="auto"/>
          <w:lang w:val="en-US"/>
        </w:rPr>
        <w:t xml:space="preserve"> per cent.</w:t>
      </w:r>
      <w:r w:rsidR="00DB0B31">
        <w:rPr>
          <w:color w:val="auto"/>
          <w:lang w:val="en-US"/>
        </w:rPr>
        <w:t xml:space="preserve"> </w:t>
      </w:r>
      <w:r w:rsidR="00EC2157">
        <w:rPr>
          <w:color w:val="auto"/>
          <w:lang w:val="en-US"/>
        </w:rPr>
        <w:t xml:space="preserve"> </w:t>
      </w:r>
      <w:r w:rsidR="00D455AF">
        <w:rPr>
          <w:color w:val="auto"/>
          <w:lang w:val="en-US"/>
        </w:rPr>
        <w:t xml:space="preserve">The average percentage change from the previous financial year in respect of the </w:t>
      </w:r>
      <w:r w:rsidR="00751592">
        <w:rPr>
          <w:color w:val="auto"/>
          <w:lang w:val="en-US"/>
        </w:rPr>
        <w:t>employees of the organization as a whole</w:t>
      </w:r>
      <w:r w:rsidR="00D455AF">
        <w:rPr>
          <w:color w:val="auto"/>
          <w:lang w:val="en-US"/>
        </w:rPr>
        <w:t xml:space="preserve"> was 6.</w:t>
      </w:r>
      <w:r w:rsidR="00196F98">
        <w:rPr>
          <w:color w:val="auto"/>
          <w:lang w:val="en-US"/>
        </w:rPr>
        <w:t>70</w:t>
      </w:r>
      <w:r w:rsidR="00D455AF">
        <w:rPr>
          <w:color w:val="auto"/>
          <w:lang w:val="en-US"/>
        </w:rPr>
        <w:t xml:space="preserve"> per cent.  </w:t>
      </w:r>
      <w:r w:rsidR="00EC2157">
        <w:rPr>
          <w:color w:val="auto"/>
          <w:lang w:val="en-US"/>
        </w:rPr>
        <w:t xml:space="preserve">There was no performance pay and bonuses payable </w:t>
      </w:r>
      <w:r w:rsidR="00460FDF">
        <w:rPr>
          <w:color w:val="auto"/>
          <w:lang w:val="en-US"/>
        </w:rPr>
        <w:t>in 202</w:t>
      </w:r>
      <w:r w:rsidR="00196F98">
        <w:rPr>
          <w:color w:val="auto"/>
          <w:lang w:val="en-US"/>
        </w:rPr>
        <w:t>2</w:t>
      </w:r>
      <w:r w:rsidR="00460FDF">
        <w:rPr>
          <w:color w:val="auto"/>
          <w:lang w:val="en-US"/>
        </w:rPr>
        <w:t>-2</w:t>
      </w:r>
      <w:r w:rsidR="00196F98">
        <w:rPr>
          <w:color w:val="auto"/>
          <w:lang w:val="en-US"/>
        </w:rPr>
        <w:t>3</w:t>
      </w:r>
      <w:r w:rsidR="00460FDF">
        <w:rPr>
          <w:color w:val="auto"/>
          <w:lang w:val="en-US"/>
        </w:rPr>
        <w:t xml:space="preserve"> (202</w:t>
      </w:r>
      <w:r w:rsidR="00196F98">
        <w:rPr>
          <w:color w:val="auto"/>
          <w:lang w:val="en-US"/>
        </w:rPr>
        <w:t>1</w:t>
      </w:r>
      <w:r w:rsidR="00460FDF">
        <w:rPr>
          <w:color w:val="auto"/>
          <w:lang w:val="en-US"/>
        </w:rPr>
        <w:t>-2</w:t>
      </w:r>
      <w:r w:rsidR="00196F98">
        <w:rPr>
          <w:color w:val="auto"/>
          <w:lang w:val="en-US"/>
        </w:rPr>
        <w:t>2</w:t>
      </w:r>
      <w:r w:rsidR="00460FDF">
        <w:rPr>
          <w:color w:val="auto"/>
          <w:lang w:val="en-US"/>
        </w:rPr>
        <w:t>: £nil).</w:t>
      </w:r>
      <w:r w:rsidR="00DB0B31">
        <w:rPr>
          <w:color w:val="auto"/>
          <w:lang w:val="en-US"/>
        </w:rPr>
        <w:t xml:space="preserve"> </w:t>
      </w:r>
    </w:p>
    <w:p w14:paraId="2BDD2B9B" w14:textId="303F6E67" w:rsidR="008C2357" w:rsidRDefault="008C2357" w:rsidP="000C2A54">
      <w:pPr>
        <w:rPr>
          <w:color w:val="auto"/>
          <w:lang w:val="en-US"/>
        </w:rPr>
      </w:pPr>
    </w:p>
    <w:p w14:paraId="0C7B29E8" w14:textId="2B249289" w:rsidR="008C2357" w:rsidRDefault="008C2357" w:rsidP="000C2A54">
      <w:pPr>
        <w:rPr>
          <w:color w:val="auto"/>
          <w:lang w:val="en-US"/>
        </w:rPr>
      </w:pPr>
      <w:r>
        <w:rPr>
          <w:color w:val="auto"/>
          <w:lang w:val="en-US"/>
        </w:rPr>
        <w:t>The ratio between the highest paid director</w:t>
      </w:r>
      <w:r w:rsidR="00CF7F78">
        <w:rPr>
          <w:color w:val="auto"/>
          <w:lang w:val="en-US"/>
        </w:rPr>
        <w:t xml:space="preserve">’s remuneration </w:t>
      </w:r>
      <w:r w:rsidR="00952D79">
        <w:rPr>
          <w:color w:val="auto"/>
          <w:lang w:val="en-US"/>
        </w:rPr>
        <w:t>and the pay of the employee on the 25</w:t>
      </w:r>
      <w:r w:rsidR="00952D79" w:rsidRPr="00952D79">
        <w:rPr>
          <w:color w:val="auto"/>
          <w:vertAlign w:val="superscript"/>
          <w:lang w:val="en-US"/>
        </w:rPr>
        <w:t>th</w:t>
      </w:r>
      <w:r w:rsidR="00952D79">
        <w:rPr>
          <w:color w:val="auto"/>
          <w:lang w:val="en-US"/>
        </w:rPr>
        <w:t xml:space="preserve"> percentile of pay of the organisation’s employees for the financial year was</w:t>
      </w:r>
      <w:r w:rsidR="002774EB">
        <w:rPr>
          <w:color w:val="auto"/>
          <w:lang w:val="en-US"/>
        </w:rPr>
        <w:t xml:space="preserve"> </w:t>
      </w:r>
      <w:r w:rsidR="00572615">
        <w:rPr>
          <w:color w:val="auto"/>
          <w:lang w:val="en-US"/>
        </w:rPr>
        <w:t>2.</w:t>
      </w:r>
      <w:r w:rsidR="00196F98">
        <w:rPr>
          <w:color w:val="auto"/>
          <w:lang w:val="en-US"/>
        </w:rPr>
        <w:t>51</w:t>
      </w:r>
      <w:r w:rsidR="002774EB">
        <w:rPr>
          <w:color w:val="auto"/>
          <w:lang w:val="en-US"/>
        </w:rPr>
        <w:t>:</w:t>
      </w:r>
      <w:r w:rsidR="00301976">
        <w:rPr>
          <w:color w:val="auto"/>
          <w:lang w:val="en-US"/>
        </w:rPr>
        <w:t>1 (202</w:t>
      </w:r>
      <w:r w:rsidR="00196F98">
        <w:rPr>
          <w:color w:val="auto"/>
          <w:lang w:val="en-US"/>
        </w:rPr>
        <w:t>1</w:t>
      </w:r>
      <w:r w:rsidR="00301976">
        <w:rPr>
          <w:color w:val="auto"/>
          <w:lang w:val="en-US"/>
        </w:rPr>
        <w:t>-2</w:t>
      </w:r>
      <w:r w:rsidR="00196F98">
        <w:rPr>
          <w:color w:val="auto"/>
          <w:lang w:val="en-US"/>
        </w:rPr>
        <w:t>2</w:t>
      </w:r>
      <w:r w:rsidR="00301976">
        <w:rPr>
          <w:color w:val="auto"/>
          <w:lang w:val="en-US"/>
        </w:rPr>
        <w:t xml:space="preserve">: </w:t>
      </w:r>
      <w:r w:rsidR="00FA395A">
        <w:rPr>
          <w:color w:val="auto"/>
          <w:lang w:val="en-US"/>
        </w:rPr>
        <w:t>2.4</w:t>
      </w:r>
      <w:r w:rsidR="00196F98">
        <w:rPr>
          <w:color w:val="auto"/>
          <w:lang w:val="en-US"/>
        </w:rPr>
        <w:t>0</w:t>
      </w:r>
      <w:r w:rsidR="00301976">
        <w:rPr>
          <w:color w:val="auto"/>
          <w:lang w:val="en-US"/>
        </w:rPr>
        <w:t>:1)</w:t>
      </w:r>
      <w:r w:rsidR="005F342F">
        <w:rPr>
          <w:color w:val="auto"/>
          <w:lang w:val="en-US"/>
        </w:rPr>
        <w:t>.  The ratio between the highest paid director’s remuneration and the pay and benefits of the employee on the 75</w:t>
      </w:r>
      <w:r w:rsidR="005F342F" w:rsidRPr="005F342F">
        <w:rPr>
          <w:color w:val="auto"/>
          <w:vertAlign w:val="superscript"/>
          <w:lang w:val="en-US"/>
        </w:rPr>
        <w:t>th</w:t>
      </w:r>
      <w:r w:rsidR="005F342F">
        <w:rPr>
          <w:color w:val="auto"/>
          <w:lang w:val="en-US"/>
        </w:rPr>
        <w:t xml:space="preserve"> percentile of pay of the organisation’s employees for the financial year was </w:t>
      </w:r>
      <w:r w:rsidR="00FA395A">
        <w:rPr>
          <w:color w:val="auto"/>
          <w:lang w:val="en-US"/>
        </w:rPr>
        <w:t>1.</w:t>
      </w:r>
      <w:r w:rsidR="00196F98">
        <w:rPr>
          <w:color w:val="auto"/>
          <w:lang w:val="en-US"/>
        </w:rPr>
        <w:t>53</w:t>
      </w:r>
      <w:r w:rsidR="002774EB">
        <w:rPr>
          <w:color w:val="auto"/>
          <w:lang w:val="en-US"/>
        </w:rPr>
        <w:t>:</w:t>
      </w:r>
      <w:r w:rsidR="005F342F">
        <w:rPr>
          <w:color w:val="auto"/>
          <w:lang w:val="en-US"/>
        </w:rPr>
        <w:t>1 (202</w:t>
      </w:r>
      <w:r w:rsidR="00196F98">
        <w:rPr>
          <w:color w:val="auto"/>
          <w:lang w:val="en-US"/>
        </w:rPr>
        <w:t>1</w:t>
      </w:r>
      <w:r w:rsidR="005F342F">
        <w:rPr>
          <w:color w:val="auto"/>
          <w:lang w:val="en-US"/>
        </w:rPr>
        <w:t>-2</w:t>
      </w:r>
      <w:r w:rsidR="00196F98">
        <w:rPr>
          <w:color w:val="auto"/>
          <w:lang w:val="en-US"/>
        </w:rPr>
        <w:t>2</w:t>
      </w:r>
      <w:r w:rsidR="005F342F">
        <w:rPr>
          <w:color w:val="auto"/>
          <w:lang w:val="en-US"/>
        </w:rPr>
        <w:t xml:space="preserve">: </w:t>
      </w:r>
      <w:r w:rsidR="00FA395A">
        <w:rPr>
          <w:color w:val="auto"/>
          <w:lang w:val="en-US"/>
        </w:rPr>
        <w:t>1.4</w:t>
      </w:r>
      <w:r w:rsidR="00196F98">
        <w:rPr>
          <w:color w:val="auto"/>
          <w:lang w:val="en-US"/>
        </w:rPr>
        <w:t>9</w:t>
      </w:r>
      <w:r w:rsidR="005F342F">
        <w:rPr>
          <w:color w:val="auto"/>
          <w:lang w:val="en-US"/>
        </w:rPr>
        <w:t>:1)</w:t>
      </w:r>
      <w:r w:rsidR="006A16F8">
        <w:rPr>
          <w:color w:val="auto"/>
          <w:lang w:val="en-US"/>
        </w:rPr>
        <w:t>.  The lower quartile remuneration (representing the 25</w:t>
      </w:r>
      <w:r w:rsidR="006A16F8" w:rsidRPr="006A16F8">
        <w:rPr>
          <w:color w:val="auto"/>
          <w:vertAlign w:val="superscript"/>
          <w:lang w:val="en-US"/>
        </w:rPr>
        <w:t>th</w:t>
      </w:r>
      <w:r w:rsidR="006A16F8">
        <w:rPr>
          <w:color w:val="auto"/>
          <w:lang w:val="en-US"/>
        </w:rPr>
        <w:t xml:space="preserve"> percentile of the linear distribution) was £</w:t>
      </w:r>
      <w:r w:rsidR="00FA395A">
        <w:rPr>
          <w:color w:val="auto"/>
          <w:lang w:val="en-US"/>
        </w:rPr>
        <w:t>32,</w:t>
      </w:r>
      <w:r w:rsidR="00196F98">
        <w:rPr>
          <w:color w:val="auto"/>
          <w:lang w:val="en-US"/>
        </w:rPr>
        <w:t>880</w:t>
      </w:r>
      <w:r w:rsidR="003F655A">
        <w:rPr>
          <w:color w:val="auto"/>
          <w:lang w:val="en-US"/>
        </w:rPr>
        <w:t xml:space="preserve"> </w:t>
      </w:r>
      <w:r w:rsidR="00196F98">
        <w:rPr>
          <w:color w:val="auto"/>
          <w:lang w:val="en-US"/>
        </w:rPr>
        <w:t>(2021-22 £</w:t>
      </w:r>
      <w:r w:rsidR="00DC043C">
        <w:rPr>
          <w:color w:val="auto"/>
          <w:lang w:val="en-US"/>
        </w:rPr>
        <w:t xml:space="preserve">32,328) </w:t>
      </w:r>
      <w:r w:rsidR="006C1168">
        <w:rPr>
          <w:color w:val="auto"/>
          <w:lang w:val="en-US"/>
        </w:rPr>
        <w:t xml:space="preserve">(salary component) </w:t>
      </w:r>
      <w:r w:rsidR="003F655A">
        <w:rPr>
          <w:color w:val="auto"/>
          <w:lang w:val="en-US"/>
        </w:rPr>
        <w:t>and the upper quartile remuneration (representing the 75th percentile of the linear distribution) was £</w:t>
      </w:r>
      <w:r w:rsidR="00FA395A">
        <w:rPr>
          <w:color w:val="auto"/>
          <w:lang w:val="en-US"/>
        </w:rPr>
        <w:t>5</w:t>
      </w:r>
      <w:r w:rsidR="00196F98">
        <w:rPr>
          <w:color w:val="auto"/>
          <w:lang w:val="en-US"/>
        </w:rPr>
        <w:t>3,797</w:t>
      </w:r>
      <w:r w:rsidR="006C1168">
        <w:rPr>
          <w:color w:val="auto"/>
          <w:lang w:val="en-US"/>
        </w:rPr>
        <w:t xml:space="preserve"> </w:t>
      </w:r>
      <w:r w:rsidR="00DC043C">
        <w:rPr>
          <w:color w:val="auto"/>
          <w:lang w:val="en-US"/>
        </w:rPr>
        <w:t xml:space="preserve">(2021-22 £52,026) </w:t>
      </w:r>
      <w:r w:rsidR="006C1168">
        <w:rPr>
          <w:color w:val="auto"/>
          <w:lang w:val="en-US"/>
        </w:rPr>
        <w:t>(salary component)</w:t>
      </w:r>
      <w:r w:rsidR="00793D52">
        <w:rPr>
          <w:color w:val="auto"/>
          <w:lang w:val="en-US"/>
        </w:rPr>
        <w:t>.</w:t>
      </w:r>
    </w:p>
    <w:p w14:paraId="5D31450F" w14:textId="77777777" w:rsidR="000C2A54" w:rsidRPr="005B72C1" w:rsidRDefault="000C2A54" w:rsidP="000C2A54">
      <w:pPr>
        <w:rPr>
          <w:color w:val="auto"/>
          <w:lang w:val="en-US"/>
        </w:rPr>
      </w:pPr>
    </w:p>
    <w:p w14:paraId="463327D1" w14:textId="6589A714" w:rsidR="000C2A54" w:rsidRDefault="000C2A54" w:rsidP="000C2A54">
      <w:pPr>
        <w:rPr>
          <w:color w:val="auto"/>
          <w:lang w:val="en-US"/>
        </w:rPr>
      </w:pPr>
      <w:r w:rsidRPr="005B72C1">
        <w:rPr>
          <w:color w:val="auto"/>
          <w:lang w:val="en-US"/>
        </w:rPr>
        <w:t>Total remuneration includes salary, non-consol</w:t>
      </w:r>
      <w:r w:rsidR="00CD2C51">
        <w:rPr>
          <w:color w:val="auto"/>
          <w:lang w:val="en-US"/>
        </w:rPr>
        <w:t xml:space="preserve">idated performance-related pay and </w:t>
      </w:r>
      <w:r w:rsidRPr="005B72C1">
        <w:rPr>
          <w:color w:val="auto"/>
          <w:lang w:val="en-US"/>
        </w:rPr>
        <w:t>benefits in kind</w:t>
      </w:r>
      <w:r w:rsidR="00FF1FA8" w:rsidRPr="005B72C1">
        <w:rPr>
          <w:color w:val="auto"/>
          <w:lang w:val="en-US"/>
        </w:rPr>
        <w:t xml:space="preserve">. </w:t>
      </w:r>
      <w:r w:rsidRPr="005B72C1">
        <w:rPr>
          <w:color w:val="auto"/>
          <w:lang w:val="en-US"/>
        </w:rPr>
        <w:t>It does not include employer pension contributions and the cash equivalent transfer value of pensions.</w:t>
      </w:r>
    </w:p>
    <w:p w14:paraId="338B4ED3" w14:textId="77777777" w:rsidR="00BC2A47" w:rsidRPr="005B72C1" w:rsidRDefault="00BC2A47" w:rsidP="000C2A54">
      <w:pPr>
        <w:rPr>
          <w:color w:val="auto"/>
          <w:lang w:val="en-US"/>
        </w:rPr>
      </w:pPr>
    </w:p>
    <w:p w14:paraId="025BBC96" w14:textId="4A819ADC" w:rsidR="00731FD6" w:rsidRDefault="00731FD6" w:rsidP="000C2A54">
      <w:pPr>
        <w:rPr>
          <w:color w:val="auto"/>
          <w:lang w:val="en-US"/>
        </w:rPr>
      </w:pPr>
      <w:r w:rsidRPr="005B72C1">
        <w:rPr>
          <w:color w:val="auto"/>
          <w:lang w:val="en-US"/>
        </w:rPr>
        <w:t>The</w:t>
      </w:r>
      <w:r w:rsidR="003404D0">
        <w:rPr>
          <w:color w:val="auto"/>
          <w:lang w:val="en-US"/>
        </w:rPr>
        <w:t xml:space="preserve">re was no severance pay in </w:t>
      </w:r>
      <w:r w:rsidR="00C0695B">
        <w:rPr>
          <w:color w:val="auto"/>
          <w:lang w:val="en-US"/>
        </w:rPr>
        <w:t>202</w:t>
      </w:r>
      <w:r w:rsidR="00DC043C">
        <w:rPr>
          <w:color w:val="auto"/>
          <w:lang w:val="en-US"/>
        </w:rPr>
        <w:t>2</w:t>
      </w:r>
      <w:r w:rsidR="00C0695B">
        <w:rPr>
          <w:color w:val="auto"/>
          <w:lang w:val="en-US"/>
        </w:rPr>
        <w:t>-2</w:t>
      </w:r>
      <w:r w:rsidR="00DC043C">
        <w:rPr>
          <w:color w:val="auto"/>
          <w:lang w:val="en-US"/>
        </w:rPr>
        <w:t>3</w:t>
      </w:r>
      <w:r w:rsidR="00C0695B">
        <w:rPr>
          <w:color w:val="auto"/>
          <w:lang w:val="en-US"/>
        </w:rPr>
        <w:t xml:space="preserve"> (</w:t>
      </w:r>
      <w:r w:rsidR="003404D0">
        <w:rPr>
          <w:color w:val="auto"/>
          <w:lang w:val="en-US"/>
        </w:rPr>
        <w:t>20</w:t>
      </w:r>
      <w:r w:rsidR="00C34C15">
        <w:rPr>
          <w:color w:val="auto"/>
          <w:lang w:val="en-US"/>
        </w:rPr>
        <w:t>2</w:t>
      </w:r>
      <w:r w:rsidR="00DC043C">
        <w:rPr>
          <w:color w:val="auto"/>
          <w:lang w:val="en-US"/>
        </w:rPr>
        <w:t>1</w:t>
      </w:r>
      <w:r w:rsidR="003404D0">
        <w:rPr>
          <w:color w:val="auto"/>
          <w:lang w:val="en-US"/>
        </w:rPr>
        <w:t>-2</w:t>
      </w:r>
      <w:r w:rsidR="00DC043C">
        <w:rPr>
          <w:color w:val="auto"/>
          <w:lang w:val="en-US"/>
        </w:rPr>
        <w:t>2</w:t>
      </w:r>
      <w:r w:rsidR="00C0695B">
        <w:rPr>
          <w:color w:val="auto"/>
          <w:lang w:val="en-US"/>
        </w:rPr>
        <w:t>: £nil).</w:t>
      </w:r>
    </w:p>
    <w:p w14:paraId="145E885B" w14:textId="77777777" w:rsidR="00C34C15" w:rsidRDefault="00C34C15" w:rsidP="000C2A54">
      <w:pPr>
        <w:rPr>
          <w:color w:val="auto"/>
          <w:lang w:val="en-US"/>
        </w:rPr>
      </w:pPr>
    </w:p>
    <w:p w14:paraId="1789CC08" w14:textId="77777777" w:rsidR="007330CB" w:rsidRDefault="007330CB" w:rsidP="000C2A54">
      <w:pPr>
        <w:rPr>
          <w:color w:val="auto"/>
          <w:lang w:val="en-US"/>
        </w:rPr>
      </w:pPr>
    </w:p>
    <w:p w14:paraId="4696C0A0" w14:textId="77777777" w:rsidR="000C2A54" w:rsidRPr="006269AD" w:rsidRDefault="000C2A54" w:rsidP="000C2A54">
      <w:pPr>
        <w:pStyle w:val="Heading4"/>
        <w:spacing w:before="0" w:after="0"/>
        <w:rPr>
          <w:rFonts w:ascii="Verdana" w:hAnsi="Verdana"/>
          <w:b w:val="0"/>
          <w:sz w:val="24"/>
          <w:szCs w:val="24"/>
        </w:rPr>
      </w:pPr>
      <w:r w:rsidRPr="006269AD">
        <w:rPr>
          <w:rFonts w:ascii="Verdana" w:hAnsi="Verdana"/>
          <w:snapToGrid w:val="0"/>
          <w:sz w:val="24"/>
          <w:szCs w:val="24"/>
        </w:rPr>
        <w:lastRenderedPageBreak/>
        <w:t xml:space="preserve">Pension benefits </w:t>
      </w:r>
      <w:r w:rsidRPr="006269AD">
        <w:rPr>
          <w:rFonts w:ascii="Verdana" w:hAnsi="Verdana"/>
          <w:b w:val="0"/>
          <w:sz w:val="24"/>
          <w:szCs w:val="24"/>
        </w:rPr>
        <w:t>(audited information)</w:t>
      </w:r>
    </w:p>
    <w:p w14:paraId="2068A1AE" w14:textId="77777777" w:rsidR="000C2A54" w:rsidRPr="006269AD" w:rsidRDefault="000C2A54" w:rsidP="000C2A54">
      <w:pPr>
        <w:pStyle w:val="Heading4"/>
        <w:spacing w:before="0" w:after="0"/>
        <w:rPr>
          <w:rFonts w:ascii="Verdana" w:hAnsi="Verdana"/>
          <w:b w:val="0"/>
          <w:sz w:val="24"/>
          <w:szCs w:val="24"/>
        </w:rPr>
      </w:pPr>
    </w:p>
    <w:p w14:paraId="690F44BC" w14:textId="77777777" w:rsidR="000C2A54" w:rsidRPr="006269AD" w:rsidRDefault="000C2A54" w:rsidP="000C2A54">
      <w:pPr>
        <w:pStyle w:val="Heading4"/>
        <w:spacing w:before="0" w:after="0"/>
        <w:rPr>
          <w:rFonts w:ascii="Verdana" w:hAnsi="Verdana"/>
          <w:b w:val="0"/>
          <w:sz w:val="24"/>
          <w:szCs w:val="24"/>
          <w:u w:val="single"/>
        </w:rPr>
      </w:pPr>
      <w:r w:rsidRPr="006269AD">
        <w:rPr>
          <w:rFonts w:ascii="Verdana" w:hAnsi="Verdana"/>
          <w:b w:val="0"/>
          <w:sz w:val="24"/>
          <w:szCs w:val="24"/>
          <w:u w:val="single"/>
        </w:rPr>
        <w:t>Commissioners</w:t>
      </w:r>
    </w:p>
    <w:p w14:paraId="09CCC6CD" w14:textId="77777777" w:rsidR="000C2A54" w:rsidRPr="006269AD" w:rsidRDefault="000C2A54" w:rsidP="000C2A54">
      <w:pPr>
        <w:widowControl w:val="0"/>
        <w:tabs>
          <w:tab w:val="right" w:pos="5103"/>
          <w:tab w:val="right" w:pos="7371"/>
        </w:tabs>
        <w:autoSpaceDE w:val="0"/>
        <w:autoSpaceDN w:val="0"/>
        <w:adjustRightInd w:val="0"/>
      </w:pPr>
    </w:p>
    <w:p w14:paraId="0FF36C89" w14:textId="1E4A58D1" w:rsidR="000C2A54" w:rsidRPr="00D80497" w:rsidRDefault="000C2A54" w:rsidP="000C2A54">
      <w:pPr>
        <w:widowControl w:val="0"/>
        <w:tabs>
          <w:tab w:val="right" w:pos="5103"/>
          <w:tab w:val="right" w:pos="7371"/>
        </w:tabs>
        <w:autoSpaceDE w:val="0"/>
        <w:autoSpaceDN w:val="0"/>
        <w:adjustRightInd w:val="0"/>
      </w:pPr>
      <w:r>
        <w:t>The Chief Commissioner is eligible to join the Principal Civil Service Pension Scheme and the Commission paid employer pension contributions of</w:t>
      </w:r>
      <w:r w:rsidR="0048363E">
        <w:t xml:space="preserve"> £21,</w:t>
      </w:r>
      <w:r w:rsidR="001B25DA">
        <w:t>288</w:t>
      </w:r>
      <w:r w:rsidR="0048363E">
        <w:t xml:space="preserve"> </w:t>
      </w:r>
      <w:r w:rsidR="00C0695B">
        <w:t>(202</w:t>
      </w:r>
      <w:r w:rsidR="001B25DA">
        <w:t>1</w:t>
      </w:r>
      <w:r w:rsidR="00C0695B">
        <w:t>-2</w:t>
      </w:r>
      <w:r w:rsidR="001B25DA">
        <w:t>2</w:t>
      </w:r>
      <w:r w:rsidR="00C0695B">
        <w:t>: £21,</w:t>
      </w:r>
      <w:r w:rsidR="001B25DA">
        <w:t>441 (£9,250 for the ex-Chief Commissioner for the period 1 April 2021 to 31 August 2021; and £12,191 for the new Chief Commissioner for the period 1 September 2021 to 31 March 2022</w:t>
      </w:r>
      <w:r w:rsidR="00A7412A">
        <w:t>)</w:t>
      </w:r>
      <w:r w:rsidR="001B25DA">
        <w:t>)</w:t>
      </w:r>
      <w:r w:rsidR="00636AA4">
        <w:t xml:space="preserve">.  </w:t>
      </w:r>
    </w:p>
    <w:p w14:paraId="089770E1" w14:textId="77777777" w:rsidR="000C2A54" w:rsidRPr="00D80497" w:rsidRDefault="000C2A54" w:rsidP="000C2A54">
      <w:pPr>
        <w:widowControl w:val="0"/>
        <w:tabs>
          <w:tab w:val="right" w:pos="5103"/>
          <w:tab w:val="right" w:pos="7371"/>
        </w:tabs>
        <w:autoSpaceDE w:val="0"/>
        <w:autoSpaceDN w:val="0"/>
        <w:adjustRightInd w:val="0"/>
      </w:pPr>
    </w:p>
    <w:p w14:paraId="34D2288D" w14:textId="70DEBD1A" w:rsidR="000C2A54" w:rsidRPr="005B72C1" w:rsidRDefault="000C2A54" w:rsidP="000C2A54">
      <w:pPr>
        <w:widowControl w:val="0"/>
        <w:tabs>
          <w:tab w:val="right" w:pos="5103"/>
          <w:tab w:val="right" w:pos="7371"/>
        </w:tabs>
        <w:autoSpaceDE w:val="0"/>
        <w:autoSpaceDN w:val="0"/>
        <w:adjustRightInd w:val="0"/>
      </w:pPr>
      <w:r>
        <w:t>No further pension contributions were made for Commissioner</w:t>
      </w:r>
      <w:r w:rsidR="0057710A">
        <w:t xml:space="preserve">s in the year ended 31 March </w:t>
      </w:r>
      <w:r w:rsidR="00C0695B">
        <w:t>202</w:t>
      </w:r>
      <w:r w:rsidR="001B25DA">
        <w:t>3</w:t>
      </w:r>
      <w:r w:rsidR="0057710A">
        <w:t xml:space="preserve"> (</w:t>
      </w:r>
      <w:r w:rsidR="00C0695B">
        <w:t>202</w:t>
      </w:r>
      <w:r w:rsidR="001B25DA">
        <w:t>1</w:t>
      </w:r>
      <w:r w:rsidR="00C0695B">
        <w:t>-2</w:t>
      </w:r>
      <w:r w:rsidR="001B25DA">
        <w:t>2</w:t>
      </w:r>
      <w:r>
        <w:t>: £nil).</w:t>
      </w:r>
    </w:p>
    <w:p w14:paraId="6C021B7E" w14:textId="77777777" w:rsidR="00827D54" w:rsidRDefault="00827D54" w:rsidP="000C2A54">
      <w:pPr>
        <w:widowControl w:val="0"/>
        <w:tabs>
          <w:tab w:val="right" w:pos="5103"/>
          <w:tab w:val="right" w:pos="7371"/>
        </w:tabs>
        <w:autoSpaceDE w:val="0"/>
        <w:autoSpaceDN w:val="0"/>
        <w:adjustRightInd w:val="0"/>
        <w:rPr>
          <w:u w:val="single"/>
        </w:rPr>
      </w:pPr>
    </w:p>
    <w:p w14:paraId="7AE22698" w14:textId="45370D32" w:rsidR="000C2A54" w:rsidRPr="005B72C1" w:rsidRDefault="000C2A54" w:rsidP="000C2A54">
      <w:pPr>
        <w:widowControl w:val="0"/>
        <w:tabs>
          <w:tab w:val="right" w:pos="5103"/>
          <w:tab w:val="right" w:pos="7371"/>
        </w:tabs>
        <w:autoSpaceDE w:val="0"/>
        <w:autoSpaceDN w:val="0"/>
        <w:adjustRightInd w:val="0"/>
        <w:rPr>
          <w:u w:val="single"/>
        </w:rPr>
      </w:pPr>
      <w:r w:rsidRPr="005B72C1">
        <w:rPr>
          <w:u w:val="single"/>
        </w:rPr>
        <w:t>Chairperson of the Audit and Risk Management Committee</w:t>
      </w:r>
    </w:p>
    <w:p w14:paraId="50EF7FD7" w14:textId="77777777" w:rsidR="000C2A54" w:rsidRPr="005B72C1" w:rsidRDefault="000C2A54" w:rsidP="000C2A54">
      <w:pPr>
        <w:widowControl w:val="0"/>
        <w:tabs>
          <w:tab w:val="right" w:pos="5103"/>
          <w:tab w:val="right" w:pos="7371"/>
        </w:tabs>
        <w:autoSpaceDE w:val="0"/>
        <w:autoSpaceDN w:val="0"/>
        <w:adjustRightInd w:val="0"/>
      </w:pPr>
    </w:p>
    <w:p w14:paraId="0F08473B" w14:textId="6D8D1CF0" w:rsidR="000C2A54" w:rsidRPr="00D80497" w:rsidRDefault="000C2A54" w:rsidP="000C2A54">
      <w:pPr>
        <w:widowControl w:val="0"/>
        <w:tabs>
          <w:tab w:val="right" w:pos="5103"/>
          <w:tab w:val="right" w:pos="7371"/>
        </w:tabs>
        <w:autoSpaceDE w:val="0"/>
        <w:autoSpaceDN w:val="0"/>
        <w:adjustRightInd w:val="0"/>
      </w:pPr>
      <w:r>
        <w:t>No pension contributions were made for the Chairperson of the Audit and Risk Management Committee</w:t>
      </w:r>
      <w:r w:rsidR="0057710A">
        <w:t xml:space="preserve"> in the year ended 31 March </w:t>
      </w:r>
      <w:r w:rsidR="00C0695B">
        <w:t>202</w:t>
      </w:r>
      <w:r w:rsidR="001B25DA">
        <w:t>3</w:t>
      </w:r>
      <w:r>
        <w:t xml:space="preserve"> (</w:t>
      </w:r>
      <w:r w:rsidR="00C0695B">
        <w:t>20</w:t>
      </w:r>
      <w:r w:rsidR="1042EFCD">
        <w:t>2</w:t>
      </w:r>
      <w:r w:rsidR="001B25DA">
        <w:t>1</w:t>
      </w:r>
      <w:r w:rsidR="00C0695B">
        <w:t>-2</w:t>
      </w:r>
      <w:r w:rsidR="001B25DA">
        <w:t>2</w:t>
      </w:r>
      <w:r>
        <w:t>: £nil).</w:t>
      </w:r>
    </w:p>
    <w:p w14:paraId="0807B635" w14:textId="25E8146E" w:rsidR="009C75DA" w:rsidRDefault="009C75DA">
      <w:pPr>
        <w:rPr>
          <w:snapToGrid w:val="0"/>
          <w:u w:val="single"/>
        </w:rPr>
      </w:pPr>
    </w:p>
    <w:p w14:paraId="2AE5C5CE" w14:textId="77777777" w:rsidR="000C2A54" w:rsidRPr="00D04316" w:rsidRDefault="000C2A54" w:rsidP="00D04316">
      <w:pPr>
        <w:rPr>
          <w:bCs/>
          <w:snapToGrid w:val="0"/>
          <w:color w:val="auto"/>
          <w:u w:val="single"/>
        </w:rPr>
      </w:pPr>
      <w:r w:rsidRPr="00D04316">
        <w:rPr>
          <w:snapToGrid w:val="0"/>
          <w:u w:val="single"/>
        </w:rPr>
        <w:t>Management Team</w:t>
      </w:r>
      <w:r w:rsidR="0057710A">
        <w:rPr>
          <w:b/>
          <w:snapToGrid w:val="0"/>
          <w:u w:val="single"/>
        </w:rPr>
        <w:t xml:space="preserve"> </w:t>
      </w:r>
    </w:p>
    <w:p w14:paraId="4BE22C4D" w14:textId="77777777" w:rsidR="000C2A54" w:rsidRPr="00D80497" w:rsidRDefault="000C2A54" w:rsidP="000C2A54">
      <w:pPr>
        <w:rPr>
          <w:snapToGrid w:val="0"/>
        </w:rPr>
      </w:pPr>
    </w:p>
    <w:tbl>
      <w:tblPr>
        <w:tblW w:w="8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58"/>
        <w:gridCol w:w="1670"/>
        <w:gridCol w:w="1497"/>
        <w:gridCol w:w="1046"/>
        <w:gridCol w:w="1046"/>
        <w:gridCol w:w="1162"/>
      </w:tblGrid>
      <w:tr w:rsidR="00A7412A" w:rsidRPr="00A6153B" w14:paraId="4E676418" w14:textId="77777777" w:rsidTr="00A7412A">
        <w:trPr>
          <w:jc w:val="center"/>
        </w:trPr>
        <w:tc>
          <w:tcPr>
            <w:tcW w:w="1858" w:type="dxa"/>
          </w:tcPr>
          <w:p w14:paraId="3ECA7637" w14:textId="77777777" w:rsidR="00A7412A" w:rsidRPr="005B72C1" w:rsidRDefault="00A7412A" w:rsidP="000C2A54">
            <w:pPr>
              <w:pStyle w:val="Heading4"/>
              <w:spacing w:before="0" w:after="0"/>
              <w:ind w:left="57"/>
              <w:jc w:val="center"/>
              <w:rPr>
                <w:rFonts w:ascii="Verdana" w:hAnsi="Verdana"/>
                <w:b w:val="0"/>
                <w:sz w:val="18"/>
                <w:szCs w:val="18"/>
                <w:highlight w:val="yellow"/>
              </w:rPr>
            </w:pPr>
          </w:p>
        </w:tc>
        <w:tc>
          <w:tcPr>
            <w:tcW w:w="1670" w:type="dxa"/>
          </w:tcPr>
          <w:p w14:paraId="7825F990" w14:textId="6CBB07EF" w:rsidR="00A7412A" w:rsidRPr="00C54DF1" w:rsidRDefault="00A7412A" w:rsidP="000C2A54">
            <w:pPr>
              <w:jc w:val="center"/>
              <w:rPr>
                <w:color w:val="auto"/>
                <w:sz w:val="18"/>
                <w:szCs w:val="18"/>
              </w:rPr>
            </w:pPr>
            <w:r w:rsidRPr="3285EAFF">
              <w:rPr>
                <w:color w:val="auto"/>
                <w:sz w:val="18"/>
                <w:szCs w:val="18"/>
              </w:rPr>
              <w:t>Accrued pensi</w:t>
            </w:r>
            <w:r w:rsidR="001D0DE7">
              <w:rPr>
                <w:color w:val="auto"/>
                <w:sz w:val="18"/>
                <w:szCs w:val="18"/>
              </w:rPr>
              <w:t>on at pension age as at 31/</w:t>
            </w:r>
            <w:r w:rsidR="001B25DA">
              <w:rPr>
                <w:color w:val="auto"/>
                <w:sz w:val="18"/>
                <w:szCs w:val="18"/>
              </w:rPr>
              <w:t>0</w:t>
            </w:r>
            <w:r w:rsidR="001D0DE7">
              <w:rPr>
                <w:color w:val="auto"/>
                <w:sz w:val="18"/>
                <w:szCs w:val="18"/>
              </w:rPr>
              <w:t>3/2</w:t>
            </w:r>
            <w:r w:rsidR="001B25DA">
              <w:rPr>
                <w:color w:val="auto"/>
                <w:sz w:val="18"/>
                <w:szCs w:val="18"/>
              </w:rPr>
              <w:t>3</w:t>
            </w:r>
          </w:p>
          <w:p w14:paraId="63E4047E" w14:textId="77777777" w:rsidR="00A7412A" w:rsidRPr="00C54DF1" w:rsidRDefault="00A7412A" w:rsidP="000C2A54">
            <w:pPr>
              <w:jc w:val="center"/>
              <w:rPr>
                <w:color w:val="auto"/>
                <w:sz w:val="18"/>
                <w:szCs w:val="18"/>
              </w:rPr>
            </w:pPr>
          </w:p>
        </w:tc>
        <w:tc>
          <w:tcPr>
            <w:tcW w:w="1497" w:type="dxa"/>
          </w:tcPr>
          <w:p w14:paraId="6FF4C2D6" w14:textId="1B6006C2" w:rsidR="00A7412A" w:rsidRPr="00C54DF1" w:rsidRDefault="00A7412A" w:rsidP="00DD765C">
            <w:pPr>
              <w:pStyle w:val="FootnoteText"/>
              <w:jc w:val="center"/>
              <w:rPr>
                <w:rFonts w:ascii="Verdana" w:hAnsi="Verdana"/>
                <w:snapToGrid w:val="0"/>
                <w:sz w:val="18"/>
                <w:szCs w:val="18"/>
              </w:rPr>
            </w:pPr>
            <w:r w:rsidRPr="00C54DF1">
              <w:rPr>
                <w:rFonts w:ascii="Verdana" w:hAnsi="Verdana"/>
                <w:snapToGrid w:val="0"/>
                <w:sz w:val="18"/>
                <w:szCs w:val="18"/>
              </w:rPr>
              <w:t xml:space="preserve">Real increase in pension </w:t>
            </w:r>
            <w:r w:rsidR="001B25DA">
              <w:rPr>
                <w:rFonts w:ascii="Verdana" w:hAnsi="Verdana"/>
                <w:snapToGrid w:val="0"/>
                <w:sz w:val="18"/>
                <w:szCs w:val="18"/>
              </w:rPr>
              <w:t>and related lump sum at pension age</w:t>
            </w:r>
          </w:p>
        </w:tc>
        <w:tc>
          <w:tcPr>
            <w:tcW w:w="1046" w:type="dxa"/>
          </w:tcPr>
          <w:p w14:paraId="1BE38D98" w14:textId="661E7FC6" w:rsidR="00A7412A" w:rsidRPr="00C54DF1" w:rsidRDefault="001D0DE7" w:rsidP="000C2A54">
            <w:pPr>
              <w:jc w:val="center"/>
              <w:rPr>
                <w:color w:val="auto"/>
                <w:sz w:val="18"/>
                <w:szCs w:val="18"/>
              </w:rPr>
            </w:pPr>
            <w:r>
              <w:rPr>
                <w:color w:val="auto"/>
                <w:sz w:val="18"/>
                <w:szCs w:val="18"/>
              </w:rPr>
              <w:t>CETV at 31/</w:t>
            </w:r>
            <w:r w:rsidR="001B25DA">
              <w:rPr>
                <w:color w:val="auto"/>
                <w:sz w:val="18"/>
                <w:szCs w:val="18"/>
              </w:rPr>
              <w:t>0</w:t>
            </w:r>
            <w:r>
              <w:rPr>
                <w:color w:val="auto"/>
                <w:sz w:val="18"/>
                <w:szCs w:val="18"/>
              </w:rPr>
              <w:t>3/2</w:t>
            </w:r>
            <w:r w:rsidR="001B25DA">
              <w:rPr>
                <w:color w:val="auto"/>
                <w:sz w:val="18"/>
                <w:szCs w:val="18"/>
              </w:rPr>
              <w:t>3</w:t>
            </w:r>
          </w:p>
          <w:p w14:paraId="03BBD1D2" w14:textId="77777777" w:rsidR="00A7412A" w:rsidRPr="00C54DF1" w:rsidRDefault="00A7412A" w:rsidP="000C2A54">
            <w:pPr>
              <w:jc w:val="center"/>
              <w:rPr>
                <w:color w:val="auto"/>
                <w:sz w:val="18"/>
                <w:szCs w:val="18"/>
              </w:rPr>
            </w:pPr>
          </w:p>
          <w:p w14:paraId="576D1159" w14:textId="77777777" w:rsidR="00A7412A" w:rsidRPr="00C54DF1" w:rsidRDefault="00A7412A" w:rsidP="000C2A54">
            <w:pPr>
              <w:jc w:val="center"/>
              <w:rPr>
                <w:color w:val="auto"/>
                <w:sz w:val="18"/>
                <w:szCs w:val="18"/>
              </w:rPr>
            </w:pPr>
          </w:p>
          <w:p w14:paraId="0E3F55AE" w14:textId="77777777" w:rsidR="00A7412A" w:rsidRPr="00C54DF1" w:rsidRDefault="00A7412A" w:rsidP="000C2A54">
            <w:pPr>
              <w:rPr>
                <w:color w:val="auto"/>
                <w:sz w:val="18"/>
                <w:szCs w:val="18"/>
              </w:rPr>
            </w:pPr>
          </w:p>
        </w:tc>
        <w:tc>
          <w:tcPr>
            <w:tcW w:w="1046" w:type="dxa"/>
          </w:tcPr>
          <w:p w14:paraId="2EC6BF97" w14:textId="654AAF00" w:rsidR="00A7412A" w:rsidRPr="00C54DF1" w:rsidRDefault="00A7412A" w:rsidP="0057710A">
            <w:pPr>
              <w:jc w:val="center"/>
              <w:rPr>
                <w:color w:val="auto"/>
                <w:sz w:val="18"/>
                <w:szCs w:val="18"/>
              </w:rPr>
            </w:pPr>
            <w:r w:rsidRPr="3285EAFF">
              <w:rPr>
                <w:color w:val="auto"/>
                <w:sz w:val="18"/>
                <w:szCs w:val="18"/>
              </w:rPr>
              <w:t>CETV at 31/</w:t>
            </w:r>
            <w:r w:rsidR="001B25DA">
              <w:rPr>
                <w:color w:val="auto"/>
                <w:sz w:val="18"/>
                <w:szCs w:val="18"/>
              </w:rPr>
              <w:t>0</w:t>
            </w:r>
            <w:r w:rsidRPr="3285EAFF">
              <w:rPr>
                <w:color w:val="auto"/>
                <w:sz w:val="18"/>
                <w:szCs w:val="18"/>
              </w:rPr>
              <w:t>3/2</w:t>
            </w:r>
            <w:r w:rsidR="001B25DA">
              <w:rPr>
                <w:color w:val="auto"/>
                <w:sz w:val="18"/>
                <w:szCs w:val="18"/>
              </w:rPr>
              <w:t>2</w:t>
            </w:r>
          </w:p>
        </w:tc>
        <w:tc>
          <w:tcPr>
            <w:tcW w:w="1162" w:type="dxa"/>
          </w:tcPr>
          <w:p w14:paraId="19B0D35B" w14:textId="77777777" w:rsidR="00A7412A" w:rsidRPr="00C54DF1" w:rsidRDefault="00A7412A" w:rsidP="000C2A54">
            <w:pPr>
              <w:jc w:val="center"/>
              <w:rPr>
                <w:color w:val="auto"/>
                <w:sz w:val="18"/>
                <w:szCs w:val="18"/>
              </w:rPr>
            </w:pPr>
            <w:r w:rsidRPr="00C54DF1">
              <w:rPr>
                <w:color w:val="auto"/>
                <w:sz w:val="18"/>
                <w:szCs w:val="18"/>
              </w:rPr>
              <w:t>Real increase in CETV</w:t>
            </w:r>
          </w:p>
          <w:p w14:paraId="2FA9192F" w14:textId="77777777" w:rsidR="00A7412A" w:rsidRPr="00C54DF1" w:rsidRDefault="00A7412A" w:rsidP="000C2A54">
            <w:pPr>
              <w:jc w:val="center"/>
              <w:rPr>
                <w:color w:val="auto"/>
                <w:sz w:val="18"/>
                <w:szCs w:val="18"/>
              </w:rPr>
            </w:pPr>
          </w:p>
          <w:p w14:paraId="0537F2B9" w14:textId="77777777" w:rsidR="00A7412A" w:rsidRPr="00C54DF1" w:rsidRDefault="00A7412A" w:rsidP="000C2A54">
            <w:pPr>
              <w:rPr>
                <w:color w:val="auto"/>
                <w:sz w:val="18"/>
                <w:szCs w:val="18"/>
              </w:rPr>
            </w:pPr>
          </w:p>
        </w:tc>
      </w:tr>
      <w:tr w:rsidR="00A7412A" w:rsidRPr="00A6153B" w14:paraId="0E263E5D" w14:textId="77777777" w:rsidTr="00A7412A">
        <w:trPr>
          <w:jc w:val="center"/>
        </w:trPr>
        <w:tc>
          <w:tcPr>
            <w:tcW w:w="1858" w:type="dxa"/>
            <w:vAlign w:val="center"/>
          </w:tcPr>
          <w:p w14:paraId="6F77D218" w14:textId="77777777" w:rsidR="00A7412A" w:rsidRPr="005B72C1" w:rsidRDefault="00A7412A" w:rsidP="000C2A54">
            <w:pPr>
              <w:ind w:left="57"/>
              <w:rPr>
                <w:sz w:val="18"/>
                <w:szCs w:val="18"/>
                <w:highlight w:val="yellow"/>
              </w:rPr>
            </w:pPr>
          </w:p>
          <w:p w14:paraId="62C3D9B4" w14:textId="77777777" w:rsidR="00A7412A" w:rsidRPr="005B72C1" w:rsidRDefault="00A7412A" w:rsidP="000C2A54">
            <w:pPr>
              <w:ind w:left="57"/>
              <w:rPr>
                <w:sz w:val="18"/>
                <w:szCs w:val="18"/>
                <w:highlight w:val="yellow"/>
              </w:rPr>
            </w:pPr>
          </w:p>
        </w:tc>
        <w:tc>
          <w:tcPr>
            <w:tcW w:w="1670" w:type="dxa"/>
            <w:vAlign w:val="center"/>
          </w:tcPr>
          <w:p w14:paraId="0E83B951" w14:textId="77777777" w:rsidR="00A7412A" w:rsidRDefault="00A7412A" w:rsidP="000C2A54">
            <w:pPr>
              <w:jc w:val="center"/>
              <w:rPr>
                <w:color w:val="auto"/>
                <w:sz w:val="18"/>
                <w:szCs w:val="18"/>
              </w:rPr>
            </w:pPr>
            <w:r w:rsidRPr="00C54DF1">
              <w:rPr>
                <w:color w:val="auto"/>
                <w:sz w:val="18"/>
                <w:szCs w:val="18"/>
              </w:rPr>
              <w:t>£’000</w:t>
            </w:r>
          </w:p>
          <w:p w14:paraId="6E69139E" w14:textId="77777777" w:rsidR="00A7412A" w:rsidRPr="00C54DF1" w:rsidRDefault="00A7412A" w:rsidP="000C2A54">
            <w:pPr>
              <w:jc w:val="center"/>
              <w:rPr>
                <w:color w:val="auto"/>
                <w:sz w:val="18"/>
                <w:szCs w:val="18"/>
              </w:rPr>
            </w:pPr>
          </w:p>
        </w:tc>
        <w:tc>
          <w:tcPr>
            <w:tcW w:w="1497" w:type="dxa"/>
            <w:vAlign w:val="center"/>
          </w:tcPr>
          <w:p w14:paraId="50228145" w14:textId="77777777" w:rsidR="00A7412A" w:rsidRDefault="00A7412A" w:rsidP="000C2A54">
            <w:pPr>
              <w:jc w:val="center"/>
              <w:rPr>
                <w:color w:val="auto"/>
                <w:sz w:val="18"/>
                <w:szCs w:val="18"/>
              </w:rPr>
            </w:pPr>
            <w:r w:rsidRPr="00C54DF1">
              <w:rPr>
                <w:color w:val="auto"/>
                <w:sz w:val="18"/>
                <w:szCs w:val="18"/>
              </w:rPr>
              <w:t>£’000</w:t>
            </w:r>
          </w:p>
          <w:p w14:paraId="56C60B0F" w14:textId="77777777" w:rsidR="00A7412A" w:rsidRPr="00C54DF1" w:rsidRDefault="00A7412A" w:rsidP="000C2A54">
            <w:pPr>
              <w:jc w:val="center"/>
              <w:rPr>
                <w:color w:val="auto"/>
                <w:sz w:val="18"/>
                <w:szCs w:val="18"/>
              </w:rPr>
            </w:pPr>
          </w:p>
        </w:tc>
        <w:tc>
          <w:tcPr>
            <w:tcW w:w="1046" w:type="dxa"/>
            <w:vAlign w:val="center"/>
          </w:tcPr>
          <w:p w14:paraId="06A313DF" w14:textId="77777777" w:rsidR="00A7412A" w:rsidRDefault="00A7412A" w:rsidP="000C2A54">
            <w:pPr>
              <w:jc w:val="center"/>
              <w:rPr>
                <w:color w:val="auto"/>
                <w:sz w:val="18"/>
                <w:szCs w:val="18"/>
              </w:rPr>
            </w:pPr>
            <w:r w:rsidRPr="00C54DF1">
              <w:rPr>
                <w:color w:val="auto"/>
                <w:sz w:val="18"/>
                <w:szCs w:val="18"/>
              </w:rPr>
              <w:t>£’000</w:t>
            </w:r>
          </w:p>
          <w:p w14:paraId="393E0830" w14:textId="77777777" w:rsidR="00A7412A" w:rsidRPr="00C54DF1" w:rsidRDefault="00A7412A" w:rsidP="000C2A54">
            <w:pPr>
              <w:jc w:val="center"/>
              <w:rPr>
                <w:color w:val="auto"/>
                <w:sz w:val="18"/>
                <w:szCs w:val="18"/>
              </w:rPr>
            </w:pPr>
          </w:p>
        </w:tc>
        <w:tc>
          <w:tcPr>
            <w:tcW w:w="1046" w:type="dxa"/>
            <w:vAlign w:val="center"/>
          </w:tcPr>
          <w:p w14:paraId="1BCCD96E" w14:textId="77777777" w:rsidR="00A7412A" w:rsidRDefault="00A7412A" w:rsidP="000C2A54">
            <w:pPr>
              <w:jc w:val="center"/>
              <w:rPr>
                <w:color w:val="auto"/>
                <w:sz w:val="18"/>
                <w:szCs w:val="18"/>
              </w:rPr>
            </w:pPr>
            <w:r w:rsidRPr="00C54DF1">
              <w:rPr>
                <w:color w:val="auto"/>
                <w:sz w:val="18"/>
                <w:szCs w:val="18"/>
              </w:rPr>
              <w:t>£’000</w:t>
            </w:r>
          </w:p>
          <w:p w14:paraId="1CBE0916" w14:textId="77777777" w:rsidR="00A7412A" w:rsidRPr="00C54DF1" w:rsidRDefault="00A7412A" w:rsidP="000C2A54">
            <w:pPr>
              <w:jc w:val="center"/>
              <w:rPr>
                <w:color w:val="auto"/>
                <w:sz w:val="18"/>
                <w:szCs w:val="18"/>
              </w:rPr>
            </w:pPr>
          </w:p>
        </w:tc>
        <w:tc>
          <w:tcPr>
            <w:tcW w:w="1162" w:type="dxa"/>
            <w:vAlign w:val="center"/>
          </w:tcPr>
          <w:p w14:paraId="416F4657" w14:textId="77777777" w:rsidR="00A7412A" w:rsidRDefault="00A7412A" w:rsidP="000C2A54">
            <w:pPr>
              <w:jc w:val="center"/>
              <w:rPr>
                <w:color w:val="auto"/>
                <w:sz w:val="18"/>
                <w:szCs w:val="18"/>
              </w:rPr>
            </w:pPr>
            <w:r w:rsidRPr="00C54DF1">
              <w:rPr>
                <w:color w:val="auto"/>
                <w:sz w:val="18"/>
                <w:szCs w:val="18"/>
              </w:rPr>
              <w:t>£’000</w:t>
            </w:r>
          </w:p>
          <w:p w14:paraId="64EA5E08" w14:textId="77777777" w:rsidR="00A7412A" w:rsidRPr="00C54DF1" w:rsidRDefault="00A7412A" w:rsidP="000C2A54">
            <w:pPr>
              <w:jc w:val="center"/>
              <w:rPr>
                <w:color w:val="auto"/>
                <w:sz w:val="18"/>
                <w:szCs w:val="18"/>
              </w:rPr>
            </w:pPr>
          </w:p>
        </w:tc>
      </w:tr>
      <w:tr w:rsidR="001D0DE7" w:rsidRPr="003C1FD4" w14:paraId="770BE057" w14:textId="77777777" w:rsidTr="00A7412A">
        <w:trPr>
          <w:jc w:val="center"/>
        </w:trPr>
        <w:tc>
          <w:tcPr>
            <w:tcW w:w="1858" w:type="dxa"/>
            <w:vAlign w:val="center"/>
          </w:tcPr>
          <w:p w14:paraId="181648D1" w14:textId="77777777" w:rsidR="001D0DE7" w:rsidRDefault="001D0DE7" w:rsidP="000C2A54">
            <w:pPr>
              <w:ind w:left="57"/>
              <w:rPr>
                <w:sz w:val="20"/>
                <w:szCs w:val="20"/>
              </w:rPr>
            </w:pPr>
            <w:r>
              <w:rPr>
                <w:sz w:val="20"/>
                <w:szCs w:val="20"/>
              </w:rPr>
              <w:t>Alyson Kilpatrick</w:t>
            </w:r>
          </w:p>
          <w:p w14:paraId="29F439C4" w14:textId="77777777" w:rsidR="001D0DE7" w:rsidRDefault="001D0DE7" w:rsidP="000C2A54">
            <w:pPr>
              <w:ind w:left="57"/>
              <w:rPr>
                <w:sz w:val="20"/>
                <w:szCs w:val="20"/>
              </w:rPr>
            </w:pPr>
            <w:r>
              <w:rPr>
                <w:sz w:val="20"/>
                <w:szCs w:val="20"/>
              </w:rPr>
              <w:t>Chief Commissioner</w:t>
            </w:r>
          </w:p>
          <w:p w14:paraId="1958E4C1" w14:textId="77777777" w:rsidR="001D0DE7" w:rsidRPr="001F61FA" w:rsidRDefault="001D0DE7" w:rsidP="000C2A54">
            <w:pPr>
              <w:ind w:left="57"/>
              <w:rPr>
                <w:sz w:val="20"/>
                <w:szCs w:val="20"/>
              </w:rPr>
            </w:pPr>
          </w:p>
        </w:tc>
        <w:tc>
          <w:tcPr>
            <w:tcW w:w="1670" w:type="dxa"/>
            <w:vAlign w:val="center"/>
          </w:tcPr>
          <w:p w14:paraId="024C7DB5" w14:textId="77777777" w:rsidR="001D0DE7" w:rsidRDefault="001D0DE7" w:rsidP="000C2A54">
            <w:pPr>
              <w:jc w:val="center"/>
              <w:rPr>
                <w:color w:val="auto"/>
                <w:sz w:val="20"/>
                <w:szCs w:val="20"/>
              </w:rPr>
            </w:pPr>
            <w:r>
              <w:rPr>
                <w:color w:val="auto"/>
                <w:sz w:val="20"/>
                <w:szCs w:val="20"/>
              </w:rPr>
              <w:t>0-5</w:t>
            </w:r>
          </w:p>
        </w:tc>
        <w:tc>
          <w:tcPr>
            <w:tcW w:w="1497" w:type="dxa"/>
            <w:vAlign w:val="center"/>
          </w:tcPr>
          <w:p w14:paraId="4B7F4811" w14:textId="77777777" w:rsidR="001D0DE7" w:rsidRDefault="001D0DE7" w:rsidP="000C2A54">
            <w:pPr>
              <w:jc w:val="center"/>
              <w:rPr>
                <w:color w:val="auto"/>
                <w:sz w:val="20"/>
                <w:szCs w:val="20"/>
              </w:rPr>
            </w:pPr>
            <w:r>
              <w:rPr>
                <w:color w:val="auto"/>
                <w:sz w:val="20"/>
                <w:szCs w:val="20"/>
              </w:rPr>
              <w:t>0-2.5</w:t>
            </w:r>
          </w:p>
        </w:tc>
        <w:tc>
          <w:tcPr>
            <w:tcW w:w="1046" w:type="dxa"/>
            <w:vAlign w:val="center"/>
          </w:tcPr>
          <w:p w14:paraId="6CFCA0AC" w14:textId="5784AE0C" w:rsidR="001D0DE7" w:rsidRDefault="001B25DA" w:rsidP="000C2A54">
            <w:pPr>
              <w:jc w:val="center"/>
              <w:rPr>
                <w:color w:val="auto"/>
                <w:sz w:val="20"/>
                <w:szCs w:val="20"/>
              </w:rPr>
            </w:pPr>
            <w:r>
              <w:rPr>
                <w:color w:val="auto"/>
                <w:sz w:val="20"/>
                <w:szCs w:val="20"/>
              </w:rPr>
              <w:t>38</w:t>
            </w:r>
          </w:p>
        </w:tc>
        <w:tc>
          <w:tcPr>
            <w:tcW w:w="1046" w:type="dxa"/>
            <w:vAlign w:val="center"/>
          </w:tcPr>
          <w:p w14:paraId="32ACD7ED" w14:textId="1F7910E5" w:rsidR="001D0DE7" w:rsidRDefault="001B25DA" w:rsidP="000C2A54">
            <w:pPr>
              <w:jc w:val="center"/>
              <w:rPr>
                <w:color w:val="auto"/>
                <w:sz w:val="20"/>
                <w:szCs w:val="20"/>
              </w:rPr>
            </w:pPr>
            <w:r>
              <w:rPr>
                <w:color w:val="auto"/>
                <w:sz w:val="20"/>
                <w:szCs w:val="20"/>
              </w:rPr>
              <w:t>13</w:t>
            </w:r>
          </w:p>
        </w:tc>
        <w:tc>
          <w:tcPr>
            <w:tcW w:w="1162" w:type="dxa"/>
            <w:vAlign w:val="center"/>
          </w:tcPr>
          <w:p w14:paraId="2BE4793D" w14:textId="7EF7FB89" w:rsidR="001D0DE7" w:rsidRDefault="001D0DE7" w:rsidP="000C2A54">
            <w:pPr>
              <w:jc w:val="center"/>
              <w:rPr>
                <w:color w:val="auto"/>
                <w:sz w:val="20"/>
                <w:szCs w:val="20"/>
              </w:rPr>
            </w:pPr>
            <w:r>
              <w:rPr>
                <w:color w:val="auto"/>
                <w:sz w:val="20"/>
                <w:szCs w:val="20"/>
              </w:rPr>
              <w:t>1</w:t>
            </w:r>
            <w:r w:rsidR="001B25DA">
              <w:rPr>
                <w:color w:val="auto"/>
                <w:sz w:val="20"/>
                <w:szCs w:val="20"/>
              </w:rPr>
              <w:t>8</w:t>
            </w:r>
          </w:p>
        </w:tc>
      </w:tr>
      <w:tr w:rsidR="00A7412A" w:rsidRPr="003C1FD4" w14:paraId="01DCA7B4" w14:textId="77777777" w:rsidTr="00A7412A">
        <w:trPr>
          <w:jc w:val="center"/>
        </w:trPr>
        <w:tc>
          <w:tcPr>
            <w:tcW w:w="1858" w:type="dxa"/>
            <w:vAlign w:val="center"/>
          </w:tcPr>
          <w:p w14:paraId="1DAA58E0" w14:textId="77777777" w:rsidR="00A7412A" w:rsidRPr="001F61FA" w:rsidRDefault="00A7412A" w:rsidP="000C2A54">
            <w:pPr>
              <w:ind w:left="57"/>
              <w:rPr>
                <w:sz w:val="20"/>
                <w:szCs w:val="20"/>
              </w:rPr>
            </w:pPr>
            <w:r w:rsidRPr="001F61FA">
              <w:rPr>
                <w:sz w:val="20"/>
                <w:szCs w:val="20"/>
              </w:rPr>
              <w:t>David Russell</w:t>
            </w:r>
          </w:p>
          <w:p w14:paraId="2B20592D" w14:textId="77777777" w:rsidR="00A7412A" w:rsidRPr="001F61FA" w:rsidRDefault="00A7412A" w:rsidP="00CA6B5D">
            <w:pPr>
              <w:ind w:left="57"/>
              <w:rPr>
                <w:sz w:val="20"/>
                <w:szCs w:val="20"/>
              </w:rPr>
            </w:pPr>
            <w:r w:rsidRPr="001F61FA">
              <w:rPr>
                <w:sz w:val="20"/>
                <w:szCs w:val="20"/>
              </w:rPr>
              <w:t xml:space="preserve">Chief Executive </w:t>
            </w:r>
            <w:r>
              <w:rPr>
                <w:i/>
                <w:sz w:val="20"/>
                <w:szCs w:val="20"/>
              </w:rPr>
              <w:br/>
            </w:r>
          </w:p>
        </w:tc>
        <w:tc>
          <w:tcPr>
            <w:tcW w:w="1670" w:type="dxa"/>
            <w:vAlign w:val="center"/>
          </w:tcPr>
          <w:p w14:paraId="1309D7FC" w14:textId="77777777" w:rsidR="00A7412A" w:rsidRPr="001F61FA" w:rsidRDefault="001D0DE7" w:rsidP="000C2A54">
            <w:pPr>
              <w:jc w:val="center"/>
              <w:rPr>
                <w:color w:val="auto"/>
                <w:sz w:val="20"/>
                <w:szCs w:val="20"/>
              </w:rPr>
            </w:pPr>
            <w:r>
              <w:rPr>
                <w:color w:val="auto"/>
                <w:sz w:val="20"/>
                <w:szCs w:val="20"/>
              </w:rPr>
              <w:t>25-30</w:t>
            </w:r>
          </w:p>
        </w:tc>
        <w:tc>
          <w:tcPr>
            <w:tcW w:w="1497" w:type="dxa"/>
            <w:vAlign w:val="center"/>
          </w:tcPr>
          <w:p w14:paraId="7BAFA0B5" w14:textId="77777777" w:rsidR="00A7412A" w:rsidRPr="001F61FA" w:rsidRDefault="00CA6B5D" w:rsidP="000C2A54">
            <w:pPr>
              <w:jc w:val="center"/>
              <w:rPr>
                <w:color w:val="auto"/>
                <w:sz w:val="20"/>
                <w:szCs w:val="20"/>
              </w:rPr>
            </w:pPr>
            <w:r>
              <w:rPr>
                <w:color w:val="auto"/>
                <w:sz w:val="20"/>
                <w:szCs w:val="20"/>
              </w:rPr>
              <w:t>0-2.5</w:t>
            </w:r>
          </w:p>
        </w:tc>
        <w:tc>
          <w:tcPr>
            <w:tcW w:w="1046" w:type="dxa"/>
            <w:vAlign w:val="center"/>
          </w:tcPr>
          <w:p w14:paraId="1BB52882" w14:textId="7C2BDFCB" w:rsidR="00A7412A" w:rsidRPr="001F61FA" w:rsidRDefault="001D0DE7" w:rsidP="000C2A54">
            <w:pPr>
              <w:jc w:val="center"/>
              <w:rPr>
                <w:color w:val="auto"/>
                <w:sz w:val="20"/>
                <w:szCs w:val="20"/>
              </w:rPr>
            </w:pPr>
            <w:r>
              <w:rPr>
                <w:color w:val="auto"/>
                <w:sz w:val="20"/>
                <w:szCs w:val="20"/>
              </w:rPr>
              <w:t>3</w:t>
            </w:r>
            <w:r w:rsidR="001B25DA">
              <w:rPr>
                <w:color w:val="auto"/>
                <w:sz w:val="20"/>
                <w:szCs w:val="20"/>
              </w:rPr>
              <w:t>43</w:t>
            </w:r>
          </w:p>
        </w:tc>
        <w:tc>
          <w:tcPr>
            <w:tcW w:w="1046" w:type="dxa"/>
            <w:vAlign w:val="center"/>
          </w:tcPr>
          <w:p w14:paraId="0FDFB44F" w14:textId="72AC753F" w:rsidR="00A7412A" w:rsidRPr="001F61FA" w:rsidRDefault="001B25DA" w:rsidP="000C2A54">
            <w:pPr>
              <w:jc w:val="center"/>
              <w:rPr>
                <w:color w:val="auto"/>
                <w:sz w:val="20"/>
                <w:szCs w:val="20"/>
              </w:rPr>
            </w:pPr>
            <w:r>
              <w:rPr>
                <w:color w:val="auto"/>
                <w:sz w:val="20"/>
                <w:szCs w:val="20"/>
              </w:rPr>
              <w:t>306</w:t>
            </w:r>
          </w:p>
        </w:tc>
        <w:tc>
          <w:tcPr>
            <w:tcW w:w="1162" w:type="dxa"/>
            <w:vAlign w:val="center"/>
          </w:tcPr>
          <w:p w14:paraId="1414ED34" w14:textId="39D19E08" w:rsidR="00A7412A" w:rsidRPr="001F61FA" w:rsidRDefault="001B25DA" w:rsidP="000C2A54">
            <w:pPr>
              <w:jc w:val="center"/>
              <w:rPr>
                <w:color w:val="auto"/>
                <w:sz w:val="20"/>
                <w:szCs w:val="20"/>
              </w:rPr>
            </w:pPr>
            <w:r>
              <w:rPr>
                <w:color w:val="auto"/>
                <w:sz w:val="20"/>
                <w:szCs w:val="20"/>
              </w:rPr>
              <w:t>9</w:t>
            </w:r>
          </w:p>
        </w:tc>
      </w:tr>
      <w:tr w:rsidR="00A7412A" w:rsidRPr="003C1FD4" w14:paraId="3AA999A8" w14:textId="77777777" w:rsidTr="00A7412A">
        <w:trPr>
          <w:jc w:val="center"/>
        </w:trPr>
        <w:tc>
          <w:tcPr>
            <w:tcW w:w="1858" w:type="dxa"/>
            <w:vAlign w:val="center"/>
          </w:tcPr>
          <w:p w14:paraId="091A66A2" w14:textId="77777777" w:rsidR="00A7412A" w:rsidRPr="001F61FA" w:rsidRDefault="00A7412A" w:rsidP="000C2A54">
            <w:pPr>
              <w:ind w:left="57"/>
              <w:rPr>
                <w:sz w:val="20"/>
                <w:szCs w:val="20"/>
              </w:rPr>
            </w:pPr>
            <w:r w:rsidRPr="001F61FA">
              <w:rPr>
                <w:sz w:val="20"/>
                <w:szCs w:val="20"/>
              </w:rPr>
              <w:t>Lorraine Hamill</w:t>
            </w:r>
          </w:p>
          <w:p w14:paraId="54DFF7D8" w14:textId="77777777" w:rsidR="00A7412A" w:rsidRPr="001F61FA" w:rsidRDefault="00A7412A" w:rsidP="00DE3AEE">
            <w:pPr>
              <w:ind w:left="57"/>
              <w:rPr>
                <w:sz w:val="20"/>
                <w:szCs w:val="20"/>
              </w:rPr>
            </w:pPr>
            <w:r w:rsidRPr="001F61FA">
              <w:rPr>
                <w:sz w:val="20"/>
                <w:szCs w:val="20"/>
              </w:rPr>
              <w:t xml:space="preserve">Director </w:t>
            </w:r>
            <w:r>
              <w:rPr>
                <w:i/>
                <w:sz w:val="20"/>
                <w:szCs w:val="20"/>
              </w:rPr>
              <w:br/>
            </w:r>
          </w:p>
        </w:tc>
        <w:tc>
          <w:tcPr>
            <w:tcW w:w="1670" w:type="dxa"/>
            <w:vAlign w:val="center"/>
          </w:tcPr>
          <w:p w14:paraId="2F3403A2" w14:textId="77777777" w:rsidR="00A7412A" w:rsidRDefault="00A7412A" w:rsidP="000C2A54">
            <w:pPr>
              <w:jc w:val="center"/>
              <w:rPr>
                <w:sz w:val="20"/>
                <w:szCs w:val="20"/>
              </w:rPr>
            </w:pPr>
          </w:p>
          <w:p w14:paraId="797C372A" w14:textId="1AA45DB6" w:rsidR="00CA6B5D" w:rsidRPr="001F61FA" w:rsidRDefault="001B25DA" w:rsidP="000C2A54">
            <w:pPr>
              <w:jc w:val="center"/>
              <w:rPr>
                <w:sz w:val="20"/>
                <w:szCs w:val="20"/>
              </w:rPr>
            </w:pPr>
            <w:r>
              <w:rPr>
                <w:sz w:val="20"/>
                <w:szCs w:val="20"/>
              </w:rPr>
              <w:t>15-20</w:t>
            </w:r>
          </w:p>
        </w:tc>
        <w:tc>
          <w:tcPr>
            <w:tcW w:w="1497" w:type="dxa"/>
            <w:vAlign w:val="center"/>
          </w:tcPr>
          <w:p w14:paraId="2D5D33E1" w14:textId="77777777" w:rsidR="00A7412A" w:rsidRDefault="00A7412A" w:rsidP="000C2A54">
            <w:pPr>
              <w:jc w:val="center"/>
              <w:rPr>
                <w:sz w:val="20"/>
                <w:szCs w:val="20"/>
              </w:rPr>
            </w:pPr>
          </w:p>
          <w:p w14:paraId="6B9C0EAF" w14:textId="77777777" w:rsidR="00CA6B5D" w:rsidRPr="001F61FA" w:rsidRDefault="00CA6B5D" w:rsidP="000C2A54">
            <w:pPr>
              <w:jc w:val="center"/>
              <w:rPr>
                <w:sz w:val="20"/>
                <w:szCs w:val="20"/>
              </w:rPr>
            </w:pPr>
            <w:r>
              <w:rPr>
                <w:sz w:val="20"/>
                <w:szCs w:val="20"/>
              </w:rPr>
              <w:t>0-2.5</w:t>
            </w:r>
          </w:p>
        </w:tc>
        <w:tc>
          <w:tcPr>
            <w:tcW w:w="1046" w:type="dxa"/>
            <w:vAlign w:val="center"/>
          </w:tcPr>
          <w:p w14:paraId="5CEC4882" w14:textId="77777777" w:rsidR="00CA6B5D" w:rsidRDefault="00CA6B5D" w:rsidP="000C2A54">
            <w:pPr>
              <w:jc w:val="center"/>
              <w:rPr>
                <w:sz w:val="20"/>
                <w:szCs w:val="20"/>
              </w:rPr>
            </w:pPr>
          </w:p>
          <w:p w14:paraId="6FA683A8" w14:textId="433EBD40" w:rsidR="001D0DE7" w:rsidRPr="001F61FA" w:rsidRDefault="001D0DE7" w:rsidP="000C2A54">
            <w:pPr>
              <w:jc w:val="center"/>
              <w:rPr>
                <w:sz w:val="20"/>
                <w:szCs w:val="20"/>
              </w:rPr>
            </w:pPr>
            <w:r>
              <w:rPr>
                <w:sz w:val="20"/>
                <w:szCs w:val="20"/>
              </w:rPr>
              <w:t>2</w:t>
            </w:r>
            <w:r w:rsidR="001B25DA">
              <w:rPr>
                <w:sz w:val="20"/>
                <w:szCs w:val="20"/>
              </w:rPr>
              <w:t>64</w:t>
            </w:r>
          </w:p>
        </w:tc>
        <w:tc>
          <w:tcPr>
            <w:tcW w:w="1046" w:type="dxa"/>
            <w:vAlign w:val="center"/>
          </w:tcPr>
          <w:p w14:paraId="6215BB77" w14:textId="77777777" w:rsidR="00CA6B5D" w:rsidRDefault="00CA6B5D" w:rsidP="000C2A54">
            <w:pPr>
              <w:jc w:val="center"/>
              <w:rPr>
                <w:sz w:val="20"/>
                <w:szCs w:val="20"/>
              </w:rPr>
            </w:pPr>
          </w:p>
          <w:p w14:paraId="76C5B2BF" w14:textId="3B52F208" w:rsidR="001D0DE7" w:rsidRPr="001F61FA" w:rsidRDefault="001D0DE7" w:rsidP="000C2A54">
            <w:pPr>
              <w:jc w:val="center"/>
              <w:rPr>
                <w:sz w:val="20"/>
                <w:szCs w:val="20"/>
              </w:rPr>
            </w:pPr>
            <w:r>
              <w:rPr>
                <w:sz w:val="20"/>
                <w:szCs w:val="20"/>
              </w:rPr>
              <w:t>2</w:t>
            </w:r>
            <w:r w:rsidR="001B25DA">
              <w:rPr>
                <w:sz w:val="20"/>
                <w:szCs w:val="20"/>
              </w:rPr>
              <w:t>35</w:t>
            </w:r>
          </w:p>
        </w:tc>
        <w:tc>
          <w:tcPr>
            <w:tcW w:w="1162" w:type="dxa"/>
            <w:vAlign w:val="center"/>
          </w:tcPr>
          <w:p w14:paraId="19674685" w14:textId="77777777" w:rsidR="00CA6B5D" w:rsidRDefault="00CA6B5D" w:rsidP="000C2A54">
            <w:pPr>
              <w:jc w:val="center"/>
              <w:rPr>
                <w:sz w:val="20"/>
                <w:szCs w:val="20"/>
              </w:rPr>
            </w:pPr>
          </w:p>
          <w:p w14:paraId="2A091CFB" w14:textId="5B81D9CE" w:rsidR="001D0DE7" w:rsidRPr="001F61FA" w:rsidRDefault="001B25DA" w:rsidP="000C2A54">
            <w:pPr>
              <w:jc w:val="center"/>
              <w:rPr>
                <w:sz w:val="20"/>
                <w:szCs w:val="20"/>
              </w:rPr>
            </w:pPr>
            <w:r>
              <w:rPr>
                <w:sz w:val="20"/>
                <w:szCs w:val="20"/>
              </w:rPr>
              <w:t>3</w:t>
            </w:r>
          </w:p>
        </w:tc>
      </w:tr>
      <w:tr w:rsidR="00A7412A" w:rsidRPr="003C1FD4" w14:paraId="6447905C" w14:textId="77777777" w:rsidTr="00A7412A">
        <w:trPr>
          <w:jc w:val="center"/>
        </w:trPr>
        <w:tc>
          <w:tcPr>
            <w:tcW w:w="1858" w:type="dxa"/>
            <w:vAlign w:val="center"/>
          </w:tcPr>
          <w:p w14:paraId="17789F05" w14:textId="77777777" w:rsidR="00A7412A" w:rsidRPr="001F61FA" w:rsidRDefault="00A7412A" w:rsidP="000C2A54">
            <w:pPr>
              <w:ind w:left="57"/>
              <w:rPr>
                <w:sz w:val="20"/>
                <w:szCs w:val="20"/>
              </w:rPr>
            </w:pPr>
            <w:r w:rsidRPr="001F61FA">
              <w:rPr>
                <w:sz w:val="20"/>
                <w:szCs w:val="20"/>
              </w:rPr>
              <w:t>Claire Martin</w:t>
            </w:r>
          </w:p>
          <w:p w14:paraId="09794641" w14:textId="77777777" w:rsidR="00A7412A" w:rsidRPr="001F61FA" w:rsidRDefault="00A7412A" w:rsidP="00DE3AEE">
            <w:pPr>
              <w:ind w:left="57"/>
              <w:rPr>
                <w:sz w:val="20"/>
                <w:szCs w:val="20"/>
              </w:rPr>
            </w:pPr>
            <w:r w:rsidRPr="001F61FA">
              <w:rPr>
                <w:sz w:val="20"/>
                <w:szCs w:val="20"/>
              </w:rPr>
              <w:t xml:space="preserve">Director </w:t>
            </w:r>
            <w:r>
              <w:rPr>
                <w:i/>
                <w:sz w:val="20"/>
                <w:szCs w:val="20"/>
              </w:rPr>
              <w:br/>
            </w:r>
          </w:p>
        </w:tc>
        <w:tc>
          <w:tcPr>
            <w:tcW w:w="1670" w:type="dxa"/>
            <w:vAlign w:val="center"/>
          </w:tcPr>
          <w:p w14:paraId="0C88F160" w14:textId="77777777" w:rsidR="00A7412A" w:rsidRPr="001F61FA" w:rsidRDefault="001D0DE7" w:rsidP="000C2A54">
            <w:pPr>
              <w:jc w:val="center"/>
              <w:rPr>
                <w:sz w:val="20"/>
                <w:szCs w:val="20"/>
              </w:rPr>
            </w:pPr>
            <w:r>
              <w:rPr>
                <w:sz w:val="20"/>
                <w:szCs w:val="20"/>
              </w:rPr>
              <w:t>15-20</w:t>
            </w:r>
          </w:p>
        </w:tc>
        <w:tc>
          <w:tcPr>
            <w:tcW w:w="1497" w:type="dxa"/>
            <w:vAlign w:val="center"/>
          </w:tcPr>
          <w:p w14:paraId="7CA0A778" w14:textId="77777777" w:rsidR="00A7412A" w:rsidRPr="001F61FA" w:rsidRDefault="00CA6B5D" w:rsidP="000C2A54">
            <w:pPr>
              <w:jc w:val="center"/>
              <w:rPr>
                <w:sz w:val="20"/>
                <w:szCs w:val="20"/>
              </w:rPr>
            </w:pPr>
            <w:r>
              <w:rPr>
                <w:sz w:val="20"/>
                <w:szCs w:val="20"/>
              </w:rPr>
              <w:t>0-2.5</w:t>
            </w:r>
          </w:p>
        </w:tc>
        <w:tc>
          <w:tcPr>
            <w:tcW w:w="1046" w:type="dxa"/>
            <w:vAlign w:val="center"/>
          </w:tcPr>
          <w:p w14:paraId="3A459E41" w14:textId="42B0F22F" w:rsidR="00A7412A" w:rsidRPr="001F61FA" w:rsidRDefault="001B25DA" w:rsidP="000C2A54">
            <w:pPr>
              <w:jc w:val="center"/>
              <w:rPr>
                <w:sz w:val="20"/>
                <w:szCs w:val="20"/>
              </w:rPr>
            </w:pPr>
            <w:r>
              <w:rPr>
                <w:sz w:val="20"/>
                <w:szCs w:val="20"/>
              </w:rPr>
              <w:t>223</w:t>
            </w:r>
          </w:p>
        </w:tc>
        <w:tc>
          <w:tcPr>
            <w:tcW w:w="1046" w:type="dxa"/>
            <w:vAlign w:val="center"/>
          </w:tcPr>
          <w:p w14:paraId="1BD5009A" w14:textId="65C87D3B" w:rsidR="00A7412A" w:rsidRPr="001F61FA" w:rsidRDefault="001D0DE7" w:rsidP="000C2A54">
            <w:pPr>
              <w:jc w:val="center"/>
              <w:rPr>
                <w:sz w:val="20"/>
                <w:szCs w:val="20"/>
              </w:rPr>
            </w:pPr>
            <w:r>
              <w:rPr>
                <w:sz w:val="20"/>
                <w:szCs w:val="20"/>
              </w:rPr>
              <w:t>1</w:t>
            </w:r>
            <w:r w:rsidR="001B25DA">
              <w:rPr>
                <w:sz w:val="20"/>
                <w:szCs w:val="20"/>
              </w:rPr>
              <w:t>97</w:t>
            </w:r>
          </w:p>
        </w:tc>
        <w:tc>
          <w:tcPr>
            <w:tcW w:w="1162" w:type="dxa"/>
            <w:vAlign w:val="center"/>
          </w:tcPr>
          <w:p w14:paraId="5584D761" w14:textId="4E47CEF5" w:rsidR="00A7412A" w:rsidRPr="001F61FA" w:rsidRDefault="001B25DA" w:rsidP="000C2A54">
            <w:pPr>
              <w:jc w:val="center"/>
              <w:rPr>
                <w:sz w:val="20"/>
                <w:szCs w:val="20"/>
              </w:rPr>
            </w:pPr>
            <w:r>
              <w:rPr>
                <w:sz w:val="20"/>
                <w:szCs w:val="20"/>
              </w:rPr>
              <w:t>2</w:t>
            </w:r>
          </w:p>
        </w:tc>
      </w:tr>
      <w:tr w:rsidR="00A7412A" w:rsidRPr="003C1FD4" w14:paraId="21841256" w14:textId="77777777" w:rsidTr="00A7412A">
        <w:trPr>
          <w:jc w:val="center"/>
        </w:trPr>
        <w:tc>
          <w:tcPr>
            <w:tcW w:w="1858" w:type="dxa"/>
            <w:vAlign w:val="center"/>
          </w:tcPr>
          <w:p w14:paraId="2879F762" w14:textId="77777777" w:rsidR="00A7412A" w:rsidRDefault="00A7412A" w:rsidP="000C2A54">
            <w:pPr>
              <w:ind w:left="57"/>
              <w:rPr>
                <w:sz w:val="20"/>
                <w:szCs w:val="20"/>
              </w:rPr>
            </w:pPr>
            <w:r>
              <w:rPr>
                <w:sz w:val="20"/>
                <w:szCs w:val="20"/>
              </w:rPr>
              <w:t>Rhyannon Blythe</w:t>
            </w:r>
          </w:p>
          <w:p w14:paraId="6A143BE6" w14:textId="77777777" w:rsidR="00A7412A" w:rsidRDefault="00A7412A" w:rsidP="000C2A54">
            <w:pPr>
              <w:ind w:left="57"/>
              <w:rPr>
                <w:sz w:val="20"/>
                <w:szCs w:val="20"/>
              </w:rPr>
            </w:pPr>
            <w:r>
              <w:rPr>
                <w:sz w:val="20"/>
                <w:szCs w:val="20"/>
              </w:rPr>
              <w:t>Director</w:t>
            </w:r>
          </w:p>
          <w:p w14:paraId="254AC378" w14:textId="77777777" w:rsidR="00A7412A" w:rsidRPr="001F61FA" w:rsidRDefault="00A7412A" w:rsidP="00DE3AEE">
            <w:pPr>
              <w:ind w:left="57"/>
              <w:rPr>
                <w:sz w:val="20"/>
                <w:szCs w:val="20"/>
              </w:rPr>
            </w:pPr>
          </w:p>
        </w:tc>
        <w:tc>
          <w:tcPr>
            <w:tcW w:w="1670" w:type="dxa"/>
            <w:vAlign w:val="center"/>
          </w:tcPr>
          <w:p w14:paraId="40398F10" w14:textId="62F0CBF5" w:rsidR="00A7412A" w:rsidRPr="001F61FA" w:rsidRDefault="001B25DA" w:rsidP="000C2A54">
            <w:pPr>
              <w:jc w:val="center"/>
              <w:rPr>
                <w:sz w:val="20"/>
                <w:szCs w:val="20"/>
              </w:rPr>
            </w:pPr>
            <w:r>
              <w:rPr>
                <w:sz w:val="20"/>
                <w:szCs w:val="20"/>
              </w:rPr>
              <w:t>10-15</w:t>
            </w:r>
          </w:p>
        </w:tc>
        <w:tc>
          <w:tcPr>
            <w:tcW w:w="1497" w:type="dxa"/>
            <w:vAlign w:val="center"/>
          </w:tcPr>
          <w:p w14:paraId="7B3222B0" w14:textId="77777777" w:rsidR="00A7412A" w:rsidRPr="001F61FA" w:rsidRDefault="00CA6B5D" w:rsidP="000C2A54">
            <w:pPr>
              <w:jc w:val="center"/>
              <w:rPr>
                <w:sz w:val="20"/>
                <w:szCs w:val="20"/>
              </w:rPr>
            </w:pPr>
            <w:r>
              <w:rPr>
                <w:sz w:val="20"/>
                <w:szCs w:val="20"/>
              </w:rPr>
              <w:t>0-2.5</w:t>
            </w:r>
          </w:p>
        </w:tc>
        <w:tc>
          <w:tcPr>
            <w:tcW w:w="1046" w:type="dxa"/>
            <w:vAlign w:val="center"/>
          </w:tcPr>
          <w:p w14:paraId="4D69BDE3" w14:textId="3BCD39EA" w:rsidR="00A7412A" w:rsidRPr="001F61FA" w:rsidRDefault="001B25DA" w:rsidP="000C2A54">
            <w:pPr>
              <w:jc w:val="center"/>
              <w:rPr>
                <w:sz w:val="20"/>
                <w:szCs w:val="20"/>
              </w:rPr>
            </w:pPr>
            <w:r>
              <w:rPr>
                <w:sz w:val="20"/>
                <w:szCs w:val="20"/>
              </w:rPr>
              <w:t>100</w:t>
            </w:r>
          </w:p>
        </w:tc>
        <w:tc>
          <w:tcPr>
            <w:tcW w:w="1046" w:type="dxa"/>
            <w:vAlign w:val="center"/>
          </w:tcPr>
          <w:p w14:paraId="6CA6825B" w14:textId="420C462F" w:rsidR="00A7412A" w:rsidRPr="001F61FA" w:rsidRDefault="001B25DA" w:rsidP="000C2A54">
            <w:pPr>
              <w:jc w:val="center"/>
              <w:rPr>
                <w:sz w:val="20"/>
                <w:szCs w:val="20"/>
              </w:rPr>
            </w:pPr>
            <w:r>
              <w:rPr>
                <w:sz w:val="20"/>
                <w:szCs w:val="20"/>
              </w:rPr>
              <w:t>83</w:t>
            </w:r>
          </w:p>
        </w:tc>
        <w:tc>
          <w:tcPr>
            <w:tcW w:w="1162" w:type="dxa"/>
            <w:vAlign w:val="center"/>
          </w:tcPr>
          <w:p w14:paraId="4AE3D58B" w14:textId="77777777" w:rsidR="00A7412A" w:rsidRPr="001F61FA" w:rsidRDefault="00CA6B5D" w:rsidP="000C2A54">
            <w:pPr>
              <w:jc w:val="center"/>
              <w:rPr>
                <w:sz w:val="20"/>
                <w:szCs w:val="20"/>
              </w:rPr>
            </w:pPr>
            <w:r>
              <w:rPr>
                <w:sz w:val="20"/>
                <w:szCs w:val="20"/>
              </w:rPr>
              <w:t>8</w:t>
            </w:r>
          </w:p>
        </w:tc>
      </w:tr>
      <w:tr w:rsidR="00A7412A" w:rsidRPr="003C1FD4" w14:paraId="5E9E96C0" w14:textId="77777777" w:rsidTr="00A7412A">
        <w:trPr>
          <w:jc w:val="center"/>
        </w:trPr>
        <w:tc>
          <w:tcPr>
            <w:tcW w:w="1858" w:type="dxa"/>
            <w:vAlign w:val="center"/>
          </w:tcPr>
          <w:p w14:paraId="62C022BD" w14:textId="77777777" w:rsidR="00A7412A" w:rsidRPr="00737D30" w:rsidRDefault="00A7412A" w:rsidP="3285EAFF">
            <w:pPr>
              <w:rPr>
                <w:color w:val="000000" w:themeColor="text1"/>
                <w:sz w:val="20"/>
                <w:szCs w:val="20"/>
              </w:rPr>
            </w:pPr>
            <w:r w:rsidRPr="00737D30">
              <w:rPr>
                <w:color w:val="000000" w:themeColor="text1"/>
                <w:sz w:val="20"/>
                <w:szCs w:val="20"/>
              </w:rPr>
              <w:t>Eilis Haughey</w:t>
            </w:r>
          </w:p>
          <w:p w14:paraId="1E8F8E10" w14:textId="77777777" w:rsidR="00A7412A" w:rsidRDefault="001B25DA" w:rsidP="001B25DA">
            <w:pPr>
              <w:rPr>
                <w:color w:val="000000" w:themeColor="text1"/>
                <w:sz w:val="20"/>
                <w:szCs w:val="20"/>
              </w:rPr>
            </w:pPr>
            <w:r>
              <w:rPr>
                <w:color w:val="000000" w:themeColor="text1"/>
                <w:sz w:val="20"/>
                <w:szCs w:val="20"/>
              </w:rPr>
              <w:t>Director</w:t>
            </w:r>
          </w:p>
          <w:p w14:paraId="0001A107" w14:textId="5D156D88" w:rsidR="001B25DA" w:rsidRPr="001F61FA" w:rsidRDefault="001B25DA" w:rsidP="001B25DA">
            <w:pPr>
              <w:rPr>
                <w:sz w:val="20"/>
                <w:szCs w:val="20"/>
              </w:rPr>
            </w:pPr>
          </w:p>
        </w:tc>
        <w:tc>
          <w:tcPr>
            <w:tcW w:w="1670" w:type="dxa"/>
            <w:vAlign w:val="center"/>
          </w:tcPr>
          <w:p w14:paraId="598B4064" w14:textId="77777777" w:rsidR="00A7412A" w:rsidRPr="001F61FA" w:rsidRDefault="00CA6B5D" w:rsidP="000C2A54">
            <w:pPr>
              <w:jc w:val="center"/>
              <w:rPr>
                <w:sz w:val="20"/>
                <w:szCs w:val="20"/>
              </w:rPr>
            </w:pPr>
            <w:r>
              <w:rPr>
                <w:sz w:val="20"/>
                <w:szCs w:val="20"/>
              </w:rPr>
              <w:t>0-5</w:t>
            </w:r>
          </w:p>
        </w:tc>
        <w:tc>
          <w:tcPr>
            <w:tcW w:w="1497" w:type="dxa"/>
            <w:vAlign w:val="center"/>
          </w:tcPr>
          <w:p w14:paraId="4E3214AB" w14:textId="77777777" w:rsidR="00A7412A" w:rsidRPr="001F61FA" w:rsidRDefault="00CA6B5D" w:rsidP="000C2A54">
            <w:pPr>
              <w:jc w:val="center"/>
              <w:rPr>
                <w:sz w:val="20"/>
                <w:szCs w:val="20"/>
              </w:rPr>
            </w:pPr>
            <w:r>
              <w:rPr>
                <w:sz w:val="20"/>
                <w:szCs w:val="20"/>
              </w:rPr>
              <w:t>0-2.5</w:t>
            </w:r>
          </w:p>
        </w:tc>
        <w:tc>
          <w:tcPr>
            <w:tcW w:w="1046" w:type="dxa"/>
            <w:vAlign w:val="center"/>
          </w:tcPr>
          <w:p w14:paraId="724FD1BD" w14:textId="5CD3C4AD" w:rsidR="00A7412A" w:rsidRPr="001F61FA" w:rsidRDefault="001B25DA" w:rsidP="000C2A54">
            <w:pPr>
              <w:jc w:val="center"/>
              <w:rPr>
                <w:sz w:val="20"/>
                <w:szCs w:val="20"/>
              </w:rPr>
            </w:pPr>
            <w:r>
              <w:rPr>
                <w:sz w:val="20"/>
                <w:szCs w:val="20"/>
              </w:rPr>
              <w:t>40</w:t>
            </w:r>
          </w:p>
        </w:tc>
        <w:tc>
          <w:tcPr>
            <w:tcW w:w="1046" w:type="dxa"/>
            <w:vAlign w:val="center"/>
          </w:tcPr>
          <w:p w14:paraId="7B2E35E5" w14:textId="18E5043A" w:rsidR="00A7412A" w:rsidRPr="001F61FA" w:rsidRDefault="001B25DA" w:rsidP="000C2A54">
            <w:pPr>
              <w:jc w:val="center"/>
              <w:rPr>
                <w:sz w:val="20"/>
                <w:szCs w:val="20"/>
              </w:rPr>
            </w:pPr>
            <w:r>
              <w:rPr>
                <w:sz w:val="20"/>
                <w:szCs w:val="20"/>
              </w:rPr>
              <w:t>20</w:t>
            </w:r>
          </w:p>
        </w:tc>
        <w:tc>
          <w:tcPr>
            <w:tcW w:w="1162" w:type="dxa"/>
            <w:vAlign w:val="center"/>
          </w:tcPr>
          <w:p w14:paraId="36D6844F" w14:textId="3BAB5736" w:rsidR="00A7412A" w:rsidRPr="001F61FA" w:rsidRDefault="001D0DE7" w:rsidP="000C2A54">
            <w:pPr>
              <w:jc w:val="center"/>
              <w:rPr>
                <w:sz w:val="20"/>
                <w:szCs w:val="20"/>
              </w:rPr>
            </w:pPr>
            <w:r>
              <w:rPr>
                <w:sz w:val="20"/>
                <w:szCs w:val="20"/>
              </w:rPr>
              <w:t>1</w:t>
            </w:r>
            <w:r w:rsidR="001B25DA">
              <w:rPr>
                <w:sz w:val="20"/>
                <w:szCs w:val="20"/>
              </w:rPr>
              <w:t>4</w:t>
            </w:r>
          </w:p>
        </w:tc>
      </w:tr>
      <w:tr w:rsidR="001B25DA" w:rsidRPr="003C1FD4" w14:paraId="2E758AF7" w14:textId="77777777" w:rsidTr="00A7412A">
        <w:trPr>
          <w:jc w:val="center"/>
        </w:trPr>
        <w:tc>
          <w:tcPr>
            <w:tcW w:w="1858" w:type="dxa"/>
            <w:vAlign w:val="center"/>
          </w:tcPr>
          <w:p w14:paraId="0108282B" w14:textId="77777777" w:rsidR="001B25DA" w:rsidRDefault="001B25DA" w:rsidP="3285EAFF">
            <w:pPr>
              <w:rPr>
                <w:color w:val="000000" w:themeColor="text1"/>
                <w:sz w:val="20"/>
                <w:szCs w:val="20"/>
              </w:rPr>
            </w:pPr>
            <w:r>
              <w:rPr>
                <w:color w:val="000000" w:themeColor="text1"/>
                <w:sz w:val="20"/>
                <w:szCs w:val="20"/>
              </w:rPr>
              <w:t>Colin Caughey</w:t>
            </w:r>
          </w:p>
          <w:p w14:paraId="1B186D13" w14:textId="77777777" w:rsidR="001B25DA" w:rsidRDefault="001B25DA" w:rsidP="3285EAFF">
            <w:pPr>
              <w:rPr>
                <w:color w:val="000000" w:themeColor="text1"/>
                <w:sz w:val="20"/>
                <w:szCs w:val="20"/>
              </w:rPr>
            </w:pPr>
            <w:r>
              <w:rPr>
                <w:color w:val="000000" w:themeColor="text1"/>
                <w:sz w:val="20"/>
                <w:szCs w:val="20"/>
              </w:rPr>
              <w:t>Director</w:t>
            </w:r>
          </w:p>
          <w:p w14:paraId="4B2C8F2B" w14:textId="54E01CB6" w:rsidR="001B25DA" w:rsidRPr="00737D30" w:rsidRDefault="001B25DA" w:rsidP="3285EAFF">
            <w:pPr>
              <w:rPr>
                <w:color w:val="000000" w:themeColor="text1"/>
                <w:sz w:val="20"/>
                <w:szCs w:val="20"/>
              </w:rPr>
            </w:pPr>
            <w:r>
              <w:rPr>
                <w:color w:val="000000" w:themeColor="text1"/>
                <w:sz w:val="20"/>
                <w:szCs w:val="20"/>
              </w:rPr>
              <w:t>(from 1 August 2022)</w:t>
            </w:r>
          </w:p>
        </w:tc>
        <w:tc>
          <w:tcPr>
            <w:tcW w:w="1670" w:type="dxa"/>
            <w:vAlign w:val="center"/>
          </w:tcPr>
          <w:p w14:paraId="077D3399" w14:textId="3FEB29FA" w:rsidR="001B25DA" w:rsidRDefault="001B25DA" w:rsidP="000C2A54">
            <w:pPr>
              <w:jc w:val="center"/>
              <w:rPr>
                <w:sz w:val="20"/>
                <w:szCs w:val="20"/>
              </w:rPr>
            </w:pPr>
            <w:r>
              <w:rPr>
                <w:sz w:val="20"/>
                <w:szCs w:val="20"/>
              </w:rPr>
              <w:t>5-10</w:t>
            </w:r>
          </w:p>
        </w:tc>
        <w:tc>
          <w:tcPr>
            <w:tcW w:w="1497" w:type="dxa"/>
            <w:vAlign w:val="center"/>
          </w:tcPr>
          <w:p w14:paraId="6931394A" w14:textId="6A69A768" w:rsidR="001B25DA" w:rsidRDefault="001B25DA" w:rsidP="000C2A54">
            <w:pPr>
              <w:jc w:val="center"/>
              <w:rPr>
                <w:sz w:val="20"/>
                <w:szCs w:val="20"/>
              </w:rPr>
            </w:pPr>
            <w:r>
              <w:rPr>
                <w:sz w:val="20"/>
                <w:szCs w:val="20"/>
              </w:rPr>
              <w:t>0-2.5</w:t>
            </w:r>
          </w:p>
        </w:tc>
        <w:tc>
          <w:tcPr>
            <w:tcW w:w="1046" w:type="dxa"/>
            <w:vAlign w:val="center"/>
          </w:tcPr>
          <w:p w14:paraId="206FBB61" w14:textId="587EDA64" w:rsidR="001B25DA" w:rsidRDefault="001B25DA" w:rsidP="000C2A54">
            <w:pPr>
              <w:jc w:val="center"/>
              <w:rPr>
                <w:sz w:val="20"/>
                <w:szCs w:val="20"/>
              </w:rPr>
            </w:pPr>
            <w:r>
              <w:rPr>
                <w:sz w:val="20"/>
                <w:szCs w:val="20"/>
              </w:rPr>
              <w:t>81</w:t>
            </w:r>
          </w:p>
        </w:tc>
        <w:tc>
          <w:tcPr>
            <w:tcW w:w="1046" w:type="dxa"/>
            <w:vAlign w:val="center"/>
          </w:tcPr>
          <w:p w14:paraId="79743680" w14:textId="60289827" w:rsidR="001B25DA" w:rsidRDefault="001B25DA" w:rsidP="000C2A54">
            <w:pPr>
              <w:jc w:val="center"/>
              <w:rPr>
                <w:sz w:val="20"/>
                <w:szCs w:val="20"/>
              </w:rPr>
            </w:pPr>
            <w:r>
              <w:rPr>
                <w:sz w:val="20"/>
                <w:szCs w:val="20"/>
              </w:rPr>
              <w:t>69</w:t>
            </w:r>
          </w:p>
        </w:tc>
        <w:tc>
          <w:tcPr>
            <w:tcW w:w="1162" w:type="dxa"/>
            <w:vAlign w:val="center"/>
          </w:tcPr>
          <w:p w14:paraId="7A5BCA87" w14:textId="1061ED75" w:rsidR="001B25DA" w:rsidRDefault="001B25DA" w:rsidP="000C2A54">
            <w:pPr>
              <w:jc w:val="center"/>
              <w:rPr>
                <w:sz w:val="20"/>
                <w:szCs w:val="20"/>
              </w:rPr>
            </w:pPr>
            <w:r>
              <w:rPr>
                <w:sz w:val="20"/>
                <w:szCs w:val="20"/>
              </w:rPr>
              <w:t>6</w:t>
            </w:r>
          </w:p>
        </w:tc>
      </w:tr>
    </w:tbl>
    <w:p w14:paraId="050A2B9B" w14:textId="77777777" w:rsidR="00251E9E" w:rsidRDefault="00251E9E" w:rsidP="000C2A54">
      <w:pPr>
        <w:rPr>
          <w:snapToGrid w:val="0"/>
        </w:rPr>
      </w:pPr>
    </w:p>
    <w:p w14:paraId="72378357" w14:textId="521D4351" w:rsidR="000C2A54" w:rsidRDefault="000C2A54" w:rsidP="000C2A54">
      <w:r w:rsidRPr="00D80497">
        <w:rPr>
          <w:snapToGrid w:val="0"/>
        </w:rPr>
        <w:lastRenderedPageBreak/>
        <w:t>The pension information for the senior management team follows guidance in the Employer</w:t>
      </w:r>
      <w:r>
        <w:rPr>
          <w:snapToGrid w:val="0"/>
        </w:rPr>
        <w:t xml:space="preserve"> Pension Notice </w:t>
      </w:r>
      <w:r w:rsidR="0049092B">
        <w:rPr>
          <w:snapToGrid w:val="0"/>
        </w:rPr>
        <w:t>EPN</w:t>
      </w:r>
      <w:r w:rsidR="78B55AC4">
        <w:rPr>
          <w:snapToGrid w:val="0"/>
        </w:rPr>
        <w:t>6</w:t>
      </w:r>
      <w:r w:rsidR="006860CE">
        <w:rPr>
          <w:snapToGrid w:val="0"/>
        </w:rPr>
        <w:t>79</w:t>
      </w:r>
      <w:r w:rsidR="00A83114">
        <w:rPr>
          <w:snapToGrid w:val="0"/>
        </w:rPr>
        <w:t xml:space="preserve"> </w:t>
      </w:r>
      <w:r w:rsidRPr="00D80497">
        <w:rPr>
          <w:snapToGrid w:val="0"/>
        </w:rPr>
        <w:t>issued by the Civil Service Pensions.</w:t>
      </w:r>
    </w:p>
    <w:p w14:paraId="56B69CFC" w14:textId="77777777" w:rsidR="000C2A54" w:rsidRPr="00D80497" w:rsidRDefault="000C2A54" w:rsidP="000C2A54">
      <w:pPr>
        <w:rPr>
          <w:snapToGrid w:val="0"/>
        </w:rPr>
      </w:pPr>
    </w:p>
    <w:p w14:paraId="36B15D78" w14:textId="77777777" w:rsidR="000C2A54" w:rsidRDefault="000C2A54" w:rsidP="000C2A54">
      <w:pPr>
        <w:rPr>
          <w:snapToGrid w:val="0"/>
        </w:rPr>
      </w:pPr>
      <w:r w:rsidRPr="00D80497">
        <w:rPr>
          <w:snapToGrid w:val="0"/>
        </w:rPr>
        <w:t xml:space="preserve">Pension benefits are provided through the Civil Service pension arrangements.  </w:t>
      </w:r>
      <w:r>
        <w:rPr>
          <w:snapToGrid w:val="0"/>
        </w:rPr>
        <w:t>From 1 April 2015</w:t>
      </w:r>
      <w:r w:rsidR="00281F8F">
        <w:rPr>
          <w:snapToGrid w:val="0"/>
        </w:rPr>
        <w:t>,</w:t>
      </w:r>
      <w:r>
        <w:rPr>
          <w:snapToGrid w:val="0"/>
        </w:rPr>
        <w:t xml:space="preserve"> a new pension scheme for civil servants was introduced – the Civil Servants and Others Pension Scheme or </w:t>
      </w:r>
      <w:r w:rsidRPr="00F90F3D">
        <w:rPr>
          <w:b/>
          <w:bCs/>
          <w:snapToGrid w:val="0"/>
        </w:rPr>
        <w:t>alpha</w:t>
      </w:r>
      <w:r>
        <w:rPr>
          <w:snapToGrid w:val="0"/>
        </w:rPr>
        <w:t xml:space="preserve">, which provides benefits on a career average basis with a normal pension age equal to the member’s State Pension Age (or 65 if higher).  From that </w:t>
      </w:r>
      <w:r w:rsidR="00B12D00">
        <w:rPr>
          <w:snapToGrid w:val="0"/>
        </w:rPr>
        <w:t>date,</w:t>
      </w:r>
      <w:r>
        <w:rPr>
          <w:snapToGrid w:val="0"/>
        </w:rPr>
        <w:t xml:space="preserve"> all newly appointed employees and </w:t>
      </w:r>
      <w:r w:rsidR="000F2DC4">
        <w:rPr>
          <w:snapToGrid w:val="0"/>
        </w:rPr>
        <w:t xml:space="preserve">the majority of </w:t>
      </w:r>
      <w:r>
        <w:rPr>
          <w:snapToGrid w:val="0"/>
        </w:rPr>
        <w:t xml:space="preserve">those already in service joined </w:t>
      </w:r>
      <w:r w:rsidRPr="00F90F3D">
        <w:rPr>
          <w:b/>
          <w:bCs/>
          <w:snapToGrid w:val="0"/>
        </w:rPr>
        <w:t>alpha</w:t>
      </w:r>
      <w:r>
        <w:rPr>
          <w:snapToGrid w:val="0"/>
        </w:rPr>
        <w:t>.  Prior to that date, employees participated in the Principal Civil Service Pension Scheme (PCSPS).  The PCSPS has four sections: three providing benefits on a final salary basis (</w:t>
      </w:r>
      <w:r w:rsidRPr="00F90F3D">
        <w:rPr>
          <w:b/>
          <w:bCs/>
          <w:snapToGrid w:val="0"/>
        </w:rPr>
        <w:t>classic</w:t>
      </w:r>
      <w:r>
        <w:rPr>
          <w:snapToGrid w:val="0"/>
        </w:rPr>
        <w:t xml:space="preserve">, </w:t>
      </w:r>
      <w:r w:rsidRPr="00F90F3D">
        <w:rPr>
          <w:b/>
          <w:bCs/>
          <w:snapToGrid w:val="0"/>
        </w:rPr>
        <w:t>premium</w:t>
      </w:r>
      <w:r>
        <w:rPr>
          <w:snapToGrid w:val="0"/>
        </w:rPr>
        <w:t xml:space="preserve"> or </w:t>
      </w:r>
      <w:r w:rsidRPr="00F90F3D">
        <w:rPr>
          <w:b/>
          <w:bCs/>
          <w:snapToGrid w:val="0"/>
        </w:rPr>
        <w:t>classic plus</w:t>
      </w:r>
      <w:r>
        <w:rPr>
          <w:snapToGrid w:val="0"/>
        </w:rPr>
        <w:t>) with a normal pension age of 60; and one providing benefits on a whole career basis (</w:t>
      </w:r>
      <w:r w:rsidRPr="00F90F3D">
        <w:rPr>
          <w:b/>
          <w:bCs/>
          <w:snapToGrid w:val="0"/>
        </w:rPr>
        <w:t>nuvos</w:t>
      </w:r>
      <w:r>
        <w:rPr>
          <w:snapToGrid w:val="0"/>
        </w:rPr>
        <w:t>) with a normal pension age of 65.</w:t>
      </w:r>
    </w:p>
    <w:p w14:paraId="4D5B89FA" w14:textId="77777777" w:rsidR="000C2A54" w:rsidRDefault="000C2A54" w:rsidP="000C2A54">
      <w:pPr>
        <w:rPr>
          <w:snapToGrid w:val="0"/>
        </w:rPr>
      </w:pPr>
    </w:p>
    <w:p w14:paraId="4BC91D4D" w14:textId="5984C8E0" w:rsidR="000C2A54" w:rsidRPr="00F0587C" w:rsidRDefault="000C2A54" w:rsidP="00F0587C">
      <w:pPr>
        <w:pStyle w:val="CommentText"/>
        <w:rPr>
          <w:sz w:val="24"/>
          <w:szCs w:val="24"/>
        </w:rPr>
      </w:pPr>
      <w:r w:rsidRPr="00F0587C">
        <w:rPr>
          <w:snapToGrid w:val="0"/>
          <w:sz w:val="24"/>
          <w:szCs w:val="24"/>
        </w:rPr>
        <w:t xml:space="preserve">These statutory arrangements are unfunded with the cost of benefits met by monies voted by Parliament each year.  Pensions payable under </w:t>
      </w:r>
      <w:r w:rsidRPr="00F90F3D">
        <w:rPr>
          <w:b/>
          <w:bCs/>
          <w:snapToGrid w:val="0"/>
          <w:sz w:val="24"/>
          <w:szCs w:val="24"/>
        </w:rPr>
        <w:t>classic</w:t>
      </w:r>
      <w:r w:rsidRPr="00F0587C">
        <w:rPr>
          <w:snapToGrid w:val="0"/>
          <w:sz w:val="24"/>
          <w:szCs w:val="24"/>
        </w:rPr>
        <w:t xml:space="preserve">, </w:t>
      </w:r>
      <w:r w:rsidRPr="00F90F3D">
        <w:rPr>
          <w:b/>
          <w:bCs/>
          <w:snapToGrid w:val="0"/>
          <w:sz w:val="24"/>
          <w:szCs w:val="24"/>
        </w:rPr>
        <w:t>premium</w:t>
      </w:r>
      <w:r w:rsidRPr="00F0587C">
        <w:rPr>
          <w:snapToGrid w:val="0"/>
          <w:sz w:val="24"/>
          <w:szCs w:val="24"/>
        </w:rPr>
        <w:t xml:space="preserve">, </w:t>
      </w:r>
      <w:r w:rsidRPr="00F90F3D">
        <w:rPr>
          <w:b/>
          <w:bCs/>
          <w:snapToGrid w:val="0"/>
          <w:sz w:val="24"/>
          <w:szCs w:val="24"/>
        </w:rPr>
        <w:t>classic plus</w:t>
      </w:r>
      <w:r w:rsidRPr="00F0587C">
        <w:rPr>
          <w:snapToGrid w:val="0"/>
          <w:sz w:val="24"/>
          <w:szCs w:val="24"/>
        </w:rPr>
        <w:t xml:space="preserve">, </w:t>
      </w:r>
      <w:r w:rsidRPr="00F90F3D">
        <w:rPr>
          <w:b/>
          <w:bCs/>
          <w:snapToGrid w:val="0"/>
          <w:sz w:val="24"/>
          <w:szCs w:val="24"/>
        </w:rPr>
        <w:t>nuvos</w:t>
      </w:r>
      <w:r w:rsidRPr="00F0587C">
        <w:rPr>
          <w:snapToGrid w:val="0"/>
          <w:sz w:val="24"/>
          <w:szCs w:val="24"/>
        </w:rPr>
        <w:t xml:space="preserve"> and </w:t>
      </w:r>
      <w:r w:rsidRPr="00F90F3D">
        <w:rPr>
          <w:b/>
          <w:bCs/>
          <w:snapToGrid w:val="0"/>
          <w:sz w:val="24"/>
          <w:szCs w:val="24"/>
        </w:rPr>
        <w:t>alpha</w:t>
      </w:r>
      <w:r w:rsidRPr="00F0587C">
        <w:rPr>
          <w:snapToGrid w:val="0"/>
          <w:sz w:val="24"/>
          <w:szCs w:val="24"/>
        </w:rPr>
        <w:t xml:space="preserve"> are increased annually in line with Pensions Increase legislation.  Existing members of the PCSPS who were within 10 years of their normal pension age on 1 April 2012 remained in the PCSPS after 1 April 2015.  </w:t>
      </w:r>
      <w:r w:rsidR="0049092B" w:rsidRPr="00F0587C">
        <w:rPr>
          <w:snapToGrid w:val="0"/>
          <w:sz w:val="24"/>
          <w:szCs w:val="24"/>
        </w:rPr>
        <w:t xml:space="preserve">Those who were between 10 years and 13 years and 5 months from their normal pension age on 1 April 2012 will switch into </w:t>
      </w:r>
      <w:r w:rsidR="0049092B" w:rsidRPr="00F90F3D">
        <w:rPr>
          <w:b/>
          <w:bCs/>
          <w:snapToGrid w:val="0"/>
          <w:sz w:val="24"/>
          <w:szCs w:val="24"/>
        </w:rPr>
        <w:t>alpha</w:t>
      </w:r>
      <w:r w:rsidR="0049092B" w:rsidRPr="00F0587C">
        <w:rPr>
          <w:snapToGrid w:val="0"/>
          <w:sz w:val="24"/>
          <w:szCs w:val="24"/>
        </w:rPr>
        <w:t xml:space="preserve"> sometime between 1 June 2015 and 1 February 2022.   </w:t>
      </w:r>
      <w:r w:rsidR="00F0587C" w:rsidRPr="00F0587C">
        <w:rPr>
          <w:snapToGrid w:val="0"/>
          <w:sz w:val="24"/>
          <w:szCs w:val="24"/>
        </w:rPr>
        <w:t xml:space="preserve">Because the Government plans to remove discrimination identified by the courts in the way that the 2015 pension reforms were introduced for some members, eligible members with relevant service between 1 April 2015 and 31 March 2022 may be entitled to different pension benefits in relation to that period (and this may affect the Cash Equivalent Transfer Values shown in this report – see below). </w:t>
      </w:r>
      <w:r w:rsidRPr="00F0587C">
        <w:rPr>
          <w:snapToGrid w:val="0"/>
          <w:sz w:val="24"/>
          <w:szCs w:val="24"/>
        </w:rPr>
        <w:t xml:space="preserve">All members who </w:t>
      </w:r>
      <w:r w:rsidR="00CF2FCF" w:rsidRPr="00F0587C">
        <w:rPr>
          <w:snapToGrid w:val="0"/>
          <w:sz w:val="24"/>
          <w:szCs w:val="24"/>
        </w:rPr>
        <w:t xml:space="preserve">switch </w:t>
      </w:r>
      <w:r w:rsidRPr="00F0587C">
        <w:rPr>
          <w:snapToGrid w:val="0"/>
          <w:sz w:val="24"/>
          <w:szCs w:val="24"/>
        </w:rPr>
        <w:t xml:space="preserve">to </w:t>
      </w:r>
      <w:r w:rsidRPr="00EC3A14">
        <w:rPr>
          <w:b/>
          <w:bCs/>
          <w:snapToGrid w:val="0"/>
          <w:sz w:val="24"/>
          <w:szCs w:val="24"/>
        </w:rPr>
        <w:t>alpha</w:t>
      </w:r>
      <w:r w:rsidRPr="00F0587C">
        <w:rPr>
          <w:snapToGrid w:val="0"/>
          <w:sz w:val="24"/>
          <w:szCs w:val="24"/>
        </w:rPr>
        <w:t xml:space="preserve"> </w:t>
      </w:r>
      <w:r w:rsidR="00CF2FCF" w:rsidRPr="00F0587C">
        <w:rPr>
          <w:snapToGrid w:val="0"/>
          <w:sz w:val="24"/>
          <w:szCs w:val="24"/>
        </w:rPr>
        <w:t>have their</w:t>
      </w:r>
      <w:r w:rsidRPr="00F0587C">
        <w:rPr>
          <w:snapToGrid w:val="0"/>
          <w:sz w:val="24"/>
          <w:szCs w:val="24"/>
        </w:rPr>
        <w:t xml:space="preserve"> PCSPS benefits ‘banked’, with those with earlier benefits in one of the final salary sections of the PCSPS having those benefits based on their final salary when they leave </w:t>
      </w:r>
      <w:r w:rsidRPr="00EC3A14">
        <w:rPr>
          <w:b/>
          <w:bCs/>
          <w:snapToGrid w:val="0"/>
          <w:sz w:val="24"/>
          <w:szCs w:val="24"/>
        </w:rPr>
        <w:t>alpha</w:t>
      </w:r>
      <w:r w:rsidRPr="00F0587C">
        <w:rPr>
          <w:snapToGrid w:val="0"/>
          <w:sz w:val="24"/>
          <w:szCs w:val="24"/>
        </w:rPr>
        <w:t xml:space="preserve">.  </w:t>
      </w:r>
      <w:r w:rsidR="00EC3A14">
        <w:rPr>
          <w:snapToGrid w:val="0"/>
          <w:sz w:val="24"/>
          <w:szCs w:val="24"/>
        </w:rPr>
        <w:t xml:space="preserve"> </w:t>
      </w:r>
      <w:r w:rsidR="00CF2FCF" w:rsidRPr="00F0587C">
        <w:rPr>
          <w:snapToGrid w:val="0"/>
          <w:sz w:val="24"/>
          <w:szCs w:val="24"/>
        </w:rPr>
        <w:t xml:space="preserve">(The pension figures quoted show pension earned in PCSPC or </w:t>
      </w:r>
      <w:r w:rsidR="00CF2FCF" w:rsidRPr="00EC3A14">
        <w:rPr>
          <w:b/>
          <w:bCs/>
          <w:snapToGrid w:val="0"/>
          <w:sz w:val="24"/>
          <w:szCs w:val="24"/>
        </w:rPr>
        <w:t>alpha</w:t>
      </w:r>
      <w:r w:rsidR="00CF2FCF" w:rsidRPr="00F0587C">
        <w:rPr>
          <w:snapToGrid w:val="0"/>
          <w:sz w:val="24"/>
          <w:szCs w:val="24"/>
        </w:rPr>
        <w:t xml:space="preserve"> – as appropriate.  Where the employee has benefits in both the PCSPS and </w:t>
      </w:r>
      <w:r w:rsidR="00B12D00" w:rsidRPr="00EC3A14">
        <w:rPr>
          <w:b/>
          <w:bCs/>
          <w:snapToGrid w:val="0"/>
          <w:sz w:val="24"/>
          <w:szCs w:val="24"/>
        </w:rPr>
        <w:t>alpha</w:t>
      </w:r>
      <w:r w:rsidR="00B12D00" w:rsidRPr="00F0587C">
        <w:rPr>
          <w:snapToGrid w:val="0"/>
          <w:sz w:val="24"/>
          <w:szCs w:val="24"/>
        </w:rPr>
        <w:t>,</w:t>
      </w:r>
      <w:r w:rsidR="00CF2FCF" w:rsidRPr="00F0587C">
        <w:rPr>
          <w:snapToGrid w:val="0"/>
          <w:sz w:val="24"/>
          <w:szCs w:val="24"/>
        </w:rPr>
        <w:t xml:space="preserve"> the figure quoted is the combined value of their benefits in the two schemes.)  </w:t>
      </w:r>
      <w:r w:rsidRPr="00F0587C">
        <w:rPr>
          <w:snapToGrid w:val="0"/>
          <w:sz w:val="24"/>
          <w:szCs w:val="24"/>
        </w:rPr>
        <w:t>Members joining from October 2002 may opt for either the appropriate defined benefit arrangement or a</w:t>
      </w:r>
      <w:r w:rsidR="00EC3A14">
        <w:rPr>
          <w:snapToGrid w:val="0"/>
          <w:sz w:val="24"/>
          <w:szCs w:val="24"/>
        </w:rPr>
        <w:t xml:space="preserve"> defined contribution</w:t>
      </w:r>
      <w:r w:rsidRPr="00F0587C">
        <w:rPr>
          <w:snapToGrid w:val="0"/>
          <w:sz w:val="24"/>
          <w:szCs w:val="24"/>
        </w:rPr>
        <w:t xml:space="preserve"> </w:t>
      </w:r>
      <w:r w:rsidR="00EC3A14">
        <w:rPr>
          <w:snapToGrid w:val="0"/>
          <w:sz w:val="24"/>
          <w:szCs w:val="24"/>
        </w:rPr>
        <w:t>(</w:t>
      </w:r>
      <w:r w:rsidRPr="00F0587C">
        <w:rPr>
          <w:snapToGrid w:val="0"/>
          <w:sz w:val="24"/>
          <w:szCs w:val="24"/>
        </w:rPr>
        <w:t>money purchase</w:t>
      </w:r>
      <w:r w:rsidR="00EC3A14">
        <w:rPr>
          <w:snapToGrid w:val="0"/>
          <w:sz w:val="24"/>
          <w:szCs w:val="24"/>
        </w:rPr>
        <w:t>)</w:t>
      </w:r>
      <w:r w:rsidRPr="00F0587C">
        <w:rPr>
          <w:snapToGrid w:val="0"/>
          <w:sz w:val="24"/>
          <w:szCs w:val="24"/>
        </w:rPr>
        <w:t xml:space="preserve"> pension with an employer contribution (</w:t>
      </w:r>
      <w:r w:rsidRPr="00EC3A14">
        <w:rPr>
          <w:b/>
          <w:bCs/>
          <w:snapToGrid w:val="0"/>
          <w:sz w:val="24"/>
          <w:szCs w:val="24"/>
        </w:rPr>
        <w:t>partnership</w:t>
      </w:r>
      <w:r w:rsidRPr="00F0587C">
        <w:rPr>
          <w:snapToGrid w:val="0"/>
          <w:sz w:val="24"/>
          <w:szCs w:val="24"/>
        </w:rPr>
        <w:t xml:space="preserve"> pension account).</w:t>
      </w:r>
    </w:p>
    <w:p w14:paraId="7D75F8DF" w14:textId="77777777" w:rsidR="000C2A54" w:rsidRPr="007F2DCD" w:rsidRDefault="000C2A54" w:rsidP="000C2A54">
      <w:pPr>
        <w:rPr>
          <w:snapToGrid w:val="0"/>
          <w:sz w:val="22"/>
          <w:szCs w:val="22"/>
        </w:rPr>
      </w:pPr>
    </w:p>
    <w:p w14:paraId="00B9A4AA" w14:textId="27E592EE" w:rsidR="000C2A54" w:rsidRDefault="000C2A54" w:rsidP="000C2A54">
      <w:pPr>
        <w:rPr>
          <w:snapToGrid w:val="0"/>
        </w:rPr>
      </w:pPr>
      <w:r w:rsidRPr="00D80497">
        <w:rPr>
          <w:snapToGrid w:val="0"/>
        </w:rPr>
        <w:t xml:space="preserve">Employee contributions are </w:t>
      </w:r>
      <w:r>
        <w:rPr>
          <w:snapToGrid w:val="0"/>
        </w:rPr>
        <w:t xml:space="preserve">salary-related and range between </w:t>
      </w:r>
      <w:r w:rsidR="00CF2FCF">
        <w:rPr>
          <w:snapToGrid w:val="0"/>
        </w:rPr>
        <w:t xml:space="preserve">4.6 </w:t>
      </w:r>
      <w:r>
        <w:rPr>
          <w:snapToGrid w:val="0"/>
        </w:rPr>
        <w:t xml:space="preserve">per cent and 8.05 </w:t>
      </w:r>
      <w:r w:rsidR="000F2DC4">
        <w:rPr>
          <w:snapToGrid w:val="0"/>
        </w:rPr>
        <w:t xml:space="preserve">per cent </w:t>
      </w:r>
      <w:r w:rsidR="00CF2FCF">
        <w:rPr>
          <w:snapToGrid w:val="0"/>
        </w:rPr>
        <w:t xml:space="preserve">for members of </w:t>
      </w:r>
      <w:r w:rsidR="00CF2FCF" w:rsidRPr="00EC3A14">
        <w:rPr>
          <w:b/>
          <w:bCs/>
          <w:snapToGrid w:val="0"/>
        </w:rPr>
        <w:t>classic</w:t>
      </w:r>
      <w:r w:rsidR="00CF2FCF">
        <w:rPr>
          <w:snapToGrid w:val="0"/>
        </w:rPr>
        <w:t xml:space="preserve">, </w:t>
      </w:r>
      <w:r w:rsidR="00CF2FCF" w:rsidRPr="00EC3A14">
        <w:rPr>
          <w:b/>
          <w:bCs/>
          <w:snapToGrid w:val="0"/>
        </w:rPr>
        <w:t>premium</w:t>
      </w:r>
      <w:r w:rsidR="00CF2FCF">
        <w:rPr>
          <w:snapToGrid w:val="0"/>
        </w:rPr>
        <w:t xml:space="preserve">, </w:t>
      </w:r>
      <w:r w:rsidR="00CF2FCF" w:rsidRPr="00EC3A14">
        <w:rPr>
          <w:b/>
          <w:bCs/>
          <w:snapToGrid w:val="0"/>
        </w:rPr>
        <w:t>classic plus</w:t>
      </w:r>
      <w:r w:rsidR="00CF2FCF">
        <w:rPr>
          <w:snapToGrid w:val="0"/>
        </w:rPr>
        <w:t xml:space="preserve">, </w:t>
      </w:r>
      <w:r w:rsidR="00CF2FCF" w:rsidRPr="00EC3A14">
        <w:rPr>
          <w:b/>
          <w:bCs/>
          <w:snapToGrid w:val="0"/>
        </w:rPr>
        <w:t>nuvos</w:t>
      </w:r>
      <w:r w:rsidR="00CF2FCF">
        <w:rPr>
          <w:snapToGrid w:val="0"/>
        </w:rPr>
        <w:t xml:space="preserve"> and </w:t>
      </w:r>
      <w:r w:rsidR="00CF2FCF" w:rsidRPr="00EC3A14">
        <w:rPr>
          <w:b/>
          <w:bCs/>
          <w:snapToGrid w:val="0"/>
        </w:rPr>
        <w:t>alpha</w:t>
      </w:r>
      <w:r w:rsidR="00CF2FCF">
        <w:rPr>
          <w:snapToGrid w:val="0"/>
        </w:rPr>
        <w:t xml:space="preserve">.  </w:t>
      </w:r>
      <w:r w:rsidRPr="00D80497">
        <w:rPr>
          <w:snapToGrid w:val="0"/>
        </w:rPr>
        <w:t xml:space="preserve">Benefits in </w:t>
      </w:r>
      <w:r w:rsidRPr="00EC3A14">
        <w:rPr>
          <w:b/>
          <w:bCs/>
          <w:snapToGrid w:val="0"/>
        </w:rPr>
        <w:t>classic</w:t>
      </w:r>
      <w:r w:rsidRPr="00D80497">
        <w:rPr>
          <w:snapToGrid w:val="0"/>
        </w:rPr>
        <w:t xml:space="preserve"> accrue at the rate of 1/80</w:t>
      </w:r>
      <w:r w:rsidRPr="00D80497">
        <w:rPr>
          <w:snapToGrid w:val="0"/>
          <w:vertAlign w:val="superscript"/>
        </w:rPr>
        <w:t>th</w:t>
      </w:r>
      <w:r w:rsidRPr="00D80497">
        <w:rPr>
          <w:snapToGrid w:val="0"/>
        </w:rPr>
        <w:t xml:space="preserve"> of final pensionable earnings for each year of service.  In addition, a lump sum equivalent to three years</w:t>
      </w:r>
      <w:r w:rsidR="0072512F">
        <w:rPr>
          <w:snapToGrid w:val="0"/>
        </w:rPr>
        <w:t>’</w:t>
      </w:r>
      <w:r w:rsidRPr="00D80497">
        <w:rPr>
          <w:snapToGrid w:val="0"/>
        </w:rPr>
        <w:t xml:space="preserve"> initial pension is payable on retirement.  For </w:t>
      </w:r>
      <w:r w:rsidRPr="00EC3A14">
        <w:rPr>
          <w:b/>
          <w:bCs/>
          <w:snapToGrid w:val="0"/>
        </w:rPr>
        <w:t>premium</w:t>
      </w:r>
      <w:r w:rsidRPr="00D80497">
        <w:rPr>
          <w:snapToGrid w:val="0"/>
        </w:rPr>
        <w:t>, benefits accrue at the rate of 1/60</w:t>
      </w:r>
      <w:r w:rsidRPr="00D80497">
        <w:rPr>
          <w:snapToGrid w:val="0"/>
          <w:vertAlign w:val="superscript"/>
        </w:rPr>
        <w:t>th</w:t>
      </w:r>
      <w:r w:rsidRPr="00D80497">
        <w:rPr>
          <w:snapToGrid w:val="0"/>
        </w:rPr>
        <w:t xml:space="preserve"> of final pensionable earnings for each year of service.  Unlike </w:t>
      </w:r>
      <w:r w:rsidRPr="00EC3A14">
        <w:rPr>
          <w:b/>
          <w:bCs/>
          <w:snapToGrid w:val="0"/>
        </w:rPr>
        <w:t>classic</w:t>
      </w:r>
      <w:r w:rsidRPr="00D80497">
        <w:rPr>
          <w:snapToGrid w:val="0"/>
        </w:rPr>
        <w:t xml:space="preserve">, there is no automatic </w:t>
      </w:r>
      <w:r w:rsidRPr="00D80497">
        <w:rPr>
          <w:snapToGrid w:val="0"/>
        </w:rPr>
        <w:lastRenderedPageBreak/>
        <w:t xml:space="preserve">lump sum.  </w:t>
      </w:r>
      <w:r w:rsidRPr="00EC3A14">
        <w:rPr>
          <w:b/>
          <w:bCs/>
          <w:snapToGrid w:val="0"/>
        </w:rPr>
        <w:t>Classic plus</w:t>
      </w:r>
      <w:r w:rsidRPr="00D80497">
        <w:rPr>
          <w:snapToGrid w:val="0"/>
        </w:rPr>
        <w:t xml:space="preserve"> is essentially a hybrid with benefits for service before 1 October 2002 calculated broadly as per </w:t>
      </w:r>
      <w:r w:rsidRPr="00EC3A14">
        <w:rPr>
          <w:b/>
          <w:bCs/>
          <w:snapToGrid w:val="0"/>
        </w:rPr>
        <w:t>classic</w:t>
      </w:r>
      <w:r w:rsidRPr="00D80497">
        <w:rPr>
          <w:snapToGrid w:val="0"/>
        </w:rPr>
        <w:t xml:space="preserve"> and benefits for service from October 2002 worked out as in </w:t>
      </w:r>
      <w:r w:rsidRPr="00EC3A14">
        <w:rPr>
          <w:b/>
          <w:bCs/>
          <w:snapToGrid w:val="0"/>
        </w:rPr>
        <w:t>premium</w:t>
      </w:r>
      <w:r w:rsidRPr="00D80497">
        <w:rPr>
          <w:snapToGrid w:val="0"/>
        </w:rPr>
        <w:t xml:space="preserve">.  In </w:t>
      </w:r>
      <w:r w:rsidR="00B12D00" w:rsidRPr="00EC3A14">
        <w:rPr>
          <w:b/>
          <w:bCs/>
          <w:snapToGrid w:val="0"/>
        </w:rPr>
        <w:t>nuvos</w:t>
      </w:r>
      <w:r w:rsidR="00B12D00" w:rsidRPr="00D80497">
        <w:rPr>
          <w:snapToGrid w:val="0"/>
        </w:rPr>
        <w:t>,</w:t>
      </w:r>
      <w:r w:rsidRPr="00D80497">
        <w:rPr>
          <w:snapToGrid w:val="0"/>
        </w:rPr>
        <w:t xml:space="preserve"> a member builds up a pension based on his pensionable earnings during their period of scheme membership.  At the end of the scheme year (31 March) the member’s earned pension account is credited with 2.3 per cent of their pensionable earnings in that scheme year and the accrued pension is uprated in line with Pensions Increase legislation.  </w:t>
      </w:r>
      <w:r>
        <w:rPr>
          <w:snapToGrid w:val="0"/>
        </w:rPr>
        <w:t xml:space="preserve">Benefits in </w:t>
      </w:r>
      <w:r w:rsidRPr="00EC3A14">
        <w:rPr>
          <w:b/>
          <w:bCs/>
          <w:snapToGrid w:val="0"/>
        </w:rPr>
        <w:t>alpha</w:t>
      </w:r>
      <w:r>
        <w:rPr>
          <w:snapToGrid w:val="0"/>
        </w:rPr>
        <w:t xml:space="preserve"> build up in a similar way to </w:t>
      </w:r>
      <w:r w:rsidRPr="00EC3A14">
        <w:rPr>
          <w:b/>
          <w:bCs/>
          <w:snapToGrid w:val="0"/>
        </w:rPr>
        <w:t>nuvos</w:t>
      </w:r>
      <w:r>
        <w:rPr>
          <w:snapToGrid w:val="0"/>
        </w:rPr>
        <w:t xml:space="preserve">, except that the accrual rate is 2.32 per cent.  </w:t>
      </w:r>
      <w:r w:rsidRPr="00D80497">
        <w:rPr>
          <w:snapToGrid w:val="0"/>
        </w:rPr>
        <w:t xml:space="preserve">In all </w:t>
      </w:r>
      <w:r w:rsidR="00B12D00" w:rsidRPr="00D80497">
        <w:rPr>
          <w:snapToGrid w:val="0"/>
        </w:rPr>
        <w:t>cases,</w:t>
      </w:r>
      <w:r w:rsidRPr="00D80497">
        <w:rPr>
          <w:snapToGrid w:val="0"/>
        </w:rPr>
        <w:t xml:space="preserve"> members may opt to give up (commute) pension for a lump sum up to the limits set by the Finance Act 2004.</w:t>
      </w:r>
    </w:p>
    <w:p w14:paraId="4991271A" w14:textId="77777777" w:rsidR="00EC3A14" w:rsidRPr="00D80497" w:rsidRDefault="00EC3A14" w:rsidP="000C2A54">
      <w:pPr>
        <w:rPr>
          <w:snapToGrid w:val="0"/>
        </w:rPr>
      </w:pPr>
    </w:p>
    <w:p w14:paraId="6CEEAC2D" w14:textId="2FF3EA07" w:rsidR="000C2A54" w:rsidRPr="00D80497" w:rsidRDefault="000C2A54" w:rsidP="000C2A54">
      <w:pPr>
        <w:rPr>
          <w:snapToGrid w:val="0"/>
        </w:rPr>
      </w:pPr>
      <w:r w:rsidRPr="00D80497">
        <w:rPr>
          <w:snapToGrid w:val="0"/>
        </w:rPr>
        <w:t xml:space="preserve">The </w:t>
      </w:r>
      <w:r w:rsidRPr="00EC3A14">
        <w:rPr>
          <w:b/>
          <w:bCs/>
          <w:snapToGrid w:val="0"/>
        </w:rPr>
        <w:t>partnership</w:t>
      </w:r>
      <w:r w:rsidRPr="00D80497">
        <w:rPr>
          <w:snapToGrid w:val="0"/>
        </w:rPr>
        <w:t xml:space="preserve"> pension account is </w:t>
      </w:r>
      <w:r w:rsidR="00EC3A14">
        <w:rPr>
          <w:snapToGrid w:val="0"/>
        </w:rPr>
        <w:t>an occupational defined contribution pension</w:t>
      </w:r>
      <w:r w:rsidRPr="00D80497">
        <w:rPr>
          <w:snapToGrid w:val="0"/>
        </w:rPr>
        <w:t xml:space="preserve"> arrangement</w:t>
      </w:r>
      <w:r w:rsidR="00EC3A14">
        <w:rPr>
          <w:snapToGrid w:val="0"/>
        </w:rPr>
        <w:t xml:space="preserve"> which is part of the Legal &amp; General Mastertrust</w:t>
      </w:r>
      <w:r w:rsidRPr="00D80497">
        <w:rPr>
          <w:snapToGrid w:val="0"/>
        </w:rPr>
        <w:t xml:space="preserve">.  The employer makes a basic contribution of </w:t>
      </w:r>
      <w:r w:rsidR="00731FD6">
        <w:rPr>
          <w:snapToGrid w:val="0"/>
        </w:rPr>
        <w:t xml:space="preserve">between </w:t>
      </w:r>
      <w:r>
        <w:rPr>
          <w:snapToGrid w:val="0"/>
        </w:rPr>
        <w:t xml:space="preserve">8 per cent and 14.75 per cent </w:t>
      </w:r>
      <w:r w:rsidR="00CF2FCF">
        <w:rPr>
          <w:snapToGrid w:val="0"/>
        </w:rPr>
        <w:t>(depending on the age of the member)</w:t>
      </w:r>
      <w:r w:rsidR="00EC3A14">
        <w:rPr>
          <w:snapToGrid w:val="0"/>
        </w:rPr>
        <w:t xml:space="preserve">. </w:t>
      </w:r>
      <w:r w:rsidRPr="00D80497">
        <w:rPr>
          <w:snapToGrid w:val="0"/>
        </w:rPr>
        <w:t xml:space="preserve">The employee does not have to contribute, but where they do make contributions, the employer will match these up to a limit of 3 per cent of pensionable salary (in addition to the employer’s basic contribution).  Employers also contribute a further </w:t>
      </w:r>
      <w:r>
        <w:rPr>
          <w:snapToGrid w:val="0"/>
        </w:rPr>
        <w:t xml:space="preserve">0.5 per cent of pensionable salary </w:t>
      </w:r>
      <w:r w:rsidRPr="00D80497">
        <w:rPr>
          <w:snapToGrid w:val="0"/>
        </w:rPr>
        <w:t>to cover the cost of centrally-provided risk benefit cover (death in service and ill health retirement).</w:t>
      </w:r>
    </w:p>
    <w:p w14:paraId="1B5030D0" w14:textId="77777777" w:rsidR="000C2A54" w:rsidRPr="00D80497" w:rsidRDefault="000C2A54" w:rsidP="000C2A54">
      <w:pPr>
        <w:rPr>
          <w:snapToGrid w:val="0"/>
        </w:rPr>
      </w:pPr>
    </w:p>
    <w:p w14:paraId="6E6D6151" w14:textId="77777777" w:rsidR="000C2A54" w:rsidRPr="00D80497" w:rsidRDefault="000C2A54" w:rsidP="000C2A54">
      <w:pPr>
        <w:rPr>
          <w:snapToGrid w:val="0"/>
        </w:rPr>
      </w:pPr>
      <w:r w:rsidRPr="00D80497">
        <w:rPr>
          <w:snapToGrid w:val="0"/>
        </w:rPr>
        <w:t xml:space="preserve">The accrued pension quoted is the pension the member is entitled to receive when they reach pension age, or immediately on ceasing to be an active member of the scheme if they are already at or over pension age.  Pension age is 60 for members of </w:t>
      </w:r>
      <w:r w:rsidRPr="006860CE">
        <w:rPr>
          <w:b/>
          <w:bCs/>
          <w:snapToGrid w:val="0"/>
        </w:rPr>
        <w:t>classic</w:t>
      </w:r>
      <w:r>
        <w:rPr>
          <w:snapToGrid w:val="0"/>
        </w:rPr>
        <w:t xml:space="preserve">, </w:t>
      </w:r>
      <w:r w:rsidRPr="006860CE">
        <w:rPr>
          <w:b/>
          <w:bCs/>
          <w:snapToGrid w:val="0"/>
        </w:rPr>
        <w:t>premium</w:t>
      </w:r>
      <w:r>
        <w:rPr>
          <w:snapToGrid w:val="0"/>
        </w:rPr>
        <w:t xml:space="preserve"> and </w:t>
      </w:r>
      <w:r w:rsidRPr="006860CE">
        <w:rPr>
          <w:b/>
          <w:bCs/>
          <w:snapToGrid w:val="0"/>
        </w:rPr>
        <w:t>classic plus</w:t>
      </w:r>
      <w:r>
        <w:rPr>
          <w:snapToGrid w:val="0"/>
        </w:rPr>
        <w:t xml:space="preserve">, 65 for members of </w:t>
      </w:r>
      <w:r w:rsidRPr="006860CE">
        <w:rPr>
          <w:b/>
          <w:bCs/>
          <w:snapToGrid w:val="0"/>
        </w:rPr>
        <w:t>nuvos</w:t>
      </w:r>
      <w:r>
        <w:rPr>
          <w:snapToGrid w:val="0"/>
        </w:rPr>
        <w:t xml:space="preserve">, and the higher of 65 or State Pension Age for members of </w:t>
      </w:r>
      <w:r w:rsidRPr="006860CE">
        <w:rPr>
          <w:b/>
          <w:bCs/>
          <w:snapToGrid w:val="0"/>
        </w:rPr>
        <w:t>alpha</w:t>
      </w:r>
      <w:r>
        <w:rPr>
          <w:snapToGrid w:val="0"/>
        </w:rPr>
        <w:t>.  (The pension figures quoted show pension earned in PCSPS or alpha</w:t>
      </w:r>
      <w:r w:rsidR="00CF2FCF">
        <w:rPr>
          <w:snapToGrid w:val="0"/>
        </w:rPr>
        <w:t xml:space="preserve"> -</w:t>
      </w:r>
      <w:r>
        <w:rPr>
          <w:snapToGrid w:val="0"/>
        </w:rPr>
        <w:t xml:space="preserve"> as appropriate.  Where there are benefits in both the PCSPS and alpha the figure quoted is the combined value of the benefits in the two schemes, but note that part of that pension may be payable from different ages.)</w:t>
      </w:r>
    </w:p>
    <w:p w14:paraId="753B64BF" w14:textId="77777777" w:rsidR="000C2A54" w:rsidRPr="007F2DCD" w:rsidRDefault="000C2A54" w:rsidP="000C2A54">
      <w:pPr>
        <w:rPr>
          <w:sz w:val="22"/>
          <w:szCs w:val="22"/>
        </w:rPr>
      </w:pPr>
    </w:p>
    <w:p w14:paraId="0294EB33" w14:textId="77777777" w:rsidR="000C2A54" w:rsidRPr="00D80497" w:rsidRDefault="000C2A54" w:rsidP="000C2A54">
      <w:pPr>
        <w:pStyle w:val="PlainText"/>
        <w:rPr>
          <w:rFonts w:ascii="Verdana" w:hAnsi="Verdana"/>
          <w:color w:val="000000"/>
          <w:sz w:val="24"/>
          <w:szCs w:val="24"/>
        </w:rPr>
      </w:pPr>
      <w:r w:rsidRPr="00D80497">
        <w:rPr>
          <w:rFonts w:ascii="Verdana" w:hAnsi="Verdana"/>
          <w:snapToGrid w:val="0"/>
          <w:color w:val="000000"/>
          <w:sz w:val="24"/>
          <w:szCs w:val="24"/>
        </w:rPr>
        <w:t xml:space="preserve">Further details about the Civil Service pension arrangements can be found at the website: </w:t>
      </w:r>
      <w:r w:rsidRPr="00D80497">
        <w:rPr>
          <w:rFonts w:ascii="Verdana" w:hAnsi="Verdana"/>
          <w:i/>
          <w:color w:val="000000"/>
          <w:sz w:val="24"/>
          <w:szCs w:val="24"/>
        </w:rPr>
        <w:t>http://www.civilservicepensionscheme.org.uk/.</w:t>
      </w:r>
    </w:p>
    <w:p w14:paraId="260FC817" w14:textId="77777777" w:rsidR="000C2A54" w:rsidRPr="00D80497" w:rsidRDefault="000C2A54" w:rsidP="000C2A54"/>
    <w:p w14:paraId="467BD58D" w14:textId="77777777" w:rsidR="000C2A54" w:rsidRPr="00D80497" w:rsidRDefault="000C2A54" w:rsidP="000C2A54">
      <w:pPr>
        <w:rPr>
          <w:snapToGrid w:val="0"/>
          <w:u w:val="single"/>
        </w:rPr>
      </w:pPr>
      <w:r w:rsidRPr="00D80497">
        <w:rPr>
          <w:snapToGrid w:val="0"/>
          <w:u w:val="single"/>
        </w:rPr>
        <w:t>Cash Equivalent Transfer Values</w:t>
      </w:r>
    </w:p>
    <w:p w14:paraId="17BC5FBC" w14:textId="77777777" w:rsidR="000C2A54" w:rsidRPr="00D80497" w:rsidRDefault="000C2A54" w:rsidP="000C2A54">
      <w:pPr>
        <w:rPr>
          <w:snapToGrid w:val="0"/>
          <w:u w:val="single"/>
        </w:rPr>
      </w:pPr>
    </w:p>
    <w:p w14:paraId="241AEA15" w14:textId="7F4CC8C7" w:rsidR="000C2A54" w:rsidRPr="007330CB" w:rsidRDefault="000C2A54" w:rsidP="000C2A54">
      <w:pPr>
        <w:pStyle w:val="BodyText"/>
        <w:spacing w:after="0"/>
        <w:rPr>
          <w:snapToGrid w:val="0"/>
        </w:rPr>
      </w:pPr>
      <w:r w:rsidRPr="00D80497">
        <w:rPr>
          <w:snapToGrid w:val="0"/>
        </w:rPr>
        <w:t xml:space="preserve">A Cash Equivalent Transfer Value (CETV) is the actuarially assessed capitalised value of the pension scheme benefits accrued by a member at a particular point in time.  The benefits valued are the member’s accrued benefits and any contingent spouse’s pension payable from the scheme.  A CETV is a payment made by a pension scheme or arrangement to secure pension benefits in another pension scheme or arrangement when the member leaves a scheme and chooses to transfer the benefits accrued in their former scheme.  The pension figures shown relate to the benefits that the individual has accrued as a consequence of their total membership of the pension scheme, not just their service in a senior capacity to which disclosure applies. </w:t>
      </w:r>
    </w:p>
    <w:p w14:paraId="18EF20D8" w14:textId="054CEC90" w:rsidR="000C2A54" w:rsidRPr="00127FEE" w:rsidRDefault="000C2A54" w:rsidP="00127FEE">
      <w:pPr>
        <w:pStyle w:val="BodyText"/>
        <w:spacing w:after="0"/>
        <w:rPr>
          <w:snapToGrid w:val="0"/>
        </w:rPr>
      </w:pPr>
      <w:r w:rsidRPr="00D80497">
        <w:rPr>
          <w:snapToGrid w:val="0"/>
        </w:rPr>
        <w:lastRenderedPageBreak/>
        <w:t xml:space="preserve">The figures include the value of any pension benefit in another scheme or </w:t>
      </w:r>
      <w:r w:rsidR="00B12D00" w:rsidRPr="00D80497">
        <w:rPr>
          <w:snapToGrid w:val="0"/>
        </w:rPr>
        <w:t>arrangement, which</w:t>
      </w:r>
      <w:r w:rsidRPr="00D80497">
        <w:rPr>
          <w:snapToGrid w:val="0"/>
        </w:rPr>
        <w:t xml:space="preserve"> the member has transferred to the Civil Service pension arrangements.  They also include any additional pension benefit accrued to the member as a result of their buying additional pension benefits at their own cost.  CETVs are worked out </w:t>
      </w:r>
      <w:r>
        <w:rPr>
          <w:snapToGrid w:val="0"/>
        </w:rPr>
        <w:t xml:space="preserve">in accordance with The Occupational Pension Schemes (Transfer Values) (Amendment) Regulations 2008 and do </w:t>
      </w:r>
      <w:r w:rsidRPr="00D80497">
        <w:rPr>
          <w:snapToGrid w:val="0"/>
        </w:rPr>
        <w:t>not take account of any actual or potential reduction to benefits resulting from Lifetime Allowance Tax which may be due when pension benefits are taken.</w:t>
      </w:r>
    </w:p>
    <w:p w14:paraId="0E750D7C" w14:textId="77777777" w:rsidR="006860CE" w:rsidRDefault="006860CE" w:rsidP="000C2A54">
      <w:pPr>
        <w:pStyle w:val="Heading4"/>
        <w:spacing w:before="0" w:after="0"/>
        <w:rPr>
          <w:rFonts w:ascii="Verdana" w:hAnsi="Verdana"/>
          <w:b w:val="0"/>
          <w:sz w:val="24"/>
          <w:szCs w:val="24"/>
          <w:u w:val="single"/>
        </w:rPr>
      </w:pPr>
    </w:p>
    <w:p w14:paraId="28CBBE3C" w14:textId="54BA69AE" w:rsidR="000C2A54" w:rsidRPr="00D80497" w:rsidRDefault="000C2A54" w:rsidP="000C2A54">
      <w:pPr>
        <w:pStyle w:val="Heading4"/>
        <w:spacing w:before="0" w:after="0"/>
        <w:rPr>
          <w:rFonts w:ascii="Verdana" w:hAnsi="Verdana"/>
          <w:b w:val="0"/>
          <w:sz w:val="24"/>
          <w:szCs w:val="24"/>
          <w:u w:val="single"/>
        </w:rPr>
      </w:pPr>
      <w:r w:rsidRPr="00D80497">
        <w:rPr>
          <w:rFonts w:ascii="Verdana" w:hAnsi="Verdana"/>
          <w:b w:val="0"/>
          <w:sz w:val="24"/>
          <w:szCs w:val="24"/>
          <w:u w:val="single"/>
        </w:rPr>
        <w:t>Real increase in CETV</w:t>
      </w:r>
    </w:p>
    <w:p w14:paraId="2B4DCD61" w14:textId="77777777" w:rsidR="000C2A54" w:rsidRPr="00D80497" w:rsidRDefault="000C2A54" w:rsidP="000C2A54"/>
    <w:p w14:paraId="1494A779" w14:textId="0D31C672" w:rsidR="00D72F50" w:rsidRDefault="000C2A54">
      <w:pPr>
        <w:rPr>
          <w:snapToGrid w:val="0"/>
        </w:rPr>
      </w:pPr>
      <w:r w:rsidRPr="00D80497">
        <w:rPr>
          <w:snapToGrid w:val="0"/>
        </w:rPr>
        <w:t>This reflects the increase in CETV that is funded by the employer.  It does not include the increase in accrued pension due to inflation, contributions paid by the employee (including the value of any benefits transferred from another pension scheme or arrangement) and uses common market valuation factors for the start and end of the period.</w:t>
      </w:r>
      <w:bookmarkStart w:id="16" w:name="StaffReport"/>
    </w:p>
    <w:p w14:paraId="38FDBB78" w14:textId="77777777" w:rsidR="00D72F50" w:rsidRDefault="00D72F50">
      <w:pPr>
        <w:rPr>
          <w:snapToGrid w:val="0"/>
        </w:rPr>
      </w:pPr>
    </w:p>
    <w:p w14:paraId="204CA6F7" w14:textId="7BF78DF1" w:rsidR="00D72F50" w:rsidRDefault="00D72F50">
      <w:pPr>
        <w:rPr>
          <w:snapToGrid w:val="0"/>
        </w:rPr>
      </w:pPr>
      <w:r>
        <w:rPr>
          <w:snapToGrid w:val="0"/>
        </w:rPr>
        <w:t>CETV figures are calculated using the guidance on discount rates for calculating unfunded public service pension contribution rates that was extant at 31 March 2023.  HM Treasury published updated guidance on 27 April 2023; this guidance will be used in the calculation of 2023-24 CETV figures.</w:t>
      </w:r>
    </w:p>
    <w:p w14:paraId="4C512235" w14:textId="77777777" w:rsidR="00F61A65" w:rsidRDefault="00F61A65" w:rsidP="00827D54">
      <w:pPr>
        <w:rPr>
          <w:b/>
        </w:rPr>
      </w:pPr>
    </w:p>
    <w:p w14:paraId="305525AD" w14:textId="77777777" w:rsidR="007330CB" w:rsidRDefault="007330CB" w:rsidP="00827D54">
      <w:pPr>
        <w:rPr>
          <w:b/>
        </w:rPr>
      </w:pPr>
    </w:p>
    <w:p w14:paraId="23E04BB5" w14:textId="77777777" w:rsidR="007330CB" w:rsidRDefault="007330CB" w:rsidP="00827D54">
      <w:pPr>
        <w:rPr>
          <w:b/>
        </w:rPr>
      </w:pPr>
    </w:p>
    <w:p w14:paraId="1AB50376" w14:textId="77777777" w:rsidR="007330CB" w:rsidRDefault="007330CB" w:rsidP="00827D54">
      <w:pPr>
        <w:rPr>
          <w:b/>
        </w:rPr>
      </w:pPr>
    </w:p>
    <w:p w14:paraId="4FFA7728" w14:textId="77777777" w:rsidR="007330CB" w:rsidRDefault="007330CB" w:rsidP="00827D54">
      <w:pPr>
        <w:rPr>
          <w:b/>
        </w:rPr>
      </w:pPr>
    </w:p>
    <w:p w14:paraId="3DED1982" w14:textId="77777777" w:rsidR="007330CB" w:rsidRDefault="007330CB" w:rsidP="00827D54">
      <w:pPr>
        <w:rPr>
          <w:b/>
        </w:rPr>
      </w:pPr>
    </w:p>
    <w:p w14:paraId="1409DFDA" w14:textId="77777777" w:rsidR="007330CB" w:rsidRDefault="007330CB" w:rsidP="00827D54">
      <w:pPr>
        <w:rPr>
          <w:b/>
        </w:rPr>
      </w:pPr>
    </w:p>
    <w:p w14:paraId="1CE795EF" w14:textId="77777777" w:rsidR="007330CB" w:rsidRDefault="007330CB" w:rsidP="00827D54">
      <w:pPr>
        <w:rPr>
          <w:b/>
        </w:rPr>
      </w:pPr>
    </w:p>
    <w:p w14:paraId="08C8A2BF" w14:textId="77777777" w:rsidR="007330CB" w:rsidRDefault="007330CB" w:rsidP="00827D54">
      <w:pPr>
        <w:rPr>
          <w:b/>
        </w:rPr>
      </w:pPr>
    </w:p>
    <w:p w14:paraId="7F91DF8A" w14:textId="77777777" w:rsidR="007330CB" w:rsidRDefault="007330CB" w:rsidP="00827D54">
      <w:pPr>
        <w:rPr>
          <w:b/>
        </w:rPr>
      </w:pPr>
    </w:p>
    <w:p w14:paraId="3077D775" w14:textId="77777777" w:rsidR="007330CB" w:rsidRDefault="007330CB" w:rsidP="00827D54">
      <w:pPr>
        <w:rPr>
          <w:b/>
        </w:rPr>
      </w:pPr>
    </w:p>
    <w:p w14:paraId="68854A82" w14:textId="77777777" w:rsidR="007330CB" w:rsidRDefault="007330CB" w:rsidP="00827D54">
      <w:pPr>
        <w:rPr>
          <w:b/>
        </w:rPr>
      </w:pPr>
    </w:p>
    <w:p w14:paraId="75C5C9FC" w14:textId="77777777" w:rsidR="007330CB" w:rsidRDefault="007330CB" w:rsidP="00827D54">
      <w:pPr>
        <w:rPr>
          <w:b/>
        </w:rPr>
      </w:pPr>
    </w:p>
    <w:p w14:paraId="76652BB9" w14:textId="77777777" w:rsidR="007330CB" w:rsidRDefault="007330CB" w:rsidP="00827D54">
      <w:pPr>
        <w:rPr>
          <w:b/>
        </w:rPr>
      </w:pPr>
    </w:p>
    <w:p w14:paraId="3F046BE5" w14:textId="77777777" w:rsidR="007330CB" w:rsidRDefault="007330CB" w:rsidP="00827D54">
      <w:pPr>
        <w:rPr>
          <w:b/>
        </w:rPr>
      </w:pPr>
    </w:p>
    <w:p w14:paraId="0E404420" w14:textId="77777777" w:rsidR="007330CB" w:rsidRDefault="007330CB" w:rsidP="00827D54">
      <w:pPr>
        <w:rPr>
          <w:b/>
        </w:rPr>
      </w:pPr>
    </w:p>
    <w:p w14:paraId="67A1A19B" w14:textId="77777777" w:rsidR="007330CB" w:rsidRDefault="007330CB" w:rsidP="00827D54">
      <w:pPr>
        <w:rPr>
          <w:b/>
        </w:rPr>
      </w:pPr>
    </w:p>
    <w:p w14:paraId="280615A3" w14:textId="77777777" w:rsidR="007330CB" w:rsidRDefault="007330CB" w:rsidP="00827D54">
      <w:pPr>
        <w:rPr>
          <w:b/>
        </w:rPr>
      </w:pPr>
    </w:p>
    <w:p w14:paraId="104F4D9B" w14:textId="77777777" w:rsidR="007330CB" w:rsidRDefault="007330CB" w:rsidP="00827D54">
      <w:pPr>
        <w:rPr>
          <w:b/>
        </w:rPr>
      </w:pPr>
    </w:p>
    <w:p w14:paraId="18BC279E" w14:textId="77777777" w:rsidR="007330CB" w:rsidRDefault="007330CB" w:rsidP="00827D54">
      <w:pPr>
        <w:rPr>
          <w:b/>
        </w:rPr>
      </w:pPr>
    </w:p>
    <w:p w14:paraId="4D782789" w14:textId="77777777" w:rsidR="007330CB" w:rsidRDefault="007330CB" w:rsidP="00827D54">
      <w:pPr>
        <w:rPr>
          <w:b/>
        </w:rPr>
      </w:pPr>
    </w:p>
    <w:p w14:paraId="0B9B308C" w14:textId="77777777" w:rsidR="007330CB" w:rsidRDefault="007330CB" w:rsidP="00827D54">
      <w:pPr>
        <w:rPr>
          <w:b/>
        </w:rPr>
      </w:pPr>
    </w:p>
    <w:p w14:paraId="74618732" w14:textId="77777777" w:rsidR="007330CB" w:rsidRDefault="007330CB" w:rsidP="00827D54">
      <w:pPr>
        <w:rPr>
          <w:b/>
        </w:rPr>
      </w:pPr>
    </w:p>
    <w:p w14:paraId="179B402B" w14:textId="77777777" w:rsidR="007330CB" w:rsidRDefault="007330CB" w:rsidP="00827D54">
      <w:pPr>
        <w:rPr>
          <w:b/>
        </w:rPr>
      </w:pPr>
    </w:p>
    <w:p w14:paraId="33C7324B" w14:textId="77777777" w:rsidR="007330CB" w:rsidRDefault="007330CB" w:rsidP="00827D54">
      <w:pPr>
        <w:rPr>
          <w:b/>
        </w:rPr>
      </w:pPr>
    </w:p>
    <w:p w14:paraId="0909B782" w14:textId="77777777" w:rsidR="007330CB" w:rsidRDefault="007330CB" w:rsidP="00827D54">
      <w:pPr>
        <w:rPr>
          <w:b/>
        </w:rPr>
      </w:pPr>
    </w:p>
    <w:p w14:paraId="5F9A3BB8" w14:textId="77777777" w:rsidR="000C2A54" w:rsidRDefault="000C2A54" w:rsidP="000C2A54">
      <w:pPr>
        <w:ind w:left="567" w:hanging="567"/>
        <w:rPr>
          <w:b/>
        </w:rPr>
      </w:pPr>
      <w:r>
        <w:rPr>
          <w:b/>
        </w:rPr>
        <w:lastRenderedPageBreak/>
        <w:t>Staff Report</w:t>
      </w:r>
      <w:r w:rsidR="0057710A">
        <w:rPr>
          <w:b/>
        </w:rPr>
        <w:t xml:space="preserve"> </w:t>
      </w:r>
    </w:p>
    <w:bookmarkEnd w:id="16"/>
    <w:p w14:paraId="3AF1F456" w14:textId="77777777" w:rsidR="000C2A54" w:rsidRDefault="000C2A54" w:rsidP="000C2A54">
      <w:pPr>
        <w:ind w:left="567" w:hanging="567"/>
        <w:rPr>
          <w:b/>
        </w:rPr>
      </w:pPr>
    </w:p>
    <w:p w14:paraId="6F374FB2" w14:textId="77777777" w:rsidR="000C2A54" w:rsidRPr="00D73014" w:rsidRDefault="000C2A54" w:rsidP="000C2A54">
      <w:pPr>
        <w:ind w:left="567" w:hanging="567"/>
      </w:pPr>
      <w:r w:rsidRPr="00F97E5F">
        <w:rPr>
          <w:b/>
        </w:rPr>
        <w:t>Staff numbers and related costs</w:t>
      </w:r>
      <w:r>
        <w:rPr>
          <w:b/>
        </w:rPr>
        <w:t xml:space="preserve"> </w:t>
      </w:r>
      <w:r>
        <w:t>(audited information)</w:t>
      </w:r>
    </w:p>
    <w:p w14:paraId="37F9524E" w14:textId="77777777" w:rsidR="000C2A54" w:rsidRPr="00832258" w:rsidRDefault="000C2A54" w:rsidP="000C2A54"/>
    <w:tbl>
      <w:tblPr>
        <w:tblW w:w="10655" w:type="dxa"/>
        <w:jc w:val="center"/>
        <w:tblLayout w:type="fixed"/>
        <w:tblLook w:val="01E0" w:firstRow="1" w:lastRow="1" w:firstColumn="1" w:lastColumn="1" w:noHBand="0" w:noVBand="0"/>
      </w:tblPr>
      <w:tblGrid>
        <w:gridCol w:w="2461"/>
        <w:gridCol w:w="1534"/>
        <w:gridCol w:w="1980"/>
        <w:gridCol w:w="1800"/>
        <w:gridCol w:w="1440"/>
        <w:gridCol w:w="1440"/>
      </w:tblGrid>
      <w:tr w:rsidR="000C2A54" w:rsidRPr="00A95808" w14:paraId="658323D8" w14:textId="77777777" w:rsidTr="3285EAFF">
        <w:trPr>
          <w:jc w:val="center"/>
        </w:trPr>
        <w:tc>
          <w:tcPr>
            <w:tcW w:w="2461" w:type="dxa"/>
          </w:tcPr>
          <w:p w14:paraId="72D750E0" w14:textId="77777777" w:rsidR="000C2A54" w:rsidRPr="00730E98" w:rsidRDefault="000C2A54" w:rsidP="000C2A54">
            <w:pPr>
              <w:jc w:val="right"/>
              <w:rPr>
                <w:sz w:val="20"/>
                <w:szCs w:val="20"/>
              </w:rPr>
            </w:pPr>
          </w:p>
        </w:tc>
        <w:tc>
          <w:tcPr>
            <w:tcW w:w="1534" w:type="dxa"/>
          </w:tcPr>
          <w:p w14:paraId="494699B6" w14:textId="3D296CAC" w:rsidR="000C2A54" w:rsidRPr="00A95808" w:rsidRDefault="00403C79" w:rsidP="3285EAFF">
            <w:pPr>
              <w:jc w:val="right"/>
              <w:rPr>
                <w:b/>
                <w:bCs/>
                <w:sz w:val="20"/>
                <w:szCs w:val="20"/>
              </w:rPr>
            </w:pPr>
            <w:r>
              <w:rPr>
                <w:b/>
                <w:bCs/>
                <w:sz w:val="20"/>
                <w:szCs w:val="20"/>
              </w:rPr>
              <w:t>20</w:t>
            </w:r>
            <w:r w:rsidR="0423F75E" w:rsidRPr="3285EAFF">
              <w:rPr>
                <w:b/>
                <w:bCs/>
                <w:sz w:val="20"/>
                <w:szCs w:val="20"/>
              </w:rPr>
              <w:t>2</w:t>
            </w:r>
            <w:r w:rsidR="006860CE">
              <w:rPr>
                <w:b/>
                <w:bCs/>
                <w:sz w:val="20"/>
                <w:szCs w:val="20"/>
              </w:rPr>
              <w:t>2</w:t>
            </w:r>
            <w:r>
              <w:rPr>
                <w:b/>
                <w:bCs/>
                <w:sz w:val="20"/>
                <w:szCs w:val="20"/>
              </w:rPr>
              <w:t>-2</w:t>
            </w:r>
            <w:r w:rsidR="006860CE">
              <w:rPr>
                <w:b/>
                <w:bCs/>
                <w:sz w:val="20"/>
                <w:szCs w:val="20"/>
              </w:rPr>
              <w:t>3</w:t>
            </w:r>
          </w:p>
          <w:p w14:paraId="3483AA2B" w14:textId="77777777" w:rsidR="000C2A54" w:rsidRPr="00A95808" w:rsidRDefault="000C2A54" w:rsidP="000C2A54">
            <w:pPr>
              <w:jc w:val="right"/>
              <w:rPr>
                <w:b/>
                <w:sz w:val="20"/>
                <w:szCs w:val="20"/>
              </w:rPr>
            </w:pPr>
            <w:r w:rsidRPr="00A95808">
              <w:rPr>
                <w:b/>
                <w:sz w:val="20"/>
                <w:szCs w:val="20"/>
              </w:rPr>
              <w:t>total</w:t>
            </w:r>
          </w:p>
        </w:tc>
        <w:tc>
          <w:tcPr>
            <w:tcW w:w="1980" w:type="dxa"/>
          </w:tcPr>
          <w:p w14:paraId="3A23FF4D" w14:textId="77777777" w:rsidR="000C2A54" w:rsidRPr="00A95808" w:rsidRDefault="000C2A54" w:rsidP="000C2A54">
            <w:pPr>
              <w:jc w:val="right"/>
              <w:rPr>
                <w:b/>
                <w:sz w:val="20"/>
                <w:szCs w:val="20"/>
              </w:rPr>
            </w:pPr>
            <w:r w:rsidRPr="00A95808">
              <w:rPr>
                <w:b/>
                <w:sz w:val="20"/>
                <w:szCs w:val="20"/>
              </w:rPr>
              <w:t>Commissioners</w:t>
            </w:r>
          </w:p>
        </w:tc>
        <w:tc>
          <w:tcPr>
            <w:tcW w:w="1800" w:type="dxa"/>
          </w:tcPr>
          <w:p w14:paraId="1205F1FC" w14:textId="77777777" w:rsidR="000C2A54" w:rsidRPr="00A95808" w:rsidRDefault="000C2A54" w:rsidP="000C2A54">
            <w:pPr>
              <w:jc w:val="right"/>
              <w:rPr>
                <w:b/>
                <w:sz w:val="20"/>
                <w:szCs w:val="20"/>
              </w:rPr>
            </w:pPr>
            <w:r w:rsidRPr="00A95808">
              <w:rPr>
                <w:b/>
                <w:sz w:val="20"/>
                <w:szCs w:val="20"/>
              </w:rPr>
              <w:t>Permanently</w:t>
            </w:r>
          </w:p>
          <w:p w14:paraId="09210F31" w14:textId="77777777" w:rsidR="0072512F" w:rsidRPr="00A95808" w:rsidRDefault="000C2A54" w:rsidP="0072512F">
            <w:pPr>
              <w:jc w:val="right"/>
              <w:rPr>
                <w:b/>
                <w:sz w:val="20"/>
                <w:szCs w:val="20"/>
              </w:rPr>
            </w:pPr>
            <w:r w:rsidRPr="00A95808">
              <w:rPr>
                <w:b/>
                <w:sz w:val="20"/>
                <w:szCs w:val="20"/>
              </w:rPr>
              <w:t xml:space="preserve">Employed </w:t>
            </w:r>
          </w:p>
          <w:p w14:paraId="54507895" w14:textId="77777777" w:rsidR="000C2A54" w:rsidRPr="00A95808" w:rsidRDefault="000C2A54" w:rsidP="000C2A54">
            <w:pPr>
              <w:jc w:val="right"/>
              <w:rPr>
                <w:b/>
                <w:sz w:val="20"/>
                <w:szCs w:val="20"/>
              </w:rPr>
            </w:pPr>
          </w:p>
        </w:tc>
        <w:tc>
          <w:tcPr>
            <w:tcW w:w="1440" w:type="dxa"/>
          </w:tcPr>
          <w:p w14:paraId="2E2EC54C" w14:textId="77777777" w:rsidR="000C2A54" w:rsidRPr="00A95808" w:rsidRDefault="000C2A54" w:rsidP="000C2A54">
            <w:pPr>
              <w:jc w:val="right"/>
              <w:rPr>
                <w:b/>
                <w:sz w:val="20"/>
                <w:szCs w:val="20"/>
              </w:rPr>
            </w:pPr>
            <w:r w:rsidRPr="00A95808">
              <w:rPr>
                <w:b/>
                <w:sz w:val="20"/>
                <w:szCs w:val="20"/>
              </w:rPr>
              <w:t>Others</w:t>
            </w:r>
          </w:p>
          <w:p w14:paraId="5353ADEE" w14:textId="77777777" w:rsidR="000C2A54" w:rsidRPr="00A95808" w:rsidRDefault="000C2A54" w:rsidP="000C2A54">
            <w:pPr>
              <w:jc w:val="right"/>
              <w:rPr>
                <w:b/>
                <w:sz w:val="20"/>
                <w:szCs w:val="20"/>
              </w:rPr>
            </w:pPr>
          </w:p>
        </w:tc>
        <w:tc>
          <w:tcPr>
            <w:tcW w:w="1440" w:type="dxa"/>
          </w:tcPr>
          <w:p w14:paraId="4C445B94" w14:textId="4A1CF38B" w:rsidR="000C2A54" w:rsidRPr="00A95808" w:rsidRDefault="00403C79" w:rsidP="00E029DB">
            <w:pPr>
              <w:spacing w:line="259" w:lineRule="auto"/>
              <w:jc w:val="right"/>
              <w:rPr>
                <w:color w:val="000000" w:themeColor="text1"/>
              </w:rPr>
            </w:pPr>
            <w:r>
              <w:rPr>
                <w:b/>
                <w:bCs/>
                <w:sz w:val="20"/>
                <w:szCs w:val="20"/>
              </w:rPr>
              <w:t>20</w:t>
            </w:r>
            <w:r w:rsidR="5C9227F9" w:rsidRPr="3285EAFF">
              <w:rPr>
                <w:b/>
                <w:bCs/>
                <w:sz w:val="20"/>
                <w:szCs w:val="20"/>
              </w:rPr>
              <w:t>2</w:t>
            </w:r>
            <w:r w:rsidR="006860CE">
              <w:rPr>
                <w:b/>
                <w:bCs/>
                <w:sz w:val="20"/>
                <w:szCs w:val="20"/>
              </w:rPr>
              <w:t>1</w:t>
            </w:r>
            <w:r>
              <w:rPr>
                <w:b/>
                <w:bCs/>
                <w:sz w:val="20"/>
                <w:szCs w:val="20"/>
              </w:rPr>
              <w:t>-2</w:t>
            </w:r>
            <w:r w:rsidR="006860CE">
              <w:rPr>
                <w:b/>
                <w:bCs/>
                <w:sz w:val="20"/>
                <w:szCs w:val="20"/>
              </w:rPr>
              <w:t>2</w:t>
            </w:r>
          </w:p>
          <w:p w14:paraId="757A079E" w14:textId="77777777" w:rsidR="000C2A54" w:rsidRPr="00A95808" w:rsidRDefault="000C2A54" w:rsidP="000C2A54">
            <w:pPr>
              <w:jc w:val="right"/>
              <w:rPr>
                <w:b/>
                <w:sz w:val="20"/>
                <w:szCs w:val="20"/>
              </w:rPr>
            </w:pPr>
            <w:r w:rsidRPr="00A95808">
              <w:rPr>
                <w:b/>
                <w:sz w:val="20"/>
                <w:szCs w:val="20"/>
              </w:rPr>
              <w:t>total</w:t>
            </w:r>
          </w:p>
        </w:tc>
      </w:tr>
      <w:tr w:rsidR="000C2A54" w:rsidRPr="00A95808" w14:paraId="4B301F0A" w14:textId="77777777" w:rsidTr="3285EAFF">
        <w:trPr>
          <w:jc w:val="center"/>
        </w:trPr>
        <w:tc>
          <w:tcPr>
            <w:tcW w:w="2461" w:type="dxa"/>
          </w:tcPr>
          <w:p w14:paraId="73030196" w14:textId="77777777" w:rsidR="000C2A54" w:rsidRPr="00A95808" w:rsidRDefault="000C2A54" w:rsidP="000C2A54">
            <w:pPr>
              <w:jc w:val="right"/>
              <w:rPr>
                <w:sz w:val="20"/>
                <w:szCs w:val="20"/>
              </w:rPr>
            </w:pPr>
          </w:p>
        </w:tc>
        <w:tc>
          <w:tcPr>
            <w:tcW w:w="1534" w:type="dxa"/>
          </w:tcPr>
          <w:p w14:paraId="5560DBD1" w14:textId="77777777" w:rsidR="000C2A54" w:rsidRPr="00A9580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A95808">
              <w:rPr>
                <w:b/>
                <w:sz w:val="20"/>
                <w:szCs w:val="20"/>
              </w:rPr>
              <w:t>£</w:t>
            </w:r>
          </w:p>
        </w:tc>
        <w:tc>
          <w:tcPr>
            <w:tcW w:w="1980" w:type="dxa"/>
          </w:tcPr>
          <w:p w14:paraId="7FDDB25F" w14:textId="77777777" w:rsidR="000C2A54" w:rsidRPr="00A9580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A95808">
              <w:rPr>
                <w:b/>
                <w:sz w:val="20"/>
                <w:szCs w:val="20"/>
              </w:rPr>
              <w:t>£</w:t>
            </w:r>
          </w:p>
        </w:tc>
        <w:tc>
          <w:tcPr>
            <w:tcW w:w="1800" w:type="dxa"/>
          </w:tcPr>
          <w:p w14:paraId="7710D15B" w14:textId="77777777" w:rsidR="000C2A54" w:rsidRPr="00A9580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A95808">
              <w:rPr>
                <w:b/>
                <w:sz w:val="20"/>
                <w:szCs w:val="20"/>
              </w:rPr>
              <w:t>£</w:t>
            </w:r>
          </w:p>
        </w:tc>
        <w:tc>
          <w:tcPr>
            <w:tcW w:w="1440" w:type="dxa"/>
          </w:tcPr>
          <w:p w14:paraId="5B3C9129" w14:textId="77777777" w:rsidR="000C2A54" w:rsidRPr="00A9580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A95808">
              <w:rPr>
                <w:b/>
                <w:sz w:val="20"/>
                <w:szCs w:val="20"/>
              </w:rPr>
              <w:t>£</w:t>
            </w:r>
          </w:p>
        </w:tc>
        <w:tc>
          <w:tcPr>
            <w:tcW w:w="1440" w:type="dxa"/>
          </w:tcPr>
          <w:p w14:paraId="3D99AA89" w14:textId="77777777" w:rsidR="000C2A54" w:rsidRPr="00A9580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A95808">
              <w:rPr>
                <w:b/>
                <w:sz w:val="20"/>
                <w:szCs w:val="20"/>
              </w:rPr>
              <w:t>£</w:t>
            </w:r>
          </w:p>
        </w:tc>
      </w:tr>
      <w:tr w:rsidR="000C2A54" w:rsidRPr="00A95808" w14:paraId="472408E5" w14:textId="77777777" w:rsidTr="3285EAFF">
        <w:trPr>
          <w:jc w:val="center"/>
        </w:trPr>
        <w:tc>
          <w:tcPr>
            <w:tcW w:w="2461" w:type="dxa"/>
          </w:tcPr>
          <w:p w14:paraId="1023913C" w14:textId="77777777" w:rsidR="000C2A54" w:rsidRPr="00A95808" w:rsidRDefault="000C2A54" w:rsidP="000C2A54">
            <w:pPr>
              <w:rPr>
                <w:sz w:val="20"/>
                <w:szCs w:val="20"/>
              </w:rPr>
            </w:pPr>
            <w:r w:rsidRPr="00A95808">
              <w:rPr>
                <w:sz w:val="20"/>
                <w:szCs w:val="20"/>
              </w:rPr>
              <w:t>Wages and salaries</w:t>
            </w:r>
          </w:p>
        </w:tc>
        <w:tc>
          <w:tcPr>
            <w:tcW w:w="1534" w:type="dxa"/>
          </w:tcPr>
          <w:p w14:paraId="3F877307" w14:textId="3A9DA9A7" w:rsidR="000C2A54" w:rsidRPr="00A95808" w:rsidRDefault="00403C79" w:rsidP="000C2A54">
            <w:pPr>
              <w:jc w:val="right"/>
              <w:rPr>
                <w:sz w:val="20"/>
                <w:szCs w:val="20"/>
              </w:rPr>
            </w:pPr>
            <w:r>
              <w:rPr>
                <w:sz w:val="20"/>
                <w:szCs w:val="20"/>
              </w:rPr>
              <w:t>1,</w:t>
            </w:r>
            <w:r w:rsidR="006860CE">
              <w:rPr>
                <w:sz w:val="20"/>
                <w:szCs w:val="20"/>
              </w:rPr>
              <w:t>21</w:t>
            </w:r>
            <w:r w:rsidR="002F779F">
              <w:rPr>
                <w:sz w:val="20"/>
                <w:szCs w:val="20"/>
              </w:rPr>
              <w:t>0,899</w:t>
            </w:r>
          </w:p>
        </w:tc>
        <w:tc>
          <w:tcPr>
            <w:tcW w:w="1980" w:type="dxa"/>
          </w:tcPr>
          <w:p w14:paraId="4A54B147" w14:textId="1C3C9A58" w:rsidR="000C2A54" w:rsidRPr="00A95808" w:rsidDel="006E56F3" w:rsidRDefault="00403C79" w:rsidP="00737A8F">
            <w:pPr>
              <w:jc w:val="right"/>
              <w:rPr>
                <w:sz w:val="20"/>
                <w:szCs w:val="20"/>
              </w:rPr>
            </w:pPr>
            <w:r>
              <w:rPr>
                <w:sz w:val="20"/>
                <w:szCs w:val="20"/>
              </w:rPr>
              <w:t>11</w:t>
            </w:r>
            <w:r w:rsidR="002F779F">
              <w:rPr>
                <w:sz w:val="20"/>
                <w:szCs w:val="20"/>
              </w:rPr>
              <w:t>8,177</w:t>
            </w:r>
          </w:p>
        </w:tc>
        <w:tc>
          <w:tcPr>
            <w:tcW w:w="1800" w:type="dxa"/>
          </w:tcPr>
          <w:p w14:paraId="2E21D38D" w14:textId="04EC88D3" w:rsidR="000C2A54" w:rsidRPr="00A95808" w:rsidRDefault="008215DC" w:rsidP="008215DC">
            <w:pPr>
              <w:jc w:val="center"/>
              <w:rPr>
                <w:sz w:val="20"/>
                <w:szCs w:val="20"/>
              </w:rPr>
            </w:pPr>
            <w:r>
              <w:rPr>
                <w:sz w:val="20"/>
                <w:szCs w:val="20"/>
              </w:rPr>
              <w:t xml:space="preserve">    </w:t>
            </w:r>
            <w:r w:rsidR="002F779F">
              <w:rPr>
                <w:sz w:val="20"/>
                <w:szCs w:val="20"/>
              </w:rPr>
              <w:t>1,002,048</w:t>
            </w:r>
          </w:p>
        </w:tc>
        <w:tc>
          <w:tcPr>
            <w:tcW w:w="1440" w:type="dxa"/>
          </w:tcPr>
          <w:p w14:paraId="62BD8B22" w14:textId="332041AB" w:rsidR="000C2A54" w:rsidRPr="00A95808" w:rsidRDefault="002F779F" w:rsidP="000C2A54">
            <w:pPr>
              <w:jc w:val="right"/>
              <w:rPr>
                <w:sz w:val="20"/>
                <w:szCs w:val="20"/>
              </w:rPr>
            </w:pPr>
            <w:r>
              <w:rPr>
                <w:sz w:val="20"/>
                <w:szCs w:val="20"/>
              </w:rPr>
              <w:t>90,674</w:t>
            </w:r>
          </w:p>
        </w:tc>
        <w:tc>
          <w:tcPr>
            <w:tcW w:w="1440" w:type="dxa"/>
          </w:tcPr>
          <w:p w14:paraId="1C8F790F" w14:textId="35B578D7" w:rsidR="000C2A54" w:rsidRPr="00A95808" w:rsidRDefault="002F779F" w:rsidP="000C2A54">
            <w:pPr>
              <w:jc w:val="right"/>
              <w:rPr>
                <w:sz w:val="20"/>
                <w:szCs w:val="20"/>
              </w:rPr>
            </w:pPr>
            <w:r>
              <w:rPr>
                <w:sz w:val="20"/>
                <w:szCs w:val="20"/>
              </w:rPr>
              <w:t>1,151,327</w:t>
            </w:r>
          </w:p>
        </w:tc>
      </w:tr>
      <w:tr w:rsidR="000C2A54" w:rsidRPr="00A95808" w14:paraId="32E58D04" w14:textId="77777777" w:rsidTr="3285EAFF">
        <w:trPr>
          <w:jc w:val="center"/>
        </w:trPr>
        <w:tc>
          <w:tcPr>
            <w:tcW w:w="2461" w:type="dxa"/>
          </w:tcPr>
          <w:p w14:paraId="4C7607DE" w14:textId="77777777" w:rsidR="000C2A54" w:rsidRPr="00A95808" w:rsidRDefault="000C2A54" w:rsidP="000C2A54">
            <w:pPr>
              <w:rPr>
                <w:sz w:val="20"/>
                <w:szCs w:val="20"/>
              </w:rPr>
            </w:pPr>
            <w:r w:rsidRPr="00A95808">
              <w:rPr>
                <w:sz w:val="20"/>
                <w:szCs w:val="20"/>
              </w:rPr>
              <w:t>Social security costs</w:t>
            </w:r>
          </w:p>
        </w:tc>
        <w:tc>
          <w:tcPr>
            <w:tcW w:w="1534" w:type="dxa"/>
          </w:tcPr>
          <w:p w14:paraId="67189ED8" w14:textId="0F264B9E" w:rsidR="002F779F" w:rsidRPr="00A95808" w:rsidRDefault="00403C79" w:rsidP="002F779F">
            <w:pPr>
              <w:jc w:val="right"/>
              <w:rPr>
                <w:sz w:val="20"/>
                <w:szCs w:val="20"/>
              </w:rPr>
            </w:pPr>
            <w:r>
              <w:rPr>
                <w:sz w:val="20"/>
                <w:szCs w:val="20"/>
              </w:rPr>
              <w:t>1</w:t>
            </w:r>
            <w:r w:rsidR="002F779F">
              <w:rPr>
                <w:sz w:val="20"/>
                <w:szCs w:val="20"/>
              </w:rPr>
              <w:t>34,199</w:t>
            </w:r>
          </w:p>
        </w:tc>
        <w:tc>
          <w:tcPr>
            <w:tcW w:w="1980" w:type="dxa"/>
          </w:tcPr>
          <w:p w14:paraId="3692C472" w14:textId="79AD9810" w:rsidR="000C2A54" w:rsidRPr="00A95808" w:rsidRDefault="00403C79" w:rsidP="000C2A54">
            <w:pPr>
              <w:jc w:val="right"/>
              <w:rPr>
                <w:sz w:val="20"/>
                <w:szCs w:val="20"/>
              </w:rPr>
            </w:pPr>
            <w:r>
              <w:rPr>
                <w:sz w:val="20"/>
                <w:szCs w:val="20"/>
              </w:rPr>
              <w:t>9,</w:t>
            </w:r>
            <w:r w:rsidR="002F779F">
              <w:rPr>
                <w:sz w:val="20"/>
                <w:szCs w:val="20"/>
              </w:rPr>
              <w:t>691</w:t>
            </w:r>
          </w:p>
        </w:tc>
        <w:tc>
          <w:tcPr>
            <w:tcW w:w="1800" w:type="dxa"/>
          </w:tcPr>
          <w:p w14:paraId="37872C8C" w14:textId="5B24C35D" w:rsidR="000C2A54" w:rsidRPr="00A95808" w:rsidRDefault="008215DC" w:rsidP="008215DC">
            <w:pPr>
              <w:jc w:val="center"/>
              <w:rPr>
                <w:sz w:val="20"/>
                <w:szCs w:val="20"/>
              </w:rPr>
            </w:pPr>
            <w:r>
              <w:rPr>
                <w:sz w:val="20"/>
                <w:szCs w:val="20"/>
              </w:rPr>
              <w:t xml:space="preserve">      </w:t>
            </w:r>
            <w:r w:rsidR="00403C79">
              <w:rPr>
                <w:sz w:val="20"/>
                <w:szCs w:val="20"/>
              </w:rPr>
              <w:t>1</w:t>
            </w:r>
            <w:r w:rsidR="002F779F">
              <w:rPr>
                <w:sz w:val="20"/>
                <w:szCs w:val="20"/>
              </w:rPr>
              <w:t>16,913</w:t>
            </w:r>
          </w:p>
        </w:tc>
        <w:tc>
          <w:tcPr>
            <w:tcW w:w="1440" w:type="dxa"/>
          </w:tcPr>
          <w:p w14:paraId="57C4B63F" w14:textId="0482C1B9" w:rsidR="000C2A54" w:rsidRPr="00A95808" w:rsidRDefault="002F779F" w:rsidP="000C2A54">
            <w:pPr>
              <w:jc w:val="right"/>
              <w:rPr>
                <w:sz w:val="20"/>
                <w:szCs w:val="20"/>
              </w:rPr>
            </w:pPr>
            <w:r>
              <w:rPr>
                <w:sz w:val="20"/>
                <w:szCs w:val="20"/>
              </w:rPr>
              <w:t>7,595</w:t>
            </w:r>
          </w:p>
        </w:tc>
        <w:tc>
          <w:tcPr>
            <w:tcW w:w="1440" w:type="dxa"/>
          </w:tcPr>
          <w:p w14:paraId="3090825A" w14:textId="782FB7CC" w:rsidR="000C2A54" w:rsidRPr="00A95808" w:rsidRDefault="002F779F" w:rsidP="000C2A54">
            <w:pPr>
              <w:jc w:val="right"/>
              <w:rPr>
                <w:sz w:val="20"/>
                <w:szCs w:val="20"/>
              </w:rPr>
            </w:pPr>
            <w:r>
              <w:rPr>
                <w:sz w:val="20"/>
                <w:szCs w:val="20"/>
              </w:rPr>
              <w:t>119,918</w:t>
            </w:r>
          </w:p>
        </w:tc>
      </w:tr>
      <w:tr w:rsidR="000C2A54" w:rsidRPr="00A95808" w14:paraId="4BFE9BB9" w14:textId="77777777" w:rsidTr="3285EAFF">
        <w:trPr>
          <w:jc w:val="center"/>
        </w:trPr>
        <w:tc>
          <w:tcPr>
            <w:tcW w:w="2461" w:type="dxa"/>
          </w:tcPr>
          <w:p w14:paraId="2B5F8F85" w14:textId="77777777" w:rsidR="000C2A54" w:rsidRPr="00A95808" w:rsidRDefault="000C2A54" w:rsidP="000C2A54">
            <w:pPr>
              <w:rPr>
                <w:sz w:val="20"/>
                <w:szCs w:val="20"/>
              </w:rPr>
            </w:pPr>
            <w:r w:rsidRPr="00A95808">
              <w:rPr>
                <w:sz w:val="20"/>
                <w:szCs w:val="20"/>
              </w:rPr>
              <w:t>Other pension costs</w:t>
            </w:r>
          </w:p>
        </w:tc>
        <w:tc>
          <w:tcPr>
            <w:tcW w:w="1534" w:type="dxa"/>
            <w:tcBorders>
              <w:bottom w:val="single" w:sz="4" w:space="0" w:color="auto"/>
            </w:tcBorders>
          </w:tcPr>
          <w:p w14:paraId="0C11BC95" w14:textId="1766F849" w:rsidR="000C2A54" w:rsidRPr="00A95808" w:rsidRDefault="00403C79" w:rsidP="00E029DB">
            <w:pPr>
              <w:spacing w:line="259" w:lineRule="auto"/>
              <w:jc w:val="right"/>
              <w:rPr>
                <w:sz w:val="20"/>
                <w:szCs w:val="20"/>
              </w:rPr>
            </w:pPr>
            <w:r>
              <w:rPr>
                <w:sz w:val="20"/>
                <w:szCs w:val="20"/>
              </w:rPr>
              <w:t>3</w:t>
            </w:r>
            <w:r w:rsidR="002F779F">
              <w:rPr>
                <w:sz w:val="20"/>
                <w:szCs w:val="20"/>
              </w:rPr>
              <w:t>23,618</w:t>
            </w:r>
          </w:p>
        </w:tc>
        <w:tc>
          <w:tcPr>
            <w:tcW w:w="1980" w:type="dxa"/>
            <w:tcBorders>
              <w:bottom w:val="single" w:sz="4" w:space="0" w:color="auto"/>
            </w:tcBorders>
          </w:tcPr>
          <w:p w14:paraId="1F7C5CC0" w14:textId="6E952647" w:rsidR="000C2A54" w:rsidRPr="00A95808" w:rsidRDefault="00403C79" w:rsidP="000C2A54">
            <w:pPr>
              <w:jc w:val="right"/>
              <w:rPr>
                <w:sz w:val="20"/>
                <w:szCs w:val="20"/>
              </w:rPr>
            </w:pPr>
            <w:r>
              <w:rPr>
                <w:sz w:val="20"/>
                <w:szCs w:val="20"/>
              </w:rPr>
              <w:t>21,</w:t>
            </w:r>
            <w:r w:rsidR="002F779F">
              <w:rPr>
                <w:sz w:val="20"/>
                <w:szCs w:val="20"/>
              </w:rPr>
              <w:t>288</w:t>
            </w:r>
          </w:p>
        </w:tc>
        <w:tc>
          <w:tcPr>
            <w:tcW w:w="1800" w:type="dxa"/>
            <w:tcBorders>
              <w:bottom w:val="single" w:sz="4" w:space="0" w:color="auto"/>
            </w:tcBorders>
          </w:tcPr>
          <w:p w14:paraId="00FEE335" w14:textId="49C33B01" w:rsidR="000C2A54" w:rsidRPr="00A95808" w:rsidRDefault="008215DC" w:rsidP="008215DC">
            <w:pPr>
              <w:jc w:val="center"/>
              <w:rPr>
                <w:sz w:val="20"/>
                <w:szCs w:val="20"/>
              </w:rPr>
            </w:pPr>
            <w:r>
              <w:rPr>
                <w:sz w:val="20"/>
                <w:szCs w:val="20"/>
              </w:rPr>
              <w:t xml:space="preserve">      </w:t>
            </w:r>
            <w:r w:rsidR="00403C79">
              <w:rPr>
                <w:sz w:val="20"/>
                <w:szCs w:val="20"/>
              </w:rPr>
              <w:t>2</w:t>
            </w:r>
            <w:r w:rsidR="002F779F">
              <w:rPr>
                <w:sz w:val="20"/>
                <w:szCs w:val="20"/>
              </w:rPr>
              <w:t>84,737</w:t>
            </w:r>
          </w:p>
        </w:tc>
        <w:tc>
          <w:tcPr>
            <w:tcW w:w="1440" w:type="dxa"/>
            <w:tcBorders>
              <w:bottom w:val="single" w:sz="4" w:space="0" w:color="auto"/>
            </w:tcBorders>
          </w:tcPr>
          <w:p w14:paraId="4D5F173C" w14:textId="6A22339B" w:rsidR="000C2A54" w:rsidRPr="00A95808" w:rsidRDefault="002F779F" w:rsidP="000C2A54">
            <w:pPr>
              <w:jc w:val="right"/>
              <w:rPr>
                <w:sz w:val="20"/>
                <w:szCs w:val="20"/>
              </w:rPr>
            </w:pPr>
            <w:r>
              <w:rPr>
                <w:sz w:val="20"/>
                <w:szCs w:val="20"/>
              </w:rPr>
              <w:t>17,593</w:t>
            </w:r>
          </w:p>
        </w:tc>
        <w:tc>
          <w:tcPr>
            <w:tcW w:w="1440" w:type="dxa"/>
            <w:tcBorders>
              <w:bottom w:val="single" w:sz="4" w:space="0" w:color="auto"/>
            </w:tcBorders>
          </w:tcPr>
          <w:p w14:paraId="540B2E5E" w14:textId="4065072B" w:rsidR="000C2A54" w:rsidRPr="00A95808" w:rsidRDefault="002F779F" w:rsidP="000C2A54">
            <w:pPr>
              <w:jc w:val="right"/>
              <w:rPr>
                <w:sz w:val="20"/>
                <w:szCs w:val="20"/>
              </w:rPr>
            </w:pPr>
            <w:r>
              <w:rPr>
                <w:sz w:val="20"/>
                <w:szCs w:val="20"/>
              </w:rPr>
              <w:t>301,768</w:t>
            </w:r>
          </w:p>
        </w:tc>
      </w:tr>
      <w:tr w:rsidR="000C2A54" w:rsidRPr="004A68BF" w14:paraId="7BC542B7" w14:textId="77777777" w:rsidTr="3285EAFF">
        <w:trPr>
          <w:jc w:val="center"/>
        </w:trPr>
        <w:tc>
          <w:tcPr>
            <w:tcW w:w="2461" w:type="dxa"/>
          </w:tcPr>
          <w:p w14:paraId="01A8DE4E" w14:textId="77777777" w:rsidR="000C2A54" w:rsidRPr="00A95808" w:rsidRDefault="000C2A54" w:rsidP="000C2A54">
            <w:pPr>
              <w:rPr>
                <w:b/>
                <w:sz w:val="20"/>
                <w:szCs w:val="20"/>
              </w:rPr>
            </w:pPr>
            <w:r w:rsidRPr="00A95808">
              <w:rPr>
                <w:b/>
                <w:sz w:val="20"/>
                <w:szCs w:val="20"/>
              </w:rPr>
              <w:t>Total Staff Costs</w:t>
            </w:r>
          </w:p>
        </w:tc>
        <w:tc>
          <w:tcPr>
            <w:tcW w:w="1534" w:type="dxa"/>
            <w:tcBorders>
              <w:top w:val="single" w:sz="4" w:space="0" w:color="auto"/>
              <w:bottom w:val="single" w:sz="4" w:space="0" w:color="auto"/>
            </w:tcBorders>
          </w:tcPr>
          <w:p w14:paraId="4664FE7F" w14:textId="615C3DC6" w:rsidR="000C2A54" w:rsidRPr="00A95808" w:rsidRDefault="00403C79" w:rsidP="000C2A54">
            <w:pPr>
              <w:jc w:val="right"/>
              <w:rPr>
                <w:b/>
                <w:sz w:val="20"/>
                <w:szCs w:val="20"/>
              </w:rPr>
            </w:pPr>
            <w:r>
              <w:rPr>
                <w:b/>
                <w:sz w:val="20"/>
                <w:szCs w:val="20"/>
              </w:rPr>
              <w:t>1,</w:t>
            </w:r>
            <w:r w:rsidR="002F779F">
              <w:rPr>
                <w:b/>
                <w:sz w:val="20"/>
                <w:szCs w:val="20"/>
              </w:rPr>
              <w:t>668,716</w:t>
            </w:r>
          </w:p>
        </w:tc>
        <w:tc>
          <w:tcPr>
            <w:tcW w:w="1980" w:type="dxa"/>
            <w:tcBorders>
              <w:top w:val="single" w:sz="4" w:space="0" w:color="auto"/>
              <w:bottom w:val="single" w:sz="4" w:space="0" w:color="auto"/>
            </w:tcBorders>
          </w:tcPr>
          <w:p w14:paraId="2B8435C4" w14:textId="19CEA359" w:rsidR="000C2A54" w:rsidRPr="00A95808" w:rsidDel="006E56F3" w:rsidRDefault="00403C79" w:rsidP="000C2A54">
            <w:pPr>
              <w:jc w:val="right"/>
              <w:rPr>
                <w:b/>
                <w:sz w:val="20"/>
                <w:szCs w:val="20"/>
              </w:rPr>
            </w:pPr>
            <w:r>
              <w:rPr>
                <w:b/>
                <w:sz w:val="20"/>
                <w:szCs w:val="20"/>
              </w:rPr>
              <w:t>14</w:t>
            </w:r>
            <w:r w:rsidR="002F779F">
              <w:rPr>
                <w:b/>
                <w:sz w:val="20"/>
                <w:szCs w:val="20"/>
              </w:rPr>
              <w:t>9,156</w:t>
            </w:r>
          </w:p>
        </w:tc>
        <w:tc>
          <w:tcPr>
            <w:tcW w:w="1800" w:type="dxa"/>
            <w:tcBorders>
              <w:top w:val="single" w:sz="4" w:space="0" w:color="auto"/>
              <w:bottom w:val="single" w:sz="4" w:space="0" w:color="auto"/>
            </w:tcBorders>
          </w:tcPr>
          <w:p w14:paraId="0A0F672A" w14:textId="2EE78574" w:rsidR="000C2A54" w:rsidRPr="00A95808" w:rsidRDefault="00403C79" w:rsidP="000C2A54">
            <w:pPr>
              <w:jc w:val="right"/>
              <w:rPr>
                <w:b/>
                <w:sz w:val="20"/>
                <w:szCs w:val="20"/>
              </w:rPr>
            </w:pPr>
            <w:r>
              <w:rPr>
                <w:b/>
                <w:sz w:val="20"/>
                <w:szCs w:val="20"/>
              </w:rPr>
              <w:t>1,</w:t>
            </w:r>
            <w:r w:rsidR="002F779F">
              <w:rPr>
                <w:b/>
                <w:sz w:val="20"/>
                <w:szCs w:val="20"/>
              </w:rPr>
              <w:t>403,698</w:t>
            </w:r>
            <w:r w:rsidR="00A415F6">
              <w:rPr>
                <w:rStyle w:val="FootnoteReference"/>
                <w:b/>
                <w:sz w:val="20"/>
                <w:szCs w:val="20"/>
              </w:rPr>
              <w:footnoteReference w:id="19"/>
            </w:r>
          </w:p>
        </w:tc>
        <w:tc>
          <w:tcPr>
            <w:tcW w:w="1440" w:type="dxa"/>
            <w:tcBorders>
              <w:top w:val="single" w:sz="4" w:space="0" w:color="auto"/>
              <w:bottom w:val="single" w:sz="4" w:space="0" w:color="auto"/>
            </w:tcBorders>
            <w:shd w:val="clear" w:color="auto" w:fill="auto"/>
          </w:tcPr>
          <w:p w14:paraId="0BF56A43" w14:textId="775AD238" w:rsidR="000C2A54" w:rsidRPr="00A95808" w:rsidRDefault="002F779F" w:rsidP="000C2A54">
            <w:pPr>
              <w:jc w:val="right"/>
              <w:rPr>
                <w:b/>
                <w:sz w:val="20"/>
                <w:szCs w:val="20"/>
              </w:rPr>
            </w:pPr>
            <w:r>
              <w:rPr>
                <w:b/>
                <w:sz w:val="20"/>
                <w:szCs w:val="20"/>
              </w:rPr>
              <w:t>115,862</w:t>
            </w:r>
          </w:p>
        </w:tc>
        <w:tc>
          <w:tcPr>
            <w:tcW w:w="1440" w:type="dxa"/>
            <w:tcBorders>
              <w:top w:val="single" w:sz="4" w:space="0" w:color="auto"/>
              <w:bottom w:val="single" w:sz="4" w:space="0" w:color="auto"/>
            </w:tcBorders>
          </w:tcPr>
          <w:p w14:paraId="60FA4210" w14:textId="70F509AD" w:rsidR="000C2A54" w:rsidRPr="00A95808" w:rsidRDefault="002F779F" w:rsidP="000C2A54">
            <w:pPr>
              <w:jc w:val="right"/>
              <w:rPr>
                <w:b/>
                <w:sz w:val="20"/>
                <w:szCs w:val="20"/>
              </w:rPr>
            </w:pPr>
            <w:r>
              <w:rPr>
                <w:b/>
                <w:sz w:val="20"/>
                <w:szCs w:val="20"/>
              </w:rPr>
              <w:t>1,573,013</w:t>
            </w:r>
          </w:p>
        </w:tc>
      </w:tr>
    </w:tbl>
    <w:p w14:paraId="599D5DB1" w14:textId="77777777" w:rsidR="000C2A54" w:rsidRDefault="000C2A54" w:rsidP="000C2A54">
      <w:pPr>
        <w:autoSpaceDE w:val="0"/>
        <w:autoSpaceDN w:val="0"/>
        <w:adjustRightInd w:val="0"/>
        <w:ind w:left="567"/>
      </w:pPr>
    </w:p>
    <w:p w14:paraId="052028D8" w14:textId="241FD734" w:rsidR="005B72C1" w:rsidRDefault="000C2A54" w:rsidP="00C54DF1">
      <w:pPr>
        <w:autoSpaceDE w:val="0"/>
        <w:autoSpaceDN w:val="0"/>
        <w:adjustRightInd w:val="0"/>
      </w:pPr>
      <w:r>
        <w:t>There were no inward secon</w:t>
      </w:r>
      <w:r w:rsidR="0057710A">
        <w:t xml:space="preserve">ded staff during </w:t>
      </w:r>
      <w:r w:rsidR="00403C79">
        <w:t>20</w:t>
      </w:r>
      <w:r w:rsidR="5B581C4D">
        <w:t>2</w:t>
      </w:r>
      <w:r w:rsidR="00C4616A">
        <w:t>2</w:t>
      </w:r>
      <w:r w:rsidR="00403C79">
        <w:t>-2</w:t>
      </w:r>
      <w:r w:rsidR="00C4616A">
        <w:t>3</w:t>
      </w:r>
      <w:r w:rsidR="00DE3AEE">
        <w:t xml:space="preserve"> (</w:t>
      </w:r>
      <w:r w:rsidR="00403C79">
        <w:t>202</w:t>
      </w:r>
      <w:r w:rsidR="00C4616A">
        <w:t>1</w:t>
      </w:r>
      <w:r w:rsidR="00403C79">
        <w:t>-2</w:t>
      </w:r>
      <w:r w:rsidR="00C4616A">
        <w:t>2</w:t>
      </w:r>
      <w:r w:rsidR="005B72C1">
        <w:t>: None)</w:t>
      </w:r>
      <w:r>
        <w:t>.</w:t>
      </w:r>
      <w:r w:rsidR="00731FD6">
        <w:t xml:space="preserve">  </w:t>
      </w:r>
    </w:p>
    <w:p w14:paraId="3DCB9C45" w14:textId="77777777" w:rsidR="00F824B3" w:rsidRDefault="00F824B3" w:rsidP="00C54DF1">
      <w:pPr>
        <w:autoSpaceDE w:val="0"/>
        <w:autoSpaceDN w:val="0"/>
        <w:adjustRightInd w:val="0"/>
      </w:pPr>
    </w:p>
    <w:p w14:paraId="4736C694" w14:textId="77777777" w:rsidR="000C2A54" w:rsidRPr="00F97E5F" w:rsidRDefault="00F824B3" w:rsidP="000F5ED9">
      <w:pPr>
        <w:autoSpaceDE w:val="0"/>
        <w:autoSpaceDN w:val="0"/>
        <w:adjustRightInd w:val="0"/>
      </w:pPr>
      <w:r>
        <w:t>Staff detailed as ‘Others’ includes temporary staff directly employed by the Commission, temporary agency staff and the Chair of the Commission’s Audit and Risk Management Committee</w:t>
      </w:r>
      <w:r w:rsidR="00C606DC">
        <w:t>.</w:t>
      </w:r>
    </w:p>
    <w:p w14:paraId="1B6CE87F" w14:textId="77777777" w:rsidR="00737A8F" w:rsidRDefault="00737A8F" w:rsidP="00B61C59">
      <w:pPr>
        <w:autoSpaceDE w:val="0"/>
        <w:autoSpaceDN w:val="0"/>
        <w:adjustRightInd w:val="0"/>
      </w:pPr>
    </w:p>
    <w:p w14:paraId="3C20039D" w14:textId="5994E1EC" w:rsidR="000C2A54" w:rsidRPr="00F97E5F" w:rsidRDefault="000C2A54" w:rsidP="00B61C59">
      <w:pPr>
        <w:autoSpaceDE w:val="0"/>
        <w:autoSpaceDN w:val="0"/>
        <w:adjustRightInd w:val="0"/>
      </w:pPr>
      <w:r>
        <w:t>Details o</w:t>
      </w:r>
      <w:r w:rsidR="00C141C6">
        <w:t xml:space="preserve">f the pension contributions of </w:t>
      </w:r>
      <w:r w:rsidR="00C02487">
        <w:t>£</w:t>
      </w:r>
      <w:r w:rsidR="00403C79">
        <w:t>21,</w:t>
      </w:r>
      <w:r w:rsidR="00C4616A">
        <w:t>288</w:t>
      </w:r>
      <w:r>
        <w:t xml:space="preserve"> payable i</w:t>
      </w:r>
      <w:r w:rsidR="00DE3AEE">
        <w:t>n respect of Commissioners (</w:t>
      </w:r>
      <w:r w:rsidR="00403C79">
        <w:t>202</w:t>
      </w:r>
      <w:r w:rsidR="00C4616A">
        <w:t>1</w:t>
      </w:r>
      <w:r w:rsidR="00403C79">
        <w:t>-2</w:t>
      </w:r>
      <w:r w:rsidR="00C4616A">
        <w:t>2</w:t>
      </w:r>
      <w:r>
        <w:t>: £</w:t>
      </w:r>
      <w:r w:rsidR="00403C79">
        <w:t>21,</w:t>
      </w:r>
      <w:r w:rsidR="00C4616A">
        <w:t>441</w:t>
      </w:r>
      <w:r>
        <w:t xml:space="preserve">) are described </w:t>
      </w:r>
      <w:r w:rsidR="001B7925">
        <w:t>above</w:t>
      </w:r>
      <w:r>
        <w:t>.</w:t>
      </w:r>
    </w:p>
    <w:p w14:paraId="33376FB5" w14:textId="77777777" w:rsidR="000C2A54" w:rsidRPr="00F97E5F" w:rsidRDefault="000C2A54" w:rsidP="00B61C59">
      <w:pPr>
        <w:autoSpaceDE w:val="0"/>
        <w:autoSpaceDN w:val="0"/>
        <w:adjustRightInd w:val="0"/>
      </w:pPr>
    </w:p>
    <w:p w14:paraId="70C54C24" w14:textId="7EDB48B9" w:rsidR="000C2A54" w:rsidRPr="00077C90" w:rsidRDefault="000C2A54" w:rsidP="00B61C59">
      <w:pPr>
        <w:autoSpaceDE w:val="0"/>
        <w:autoSpaceDN w:val="0"/>
        <w:adjustRightInd w:val="0"/>
      </w:pPr>
      <w:r w:rsidRPr="00F97E5F">
        <w:t>The Commission’s staff are covered by the Principal Civil Service Pension Scheme (PCSPS)</w:t>
      </w:r>
      <w:r w:rsidR="00077C90">
        <w:t xml:space="preserve"> and the Civil Servant and Other Pension Scheme (CSOPS) – known as ‘</w:t>
      </w:r>
      <w:r w:rsidR="00281F8F">
        <w:t>a</w:t>
      </w:r>
      <w:r w:rsidR="00077C90">
        <w:t>lpha’</w:t>
      </w:r>
      <w:r w:rsidRPr="00F97E5F">
        <w:t>.  PCSPS</w:t>
      </w:r>
      <w:r w:rsidR="00077C90">
        <w:t xml:space="preserve"> and CSOPS are</w:t>
      </w:r>
      <w:r w:rsidRPr="00F97E5F">
        <w:t xml:space="preserve"> unfunded multi–employer defined benefit scheme</w:t>
      </w:r>
      <w:r w:rsidR="00077C90">
        <w:t>s</w:t>
      </w:r>
      <w:r w:rsidRPr="00F97E5F">
        <w:t xml:space="preserve"> but </w:t>
      </w:r>
      <w:r w:rsidRPr="00F97E5F">
        <w:rPr>
          <w:rFonts w:cs="Arial"/>
          <w:lang w:val="en-US"/>
        </w:rPr>
        <w:t xml:space="preserve">the Commission </w:t>
      </w:r>
      <w:r w:rsidR="002A501C">
        <w:t xml:space="preserve">is unable to </w:t>
      </w:r>
      <w:r w:rsidRPr="00F97E5F">
        <w:t>identify its share of the underlying assets and liabilities.  The scheme actuary value</w:t>
      </w:r>
      <w:r w:rsidR="0072512F">
        <w:t>d the scheme as at 31 March 2016</w:t>
      </w:r>
      <w:r w:rsidRPr="00F97E5F">
        <w:t>.  Details can be found in the resource accounts of the Cabinet Office: Civil Superannuation (</w:t>
      </w:r>
      <w:hyperlink r:id="rId31" w:history="1">
        <w:r w:rsidR="00BB74EA">
          <w:rPr>
            <w:rStyle w:val="Hyperlink"/>
          </w:rPr>
          <w:t>Scheme valuations - Civil Service Pension Scheme</w:t>
        </w:r>
      </w:hyperlink>
      <w:r w:rsidRPr="00F97E5F">
        <w:t>).</w:t>
      </w:r>
    </w:p>
    <w:p w14:paraId="5C06F5AA" w14:textId="77777777" w:rsidR="000C2A54" w:rsidRPr="00F97E5F" w:rsidRDefault="000C2A54" w:rsidP="00B61C59">
      <w:pPr>
        <w:autoSpaceDE w:val="0"/>
        <w:autoSpaceDN w:val="0"/>
        <w:adjustRightInd w:val="0"/>
        <w:rPr>
          <w:rFonts w:cs="Arial"/>
          <w:lang w:val="en-US"/>
        </w:rPr>
      </w:pPr>
    </w:p>
    <w:p w14:paraId="120B6CE0" w14:textId="1F5034FB" w:rsidR="000C2A54" w:rsidRPr="00F97E5F" w:rsidRDefault="000C2A54" w:rsidP="00B61C59">
      <w:pPr>
        <w:autoSpaceDE w:val="0"/>
        <w:autoSpaceDN w:val="0"/>
        <w:adjustRightInd w:val="0"/>
        <w:rPr>
          <w:rFonts w:cs="Arial"/>
          <w:lang w:val="en-US"/>
        </w:rPr>
      </w:pPr>
      <w:r w:rsidRPr="3285EAFF">
        <w:rPr>
          <w:rFonts w:cs="Arial"/>
          <w:lang w:val="en-US"/>
        </w:rPr>
        <w:t xml:space="preserve">For </w:t>
      </w:r>
      <w:r w:rsidR="00403C79">
        <w:t>20</w:t>
      </w:r>
      <w:r w:rsidR="206397E3">
        <w:t>2</w:t>
      </w:r>
      <w:r w:rsidR="00C4616A">
        <w:t>2</w:t>
      </w:r>
      <w:r w:rsidR="00403C79">
        <w:t>-2</w:t>
      </w:r>
      <w:r w:rsidR="00C4616A">
        <w:t>3</w:t>
      </w:r>
      <w:r w:rsidRPr="3285EAFF">
        <w:rPr>
          <w:rFonts w:cs="Arial"/>
          <w:lang w:val="en-US"/>
        </w:rPr>
        <w:t xml:space="preserve">, employers’ contributions of </w:t>
      </w:r>
      <w:r w:rsidR="00636AA4" w:rsidRPr="3285EAFF">
        <w:rPr>
          <w:rFonts w:cs="Arial"/>
          <w:lang w:val="en-US"/>
        </w:rPr>
        <w:t>£</w:t>
      </w:r>
      <w:r w:rsidR="00403C79">
        <w:rPr>
          <w:rFonts w:cs="Arial"/>
          <w:lang w:val="en-US"/>
        </w:rPr>
        <w:t>3</w:t>
      </w:r>
      <w:r w:rsidR="00C4616A">
        <w:rPr>
          <w:rFonts w:cs="Arial"/>
          <w:lang w:val="en-US"/>
        </w:rPr>
        <w:t>23</w:t>
      </w:r>
      <w:r w:rsidR="00403C79">
        <w:rPr>
          <w:rFonts w:cs="Arial"/>
          <w:lang w:val="en-US"/>
        </w:rPr>
        <w:t>,</w:t>
      </w:r>
      <w:r w:rsidR="00C4616A">
        <w:rPr>
          <w:rFonts w:cs="Arial"/>
          <w:lang w:val="en-US"/>
        </w:rPr>
        <w:t>618</w:t>
      </w:r>
      <w:r w:rsidR="008215DC">
        <w:rPr>
          <w:rStyle w:val="FootnoteReference"/>
          <w:rFonts w:cs="Arial"/>
          <w:lang w:val="en-US"/>
        </w:rPr>
        <w:footnoteReference w:id="20"/>
      </w:r>
      <w:r w:rsidR="00403C79">
        <w:rPr>
          <w:rFonts w:cs="Arial"/>
          <w:lang w:val="en-US"/>
        </w:rPr>
        <w:t xml:space="preserve"> </w:t>
      </w:r>
      <w:r w:rsidR="005D69D1" w:rsidRPr="3285EAFF">
        <w:rPr>
          <w:rFonts w:cs="Arial"/>
          <w:lang w:val="en-US"/>
        </w:rPr>
        <w:t>were payable to PCSPS (</w:t>
      </w:r>
      <w:r w:rsidR="00403C79">
        <w:rPr>
          <w:rFonts w:cs="Arial"/>
          <w:lang w:val="en-US"/>
        </w:rPr>
        <w:t>20</w:t>
      </w:r>
      <w:r w:rsidR="6775F563" w:rsidRPr="3285EAFF">
        <w:rPr>
          <w:rFonts w:cs="Arial"/>
          <w:lang w:val="en-US"/>
        </w:rPr>
        <w:t>2</w:t>
      </w:r>
      <w:r w:rsidR="00C4616A">
        <w:rPr>
          <w:rFonts w:cs="Arial"/>
          <w:lang w:val="en-US"/>
        </w:rPr>
        <w:t>1</w:t>
      </w:r>
      <w:r w:rsidR="00403C79">
        <w:rPr>
          <w:rFonts w:cs="Arial"/>
          <w:lang w:val="en-US"/>
        </w:rPr>
        <w:t>-2</w:t>
      </w:r>
      <w:r w:rsidR="00C4616A">
        <w:rPr>
          <w:rFonts w:cs="Arial"/>
          <w:lang w:val="en-US"/>
        </w:rPr>
        <w:t>2</w:t>
      </w:r>
      <w:r w:rsidRPr="3285EAFF">
        <w:rPr>
          <w:rFonts w:cs="Arial"/>
          <w:lang w:val="en-US"/>
        </w:rPr>
        <w:t>: £</w:t>
      </w:r>
      <w:r w:rsidR="00C4616A">
        <w:rPr>
          <w:rFonts w:cs="Arial"/>
          <w:lang w:val="en-US"/>
        </w:rPr>
        <w:t>301</w:t>
      </w:r>
      <w:r w:rsidR="00403C79">
        <w:rPr>
          <w:rFonts w:cs="Arial"/>
          <w:lang w:val="en-US"/>
        </w:rPr>
        <w:t>,</w:t>
      </w:r>
      <w:r w:rsidR="00C4616A">
        <w:rPr>
          <w:rFonts w:cs="Arial"/>
          <w:lang w:val="en-US"/>
        </w:rPr>
        <w:t>768</w:t>
      </w:r>
      <w:r w:rsidRPr="3285EAFF">
        <w:rPr>
          <w:rFonts w:cs="Arial"/>
          <w:lang w:val="en-US"/>
        </w:rPr>
        <w:t>) at one of four rates in the range 2</w:t>
      </w:r>
      <w:r w:rsidR="00C4616A">
        <w:rPr>
          <w:rFonts w:cs="Arial"/>
          <w:lang w:val="en-US"/>
        </w:rPr>
        <w:t>6.6</w:t>
      </w:r>
      <w:r w:rsidRPr="3285EAFF">
        <w:rPr>
          <w:rFonts w:cs="Arial"/>
          <w:lang w:val="en-US"/>
        </w:rPr>
        <w:t xml:space="preserve"> per cent to </w:t>
      </w:r>
      <w:r w:rsidR="00C4616A">
        <w:rPr>
          <w:rFonts w:cs="Arial"/>
          <w:lang w:val="en-US"/>
        </w:rPr>
        <w:t>30.3</w:t>
      </w:r>
      <w:r w:rsidRPr="3285EAFF">
        <w:rPr>
          <w:rFonts w:cs="Arial"/>
          <w:lang w:val="en-US"/>
        </w:rPr>
        <w:t xml:space="preserve"> per cent of pensionable pay, based on salary bands</w:t>
      </w:r>
      <w:r w:rsidR="00FF1FA8" w:rsidRPr="3285EAFF">
        <w:rPr>
          <w:rFonts w:cs="Arial"/>
          <w:lang w:val="en-US"/>
        </w:rPr>
        <w:t xml:space="preserve">. </w:t>
      </w:r>
      <w:r w:rsidRPr="3285EAFF">
        <w:rPr>
          <w:rFonts w:cs="Arial"/>
          <w:lang w:val="en-US"/>
        </w:rPr>
        <w:t>The Scheme Actuary reviews employer contributions usually every four years following a full scheme valuation</w:t>
      </w:r>
      <w:r w:rsidR="00FF1FA8" w:rsidRPr="3285EAFF">
        <w:rPr>
          <w:rFonts w:cs="Arial"/>
          <w:lang w:val="en-US"/>
        </w:rPr>
        <w:t xml:space="preserve">. </w:t>
      </w:r>
      <w:r w:rsidRPr="3285EAFF">
        <w:rPr>
          <w:rFonts w:cs="Arial"/>
          <w:lang w:val="en-US"/>
        </w:rPr>
        <w:t xml:space="preserve">The contribution rates are set to meet the cost of the benefits accruing during </w:t>
      </w:r>
      <w:r w:rsidR="00E865B2">
        <w:t>202</w:t>
      </w:r>
      <w:r w:rsidR="00C4616A">
        <w:t>2</w:t>
      </w:r>
      <w:r w:rsidR="00E865B2">
        <w:t>-2</w:t>
      </w:r>
      <w:r w:rsidR="00C4616A">
        <w:t>3</w:t>
      </w:r>
      <w:r>
        <w:t xml:space="preserve"> </w:t>
      </w:r>
      <w:r w:rsidRPr="3285EAFF">
        <w:rPr>
          <w:rFonts w:cs="Arial"/>
          <w:lang w:val="en-US"/>
        </w:rPr>
        <w:t xml:space="preserve">to be paid when the member retires and not the benefits paid during this period to existing pensioners. </w:t>
      </w:r>
    </w:p>
    <w:p w14:paraId="5B5C995A" w14:textId="77777777" w:rsidR="000C2A54" w:rsidRPr="00BE16D9" w:rsidRDefault="000C2A54" w:rsidP="00B61C59">
      <w:pPr>
        <w:rPr>
          <w:sz w:val="22"/>
          <w:szCs w:val="22"/>
          <w:lang w:val="en-US"/>
        </w:rPr>
      </w:pPr>
    </w:p>
    <w:p w14:paraId="0A73F295" w14:textId="4C09A493" w:rsidR="000C2A54" w:rsidRDefault="000C2A54" w:rsidP="00B61C59">
      <w:r w:rsidRPr="3285EAFF">
        <w:rPr>
          <w:lang w:val="en-US"/>
        </w:rPr>
        <w:t>Employees can opt to open a partnership pension account, a stakeholder pension with an employer contribution</w:t>
      </w:r>
      <w:r w:rsidR="00FF1FA8" w:rsidRPr="3285EAFF">
        <w:rPr>
          <w:lang w:val="en-US"/>
        </w:rPr>
        <w:t xml:space="preserve">. </w:t>
      </w:r>
      <w:r w:rsidRPr="3285EAFF">
        <w:rPr>
          <w:lang w:val="en-US"/>
        </w:rPr>
        <w:t xml:space="preserve">There were no employers’ contributions made to one or more of the </w:t>
      </w:r>
      <w:r w:rsidR="000A30FB" w:rsidRPr="3285EAFF">
        <w:rPr>
          <w:lang w:val="en-US"/>
        </w:rPr>
        <w:t>panels</w:t>
      </w:r>
      <w:r w:rsidRPr="3285EAFF">
        <w:rPr>
          <w:lang w:val="en-US"/>
        </w:rPr>
        <w:t xml:space="preserve"> of three appointed stakeholder pension providers </w:t>
      </w:r>
      <w:r>
        <w:t>(</w:t>
      </w:r>
      <w:r w:rsidR="00E865B2">
        <w:rPr>
          <w:rFonts w:cs="Arial"/>
          <w:lang w:val="en-US"/>
        </w:rPr>
        <w:t>20</w:t>
      </w:r>
      <w:r w:rsidR="3137565D" w:rsidRPr="3285EAFF">
        <w:rPr>
          <w:rFonts w:cs="Arial"/>
          <w:lang w:val="en-US"/>
        </w:rPr>
        <w:t>2</w:t>
      </w:r>
      <w:r w:rsidR="00C4616A">
        <w:rPr>
          <w:rFonts w:cs="Arial"/>
          <w:lang w:val="en-US"/>
        </w:rPr>
        <w:t>1</w:t>
      </w:r>
      <w:r w:rsidR="00E865B2">
        <w:rPr>
          <w:rFonts w:cs="Arial"/>
          <w:lang w:val="en-US"/>
        </w:rPr>
        <w:t>-2</w:t>
      </w:r>
      <w:r w:rsidR="00C4616A">
        <w:rPr>
          <w:rFonts w:cs="Arial"/>
          <w:lang w:val="en-US"/>
        </w:rPr>
        <w:t>2</w:t>
      </w:r>
      <w:r>
        <w:t>: £</w:t>
      </w:r>
      <w:r w:rsidRPr="3285EAFF">
        <w:rPr>
          <w:lang w:val="en-US"/>
        </w:rPr>
        <w:t>Nil</w:t>
      </w:r>
      <w:r>
        <w:t>)</w:t>
      </w:r>
      <w:r w:rsidR="00FF1FA8">
        <w:t xml:space="preserve">. </w:t>
      </w:r>
      <w:r w:rsidRPr="3285EAFF">
        <w:rPr>
          <w:lang w:val="en-US"/>
        </w:rPr>
        <w:t>Employer contributions are age</w:t>
      </w:r>
      <w:r w:rsidRPr="3285EAFF">
        <w:rPr>
          <w:rFonts w:cs="Arial"/>
          <w:lang w:val="en-US"/>
        </w:rPr>
        <w:t>–</w:t>
      </w:r>
      <w:r w:rsidRPr="3285EAFF">
        <w:rPr>
          <w:lang w:val="en-US"/>
        </w:rPr>
        <w:t>related and ranged from 8 per cent to 14.75 per cent (depending on the age of the member)</w:t>
      </w:r>
      <w:r w:rsidR="00FF1FA8" w:rsidRPr="3285EAFF">
        <w:rPr>
          <w:lang w:val="en-US"/>
        </w:rPr>
        <w:t xml:space="preserve">. </w:t>
      </w:r>
      <w:r w:rsidRPr="3285EAFF">
        <w:rPr>
          <w:lang w:val="en-US"/>
        </w:rPr>
        <w:t>Employers also match employee contributions up to 3 per cent of pensionable pay</w:t>
      </w:r>
      <w:r w:rsidR="00FF1FA8" w:rsidRPr="3285EAFF">
        <w:rPr>
          <w:lang w:val="en-US"/>
        </w:rPr>
        <w:t xml:space="preserve">. </w:t>
      </w:r>
      <w:r w:rsidRPr="3285EAFF">
        <w:rPr>
          <w:lang w:val="en-US"/>
        </w:rPr>
        <w:t xml:space="preserve">There were no additional employer contributions at 0.5 per cent of pensionable salary to cover the cost of </w:t>
      </w:r>
      <w:r w:rsidRPr="3285EAFF">
        <w:rPr>
          <w:lang w:val="en-US"/>
        </w:rPr>
        <w:lastRenderedPageBreak/>
        <w:t xml:space="preserve">centrally-provided risk benefit cover (death in service and ill-health retirement) </w:t>
      </w:r>
      <w:r>
        <w:t>(</w:t>
      </w:r>
      <w:r w:rsidR="00E865B2">
        <w:rPr>
          <w:rFonts w:cs="Arial"/>
          <w:lang w:val="en-US"/>
        </w:rPr>
        <w:t>20</w:t>
      </w:r>
      <w:r w:rsidR="0084B063" w:rsidRPr="3285EAFF">
        <w:rPr>
          <w:rFonts w:cs="Arial"/>
          <w:lang w:val="en-US"/>
        </w:rPr>
        <w:t>2</w:t>
      </w:r>
      <w:r w:rsidR="00C4616A">
        <w:rPr>
          <w:rFonts w:cs="Arial"/>
          <w:lang w:val="en-US"/>
        </w:rPr>
        <w:t>1</w:t>
      </w:r>
      <w:r w:rsidR="00E865B2">
        <w:rPr>
          <w:rFonts w:cs="Arial"/>
          <w:lang w:val="en-US"/>
        </w:rPr>
        <w:t>-2</w:t>
      </w:r>
      <w:r w:rsidR="00C4616A">
        <w:rPr>
          <w:rFonts w:cs="Arial"/>
          <w:lang w:val="en-US"/>
        </w:rPr>
        <w:t>2</w:t>
      </w:r>
      <w:r>
        <w:t>: £</w:t>
      </w:r>
      <w:r w:rsidRPr="3285EAFF">
        <w:rPr>
          <w:lang w:val="en-US"/>
        </w:rPr>
        <w:t>Nil</w:t>
      </w:r>
      <w:r>
        <w:t>).</w:t>
      </w:r>
    </w:p>
    <w:p w14:paraId="1D2DEC4A" w14:textId="77777777" w:rsidR="00FC5374" w:rsidRPr="00F97E5F" w:rsidRDefault="00FC5374" w:rsidP="00B61C59"/>
    <w:p w14:paraId="05CE822B" w14:textId="72043137" w:rsidR="000C2A54" w:rsidRPr="005D69D1" w:rsidRDefault="000C2A54" w:rsidP="3285EAFF">
      <w:pPr>
        <w:rPr>
          <w:i/>
          <w:iCs/>
        </w:rPr>
      </w:pPr>
      <w:r>
        <w:t>The expected employer pension contributions to the Principal Civil</w:t>
      </w:r>
      <w:r w:rsidR="00A80575">
        <w:t xml:space="preserve"> Service Pension Scheme for </w:t>
      </w:r>
      <w:r w:rsidR="00E865B2">
        <w:t>20</w:t>
      </w:r>
      <w:r w:rsidR="24B53533">
        <w:t>2</w:t>
      </w:r>
      <w:r w:rsidR="00C4616A">
        <w:t>3</w:t>
      </w:r>
      <w:r w:rsidR="00E865B2">
        <w:t>-2</w:t>
      </w:r>
      <w:r w:rsidR="00C4616A">
        <w:t>4</w:t>
      </w:r>
      <w:r>
        <w:t xml:space="preserve"> is </w:t>
      </w:r>
      <w:r w:rsidR="00FA0FFC">
        <w:t xml:space="preserve">estimated at </w:t>
      </w:r>
      <w:r w:rsidR="008215DC">
        <w:t>£</w:t>
      </w:r>
      <w:r w:rsidR="00FA48BC">
        <w:t>366,478</w:t>
      </w:r>
      <w:r w:rsidR="00FA0FFC">
        <w:t xml:space="preserve"> </w:t>
      </w:r>
    </w:p>
    <w:p w14:paraId="5E645056" w14:textId="77777777" w:rsidR="000C2A54" w:rsidRPr="00F97E5F" w:rsidRDefault="000C2A54" w:rsidP="00B61C59"/>
    <w:p w14:paraId="496ACD3B" w14:textId="6962A4CB" w:rsidR="000C2A54" w:rsidRPr="00F97E5F" w:rsidRDefault="00912417" w:rsidP="00B61C59">
      <w:r>
        <w:t>There were</w:t>
      </w:r>
      <w:r w:rsidR="000C2A54">
        <w:t xml:space="preserve"> no staff who retired early on</w:t>
      </w:r>
      <w:r w:rsidR="005D69D1">
        <w:t xml:space="preserve"> ill-health grounds during </w:t>
      </w:r>
      <w:r w:rsidR="00E865B2">
        <w:t>20</w:t>
      </w:r>
      <w:r w:rsidR="3EF6A621">
        <w:t>2</w:t>
      </w:r>
      <w:r w:rsidR="00FA48BC">
        <w:t>2</w:t>
      </w:r>
      <w:r w:rsidR="00E865B2">
        <w:t>-2</w:t>
      </w:r>
      <w:r w:rsidR="00FA48BC">
        <w:t>3</w:t>
      </w:r>
      <w:r w:rsidR="004A68BF">
        <w:t xml:space="preserve"> (</w:t>
      </w:r>
      <w:r w:rsidR="00E865B2">
        <w:t>20</w:t>
      </w:r>
      <w:r w:rsidR="7B7D4706">
        <w:t>2</w:t>
      </w:r>
      <w:r w:rsidR="00FA48BC">
        <w:t>1</w:t>
      </w:r>
      <w:r w:rsidR="00E865B2">
        <w:t>-2</w:t>
      </w:r>
      <w:r w:rsidR="00FA48BC">
        <w:t>2</w:t>
      </w:r>
      <w:r w:rsidR="004A68BF">
        <w:t>: None).</w:t>
      </w:r>
    </w:p>
    <w:p w14:paraId="2150300B" w14:textId="77777777" w:rsidR="000C2A54" w:rsidRPr="00BE16D9" w:rsidRDefault="000C2A54" w:rsidP="000C2A54">
      <w:pPr>
        <w:autoSpaceDE w:val="0"/>
        <w:autoSpaceDN w:val="0"/>
        <w:adjustRightInd w:val="0"/>
        <w:jc w:val="both"/>
        <w:rPr>
          <w:rFonts w:cs="Arial"/>
          <w:b/>
          <w:bCs/>
          <w:sz w:val="22"/>
          <w:szCs w:val="22"/>
          <w:lang w:val="en-US"/>
        </w:rPr>
      </w:pPr>
    </w:p>
    <w:p w14:paraId="1C4FE725" w14:textId="77777777" w:rsidR="003D5134" w:rsidRDefault="00D14957" w:rsidP="00D14957">
      <w:pPr>
        <w:autoSpaceDE w:val="0"/>
        <w:autoSpaceDN w:val="0"/>
        <w:adjustRightInd w:val="0"/>
        <w:jc w:val="both"/>
        <w:rPr>
          <w:rFonts w:cs="Arial"/>
          <w:b/>
          <w:bCs/>
          <w:lang w:val="en-US"/>
        </w:rPr>
      </w:pPr>
      <w:r>
        <w:rPr>
          <w:rFonts w:cs="Arial"/>
          <w:b/>
          <w:bCs/>
          <w:lang w:val="en-US"/>
        </w:rPr>
        <w:t>Number of Senior Civil Service Staff</w:t>
      </w:r>
    </w:p>
    <w:p w14:paraId="4063456B" w14:textId="77777777" w:rsidR="00D14957" w:rsidRDefault="00D14957" w:rsidP="00D14957">
      <w:pPr>
        <w:autoSpaceDE w:val="0"/>
        <w:autoSpaceDN w:val="0"/>
        <w:adjustRightInd w:val="0"/>
        <w:jc w:val="both"/>
        <w:rPr>
          <w:rFonts w:cs="Arial"/>
          <w:b/>
          <w:bCs/>
          <w:lang w:val="en-US"/>
        </w:rPr>
      </w:pPr>
    </w:p>
    <w:tbl>
      <w:tblPr>
        <w:tblStyle w:val="TableGrid"/>
        <w:tblW w:w="0" w:type="auto"/>
        <w:tblLook w:val="04A0" w:firstRow="1" w:lastRow="0" w:firstColumn="1" w:lastColumn="0" w:noHBand="0" w:noVBand="1"/>
      </w:tblPr>
      <w:tblGrid>
        <w:gridCol w:w="3020"/>
        <w:gridCol w:w="3020"/>
        <w:gridCol w:w="3021"/>
      </w:tblGrid>
      <w:tr w:rsidR="00D14957" w14:paraId="6FFB0976" w14:textId="77777777" w:rsidTr="3285EAFF">
        <w:tc>
          <w:tcPr>
            <w:tcW w:w="3020" w:type="dxa"/>
          </w:tcPr>
          <w:p w14:paraId="3B6ADE95" w14:textId="77777777" w:rsidR="00D14957" w:rsidRDefault="00D14957" w:rsidP="00D14957">
            <w:pPr>
              <w:autoSpaceDE w:val="0"/>
              <w:autoSpaceDN w:val="0"/>
              <w:adjustRightInd w:val="0"/>
              <w:jc w:val="center"/>
              <w:rPr>
                <w:rFonts w:cs="Arial"/>
                <w:b/>
                <w:bCs/>
              </w:rPr>
            </w:pPr>
            <w:r>
              <w:rPr>
                <w:rFonts w:cs="Arial"/>
                <w:b/>
                <w:bCs/>
              </w:rPr>
              <w:t>Grade of Senior Civil Servant</w:t>
            </w:r>
          </w:p>
        </w:tc>
        <w:tc>
          <w:tcPr>
            <w:tcW w:w="3020" w:type="dxa"/>
          </w:tcPr>
          <w:p w14:paraId="0DE9C343" w14:textId="10EC5755" w:rsidR="00D14957" w:rsidRDefault="00E865B2" w:rsidP="00D14957">
            <w:pPr>
              <w:autoSpaceDE w:val="0"/>
              <w:autoSpaceDN w:val="0"/>
              <w:adjustRightInd w:val="0"/>
              <w:jc w:val="center"/>
              <w:rPr>
                <w:rFonts w:cs="Arial"/>
                <w:b/>
                <w:bCs/>
              </w:rPr>
            </w:pPr>
            <w:r>
              <w:rPr>
                <w:rFonts w:cs="Arial"/>
                <w:b/>
                <w:bCs/>
              </w:rPr>
              <w:t>202</w:t>
            </w:r>
            <w:r w:rsidR="00FA48BC">
              <w:rPr>
                <w:rFonts w:cs="Arial"/>
                <w:b/>
                <w:bCs/>
              </w:rPr>
              <w:t>2</w:t>
            </w:r>
            <w:r>
              <w:rPr>
                <w:rFonts w:cs="Arial"/>
                <w:b/>
                <w:bCs/>
              </w:rPr>
              <w:t>-2</w:t>
            </w:r>
            <w:r w:rsidR="00FA48BC">
              <w:rPr>
                <w:rFonts w:cs="Arial"/>
                <w:b/>
                <w:bCs/>
              </w:rPr>
              <w:t>3</w:t>
            </w:r>
            <w:r w:rsidR="00D14957" w:rsidRPr="3285EAFF">
              <w:rPr>
                <w:rFonts w:cs="Arial"/>
                <w:b/>
                <w:bCs/>
              </w:rPr>
              <w:t xml:space="preserve"> </w:t>
            </w:r>
          </w:p>
          <w:p w14:paraId="5BF49F9B" w14:textId="77777777" w:rsidR="00D14957" w:rsidRDefault="00D14957" w:rsidP="00D14957">
            <w:pPr>
              <w:autoSpaceDE w:val="0"/>
              <w:autoSpaceDN w:val="0"/>
              <w:adjustRightInd w:val="0"/>
              <w:jc w:val="center"/>
              <w:rPr>
                <w:rFonts w:cs="Arial"/>
                <w:b/>
                <w:bCs/>
              </w:rPr>
            </w:pPr>
            <w:r>
              <w:rPr>
                <w:rFonts w:cs="Arial"/>
                <w:b/>
                <w:bCs/>
              </w:rPr>
              <w:t>Number of Staff</w:t>
            </w:r>
          </w:p>
        </w:tc>
        <w:tc>
          <w:tcPr>
            <w:tcW w:w="3021" w:type="dxa"/>
          </w:tcPr>
          <w:p w14:paraId="529BD4F9" w14:textId="1A99381A" w:rsidR="00D14957" w:rsidRDefault="00E865B2" w:rsidP="00D14957">
            <w:pPr>
              <w:autoSpaceDE w:val="0"/>
              <w:autoSpaceDN w:val="0"/>
              <w:adjustRightInd w:val="0"/>
              <w:jc w:val="center"/>
              <w:rPr>
                <w:rFonts w:cs="Arial"/>
                <w:b/>
                <w:bCs/>
              </w:rPr>
            </w:pPr>
            <w:r>
              <w:rPr>
                <w:rFonts w:cs="Arial"/>
                <w:b/>
                <w:bCs/>
              </w:rPr>
              <w:t>202</w:t>
            </w:r>
            <w:r w:rsidR="00FA48BC">
              <w:rPr>
                <w:rFonts w:cs="Arial"/>
                <w:b/>
                <w:bCs/>
              </w:rPr>
              <w:t>1</w:t>
            </w:r>
            <w:r>
              <w:rPr>
                <w:rFonts w:cs="Arial"/>
                <w:b/>
                <w:bCs/>
              </w:rPr>
              <w:t>-2</w:t>
            </w:r>
            <w:r w:rsidR="00FA48BC">
              <w:rPr>
                <w:rFonts w:cs="Arial"/>
                <w:b/>
                <w:bCs/>
              </w:rPr>
              <w:t>2</w:t>
            </w:r>
          </w:p>
          <w:p w14:paraId="3F46423A" w14:textId="77777777" w:rsidR="00D14957" w:rsidRDefault="00D14957" w:rsidP="00D14957">
            <w:pPr>
              <w:autoSpaceDE w:val="0"/>
              <w:autoSpaceDN w:val="0"/>
              <w:adjustRightInd w:val="0"/>
              <w:jc w:val="center"/>
              <w:rPr>
                <w:rFonts w:cs="Arial"/>
                <w:b/>
                <w:bCs/>
              </w:rPr>
            </w:pPr>
            <w:r>
              <w:rPr>
                <w:rFonts w:cs="Arial"/>
                <w:b/>
                <w:bCs/>
              </w:rPr>
              <w:t>Number of Staff</w:t>
            </w:r>
          </w:p>
          <w:p w14:paraId="056788E2" w14:textId="77777777" w:rsidR="00D14957" w:rsidRDefault="00D14957" w:rsidP="00D14957">
            <w:pPr>
              <w:autoSpaceDE w:val="0"/>
              <w:autoSpaceDN w:val="0"/>
              <w:adjustRightInd w:val="0"/>
              <w:jc w:val="center"/>
              <w:rPr>
                <w:rFonts w:cs="Arial"/>
                <w:b/>
                <w:bCs/>
              </w:rPr>
            </w:pPr>
          </w:p>
        </w:tc>
      </w:tr>
      <w:tr w:rsidR="00D14957" w14:paraId="09E37B69" w14:textId="77777777" w:rsidTr="3285EAFF">
        <w:tc>
          <w:tcPr>
            <w:tcW w:w="3020" w:type="dxa"/>
          </w:tcPr>
          <w:p w14:paraId="0CA6D906" w14:textId="77777777" w:rsidR="00D14957" w:rsidRPr="00D14957" w:rsidRDefault="00D14957" w:rsidP="00D14957">
            <w:pPr>
              <w:autoSpaceDE w:val="0"/>
              <w:autoSpaceDN w:val="0"/>
              <w:adjustRightInd w:val="0"/>
              <w:jc w:val="center"/>
              <w:rPr>
                <w:rFonts w:cs="Arial"/>
                <w:bCs/>
              </w:rPr>
            </w:pPr>
            <w:r>
              <w:rPr>
                <w:rFonts w:cs="Arial"/>
                <w:bCs/>
              </w:rPr>
              <w:t>5</w:t>
            </w:r>
          </w:p>
        </w:tc>
        <w:tc>
          <w:tcPr>
            <w:tcW w:w="3020" w:type="dxa"/>
          </w:tcPr>
          <w:p w14:paraId="77E0770B" w14:textId="77777777" w:rsidR="00D14957" w:rsidRPr="00D14957" w:rsidRDefault="00A80575" w:rsidP="00D14957">
            <w:pPr>
              <w:autoSpaceDE w:val="0"/>
              <w:autoSpaceDN w:val="0"/>
              <w:adjustRightInd w:val="0"/>
              <w:jc w:val="center"/>
              <w:rPr>
                <w:rFonts w:cs="Arial"/>
                <w:bCs/>
              </w:rPr>
            </w:pPr>
            <w:r>
              <w:rPr>
                <w:rFonts w:cs="Arial"/>
                <w:bCs/>
              </w:rPr>
              <w:t>2</w:t>
            </w:r>
          </w:p>
        </w:tc>
        <w:tc>
          <w:tcPr>
            <w:tcW w:w="3021" w:type="dxa"/>
          </w:tcPr>
          <w:p w14:paraId="7943E637" w14:textId="77777777" w:rsidR="00D14957" w:rsidRDefault="00D14957" w:rsidP="000F5ED9">
            <w:pPr>
              <w:autoSpaceDE w:val="0"/>
              <w:autoSpaceDN w:val="0"/>
              <w:adjustRightInd w:val="0"/>
              <w:jc w:val="center"/>
              <w:rPr>
                <w:rFonts w:cs="Arial"/>
                <w:bCs/>
              </w:rPr>
            </w:pPr>
            <w:r>
              <w:rPr>
                <w:rFonts w:cs="Arial"/>
                <w:bCs/>
              </w:rPr>
              <w:t>2</w:t>
            </w:r>
          </w:p>
          <w:p w14:paraId="3CE3CAAF" w14:textId="77777777" w:rsidR="000F5ED9" w:rsidRPr="00D14957" w:rsidRDefault="000F5ED9" w:rsidP="000F5ED9">
            <w:pPr>
              <w:autoSpaceDE w:val="0"/>
              <w:autoSpaceDN w:val="0"/>
              <w:adjustRightInd w:val="0"/>
              <w:jc w:val="center"/>
              <w:rPr>
                <w:rFonts w:cs="Arial"/>
                <w:bCs/>
              </w:rPr>
            </w:pPr>
          </w:p>
        </w:tc>
      </w:tr>
    </w:tbl>
    <w:p w14:paraId="77022AD5" w14:textId="77777777" w:rsidR="000F5ED9" w:rsidRDefault="000F5ED9" w:rsidP="00D14957">
      <w:pPr>
        <w:autoSpaceDE w:val="0"/>
        <w:autoSpaceDN w:val="0"/>
        <w:adjustRightInd w:val="0"/>
        <w:jc w:val="both"/>
        <w:rPr>
          <w:rFonts w:cs="Arial"/>
          <w:b/>
          <w:bCs/>
          <w:lang w:val="en-US"/>
        </w:rPr>
      </w:pPr>
    </w:p>
    <w:p w14:paraId="2932165B" w14:textId="77777777" w:rsidR="000C2A54" w:rsidRPr="00D73014" w:rsidRDefault="000C2A54" w:rsidP="00D14957">
      <w:pPr>
        <w:autoSpaceDE w:val="0"/>
        <w:autoSpaceDN w:val="0"/>
        <w:adjustRightInd w:val="0"/>
        <w:jc w:val="both"/>
        <w:rPr>
          <w:rFonts w:cs="Arial"/>
          <w:lang w:val="en-US"/>
        </w:rPr>
      </w:pPr>
      <w:r w:rsidRPr="00F97E5F">
        <w:rPr>
          <w:rFonts w:cs="Arial"/>
          <w:b/>
          <w:bCs/>
          <w:lang w:val="en-US"/>
        </w:rPr>
        <w:t>Average number of persons employed</w:t>
      </w:r>
      <w:r>
        <w:rPr>
          <w:rFonts w:cs="Arial"/>
          <w:b/>
          <w:bCs/>
          <w:lang w:val="en-US"/>
        </w:rPr>
        <w:t xml:space="preserve"> </w:t>
      </w:r>
      <w:r>
        <w:rPr>
          <w:rFonts w:cs="Arial"/>
          <w:bCs/>
          <w:lang w:val="en-US"/>
        </w:rPr>
        <w:t>(audited information)</w:t>
      </w:r>
    </w:p>
    <w:p w14:paraId="019066F9" w14:textId="77777777" w:rsidR="000C2A54" w:rsidRPr="00F97E5F" w:rsidRDefault="000C2A54" w:rsidP="000C2A54">
      <w:pPr>
        <w:ind w:left="567"/>
        <w:rPr>
          <w:rFonts w:cs="Arial"/>
          <w:lang w:val="en-US"/>
        </w:rPr>
      </w:pPr>
    </w:p>
    <w:p w14:paraId="5570D28B" w14:textId="4688F4E4" w:rsidR="007D0485" w:rsidRDefault="000C2A54" w:rsidP="00F04493">
      <w:pPr>
        <w:rPr>
          <w:rFonts w:cs="Arial"/>
          <w:lang w:val="en-US"/>
        </w:rPr>
      </w:pPr>
      <w:r w:rsidRPr="00F97E5F">
        <w:rPr>
          <w:rFonts w:cs="Arial"/>
          <w:lang w:val="en-US"/>
        </w:rPr>
        <w:t>The average number of whole-time equivalent persons employed during the year was as follows:</w:t>
      </w:r>
    </w:p>
    <w:tbl>
      <w:tblPr>
        <w:tblW w:w="8995" w:type="dxa"/>
        <w:tblInd w:w="392" w:type="dxa"/>
        <w:tblLook w:val="01E0" w:firstRow="1" w:lastRow="1" w:firstColumn="1" w:lastColumn="1" w:noHBand="0" w:noVBand="0"/>
      </w:tblPr>
      <w:tblGrid>
        <w:gridCol w:w="2126"/>
        <w:gridCol w:w="1134"/>
        <w:gridCol w:w="1985"/>
        <w:gridCol w:w="1648"/>
        <w:gridCol w:w="971"/>
        <w:gridCol w:w="1131"/>
      </w:tblGrid>
      <w:tr w:rsidR="000C2A54" w:rsidRPr="00D60995" w14:paraId="225A62D1" w14:textId="77777777" w:rsidTr="3285EAFF">
        <w:tc>
          <w:tcPr>
            <w:tcW w:w="2126" w:type="dxa"/>
          </w:tcPr>
          <w:p w14:paraId="644A07A8" w14:textId="77777777" w:rsidR="000C2A54" w:rsidRPr="003C274D" w:rsidRDefault="000C2A54" w:rsidP="000C2A54">
            <w:pPr>
              <w:jc w:val="right"/>
              <w:rPr>
                <w:b/>
                <w:sz w:val="20"/>
                <w:szCs w:val="20"/>
              </w:rPr>
            </w:pPr>
          </w:p>
        </w:tc>
        <w:tc>
          <w:tcPr>
            <w:tcW w:w="1134" w:type="dxa"/>
          </w:tcPr>
          <w:p w14:paraId="0714A26F" w14:textId="281DBB91" w:rsidR="000C2A54" w:rsidRPr="00563D4A" w:rsidRDefault="00E865B2" w:rsidP="00E029DB">
            <w:pPr>
              <w:spacing w:line="259" w:lineRule="auto"/>
              <w:ind w:left="-137" w:hanging="40"/>
              <w:jc w:val="right"/>
              <w:rPr>
                <w:color w:val="000000" w:themeColor="text1"/>
              </w:rPr>
            </w:pPr>
            <w:r>
              <w:rPr>
                <w:b/>
                <w:bCs/>
                <w:sz w:val="20"/>
                <w:szCs w:val="20"/>
              </w:rPr>
              <w:t>20</w:t>
            </w:r>
            <w:r w:rsidR="415A16E6" w:rsidRPr="3285EAFF">
              <w:rPr>
                <w:b/>
                <w:bCs/>
                <w:sz w:val="20"/>
                <w:szCs w:val="20"/>
              </w:rPr>
              <w:t>2</w:t>
            </w:r>
            <w:r w:rsidR="00FA48BC">
              <w:rPr>
                <w:b/>
                <w:bCs/>
                <w:sz w:val="20"/>
                <w:szCs w:val="20"/>
              </w:rPr>
              <w:t>2</w:t>
            </w:r>
            <w:r>
              <w:rPr>
                <w:b/>
                <w:bCs/>
                <w:sz w:val="20"/>
                <w:szCs w:val="20"/>
              </w:rPr>
              <w:t>-2</w:t>
            </w:r>
            <w:r w:rsidR="00FA48BC">
              <w:rPr>
                <w:b/>
                <w:bCs/>
                <w:sz w:val="20"/>
                <w:szCs w:val="20"/>
              </w:rPr>
              <w:t>3</w:t>
            </w:r>
          </w:p>
          <w:p w14:paraId="3DA82D1A" w14:textId="0B830501" w:rsidR="000C2A54" w:rsidRPr="00563D4A" w:rsidRDefault="00FA48BC" w:rsidP="000C2A54">
            <w:pPr>
              <w:jc w:val="right"/>
              <w:rPr>
                <w:b/>
                <w:sz w:val="20"/>
                <w:szCs w:val="20"/>
              </w:rPr>
            </w:pPr>
            <w:r w:rsidRPr="00563D4A">
              <w:rPr>
                <w:b/>
                <w:sz w:val="20"/>
                <w:szCs w:val="20"/>
              </w:rPr>
              <w:t>T</w:t>
            </w:r>
            <w:r w:rsidR="000C2A54" w:rsidRPr="00563D4A">
              <w:rPr>
                <w:b/>
                <w:sz w:val="20"/>
                <w:szCs w:val="20"/>
              </w:rPr>
              <w:t>otal</w:t>
            </w:r>
          </w:p>
        </w:tc>
        <w:tc>
          <w:tcPr>
            <w:tcW w:w="1985" w:type="dxa"/>
          </w:tcPr>
          <w:p w14:paraId="77D721CC" w14:textId="77777777" w:rsidR="000C2A54" w:rsidRPr="00563D4A" w:rsidRDefault="000C2A54" w:rsidP="000C2A54">
            <w:pPr>
              <w:jc w:val="right"/>
              <w:rPr>
                <w:b/>
                <w:sz w:val="20"/>
                <w:szCs w:val="20"/>
              </w:rPr>
            </w:pPr>
            <w:r w:rsidRPr="00563D4A">
              <w:rPr>
                <w:b/>
                <w:sz w:val="20"/>
                <w:szCs w:val="20"/>
              </w:rPr>
              <w:t>Commissioners</w:t>
            </w:r>
          </w:p>
        </w:tc>
        <w:tc>
          <w:tcPr>
            <w:tcW w:w="1648" w:type="dxa"/>
          </w:tcPr>
          <w:p w14:paraId="133889C5" w14:textId="77777777" w:rsidR="000C2A54" w:rsidRPr="00563D4A" w:rsidRDefault="000C2A54" w:rsidP="000C2A54">
            <w:pPr>
              <w:jc w:val="right"/>
              <w:rPr>
                <w:b/>
                <w:sz w:val="20"/>
                <w:szCs w:val="20"/>
              </w:rPr>
            </w:pPr>
            <w:r w:rsidRPr="00563D4A">
              <w:rPr>
                <w:b/>
                <w:sz w:val="20"/>
                <w:szCs w:val="20"/>
              </w:rPr>
              <w:t>Permanently</w:t>
            </w:r>
          </w:p>
          <w:p w14:paraId="7B0A0B60" w14:textId="77777777" w:rsidR="00CC02A7" w:rsidRPr="00563D4A" w:rsidRDefault="000C2A54" w:rsidP="00CC02A7">
            <w:pPr>
              <w:jc w:val="right"/>
              <w:rPr>
                <w:b/>
                <w:sz w:val="20"/>
                <w:szCs w:val="20"/>
              </w:rPr>
            </w:pPr>
            <w:r w:rsidRPr="00563D4A">
              <w:rPr>
                <w:b/>
                <w:sz w:val="20"/>
                <w:szCs w:val="20"/>
              </w:rPr>
              <w:t xml:space="preserve">Employed </w:t>
            </w:r>
          </w:p>
          <w:p w14:paraId="4B6366A6" w14:textId="77777777" w:rsidR="000C2A54" w:rsidRPr="00563D4A" w:rsidRDefault="000C2A54" w:rsidP="000C2A54">
            <w:pPr>
              <w:jc w:val="right"/>
              <w:rPr>
                <w:b/>
                <w:sz w:val="20"/>
                <w:szCs w:val="20"/>
              </w:rPr>
            </w:pPr>
          </w:p>
        </w:tc>
        <w:tc>
          <w:tcPr>
            <w:tcW w:w="971" w:type="dxa"/>
          </w:tcPr>
          <w:p w14:paraId="3F65C30D" w14:textId="77777777" w:rsidR="000C2A54" w:rsidRPr="00563D4A" w:rsidRDefault="000C2A54" w:rsidP="000C2A54">
            <w:pPr>
              <w:jc w:val="right"/>
              <w:rPr>
                <w:b/>
                <w:sz w:val="20"/>
                <w:szCs w:val="20"/>
              </w:rPr>
            </w:pPr>
            <w:r w:rsidRPr="00563D4A">
              <w:rPr>
                <w:b/>
                <w:sz w:val="20"/>
                <w:szCs w:val="20"/>
              </w:rPr>
              <w:t>Others</w:t>
            </w:r>
          </w:p>
          <w:p w14:paraId="3DF88DE8" w14:textId="77777777" w:rsidR="000C2A54" w:rsidRPr="00563D4A" w:rsidRDefault="000C2A54" w:rsidP="000C2A54">
            <w:pPr>
              <w:jc w:val="center"/>
              <w:rPr>
                <w:b/>
                <w:sz w:val="20"/>
                <w:szCs w:val="20"/>
              </w:rPr>
            </w:pPr>
          </w:p>
        </w:tc>
        <w:tc>
          <w:tcPr>
            <w:tcW w:w="1131" w:type="dxa"/>
          </w:tcPr>
          <w:p w14:paraId="0368E25D" w14:textId="3CE47C8E" w:rsidR="000C2A54" w:rsidRPr="00563D4A" w:rsidRDefault="66483038" w:rsidP="00E029DB">
            <w:pPr>
              <w:spacing w:line="259" w:lineRule="auto"/>
              <w:ind w:left="-286" w:right="-327" w:firstLine="142"/>
              <w:jc w:val="center"/>
              <w:rPr>
                <w:color w:val="000000" w:themeColor="text1"/>
              </w:rPr>
            </w:pPr>
            <w:r w:rsidRPr="3285EAFF">
              <w:rPr>
                <w:b/>
                <w:bCs/>
                <w:sz w:val="20"/>
                <w:szCs w:val="20"/>
              </w:rPr>
              <w:t>2</w:t>
            </w:r>
            <w:r w:rsidR="00E865B2">
              <w:rPr>
                <w:b/>
                <w:bCs/>
                <w:sz w:val="20"/>
                <w:szCs w:val="20"/>
              </w:rPr>
              <w:t>02</w:t>
            </w:r>
            <w:r w:rsidR="00FA48BC">
              <w:rPr>
                <w:b/>
                <w:bCs/>
                <w:sz w:val="20"/>
                <w:szCs w:val="20"/>
              </w:rPr>
              <w:t>1</w:t>
            </w:r>
            <w:r w:rsidR="00E865B2">
              <w:rPr>
                <w:b/>
                <w:bCs/>
                <w:sz w:val="20"/>
                <w:szCs w:val="20"/>
              </w:rPr>
              <w:t>-2</w:t>
            </w:r>
            <w:r w:rsidR="00FA48BC">
              <w:rPr>
                <w:b/>
                <w:bCs/>
                <w:sz w:val="20"/>
                <w:szCs w:val="20"/>
              </w:rPr>
              <w:t>2</w:t>
            </w:r>
          </w:p>
          <w:p w14:paraId="69C0BE88" w14:textId="77777777" w:rsidR="000C2A54" w:rsidRPr="00563D4A" w:rsidRDefault="00992457" w:rsidP="000C2A54">
            <w:pPr>
              <w:jc w:val="right"/>
              <w:rPr>
                <w:b/>
                <w:sz w:val="20"/>
                <w:szCs w:val="20"/>
              </w:rPr>
            </w:pPr>
            <w:r w:rsidRPr="00563D4A">
              <w:rPr>
                <w:b/>
                <w:sz w:val="20"/>
                <w:szCs w:val="20"/>
              </w:rPr>
              <w:t>T</w:t>
            </w:r>
            <w:r w:rsidR="000C2A54" w:rsidRPr="00563D4A">
              <w:rPr>
                <w:b/>
                <w:sz w:val="20"/>
                <w:szCs w:val="20"/>
              </w:rPr>
              <w:t>otal</w:t>
            </w:r>
          </w:p>
        </w:tc>
      </w:tr>
      <w:tr w:rsidR="000C2A54" w:rsidRPr="00D60995" w14:paraId="1004854D" w14:textId="77777777" w:rsidTr="3285EAFF">
        <w:tc>
          <w:tcPr>
            <w:tcW w:w="2126" w:type="dxa"/>
          </w:tcPr>
          <w:p w14:paraId="008DA5A0" w14:textId="77777777" w:rsidR="000C2A54" w:rsidRPr="00863EC6" w:rsidRDefault="000C2A54" w:rsidP="000C2A54">
            <w:pPr>
              <w:rPr>
                <w:sz w:val="20"/>
                <w:szCs w:val="20"/>
              </w:rPr>
            </w:pPr>
            <w:r w:rsidRPr="00863EC6">
              <w:rPr>
                <w:sz w:val="20"/>
                <w:szCs w:val="20"/>
              </w:rPr>
              <w:t>Directly employed</w:t>
            </w:r>
          </w:p>
        </w:tc>
        <w:tc>
          <w:tcPr>
            <w:tcW w:w="1134" w:type="dxa"/>
          </w:tcPr>
          <w:p w14:paraId="5517995B" w14:textId="7EDAAB94" w:rsidR="000C2A54" w:rsidRPr="00563D4A" w:rsidRDefault="00FA48BC" w:rsidP="00E029DB">
            <w:pPr>
              <w:spacing w:line="259" w:lineRule="auto"/>
              <w:jc w:val="right"/>
              <w:rPr>
                <w:color w:val="000000" w:themeColor="text1"/>
              </w:rPr>
            </w:pPr>
            <w:r w:rsidRPr="00FA48BC">
              <w:rPr>
                <w:sz w:val="20"/>
                <w:szCs w:val="20"/>
              </w:rPr>
              <w:t>32</w:t>
            </w:r>
          </w:p>
        </w:tc>
        <w:tc>
          <w:tcPr>
            <w:tcW w:w="1985" w:type="dxa"/>
          </w:tcPr>
          <w:p w14:paraId="056314AD" w14:textId="53C502B5" w:rsidR="000C2A54" w:rsidRPr="00563D4A" w:rsidRDefault="00FA48BC" w:rsidP="000C2A54">
            <w:pPr>
              <w:jc w:val="right"/>
              <w:rPr>
                <w:sz w:val="20"/>
                <w:szCs w:val="20"/>
              </w:rPr>
            </w:pPr>
            <w:r>
              <w:rPr>
                <w:sz w:val="20"/>
                <w:szCs w:val="20"/>
              </w:rPr>
              <w:t>7</w:t>
            </w:r>
          </w:p>
        </w:tc>
        <w:tc>
          <w:tcPr>
            <w:tcW w:w="1648" w:type="dxa"/>
          </w:tcPr>
          <w:p w14:paraId="451CDCE8" w14:textId="2973AAEB" w:rsidR="000C2A54" w:rsidRPr="00563D4A" w:rsidRDefault="00915B65" w:rsidP="00E029DB">
            <w:pPr>
              <w:spacing w:line="259" w:lineRule="auto"/>
              <w:jc w:val="right"/>
              <w:rPr>
                <w:color w:val="000000" w:themeColor="text1"/>
              </w:rPr>
            </w:pPr>
            <w:r>
              <w:rPr>
                <w:sz w:val="20"/>
                <w:szCs w:val="20"/>
              </w:rPr>
              <w:t>2</w:t>
            </w:r>
            <w:r w:rsidR="00FA48BC">
              <w:rPr>
                <w:sz w:val="20"/>
                <w:szCs w:val="20"/>
              </w:rPr>
              <w:t>3</w:t>
            </w:r>
          </w:p>
        </w:tc>
        <w:tc>
          <w:tcPr>
            <w:tcW w:w="971" w:type="dxa"/>
          </w:tcPr>
          <w:p w14:paraId="7F5382A0" w14:textId="69EBC903" w:rsidR="000C2A54" w:rsidRPr="00563D4A" w:rsidRDefault="00FA48BC" w:rsidP="00E029DB">
            <w:pPr>
              <w:spacing w:line="259" w:lineRule="auto"/>
              <w:jc w:val="right"/>
              <w:rPr>
                <w:color w:val="000000" w:themeColor="text1"/>
              </w:rPr>
            </w:pPr>
            <w:r w:rsidRPr="00FA48BC">
              <w:rPr>
                <w:sz w:val="20"/>
                <w:szCs w:val="20"/>
              </w:rPr>
              <w:t>2</w:t>
            </w:r>
          </w:p>
        </w:tc>
        <w:tc>
          <w:tcPr>
            <w:tcW w:w="1131" w:type="dxa"/>
          </w:tcPr>
          <w:p w14:paraId="41C725DE" w14:textId="5B3BE92F" w:rsidR="000C2A54" w:rsidRPr="00563D4A" w:rsidRDefault="00E865B2" w:rsidP="00E029DB">
            <w:pPr>
              <w:spacing w:line="259" w:lineRule="auto"/>
              <w:jc w:val="right"/>
              <w:rPr>
                <w:sz w:val="20"/>
                <w:szCs w:val="20"/>
              </w:rPr>
            </w:pPr>
            <w:r>
              <w:rPr>
                <w:sz w:val="20"/>
                <w:szCs w:val="20"/>
              </w:rPr>
              <w:t>2</w:t>
            </w:r>
            <w:r w:rsidR="00FA48BC">
              <w:rPr>
                <w:sz w:val="20"/>
                <w:szCs w:val="20"/>
              </w:rPr>
              <w:t>9</w:t>
            </w:r>
          </w:p>
        </w:tc>
      </w:tr>
      <w:tr w:rsidR="000C2A54" w:rsidRPr="00D60995" w14:paraId="75C3A81D" w14:textId="77777777" w:rsidTr="3285EAFF">
        <w:tc>
          <w:tcPr>
            <w:tcW w:w="2126" w:type="dxa"/>
          </w:tcPr>
          <w:p w14:paraId="187A91AC" w14:textId="77777777" w:rsidR="000C2A54" w:rsidRPr="00863EC6" w:rsidRDefault="000C2A54" w:rsidP="000C2A54">
            <w:pPr>
              <w:rPr>
                <w:sz w:val="20"/>
                <w:szCs w:val="20"/>
              </w:rPr>
            </w:pPr>
            <w:r w:rsidRPr="00863EC6">
              <w:rPr>
                <w:sz w:val="20"/>
                <w:szCs w:val="20"/>
              </w:rPr>
              <w:t>Other</w:t>
            </w:r>
          </w:p>
        </w:tc>
        <w:tc>
          <w:tcPr>
            <w:tcW w:w="1134" w:type="dxa"/>
          </w:tcPr>
          <w:p w14:paraId="31333DE4" w14:textId="77777777" w:rsidR="000C2A54" w:rsidRPr="00563D4A" w:rsidRDefault="00E865B2" w:rsidP="00E029DB">
            <w:pPr>
              <w:spacing w:line="259" w:lineRule="auto"/>
              <w:jc w:val="right"/>
              <w:rPr>
                <w:color w:val="000000" w:themeColor="text1"/>
              </w:rPr>
            </w:pPr>
            <w:r>
              <w:rPr>
                <w:sz w:val="20"/>
                <w:szCs w:val="20"/>
              </w:rPr>
              <w:t>1</w:t>
            </w:r>
          </w:p>
        </w:tc>
        <w:tc>
          <w:tcPr>
            <w:tcW w:w="1985" w:type="dxa"/>
          </w:tcPr>
          <w:p w14:paraId="15DA1578" w14:textId="77777777" w:rsidR="000C2A54" w:rsidRPr="00563D4A" w:rsidRDefault="00C141C6" w:rsidP="000C2A54">
            <w:pPr>
              <w:jc w:val="right"/>
              <w:rPr>
                <w:sz w:val="20"/>
                <w:szCs w:val="20"/>
              </w:rPr>
            </w:pPr>
            <w:r>
              <w:rPr>
                <w:sz w:val="20"/>
                <w:szCs w:val="20"/>
              </w:rPr>
              <w:t>0</w:t>
            </w:r>
          </w:p>
        </w:tc>
        <w:tc>
          <w:tcPr>
            <w:tcW w:w="1648" w:type="dxa"/>
          </w:tcPr>
          <w:p w14:paraId="6A765490" w14:textId="77777777" w:rsidR="000C2A54" w:rsidRPr="00563D4A" w:rsidRDefault="00C141C6" w:rsidP="000C2A54">
            <w:pPr>
              <w:jc w:val="right"/>
              <w:rPr>
                <w:sz w:val="20"/>
                <w:szCs w:val="20"/>
              </w:rPr>
            </w:pPr>
            <w:r>
              <w:rPr>
                <w:sz w:val="20"/>
                <w:szCs w:val="20"/>
              </w:rPr>
              <w:t>0</w:t>
            </w:r>
          </w:p>
        </w:tc>
        <w:tc>
          <w:tcPr>
            <w:tcW w:w="971" w:type="dxa"/>
          </w:tcPr>
          <w:p w14:paraId="58970C73" w14:textId="77777777" w:rsidR="000C2A54" w:rsidRPr="00563D4A" w:rsidRDefault="00E865B2" w:rsidP="00E029DB">
            <w:pPr>
              <w:spacing w:line="259" w:lineRule="auto"/>
              <w:jc w:val="right"/>
              <w:rPr>
                <w:color w:val="000000" w:themeColor="text1"/>
              </w:rPr>
            </w:pPr>
            <w:r>
              <w:rPr>
                <w:sz w:val="20"/>
                <w:szCs w:val="20"/>
              </w:rPr>
              <w:t>1</w:t>
            </w:r>
          </w:p>
        </w:tc>
        <w:tc>
          <w:tcPr>
            <w:tcW w:w="1131" w:type="dxa"/>
          </w:tcPr>
          <w:p w14:paraId="35C58673" w14:textId="0863323C" w:rsidR="000C2A54" w:rsidRPr="00563D4A" w:rsidRDefault="00FA48BC" w:rsidP="000C2A54">
            <w:pPr>
              <w:jc w:val="right"/>
              <w:rPr>
                <w:sz w:val="20"/>
                <w:szCs w:val="20"/>
              </w:rPr>
            </w:pPr>
            <w:r>
              <w:rPr>
                <w:sz w:val="20"/>
                <w:szCs w:val="20"/>
              </w:rPr>
              <w:t>1</w:t>
            </w:r>
          </w:p>
        </w:tc>
      </w:tr>
      <w:tr w:rsidR="000C2A54" w:rsidRPr="00D60995" w14:paraId="197802A6" w14:textId="77777777" w:rsidTr="3285EAFF">
        <w:tc>
          <w:tcPr>
            <w:tcW w:w="2126" w:type="dxa"/>
          </w:tcPr>
          <w:p w14:paraId="6E156588" w14:textId="77777777" w:rsidR="000C2A54" w:rsidRPr="00863EC6" w:rsidRDefault="000C2A54" w:rsidP="000C2A54">
            <w:pPr>
              <w:rPr>
                <w:b/>
                <w:sz w:val="20"/>
                <w:szCs w:val="20"/>
              </w:rPr>
            </w:pPr>
            <w:r w:rsidRPr="00863EC6">
              <w:rPr>
                <w:b/>
                <w:sz w:val="20"/>
                <w:szCs w:val="20"/>
              </w:rPr>
              <w:t>Total</w:t>
            </w:r>
          </w:p>
        </w:tc>
        <w:tc>
          <w:tcPr>
            <w:tcW w:w="1134" w:type="dxa"/>
            <w:tcBorders>
              <w:top w:val="single" w:sz="4" w:space="0" w:color="auto"/>
              <w:bottom w:val="single" w:sz="4" w:space="0" w:color="auto"/>
            </w:tcBorders>
          </w:tcPr>
          <w:p w14:paraId="45E4FC21" w14:textId="3E69DDC6" w:rsidR="000C2A54" w:rsidRPr="00563D4A" w:rsidRDefault="00915B65" w:rsidP="00E029DB">
            <w:pPr>
              <w:spacing w:line="259" w:lineRule="auto"/>
              <w:jc w:val="right"/>
              <w:rPr>
                <w:color w:val="000000" w:themeColor="text1"/>
              </w:rPr>
            </w:pPr>
            <w:r>
              <w:rPr>
                <w:b/>
                <w:bCs/>
                <w:sz w:val="20"/>
                <w:szCs w:val="20"/>
              </w:rPr>
              <w:t>3</w:t>
            </w:r>
            <w:r w:rsidR="00FA48BC">
              <w:rPr>
                <w:b/>
                <w:bCs/>
                <w:sz w:val="20"/>
                <w:szCs w:val="20"/>
              </w:rPr>
              <w:t>3</w:t>
            </w:r>
          </w:p>
        </w:tc>
        <w:tc>
          <w:tcPr>
            <w:tcW w:w="1985" w:type="dxa"/>
            <w:tcBorders>
              <w:top w:val="single" w:sz="4" w:space="0" w:color="auto"/>
              <w:bottom w:val="single" w:sz="4" w:space="0" w:color="auto"/>
            </w:tcBorders>
          </w:tcPr>
          <w:p w14:paraId="7CA96337" w14:textId="1CBF2BCB" w:rsidR="000C2A54" w:rsidRPr="00563D4A" w:rsidRDefault="00FA48BC" w:rsidP="000C2A54">
            <w:pPr>
              <w:jc w:val="right"/>
              <w:rPr>
                <w:b/>
                <w:sz w:val="20"/>
                <w:szCs w:val="20"/>
              </w:rPr>
            </w:pPr>
            <w:r>
              <w:rPr>
                <w:b/>
                <w:sz w:val="20"/>
                <w:szCs w:val="20"/>
              </w:rPr>
              <w:t>7</w:t>
            </w:r>
          </w:p>
        </w:tc>
        <w:tc>
          <w:tcPr>
            <w:tcW w:w="1648" w:type="dxa"/>
            <w:tcBorders>
              <w:top w:val="single" w:sz="4" w:space="0" w:color="auto"/>
              <w:bottom w:val="single" w:sz="4" w:space="0" w:color="auto"/>
            </w:tcBorders>
          </w:tcPr>
          <w:p w14:paraId="09501E09" w14:textId="5F16CD54" w:rsidR="000C2A54" w:rsidRPr="00563D4A" w:rsidRDefault="003B2CCE" w:rsidP="00E029DB">
            <w:pPr>
              <w:spacing w:line="259" w:lineRule="auto"/>
              <w:jc w:val="right"/>
              <w:rPr>
                <w:color w:val="000000" w:themeColor="text1"/>
              </w:rPr>
            </w:pPr>
            <w:r>
              <w:rPr>
                <w:b/>
                <w:bCs/>
                <w:sz w:val="20"/>
                <w:szCs w:val="20"/>
              </w:rPr>
              <w:t>2</w:t>
            </w:r>
            <w:r w:rsidR="00FA48BC">
              <w:rPr>
                <w:b/>
                <w:bCs/>
                <w:sz w:val="20"/>
                <w:szCs w:val="20"/>
              </w:rPr>
              <w:t>3</w:t>
            </w:r>
          </w:p>
        </w:tc>
        <w:tc>
          <w:tcPr>
            <w:tcW w:w="971" w:type="dxa"/>
            <w:tcBorders>
              <w:top w:val="single" w:sz="4" w:space="0" w:color="auto"/>
              <w:bottom w:val="single" w:sz="4" w:space="0" w:color="auto"/>
            </w:tcBorders>
          </w:tcPr>
          <w:p w14:paraId="619CE5DB" w14:textId="0EFAC9DC" w:rsidR="000C2A54" w:rsidRPr="00BB74EA" w:rsidRDefault="00FA48BC" w:rsidP="00E029DB">
            <w:pPr>
              <w:spacing w:line="259" w:lineRule="auto"/>
              <w:jc w:val="right"/>
              <w:rPr>
                <w:b/>
                <w:bCs/>
                <w:color w:val="000000" w:themeColor="text1"/>
              </w:rPr>
            </w:pPr>
            <w:r w:rsidRPr="00BB74EA">
              <w:rPr>
                <w:b/>
                <w:bCs/>
                <w:sz w:val="20"/>
                <w:szCs w:val="20"/>
              </w:rPr>
              <w:t>3</w:t>
            </w:r>
          </w:p>
        </w:tc>
        <w:tc>
          <w:tcPr>
            <w:tcW w:w="1131" w:type="dxa"/>
            <w:tcBorders>
              <w:top w:val="single" w:sz="4" w:space="0" w:color="auto"/>
              <w:bottom w:val="single" w:sz="4" w:space="0" w:color="auto"/>
            </w:tcBorders>
          </w:tcPr>
          <w:p w14:paraId="5B2AF14D" w14:textId="2666A2F5" w:rsidR="000C2A54" w:rsidRPr="00563D4A" w:rsidRDefault="00FA48BC" w:rsidP="00E029DB">
            <w:pPr>
              <w:spacing w:line="259" w:lineRule="auto"/>
              <w:jc w:val="right"/>
              <w:rPr>
                <w:b/>
                <w:bCs/>
                <w:sz w:val="20"/>
                <w:szCs w:val="20"/>
              </w:rPr>
            </w:pPr>
            <w:r>
              <w:rPr>
                <w:b/>
                <w:bCs/>
                <w:sz w:val="20"/>
                <w:szCs w:val="20"/>
              </w:rPr>
              <w:t>30</w:t>
            </w:r>
          </w:p>
        </w:tc>
      </w:tr>
    </w:tbl>
    <w:p w14:paraId="67339519" w14:textId="77777777" w:rsidR="00283547" w:rsidRDefault="00283547" w:rsidP="004A60FF">
      <w:pPr>
        <w:widowControl w:val="0"/>
        <w:tabs>
          <w:tab w:val="right" w:pos="7371"/>
          <w:tab w:val="right" w:pos="9356"/>
        </w:tabs>
        <w:autoSpaceDE w:val="0"/>
        <w:autoSpaceDN w:val="0"/>
        <w:adjustRightInd w:val="0"/>
      </w:pPr>
    </w:p>
    <w:p w14:paraId="658D3151" w14:textId="1CE70EE8" w:rsidR="001B791D" w:rsidRDefault="000C2A54" w:rsidP="004A60FF">
      <w:pPr>
        <w:widowControl w:val="0"/>
        <w:tabs>
          <w:tab w:val="right" w:pos="7371"/>
          <w:tab w:val="right" w:pos="9356"/>
        </w:tabs>
        <w:autoSpaceDE w:val="0"/>
        <w:autoSpaceDN w:val="0"/>
        <w:adjustRightInd w:val="0"/>
      </w:pPr>
      <w:r w:rsidRPr="00F97E5F">
        <w:t xml:space="preserve">The Commissioners are expected to devote approximately </w:t>
      </w:r>
      <w:r w:rsidR="00D60995">
        <w:t>three</w:t>
      </w:r>
      <w:r w:rsidR="00871DB1">
        <w:t xml:space="preserve"> days per</w:t>
      </w:r>
      <w:r w:rsidR="002A501C">
        <w:t xml:space="preserve"> </w:t>
      </w:r>
      <w:r w:rsidRPr="00F97E5F">
        <w:t xml:space="preserve">month to Commission business over the course of a year. </w:t>
      </w:r>
    </w:p>
    <w:p w14:paraId="454B7ADD" w14:textId="77777777" w:rsidR="004A60FF" w:rsidRDefault="004A60FF" w:rsidP="004A60FF">
      <w:pPr>
        <w:widowControl w:val="0"/>
        <w:tabs>
          <w:tab w:val="right" w:pos="7371"/>
          <w:tab w:val="right" w:pos="9356"/>
        </w:tabs>
        <w:autoSpaceDE w:val="0"/>
        <w:autoSpaceDN w:val="0"/>
        <w:adjustRightInd w:val="0"/>
        <w:rPr>
          <w:b/>
        </w:rPr>
      </w:pPr>
    </w:p>
    <w:p w14:paraId="74A9E22A" w14:textId="77777777" w:rsidR="004A68BF" w:rsidRDefault="004A68BF" w:rsidP="000C2A54">
      <w:pPr>
        <w:widowControl w:val="0"/>
        <w:tabs>
          <w:tab w:val="left" w:pos="567"/>
          <w:tab w:val="right" w:pos="7371"/>
          <w:tab w:val="right" w:pos="9356"/>
        </w:tabs>
        <w:autoSpaceDE w:val="0"/>
        <w:autoSpaceDN w:val="0"/>
        <w:adjustRightInd w:val="0"/>
        <w:ind w:left="567" w:hanging="567"/>
        <w:rPr>
          <w:b/>
        </w:rPr>
      </w:pPr>
      <w:r>
        <w:rPr>
          <w:b/>
        </w:rPr>
        <w:t>Staff composition</w:t>
      </w:r>
    </w:p>
    <w:p w14:paraId="34565B1F" w14:textId="77777777" w:rsidR="004A68BF" w:rsidRDefault="004A68BF" w:rsidP="000C2A54">
      <w:pPr>
        <w:widowControl w:val="0"/>
        <w:tabs>
          <w:tab w:val="left" w:pos="567"/>
          <w:tab w:val="right" w:pos="7371"/>
          <w:tab w:val="right" w:pos="9356"/>
        </w:tabs>
        <w:autoSpaceDE w:val="0"/>
        <w:autoSpaceDN w:val="0"/>
        <w:adjustRightInd w:val="0"/>
        <w:ind w:left="567" w:hanging="567"/>
        <w:rPr>
          <w:b/>
        </w:rPr>
      </w:pPr>
    </w:p>
    <w:tbl>
      <w:tblPr>
        <w:tblStyle w:val="TableGrid"/>
        <w:tblW w:w="0" w:type="auto"/>
        <w:tblInd w:w="-5" w:type="dxa"/>
        <w:tblLook w:val="04A0" w:firstRow="1" w:lastRow="0" w:firstColumn="1" w:lastColumn="0" w:noHBand="0" w:noVBand="1"/>
      </w:tblPr>
      <w:tblGrid>
        <w:gridCol w:w="1936"/>
        <w:gridCol w:w="1196"/>
        <w:gridCol w:w="1196"/>
        <w:gridCol w:w="1196"/>
        <w:gridCol w:w="1178"/>
        <w:gridCol w:w="1182"/>
        <w:gridCol w:w="1182"/>
      </w:tblGrid>
      <w:tr w:rsidR="004A68BF" w14:paraId="0807D552" w14:textId="77777777" w:rsidTr="3285EAFF">
        <w:tc>
          <w:tcPr>
            <w:tcW w:w="2055" w:type="dxa"/>
          </w:tcPr>
          <w:p w14:paraId="6FF28375" w14:textId="77777777" w:rsidR="004A68BF" w:rsidRPr="004A68BF" w:rsidRDefault="004A68BF" w:rsidP="000C2A54">
            <w:pPr>
              <w:widowControl w:val="0"/>
              <w:tabs>
                <w:tab w:val="left" w:pos="567"/>
                <w:tab w:val="right" w:pos="7371"/>
                <w:tab w:val="right" w:pos="9356"/>
              </w:tabs>
              <w:autoSpaceDE w:val="0"/>
              <w:autoSpaceDN w:val="0"/>
              <w:adjustRightInd w:val="0"/>
              <w:rPr>
                <w:sz w:val="20"/>
                <w:szCs w:val="20"/>
              </w:rPr>
            </w:pPr>
          </w:p>
        </w:tc>
        <w:tc>
          <w:tcPr>
            <w:tcW w:w="4120" w:type="dxa"/>
            <w:gridSpan w:val="3"/>
          </w:tcPr>
          <w:p w14:paraId="45AA1F7B" w14:textId="1DCABF94" w:rsidR="004A68BF" w:rsidRPr="004A68BF" w:rsidRDefault="00E865B2" w:rsidP="3285EAFF">
            <w:pPr>
              <w:widowControl w:val="0"/>
              <w:tabs>
                <w:tab w:val="left" w:pos="567"/>
                <w:tab w:val="right" w:pos="7371"/>
                <w:tab w:val="right" w:pos="9356"/>
              </w:tabs>
              <w:autoSpaceDE w:val="0"/>
              <w:autoSpaceDN w:val="0"/>
              <w:adjustRightInd w:val="0"/>
              <w:jc w:val="center"/>
              <w:rPr>
                <w:b/>
                <w:bCs/>
                <w:sz w:val="20"/>
                <w:szCs w:val="20"/>
              </w:rPr>
            </w:pPr>
            <w:r>
              <w:rPr>
                <w:b/>
                <w:bCs/>
                <w:sz w:val="20"/>
                <w:szCs w:val="20"/>
              </w:rPr>
              <w:t>202</w:t>
            </w:r>
            <w:r w:rsidR="00FA48BC">
              <w:rPr>
                <w:b/>
                <w:bCs/>
                <w:sz w:val="20"/>
                <w:szCs w:val="20"/>
              </w:rPr>
              <w:t>2</w:t>
            </w:r>
            <w:r>
              <w:rPr>
                <w:b/>
                <w:bCs/>
                <w:sz w:val="20"/>
                <w:szCs w:val="20"/>
              </w:rPr>
              <w:t>-2</w:t>
            </w:r>
            <w:r w:rsidR="00FA48BC">
              <w:rPr>
                <w:b/>
                <w:bCs/>
                <w:sz w:val="20"/>
                <w:szCs w:val="20"/>
              </w:rPr>
              <w:t>3</w:t>
            </w:r>
          </w:p>
        </w:tc>
        <w:tc>
          <w:tcPr>
            <w:tcW w:w="2891" w:type="dxa"/>
            <w:gridSpan w:val="3"/>
          </w:tcPr>
          <w:p w14:paraId="2A8694D1" w14:textId="7F042236" w:rsidR="004A68BF" w:rsidRPr="004A68BF" w:rsidRDefault="00E865B2" w:rsidP="00E029DB">
            <w:pPr>
              <w:tabs>
                <w:tab w:val="left" w:pos="567"/>
                <w:tab w:val="right" w:pos="7371"/>
                <w:tab w:val="right" w:pos="9356"/>
              </w:tabs>
              <w:spacing w:line="259" w:lineRule="auto"/>
              <w:jc w:val="center"/>
              <w:rPr>
                <w:b/>
                <w:bCs/>
                <w:sz w:val="20"/>
                <w:szCs w:val="20"/>
              </w:rPr>
            </w:pPr>
            <w:r>
              <w:rPr>
                <w:b/>
                <w:bCs/>
                <w:sz w:val="20"/>
                <w:szCs w:val="20"/>
              </w:rPr>
              <w:t>202</w:t>
            </w:r>
            <w:r w:rsidR="00FA48BC">
              <w:rPr>
                <w:b/>
                <w:bCs/>
                <w:sz w:val="20"/>
                <w:szCs w:val="20"/>
              </w:rPr>
              <w:t>1</w:t>
            </w:r>
            <w:r>
              <w:rPr>
                <w:b/>
                <w:bCs/>
                <w:sz w:val="20"/>
                <w:szCs w:val="20"/>
              </w:rPr>
              <w:t>-2</w:t>
            </w:r>
            <w:r w:rsidR="00FA48BC">
              <w:rPr>
                <w:b/>
                <w:bCs/>
                <w:sz w:val="20"/>
                <w:szCs w:val="20"/>
              </w:rPr>
              <w:t>2</w:t>
            </w:r>
          </w:p>
        </w:tc>
      </w:tr>
      <w:tr w:rsidR="004A68BF" w14:paraId="21401A81" w14:textId="77777777" w:rsidTr="3285EAFF">
        <w:tc>
          <w:tcPr>
            <w:tcW w:w="2055" w:type="dxa"/>
          </w:tcPr>
          <w:p w14:paraId="2F8F5187" w14:textId="77777777" w:rsidR="004A68BF" w:rsidRPr="004A68BF" w:rsidRDefault="004A68BF" w:rsidP="004A68BF">
            <w:pPr>
              <w:widowControl w:val="0"/>
              <w:tabs>
                <w:tab w:val="left" w:pos="567"/>
                <w:tab w:val="right" w:pos="7371"/>
                <w:tab w:val="right" w:pos="9356"/>
              </w:tabs>
              <w:autoSpaceDE w:val="0"/>
              <w:autoSpaceDN w:val="0"/>
              <w:adjustRightInd w:val="0"/>
              <w:rPr>
                <w:sz w:val="20"/>
                <w:szCs w:val="20"/>
              </w:rPr>
            </w:pPr>
          </w:p>
        </w:tc>
        <w:tc>
          <w:tcPr>
            <w:tcW w:w="1370" w:type="dxa"/>
          </w:tcPr>
          <w:p w14:paraId="28377E5D"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sidRPr="004A68BF">
              <w:rPr>
                <w:b/>
                <w:sz w:val="20"/>
                <w:szCs w:val="20"/>
              </w:rPr>
              <w:t>T</w:t>
            </w:r>
            <w:r>
              <w:rPr>
                <w:b/>
                <w:sz w:val="20"/>
                <w:szCs w:val="20"/>
              </w:rPr>
              <w:t>otal average number of Persons E</w:t>
            </w:r>
            <w:r w:rsidRPr="004A68BF">
              <w:rPr>
                <w:b/>
                <w:sz w:val="20"/>
                <w:szCs w:val="20"/>
              </w:rPr>
              <w:t>ngaged</w:t>
            </w:r>
          </w:p>
        </w:tc>
        <w:tc>
          <w:tcPr>
            <w:tcW w:w="1375" w:type="dxa"/>
          </w:tcPr>
          <w:p w14:paraId="73F772D9"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sidRPr="004A68BF">
              <w:rPr>
                <w:b/>
                <w:sz w:val="20"/>
                <w:szCs w:val="20"/>
              </w:rPr>
              <w:t>Average number of Female Persons Engaged</w:t>
            </w:r>
          </w:p>
        </w:tc>
        <w:tc>
          <w:tcPr>
            <w:tcW w:w="1375" w:type="dxa"/>
          </w:tcPr>
          <w:p w14:paraId="76FDF074"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sidRPr="004A68BF">
              <w:rPr>
                <w:b/>
                <w:sz w:val="20"/>
                <w:szCs w:val="20"/>
              </w:rPr>
              <w:t>Average number of Male Persons Engaged</w:t>
            </w:r>
          </w:p>
        </w:tc>
        <w:tc>
          <w:tcPr>
            <w:tcW w:w="963" w:type="dxa"/>
          </w:tcPr>
          <w:p w14:paraId="06FE9BA3"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sidRPr="004A68BF">
              <w:rPr>
                <w:b/>
                <w:sz w:val="20"/>
                <w:szCs w:val="20"/>
              </w:rPr>
              <w:t>Total average number of Persons engaged</w:t>
            </w:r>
          </w:p>
        </w:tc>
        <w:tc>
          <w:tcPr>
            <w:tcW w:w="964" w:type="dxa"/>
          </w:tcPr>
          <w:p w14:paraId="70A57BAD"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sidRPr="004A68BF">
              <w:rPr>
                <w:b/>
                <w:sz w:val="20"/>
                <w:szCs w:val="20"/>
              </w:rPr>
              <w:t>Average number of Female Persons Engaged</w:t>
            </w:r>
          </w:p>
        </w:tc>
        <w:tc>
          <w:tcPr>
            <w:tcW w:w="964" w:type="dxa"/>
          </w:tcPr>
          <w:p w14:paraId="17869649"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sidRPr="004A68BF">
              <w:rPr>
                <w:b/>
                <w:sz w:val="20"/>
                <w:szCs w:val="20"/>
              </w:rPr>
              <w:t>Average number of Male Persons Engaged</w:t>
            </w:r>
          </w:p>
        </w:tc>
      </w:tr>
      <w:tr w:rsidR="004A68BF" w14:paraId="226C8A04" w14:textId="77777777" w:rsidTr="3285EAFF">
        <w:tc>
          <w:tcPr>
            <w:tcW w:w="2055" w:type="dxa"/>
          </w:tcPr>
          <w:p w14:paraId="3345923E"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Pr>
                <w:b/>
                <w:sz w:val="20"/>
                <w:szCs w:val="20"/>
              </w:rPr>
              <w:t>Commissioners</w:t>
            </w:r>
          </w:p>
        </w:tc>
        <w:tc>
          <w:tcPr>
            <w:tcW w:w="1370" w:type="dxa"/>
          </w:tcPr>
          <w:p w14:paraId="0F082407" w14:textId="386EEF4A" w:rsidR="004A68BF" w:rsidRPr="005C2E30" w:rsidRDefault="00FA48BC" w:rsidP="004A68BF">
            <w:pPr>
              <w:widowControl w:val="0"/>
              <w:tabs>
                <w:tab w:val="left" w:pos="567"/>
                <w:tab w:val="right" w:pos="7371"/>
                <w:tab w:val="right" w:pos="9356"/>
              </w:tabs>
              <w:autoSpaceDE w:val="0"/>
              <w:autoSpaceDN w:val="0"/>
              <w:adjustRightInd w:val="0"/>
              <w:jc w:val="center"/>
              <w:rPr>
                <w:sz w:val="20"/>
                <w:szCs w:val="20"/>
              </w:rPr>
            </w:pPr>
            <w:r>
              <w:rPr>
                <w:sz w:val="20"/>
                <w:szCs w:val="20"/>
              </w:rPr>
              <w:t>7</w:t>
            </w:r>
          </w:p>
        </w:tc>
        <w:tc>
          <w:tcPr>
            <w:tcW w:w="1375" w:type="dxa"/>
          </w:tcPr>
          <w:p w14:paraId="465AC94E" w14:textId="1E0739FF" w:rsidR="004A68BF" w:rsidRPr="005C2E30" w:rsidRDefault="00FA48BC" w:rsidP="004A68BF">
            <w:pPr>
              <w:widowControl w:val="0"/>
              <w:tabs>
                <w:tab w:val="left" w:pos="567"/>
                <w:tab w:val="right" w:pos="7371"/>
                <w:tab w:val="right" w:pos="9356"/>
              </w:tabs>
              <w:autoSpaceDE w:val="0"/>
              <w:autoSpaceDN w:val="0"/>
              <w:adjustRightInd w:val="0"/>
              <w:jc w:val="center"/>
              <w:rPr>
                <w:sz w:val="20"/>
                <w:szCs w:val="20"/>
              </w:rPr>
            </w:pPr>
            <w:r>
              <w:rPr>
                <w:sz w:val="20"/>
                <w:szCs w:val="20"/>
              </w:rPr>
              <w:t>2</w:t>
            </w:r>
          </w:p>
        </w:tc>
        <w:tc>
          <w:tcPr>
            <w:tcW w:w="1375" w:type="dxa"/>
          </w:tcPr>
          <w:p w14:paraId="23E987FC" w14:textId="1648A9FB" w:rsidR="004A68BF" w:rsidRPr="005C2E30" w:rsidRDefault="00FA48BC" w:rsidP="004A68BF">
            <w:pPr>
              <w:widowControl w:val="0"/>
              <w:tabs>
                <w:tab w:val="left" w:pos="567"/>
                <w:tab w:val="right" w:pos="7371"/>
                <w:tab w:val="right" w:pos="9356"/>
              </w:tabs>
              <w:autoSpaceDE w:val="0"/>
              <w:autoSpaceDN w:val="0"/>
              <w:adjustRightInd w:val="0"/>
              <w:jc w:val="center"/>
              <w:rPr>
                <w:sz w:val="20"/>
                <w:szCs w:val="20"/>
              </w:rPr>
            </w:pPr>
            <w:r>
              <w:rPr>
                <w:sz w:val="20"/>
                <w:szCs w:val="20"/>
              </w:rPr>
              <w:t>5</w:t>
            </w:r>
          </w:p>
        </w:tc>
        <w:tc>
          <w:tcPr>
            <w:tcW w:w="963" w:type="dxa"/>
          </w:tcPr>
          <w:p w14:paraId="51128F6F" w14:textId="35315E26" w:rsidR="004A68BF" w:rsidRPr="005C2E30" w:rsidRDefault="00FA48BC" w:rsidP="004A68BF">
            <w:pPr>
              <w:widowControl w:val="0"/>
              <w:tabs>
                <w:tab w:val="left" w:pos="567"/>
                <w:tab w:val="right" w:pos="7371"/>
                <w:tab w:val="right" w:pos="9356"/>
              </w:tabs>
              <w:autoSpaceDE w:val="0"/>
              <w:autoSpaceDN w:val="0"/>
              <w:adjustRightInd w:val="0"/>
              <w:jc w:val="center"/>
              <w:rPr>
                <w:sz w:val="20"/>
                <w:szCs w:val="20"/>
              </w:rPr>
            </w:pPr>
            <w:r>
              <w:rPr>
                <w:sz w:val="20"/>
                <w:szCs w:val="20"/>
              </w:rPr>
              <w:t>6</w:t>
            </w:r>
          </w:p>
        </w:tc>
        <w:tc>
          <w:tcPr>
            <w:tcW w:w="964" w:type="dxa"/>
          </w:tcPr>
          <w:p w14:paraId="50157AB4" w14:textId="77777777" w:rsidR="004A68BF" w:rsidRPr="005C2E30" w:rsidRDefault="004A68BF" w:rsidP="004A68BF">
            <w:pPr>
              <w:widowControl w:val="0"/>
              <w:tabs>
                <w:tab w:val="left" w:pos="567"/>
                <w:tab w:val="right" w:pos="7371"/>
                <w:tab w:val="right" w:pos="9356"/>
              </w:tabs>
              <w:autoSpaceDE w:val="0"/>
              <w:autoSpaceDN w:val="0"/>
              <w:adjustRightInd w:val="0"/>
              <w:jc w:val="center"/>
              <w:rPr>
                <w:sz w:val="20"/>
                <w:szCs w:val="20"/>
              </w:rPr>
            </w:pPr>
            <w:r w:rsidRPr="005C2E30">
              <w:rPr>
                <w:sz w:val="20"/>
                <w:szCs w:val="20"/>
              </w:rPr>
              <w:t>2</w:t>
            </w:r>
          </w:p>
        </w:tc>
        <w:tc>
          <w:tcPr>
            <w:tcW w:w="964" w:type="dxa"/>
          </w:tcPr>
          <w:p w14:paraId="63111C03" w14:textId="07039744" w:rsidR="004A68BF" w:rsidRPr="005C2E30" w:rsidRDefault="00FA48BC" w:rsidP="004A68BF">
            <w:pPr>
              <w:widowControl w:val="0"/>
              <w:tabs>
                <w:tab w:val="left" w:pos="567"/>
                <w:tab w:val="right" w:pos="7371"/>
                <w:tab w:val="right" w:pos="9356"/>
              </w:tabs>
              <w:autoSpaceDE w:val="0"/>
              <w:autoSpaceDN w:val="0"/>
              <w:adjustRightInd w:val="0"/>
              <w:jc w:val="center"/>
              <w:rPr>
                <w:sz w:val="20"/>
                <w:szCs w:val="20"/>
              </w:rPr>
            </w:pPr>
            <w:r>
              <w:rPr>
                <w:sz w:val="20"/>
                <w:szCs w:val="20"/>
              </w:rPr>
              <w:t>4</w:t>
            </w:r>
          </w:p>
        </w:tc>
      </w:tr>
      <w:tr w:rsidR="004A68BF" w14:paraId="02B59DCB" w14:textId="77777777" w:rsidTr="3285EAFF">
        <w:tc>
          <w:tcPr>
            <w:tcW w:w="2055" w:type="dxa"/>
          </w:tcPr>
          <w:p w14:paraId="38F776A6" w14:textId="77777777" w:rsidR="004A68BF" w:rsidRDefault="004A68BF" w:rsidP="004A68BF">
            <w:pPr>
              <w:widowControl w:val="0"/>
              <w:tabs>
                <w:tab w:val="left" w:pos="567"/>
                <w:tab w:val="right" w:pos="7371"/>
                <w:tab w:val="right" w:pos="9356"/>
              </w:tabs>
              <w:autoSpaceDE w:val="0"/>
              <w:autoSpaceDN w:val="0"/>
              <w:adjustRightInd w:val="0"/>
              <w:rPr>
                <w:b/>
                <w:sz w:val="20"/>
                <w:szCs w:val="20"/>
              </w:rPr>
            </w:pPr>
            <w:r>
              <w:rPr>
                <w:b/>
                <w:sz w:val="20"/>
                <w:szCs w:val="20"/>
              </w:rPr>
              <w:t>Permanently Employed</w:t>
            </w:r>
          </w:p>
        </w:tc>
        <w:tc>
          <w:tcPr>
            <w:tcW w:w="1370" w:type="dxa"/>
          </w:tcPr>
          <w:p w14:paraId="088F84D1" w14:textId="77777777" w:rsidR="004A68BF" w:rsidRDefault="004A68BF" w:rsidP="004A68BF">
            <w:pPr>
              <w:widowControl w:val="0"/>
              <w:tabs>
                <w:tab w:val="left" w:pos="567"/>
                <w:tab w:val="right" w:pos="7371"/>
                <w:tab w:val="right" w:pos="9356"/>
              </w:tabs>
              <w:autoSpaceDE w:val="0"/>
              <w:autoSpaceDN w:val="0"/>
              <w:adjustRightInd w:val="0"/>
              <w:jc w:val="center"/>
              <w:rPr>
                <w:sz w:val="20"/>
                <w:szCs w:val="20"/>
              </w:rPr>
            </w:pPr>
          </w:p>
          <w:p w14:paraId="04E6F67C" w14:textId="77777777" w:rsidR="00E865B2" w:rsidRPr="005C2E30" w:rsidRDefault="00E865B2" w:rsidP="004A68BF">
            <w:pPr>
              <w:widowControl w:val="0"/>
              <w:tabs>
                <w:tab w:val="left" w:pos="567"/>
                <w:tab w:val="right" w:pos="7371"/>
                <w:tab w:val="right" w:pos="9356"/>
              </w:tabs>
              <w:autoSpaceDE w:val="0"/>
              <w:autoSpaceDN w:val="0"/>
              <w:adjustRightInd w:val="0"/>
              <w:jc w:val="center"/>
              <w:rPr>
                <w:sz w:val="20"/>
                <w:szCs w:val="20"/>
              </w:rPr>
            </w:pPr>
            <w:r>
              <w:rPr>
                <w:sz w:val="20"/>
                <w:szCs w:val="20"/>
              </w:rPr>
              <w:t>23</w:t>
            </w:r>
          </w:p>
        </w:tc>
        <w:tc>
          <w:tcPr>
            <w:tcW w:w="1375" w:type="dxa"/>
          </w:tcPr>
          <w:p w14:paraId="2B8A9B23" w14:textId="77777777" w:rsidR="004A68BF" w:rsidRDefault="004A68BF" w:rsidP="00E029DB">
            <w:pPr>
              <w:tabs>
                <w:tab w:val="left" w:pos="567"/>
                <w:tab w:val="right" w:pos="7371"/>
                <w:tab w:val="right" w:pos="9356"/>
              </w:tabs>
              <w:spacing w:line="259" w:lineRule="auto"/>
              <w:jc w:val="center"/>
              <w:rPr>
                <w:sz w:val="20"/>
                <w:szCs w:val="20"/>
              </w:rPr>
            </w:pPr>
          </w:p>
          <w:p w14:paraId="7F6E4801" w14:textId="3C8BD118" w:rsidR="00E865B2" w:rsidRPr="00FA48BC" w:rsidRDefault="00A876B2" w:rsidP="00E029DB">
            <w:pPr>
              <w:tabs>
                <w:tab w:val="left" w:pos="567"/>
                <w:tab w:val="right" w:pos="7371"/>
                <w:tab w:val="right" w:pos="9356"/>
              </w:tabs>
              <w:spacing w:line="259" w:lineRule="auto"/>
              <w:jc w:val="center"/>
              <w:rPr>
                <w:color w:val="000000" w:themeColor="text1"/>
                <w:sz w:val="20"/>
                <w:szCs w:val="20"/>
              </w:rPr>
            </w:pPr>
            <w:r>
              <w:rPr>
                <w:color w:val="000000" w:themeColor="text1"/>
                <w:sz w:val="20"/>
                <w:szCs w:val="20"/>
              </w:rPr>
              <w:t>17</w:t>
            </w:r>
          </w:p>
        </w:tc>
        <w:tc>
          <w:tcPr>
            <w:tcW w:w="1375" w:type="dxa"/>
          </w:tcPr>
          <w:p w14:paraId="44CD5AB4" w14:textId="77777777" w:rsidR="004A68BF" w:rsidRDefault="004A68BF" w:rsidP="00E029DB">
            <w:pPr>
              <w:tabs>
                <w:tab w:val="left" w:pos="567"/>
                <w:tab w:val="right" w:pos="7371"/>
                <w:tab w:val="right" w:pos="9356"/>
              </w:tabs>
              <w:spacing w:line="259" w:lineRule="auto"/>
              <w:jc w:val="center"/>
              <w:rPr>
                <w:sz w:val="20"/>
                <w:szCs w:val="20"/>
              </w:rPr>
            </w:pPr>
          </w:p>
          <w:p w14:paraId="151D8D7A" w14:textId="788ED19A" w:rsidR="00E865B2" w:rsidRPr="00A876B2" w:rsidRDefault="00A876B2" w:rsidP="00A876B2">
            <w:pPr>
              <w:tabs>
                <w:tab w:val="left" w:pos="567"/>
                <w:tab w:val="right" w:pos="7371"/>
                <w:tab w:val="right" w:pos="9356"/>
              </w:tabs>
              <w:spacing w:line="259" w:lineRule="auto"/>
              <w:jc w:val="center"/>
              <w:rPr>
                <w:sz w:val="20"/>
                <w:szCs w:val="20"/>
              </w:rPr>
            </w:pPr>
            <w:r>
              <w:rPr>
                <w:sz w:val="20"/>
                <w:szCs w:val="20"/>
              </w:rPr>
              <w:t>6</w:t>
            </w:r>
          </w:p>
        </w:tc>
        <w:tc>
          <w:tcPr>
            <w:tcW w:w="963" w:type="dxa"/>
          </w:tcPr>
          <w:p w14:paraId="29C92BE2" w14:textId="77777777" w:rsidR="004A68BF" w:rsidRDefault="004A68BF" w:rsidP="00E029DB">
            <w:pPr>
              <w:tabs>
                <w:tab w:val="left" w:pos="567"/>
                <w:tab w:val="right" w:pos="7371"/>
                <w:tab w:val="right" w:pos="9356"/>
              </w:tabs>
              <w:spacing w:line="259" w:lineRule="auto"/>
              <w:jc w:val="center"/>
              <w:rPr>
                <w:sz w:val="20"/>
                <w:szCs w:val="20"/>
              </w:rPr>
            </w:pPr>
          </w:p>
          <w:p w14:paraId="25A5372C" w14:textId="6CB45B28" w:rsidR="00E865B2" w:rsidRPr="005C2E30" w:rsidRDefault="00FA48BC" w:rsidP="00E029DB">
            <w:pPr>
              <w:tabs>
                <w:tab w:val="left" w:pos="567"/>
                <w:tab w:val="right" w:pos="7371"/>
                <w:tab w:val="right" w:pos="9356"/>
              </w:tabs>
              <w:spacing w:line="259" w:lineRule="auto"/>
              <w:jc w:val="center"/>
              <w:rPr>
                <w:color w:val="000000" w:themeColor="text1"/>
              </w:rPr>
            </w:pPr>
            <w:r w:rsidRPr="00FA48BC">
              <w:rPr>
                <w:sz w:val="20"/>
                <w:szCs w:val="20"/>
              </w:rPr>
              <w:t>23</w:t>
            </w:r>
          </w:p>
        </w:tc>
        <w:tc>
          <w:tcPr>
            <w:tcW w:w="964" w:type="dxa"/>
          </w:tcPr>
          <w:p w14:paraId="4E42640E" w14:textId="77777777" w:rsidR="00E14AE5" w:rsidRDefault="00E14AE5" w:rsidP="00E029DB">
            <w:pPr>
              <w:tabs>
                <w:tab w:val="left" w:pos="567"/>
                <w:tab w:val="right" w:pos="7371"/>
                <w:tab w:val="right" w:pos="9356"/>
              </w:tabs>
              <w:spacing w:line="259" w:lineRule="auto"/>
              <w:jc w:val="center"/>
              <w:rPr>
                <w:sz w:val="20"/>
                <w:szCs w:val="20"/>
              </w:rPr>
            </w:pPr>
          </w:p>
          <w:p w14:paraId="64055B74" w14:textId="0E3579B2" w:rsidR="00E865B2" w:rsidRPr="005C2E30" w:rsidRDefault="00E865B2" w:rsidP="00E029DB">
            <w:pPr>
              <w:tabs>
                <w:tab w:val="left" w:pos="567"/>
                <w:tab w:val="right" w:pos="7371"/>
                <w:tab w:val="right" w:pos="9356"/>
              </w:tabs>
              <w:spacing w:line="259" w:lineRule="auto"/>
              <w:jc w:val="center"/>
              <w:rPr>
                <w:color w:val="000000" w:themeColor="text1"/>
              </w:rPr>
            </w:pPr>
            <w:r>
              <w:rPr>
                <w:sz w:val="20"/>
                <w:szCs w:val="20"/>
              </w:rPr>
              <w:t>1</w:t>
            </w:r>
            <w:r w:rsidR="00FA48BC">
              <w:rPr>
                <w:sz w:val="20"/>
                <w:szCs w:val="20"/>
              </w:rPr>
              <w:t>8</w:t>
            </w:r>
          </w:p>
        </w:tc>
        <w:tc>
          <w:tcPr>
            <w:tcW w:w="964" w:type="dxa"/>
          </w:tcPr>
          <w:p w14:paraId="3C926056" w14:textId="77777777" w:rsidR="00E14AE5" w:rsidRDefault="00E14AE5" w:rsidP="004A68BF">
            <w:pPr>
              <w:widowControl w:val="0"/>
              <w:tabs>
                <w:tab w:val="left" w:pos="567"/>
                <w:tab w:val="right" w:pos="7371"/>
                <w:tab w:val="right" w:pos="9356"/>
              </w:tabs>
              <w:autoSpaceDE w:val="0"/>
              <w:autoSpaceDN w:val="0"/>
              <w:adjustRightInd w:val="0"/>
              <w:jc w:val="center"/>
              <w:rPr>
                <w:sz w:val="20"/>
                <w:szCs w:val="20"/>
              </w:rPr>
            </w:pPr>
          </w:p>
          <w:p w14:paraId="56868BFF" w14:textId="3BC8828B" w:rsidR="00E865B2" w:rsidRPr="005C2E30" w:rsidRDefault="00FA48BC" w:rsidP="004A68BF">
            <w:pPr>
              <w:widowControl w:val="0"/>
              <w:tabs>
                <w:tab w:val="left" w:pos="567"/>
                <w:tab w:val="right" w:pos="7371"/>
                <w:tab w:val="right" w:pos="9356"/>
              </w:tabs>
              <w:autoSpaceDE w:val="0"/>
              <w:autoSpaceDN w:val="0"/>
              <w:adjustRightInd w:val="0"/>
              <w:jc w:val="center"/>
              <w:rPr>
                <w:sz w:val="20"/>
                <w:szCs w:val="20"/>
              </w:rPr>
            </w:pPr>
            <w:r>
              <w:rPr>
                <w:sz w:val="20"/>
                <w:szCs w:val="20"/>
              </w:rPr>
              <w:t>5</w:t>
            </w:r>
          </w:p>
        </w:tc>
      </w:tr>
      <w:tr w:rsidR="004A68BF" w14:paraId="2F1B86B0" w14:textId="77777777" w:rsidTr="3285EAFF">
        <w:tc>
          <w:tcPr>
            <w:tcW w:w="2055" w:type="dxa"/>
          </w:tcPr>
          <w:p w14:paraId="0C73144B" w14:textId="77777777" w:rsidR="004A68BF" w:rsidRDefault="004A68BF" w:rsidP="004A68BF">
            <w:pPr>
              <w:widowControl w:val="0"/>
              <w:tabs>
                <w:tab w:val="left" w:pos="567"/>
                <w:tab w:val="right" w:pos="7371"/>
                <w:tab w:val="right" w:pos="9356"/>
              </w:tabs>
              <w:autoSpaceDE w:val="0"/>
              <w:autoSpaceDN w:val="0"/>
              <w:adjustRightInd w:val="0"/>
              <w:rPr>
                <w:b/>
                <w:sz w:val="20"/>
                <w:szCs w:val="20"/>
              </w:rPr>
            </w:pPr>
            <w:r>
              <w:rPr>
                <w:b/>
                <w:sz w:val="20"/>
                <w:szCs w:val="20"/>
              </w:rPr>
              <w:t>Others</w:t>
            </w:r>
          </w:p>
        </w:tc>
        <w:tc>
          <w:tcPr>
            <w:tcW w:w="1370" w:type="dxa"/>
          </w:tcPr>
          <w:p w14:paraId="35DE46C8" w14:textId="6E15CEB8" w:rsidR="004A68BF" w:rsidRPr="005C2E30" w:rsidRDefault="00BB74EA" w:rsidP="00E029DB">
            <w:pPr>
              <w:tabs>
                <w:tab w:val="left" w:pos="567"/>
                <w:tab w:val="right" w:pos="7371"/>
                <w:tab w:val="right" w:pos="9356"/>
              </w:tabs>
              <w:spacing w:line="259" w:lineRule="auto"/>
              <w:jc w:val="center"/>
              <w:rPr>
                <w:color w:val="000000" w:themeColor="text1"/>
              </w:rPr>
            </w:pPr>
            <w:r>
              <w:rPr>
                <w:sz w:val="20"/>
                <w:szCs w:val="20"/>
              </w:rPr>
              <w:t>3</w:t>
            </w:r>
          </w:p>
        </w:tc>
        <w:tc>
          <w:tcPr>
            <w:tcW w:w="1375" w:type="dxa"/>
          </w:tcPr>
          <w:p w14:paraId="2B4E46B5" w14:textId="1F3A7E44" w:rsidR="004A68BF" w:rsidRPr="00FA48BC" w:rsidRDefault="00BB74EA" w:rsidP="00E029DB">
            <w:pPr>
              <w:tabs>
                <w:tab w:val="left" w:pos="567"/>
                <w:tab w:val="right" w:pos="7371"/>
                <w:tab w:val="right" w:pos="9356"/>
              </w:tabs>
              <w:spacing w:line="259" w:lineRule="auto"/>
              <w:jc w:val="center"/>
              <w:rPr>
                <w:color w:val="000000" w:themeColor="text1"/>
                <w:sz w:val="20"/>
                <w:szCs w:val="20"/>
              </w:rPr>
            </w:pPr>
            <w:r>
              <w:rPr>
                <w:color w:val="000000" w:themeColor="text1"/>
                <w:sz w:val="20"/>
                <w:szCs w:val="20"/>
              </w:rPr>
              <w:t>3</w:t>
            </w:r>
          </w:p>
        </w:tc>
        <w:tc>
          <w:tcPr>
            <w:tcW w:w="1375" w:type="dxa"/>
          </w:tcPr>
          <w:p w14:paraId="74FB530F" w14:textId="0D79A010" w:rsidR="004A68BF" w:rsidRPr="00FA48BC" w:rsidRDefault="00FA48BC" w:rsidP="00E029DB">
            <w:pPr>
              <w:tabs>
                <w:tab w:val="left" w:pos="567"/>
                <w:tab w:val="right" w:pos="7371"/>
                <w:tab w:val="right" w:pos="9356"/>
              </w:tabs>
              <w:spacing w:line="259" w:lineRule="auto"/>
              <w:jc w:val="center"/>
              <w:rPr>
                <w:color w:val="000000" w:themeColor="text1"/>
                <w:sz w:val="20"/>
                <w:szCs w:val="20"/>
              </w:rPr>
            </w:pPr>
            <w:r w:rsidRPr="00FA48BC">
              <w:rPr>
                <w:color w:val="000000" w:themeColor="text1"/>
                <w:sz w:val="20"/>
                <w:szCs w:val="20"/>
              </w:rPr>
              <w:t>0</w:t>
            </w:r>
          </w:p>
        </w:tc>
        <w:tc>
          <w:tcPr>
            <w:tcW w:w="963" w:type="dxa"/>
          </w:tcPr>
          <w:p w14:paraId="68AE6753" w14:textId="68F4668E" w:rsidR="004A68BF" w:rsidRPr="005C2E30" w:rsidRDefault="00FA48BC" w:rsidP="004A68BF">
            <w:pPr>
              <w:widowControl w:val="0"/>
              <w:tabs>
                <w:tab w:val="left" w:pos="567"/>
                <w:tab w:val="right" w:pos="7371"/>
                <w:tab w:val="right" w:pos="9356"/>
              </w:tabs>
              <w:autoSpaceDE w:val="0"/>
              <w:autoSpaceDN w:val="0"/>
              <w:adjustRightInd w:val="0"/>
              <w:jc w:val="center"/>
              <w:rPr>
                <w:sz w:val="20"/>
                <w:szCs w:val="20"/>
              </w:rPr>
            </w:pPr>
            <w:r>
              <w:rPr>
                <w:sz w:val="20"/>
                <w:szCs w:val="20"/>
              </w:rPr>
              <w:t>1</w:t>
            </w:r>
          </w:p>
        </w:tc>
        <w:tc>
          <w:tcPr>
            <w:tcW w:w="964" w:type="dxa"/>
          </w:tcPr>
          <w:p w14:paraId="05BEC52E" w14:textId="7BEE13FC" w:rsidR="004A68BF" w:rsidRPr="005C2E30" w:rsidRDefault="00FA48BC" w:rsidP="00E029DB">
            <w:pPr>
              <w:tabs>
                <w:tab w:val="left" w:pos="567"/>
                <w:tab w:val="right" w:pos="7371"/>
                <w:tab w:val="right" w:pos="9356"/>
              </w:tabs>
              <w:spacing w:line="259" w:lineRule="auto"/>
              <w:jc w:val="center"/>
              <w:rPr>
                <w:sz w:val="20"/>
                <w:szCs w:val="20"/>
              </w:rPr>
            </w:pPr>
            <w:r>
              <w:rPr>
                <w:sz w:val="20"/>
                <w:szCs w:val="20"/>
              </w:rPr>
              <w:t>1</w:t>
            </w:r>
          </w:p>
        </w:tc>
        <w:tc>
          <w:tcPr>
            <w:tcW w:w="964" w:type="dxa"/>
          </w:tcPr>
          <w:p w14:paraId="029F2A04" w14:textId="77777777" w:rsidR="004A68BF" w:rsidRPr="005C2E30" w:rsidRDefault="00E865B2" w:rsidP="00E029DB">
            <w:pPr>
              <w:tabs>
                <w:tab w:val="left" w:pos="567"/>
                <w:tab w:val="right" w:pos="7371"/>
                <w:tab w:val="right" w:pos="9356"/>
              </w:tabs>
              <w:spacing w:line="259" w:lineRule="auto"/>
              <w:jc w:val="center"/>
              <w:rPr>
                <w:color w:val="000000" w:themeColor="text1"/>
              </w:rPr>
            </w:pPr>
            <w:r>
              <w:rPr>
                <w:sz w:val="20"/>
                <w:szCs w:val="20"/>
              </w:rPr>
              <w:t>0</w:t>
            </w:r>
          </w:p>
        </w:tc>
      </w:tr>
      <w:tr w:rsidR="004A68BF" w14:paraId="73AE29C2" w14:textId="77777777" w:rsidTr="3285EAFF">
        <w:tc>
          <w:tcPr>
            <w:tcW w:w="2055" w:type="dxa"/>
          </w:tcPr>
          <w:p w14:paraId="4E0AE05C" w14:textId="77777777" w:rsidR="004A68BF" w:rsidRDefault="004A68BF" w:rsidP="004A68BF">
            <w:pPr>
              <w:widowControl w:val="0"/>
              <w:tabs>
                <w:tab w:val="left" w:pos="567"/>
                <w:tab w:val="right" w:pos="7371"/>
                <w:tab w:val="right" w:pos="9356"/>
              </w:tabs>
              <w:autoSpaceDE w:val="0"/>
              <w:autoSpaceDN w:val="0"/>
              <w:adjustRightInd w:val="0"/>
              <w:rPr>
                <w:b/>
                <w:sz w:val="20"/>
                <w:szCs w:val="20"/>
              </w:rPr>
            </w:pPr>
            <w:r>
              <w:rPr>
                <w:b/>
                <w:sz w:val="20"/>
                <w:szCs w:val="20"/>
              </w:rPr>
              <w:t>Total</w:t>
            </w:r>
          </w:p>
        </w:tc>
        <w:tc>
          <w:tcPr>
            <w:tcW w:w="1370" w:type="dxa"/>
          </w:tcPr>
          <w:p w14:paraId="124E12C6" w14:textId="1A6E0C18" w:rsidR="004A68BF" w:rsidRPr="004A68BF" w:rsidRDefault="003B2CCE" w:rsidP="00E029DB">
            <w:pPr>
              <w:tabs>
                <w:tab w:val="left" w:pos="567"/>
                <w:tab w:val="right" w:pos="7371"/>
                <w:tab w:val="right" w:pos="9356"/>
              </w:tabs>
              <w:spacing w:line="259" w:lineRule="auto"/>
              <w:jc w:val="center"/>
              <w:rPr>
                <w:color w:val="000000" w:themeColor="text1"/>
              </w:rPr>
            </w:pPr>
            <w:r>
              <w:rPr>
                <w:b/>
                <w:bCs/>
                <w:sz w:val="20"/>
                <w:szCs w:val="20"/>
              </w:rPr>
              <w:t>3</w:t>
            </w:r>
            <w:r w:rsidR="00BB74EA">
              <w:rPr>
                <w:b/>
                <w:bCs/>
                <w:sz w:val="20"/>
                <w:szCs w:val="20"/>
              </w:rPr>
              <w:t>3</w:t>
            </w:r>
          </w:p>
        </w:tc>
        <w:tc>
          <w:tcPr>
            <w:tcW w:w="1375" w:type="dxa"/>
          </w:tcPr>
          <w:p w14:paraId="5832F83D" w14:textId="02FD4B63" w:rsidR="004A68BF" w:rsidRPr="004A68BF" w:rsidRDefault="003B2CCE" w:rsidP="00E029DB">
            <w:pPr>
              <w:tabs>
                <w:tab w:val="left" w:pos="567"/>
                <w:tab w:val="right" w:pos="7371"/>
                <w:tab w:val="right" w:pos="9356"/>
              </w:tabs>
              <w:spacing w:line="259" w:lineRule="auto"/>
              <w:jc w:val="center"/>
              <w:rPr>
                <w:color w:val="000000" w:themeColor="text1"/>
              </w:rPr>
            </w:pPr>
            <w:r>
              <w:rPr>
                <w:b/>
                <w:bCs/>
                <w:sz w:val="20"/>
                <w:szCs w:val="20"/>
              </w:rPr>
              <w:t>2</w:t>
            </w:r>
            <w:r w:rsidR="00BB74EA">
              <w:rPr>
                <w:b/>
                <w:bCs/>
                <w:sz w:val="20"/>
                <w:szCs w:val="20"/>
              </w:rPr>
              <w:t>2</w:t>
            </w:r>
          </w:p>
        </w:tc>
        <w:tc>
          <w:tcPr>
            <w:tcW w:w="1375" w:type="dxa"/>
          </w:tcPr>
          <w:p w14:paraId="366A32D9" w14:textId="2BFAE596" w:rsidR="004A68BF" w:rsidRPr="00A876B2" w:rsidRDefault="00A876B2" w:rsidP="00E029DB">
            <w:pPr>
              <w:tabs>
                <w:tab w:val="left" w:pos="567"/>
                <w:tab w:val="right" w:pos="7371"/>
                <w:tab w:val="right" w:pos="9356"/>
              </w:tabs>
              <w:spacing w:line="259" w:lineRule="auto"/>
              <w:jc w:val="center"/>
              <w:rPr>
                <w:b/>
                <w:bCs/>
                <w:color w:val="000000" w:themeColor="text1"/>
              </w:rPr>
            </w:pPr>
            <w:r w:rsidRPr="00A876B2">
              <w:rPr>
                <w:b/>
                <w:bCs/>
                <w:sz w:val="20"/>
                <w:szCs w:val="20"/>
              </w:rPr>
              <w:t>11</w:t>
            </w:r>
          </w:p>
        </w:tc>
        <w:tc>
          <w:tcPr>
            <w:tcW w:w="963" w:type="dxa"/>
          </w:tcPr>
          <w:p w14:paraId="232D7DE2" w14:textId="37062187" w:rsidR="004A68BF" w:rsidRPr="004A68BF" w:rsidRDefault="00FA48BC" w:rsidP="00E029DB">
            <w:pPr>
              <w:tabs>
                <w:tab w:val="left" w:pos="567"/>
                <w:tab w:val="right" w:pos="7371"/>
                <w:tab w:val="right" w:pos="9356"/>
              </w:tabs>
              <w:spacing w:line="259" w:lineRule="auto"/>
              <w:jc w:val="center"/>
              <w:rPr>
                <w:b/>
                <w:bCs/>
                <w:sz w:val="20"/>
                <w:szCs w:val="20"/>
              </w:rPr>
            </w:pPr>
            <w:r>
              <w:rPr>
                <w:b/>
                <w:bCs/>
                <w:sz w:val="20"/>
                <w:szCs w:val="20"/>
              </w:rPr>
              <w:t>30</w:t>
            </w:r>
          </w:p>
        </w:tc>
        <w:tc>
          <w:tcPr>
            <w:tcW w:w="964" w:type="dxa"/>
          </w:tcPr>
          <w:p w14:paraId="234312C8" w14:textId="698D5F68" w:rsidR="004A68BF" w:rsidRPr="004A68BF" w:rsidRDefault="00FA48BC" w:rsidP="3285EAFF">
            <w:pPr>
              <w:widowControl w:val="0"/>
              <w:tabs>
                <w:tab w:val="left" w:pos="567"/>
                <w:tab w:val="right" w:pos="7371"/>
                <w:tab w:val="right" w:pos="9356"/>
              </w:tabs>
              <w:autoSpaceDE w:val="0"/>
              <w:autoSpaceDN w:val="0"/>
              <w:adjustRightInd w:val="0"/>
              <w:jc w:val="center"/>
              <w:rPr>
                <w:b/>
                <w:bCs/>
                <w:sz w:val="20"/>
                <w:szCs w:val="20"/>
              </w:rPr>
            </w:pPr>
            <w:r>
              <w:rPr>
                <w:b/>
                <w:bCs/>
                <w:sz w:val="20"/>
                <w:szCs w:val="20"/>
              </w:rPr>
              <w:t>21</w:t>
            </w:r>
          </w:p>
        </w:tc>
        <w:tc>
          <w:tcPr>
            <w:tcW w:w="964" w:type="dxa"/>
          </w:tcPr>
          <w:p w14:paraId="5F3447AA" w14:textId="2EB2E385" w:rsidR="004A68BF" w:rsidRPr="00FA48BC" w:rsidRDefault="00FA48BC" w:rsidP="00E029DB">
            <w:pPr>
              <w:tabs>
                <w:tab w:val="left" w:pos="567"/>
                <w:tab w:val="right" w:pos="7371"/>
                <w:tab w:val="right" w:pos="9356"/>
              </w:tabs>
              <w:spacing w:line="259" w:lineRule="auto"/>
              <w:jc w:val="center"/>
              <w:rPr>
                <w:b/>
                <w:bCs/>
                <w:color w:val="000000" w:themeColor="text1"/>
              </w:rPr>
            </w:pPr>
            <w:r w:rsidRPr="00FA48BC">
              <w:rPr>
                <w:b/>
                <w:bCs/>
                <w:sz w:val="20"/>
                <w:szCs w:val="20"/>
              </w:rPr>
              <w:t>9</w:t>
            </w:r>
          </w:p>
        </w:tc>
      </w:tr>
    </w:tbl>
    <w:p w14:paraId="7B84F1FB" w14:textId="77777777" w:rsidR="004A68BF" w:rsidRDefault="004A68BF" w:rsidP="000C2A54">
      <w:pPr>
        <w:widowControl w:val="0"/>
        <w:tabs>
          <w:tab w:val="left" w:pos="567"/>
          <w:tab w:val="right" w:pos="7371"/>
          <w:tab w:val="right" w:pos="9356"/>
        </w:tabs>
        <w:autoSpaceDE w:val="0"/>
        <w:autoSpaceDN w:val="0"/>
        <w:adjustRightInd w:val="0"/>
        <w:ind w:left="567" w:hanging="567"/>
      </w:pPr>
    </w:p>
    <w:p w14:paraId="364429CA" w14:textId="77777777" w:rsidR="00370541" w:rsidRDefault="00370541" w:rsidP="00370541">
      <w:r w:rsidRPr="00370541">
        <w:rPr>
          <w:b/>
        </w:rPr>
        <w:t>Staff Turnover</w:t>
      </w:r>
    </w:p>
    <w:p w14:paraId="7003EABE" w14:textId="77777777" w:rsidR="00370541" w:rsidRDefault="00370541" w:rsidP="00370541"/>
    <w:p w14:paraId="61517C59" w14:textId="1D8CBB39" w:rsidR="00370541" w:rsidRDefault="00370541" w:rsidP="00370541">
      <w:pPr>
        <w:rPr>
          <w:rFonts w:ascii="Calibri" w:hAnsi="Calibri"/>
          <w:color w:val="auto"/>
          <w:sz w:val="22"/>
          <w:szCs w:val="22"/>
        </w:rPr>
      </w:pPr>
      <w:r>
        <w:t>The annual turnover rate of staff for the period</w:t>
      </w:r>
      <w:r w:rsidR="00E865B2">
        <w:t xml:space="preserve"> 202</w:t>
      </w:r>
      <w:r w:rsidR="00A876B2">
        <w:t>2</w:t>
      </w:r>
      <w:r w:rsidR="00E865B2">
        <w:t>-2</w:t>
      </w:r>
      <w:r w:rsidR="00A876B2">
        <w:t>3</w:t>
      </w:r>
      <w:r w:rsidR="00E865B2">
        <w:t xml:space="preserve"> was </w:t>
      </w:r>
      <w:r w:rsidR="007472F5">
        <w:t>18</w:t>
      </w:r>
      <w:r w:rsidR="00391EFD">
        <w:t>.</w:t>
      </w:r>
      <w:r w:rsidR="007472F5">
        <w:t>7</w:t>
      </w:r>
      <w:r w:rsidR="00391EFD">
        <w:t>%</w:t>
      </w:r>
      <w:r>
        <w:t xml:space="preserve"> </w:t>
      </w:r>
      <w:r w:rsidR="00E865B2">
        <w:t>(202</w:t>
      </w:r>
      <w:r w:rsidR="00A876B2">
        <w:t>1</w:t>
      </w:r>
      <w:r w:rsidR="00E865B2">
        <w:t>-</w:t>
      </w:r>
      <w:r>
        <w:t>2</w:t>
      </w:r>
      <w:r w:rsidR="00A876B2">
        <w:t>2</w:t>
      </w:r>
      <w:r w:rsidR="00E865B2">
        <w:t>:</w:t>
      </w:r>
      <w:r>
        <w:t xml:space="preserve"> 13.</w:t>
      </w:r>
      <w:r w:rsidR="00A876B2">
        <w:t>0</w:t>
      </w:r>
      <w:r>
        <w:t>%</w:t>
      </w:r>
      <w:r w:rsidR="00E865B2">
        <w:t>)</w:t>
      </w:r>
      <w:r>
        <w:t xml:space="preserve">.  </w:t>
      </w:r>
      <w:r w:rsidR="00391EFD">
        <w:t xml:space="preserve">During the year </w:t>
      </w:r>
      <w:r w:rsidR="007472F5">
        <w:t>six</w:t>
      </w:r>
      <w:r w:rsidR="00391EFD">
        <w:t xml:space="preserve"> members of staff left the Commission to take up posts elsewhere.  </w:t>
      </w:r>
    </w:p>
    <w:p w14:paraId="6F341383" w14:textId="77777777" w:rsidR="00D049A2" w:rsidRDefault="00871DB1" w:rsidP="007330CB">
      <w:pPr>
        <w:widowControl w:val="0"/>
        <w:tabs>
          <w:tab w:val="left" w:pos="567"/>
          <w:tab w:val="right" w:pos="7371"/>
          <w:tab w:val="right" w:pos="9356"/>
        </w:tabs>
        <w:autoSpaceDE w:val="0"/>
        <w:autoSpaceDN w:val="0"/>
        <w:adjustRightInd w:val="0"/>
        <w:rPr>
          <w:b/>
        </w:rPr>
      </w:pPr>
      <w:r>
        <w:rPr>
          <w:b/>
        </w:rPr>
        <w:lastRenderedPageBreak/>
        <w:t>Managing Attendance</w:t>
      </w:r>
    </w:p>
    <w:p w14:paraId="3BDD7A8E" w14:textId="77777777" w:rsidR="00871DB1" w:rsidRDefault="00871DB1" w:rsidP="000C2A54">
      <w:pPr>
        <w:widowControl w:val="0"/>
        <w:tabs>
          <w:tab w:val="left" w:pos="567"/>
          <w:tab w:val="right" w:pos="7371"/>
          <w:tab w:val="right" w:pos="9356"/>
        </w:tabs>
        <w:autoSpaceDE w:val="0"/>
        <w:autoSpaceDN w:val="0"/>
        <w:adjustRightInd w:val="0"/>
        <w:ind w:left="567" w:hanging="567"/>
        <w:rPr>
          <w:b/>
        </w:rPr>
      </w:pPr>
    </w:p>
    <w:p w14:paraId="3AB37E11" w14:textId="4F0CDDE7" w:rsidR="00871DB1" w:rsidRDefault="00871DB1" w:rsidP="00871DB1">
      <w:pPr>
        <w:widowControl w:val="0"/>
        <w:tabs>
          <w:tab w:val="right" w:pos="7371"/>
          <w:tab w:val="right" w:pos="9356"/>
        </w:tabs>
        <w:autoSpaceDE w:val="0"/>
        <w:autoSpaceDN w:val="0"/>
        <w:adjustRightInd w:val="0"/>
      </w:pPr>
      <w:r>
        <w:t>Staff absence arising as a result of illness, including injuries, disability or other health problems, was approximatel</w:t>
      </w:r>
      <w:r w:rsidR="00A80575">
        <w:t xml:space="preserve">y </w:t>
      </w:r>
      <w:r w:rsidR="007472F5">
        <w:t>4.98</w:t>
      </w:r>
      <w:r w:rsidR="00A80575">
        <w:t xml:space="preserve"> days per employee in </w:t>
      </w:r>
      <w:r w:rsidR="00993DB0">
        <w:t>20</w:t>
      </w:r>
      <w:r w:rsidR="51CE5292">
        <w:t>2</w:t>
      </w:r>
      <w:r w:rsidR="007472F5">
        <w:t>2</w:t>
      </w:r>
      <w:r w:rsidR="00993DB0">
        <w:t>-2</w:t>
      </w:r>
      <w:r w:rsidR="007472F5">
        <w:t>3</w:t>
      </w:r>
      <w:r w:rsidR="00A80575">
        <w:t xml:space="preserve"> (</w:t>
      </w:r>
      <w:r w:rsidR="00993DB0">
        <w:t>20</w:t>
      </w:r>
      <w:r w:rsidR="212EBF91">
        <w:t>2</w:t>
      </w:r>
      <w:r w:rsidR="007472F5">
        <w:t>1</w:t>
      </w:r>
      <w:r w:rsidR="00993DB0">
        <w:t>-2</w:t>
      </w:r>
      <w:r w:rsidR="007472F5">
        <w:t>2</w:t>
      </w:r>
      <w:r w:rsidR="005D69D1">
        <w:t xml:space="preserve">: </w:t>
      </w:r>
      <w:r w:rsidR="007472F5">
        <w:t>1.3</w:t>
      </w:r>
      <w:r w:rsidR="66D421E8">
        <w:t xml:space="preserve"> </w:t>
      </w:r>
      <w:r>
        <w:t xml:space="preserve">days).  </w:t>
      </w:r>
    </w:p>
    <w:p w14:paraId="12F81BE9" w14:textId="77777777" w:rsidR="00E14AE5" w:rsidRDefault="00E14AE5" w:rsidP="00871DB1">
      <w:pPr>
        <w:widowControl w:val="0"/>
        <w:tabs>
          <w:tab w:val="right" w:pos="7371"/>
          <w:tab w:val="right" w:pos="9356"/>
        </w:tabs>
        <w:autoSpaceDE w:val="0"/>
        <w:autoSpaceDN w:val="0"/>
        <w:adjustRightInd w:val="0"/>
      </w:pPr>
    </w:p>
    <w:p w14:paraId="535362EE" w14:textId="77777777" w:rsidR="00E14AE5" w:rsidRDefault="00E14AE5" w:rsidP="00871DB1">
      <w:pPr>
        <w:widowControl w:val="0"/>
        <w:tabs>
          <w:tab w:val="right" w:pos="7371"/>
          <w:tab w:val="right" w:pos="9356"/>
        </w:tabs>
        <w:autoSpaceDE w:val="0"/>
        <w:autoSpaceDN w:val="0"/>
        <w:adjustRightInd w:val="0"/>
      </w:pPr>
      <w:r>
        <w:rPr>
          <w:b/>
        </w:rPr>
        <w:t>Disabled Employees</w:t>
      </w:r>
    </w:p>
    <w:p w14:paraId="41072186" w14:textId="77777777" w:rsidR="00E14AE5" w:rsidRDefault="00E14AE5" w:rsidP="00871DB1">
      <w:pPr>
        <w:widowControl w:val="0"/>
        <w:tabs>
          <w:tab w:val="right" w:pos="7371"/>
          <w:tab w:val="right" w:pos="9356"/>
        </w:tabs>
        <w:autoSpaceDE w:val="0"/>
        <w:autoSpaceDN w:val="0"/>
        <w:adjustRightInd w:val="0"/>
      </w:pPr>
    </w:p>
    <w:p w14:paraId="499DDC15" w14:textId="77777777" w:rsidR="00E14AE5" w:rsidRDefault="00E14AE5" w:rsidP="00871DB1">
      <w:pPr>
        <w:widowControl w:val="0"/>
        <w:tabs>
          <w:tab w:val="right" w:pos="7371"/>
          <w:tab w:val="right" w:pos="9356"/>
        </w:tabs>
        <w:autoSpaceDE w:val="0"/>
        <w:autoSpaceDN w:val="0"/>
        <w:adjustRightInd w:val="0"/>
      </w:pPr>
      <w:r>
        <w:t>The Commission aims to ensure that there is no discrimination on the grounds of disability and that access to employment and career advancement in the Commission is based solely on ability, qualifications and suitability for the post.  All disabled applicants who meet the essential criteria for posts advertised at the Commission are guaranteed an interview.</w:t>
      </w:r>
      <w:r w:rsidR="00835B2C">
        <w:t xml:space="preserve">  The Commission complies with all existing legislation in regard to its disabled employees.</w:t>
      </w:r>
    </w:p>
    <w:p w14:paraId="4810F9A1" w14:textId="77777777" w:rsidR="00835B2C" w:rsidRDefault="00835B2C" w:rsidP="00871DB1">
      <w:pPr>
        <w:widowControl w:val="0"/>
        <w:tabs>
          <w:tab w:val="right" w:pos="7371"/>
          <w:tab w:val="right" w:pos="9356"/>
        </w:tabs>
        <w:autoSpaceDE w:val="0"/>
        <w:autoSpaceDN w:val="0"/>
        <w:adjustRightInd w:val="0"/>
      </w:pPr>
    </w:p>
    <w:p w14:paraId="4E4573D3" w14:textId="77777777" w:rsidR="00835B2C" w:rsidRDefault="00835B2C" w:rsidP="00871DB1">
      <w:pPr>
        <w:widowControl w:val="0"/>
        <w:tabs>
          <w:tab w:val="right" w:pos="7371"/>
          <w:tab w:val="right" w:pos="9356"/>
        </w:tabs>
        <w:autoSpaceDE w:val="0"/>
        <w:autoSpaceDN w:val="0"/>
        <w:adjustRightInd w:val="0"/>
      </w:pPr>
      <w:r>
        <w:rPr>
          <w:b/>
        </w:rPr>
        <w:t>Equal Opportunities</w:t>
      </w:r>
    </w:p>
    <w:p w14:paraId="5979336D" w14:textId="77777777" w:rsidR="00835B2C" w:rsidRDefault="00835B2C" w:rsidP="00871DB1">
      <w:pPr>
        <w:widowControl w:val="0"/>
        <w:tabs>
          <w:tab w:val="right" w:pos="7371"/>
          <w:tab w:val="right" w:pos="9356"/>
        </w:tabs>
        <w:autoSpaceDE w:val="0"/>
        <w:autoSpaceDN w:val="0"/>
        <w:adjustRightInd w:val="0"/>
      </w:pPr>
    </w:p>
    <w:p w14:paraId="19B6CB45" w14:textId="77777777" w:rsidR="00835B2C" w:rsidRDefault="00835B2C" w:rsidP="00871DB1">
      <w:pPr>
        <w:widowControl w:val="0"/>
        <w:tabs>
          <w:tab w:val="right" w:pos="7371"/>
          <w:tab w:val="right" w:pos="9356"/>
        </w:tabs>
        <w:autoSpaceDE w:val="0"/>
        <w:autoSpaceDN w:val="0"/>
        <w:adjustRightInd w:val="0"/>
      </w:pPr>
      <w:r>
        <w:t>The Commission is committed to equality of opportunity and promoting good relations in accordance with our Equality Scheme, prepared in compliance with Section 75 of the Northern Ireland Act 1998.  We strive to promote equality of opportunity and good relations within the organisation as well as in our activities.  The Commission complies fully with its statutory obligations and we liaise closely with the Equality Commission for Northern Ireland to ensure we work together effectively.</w:t>
      </w:r>
    </w:p>
    <w:p w14:paraId="0845B393" w14:textId="77777777" w:rsidR="00250101" w:rsidRDefault="00250101" w:rsidP="00871DB1">
      <w:pPr>
        <w:widowControl w:val="0"/>
        <w:tabs>
          <w:tab w:val="right" w:pos="7371"/>
          <w:tab w:val="right" w:pos="9356"/>
        </w:tabs>
        <w:autoSpaceDE w:val="0"/>
        <w:autoSpaceDN w:val="0"/>
        <w:adjustRightInd w:val="0"/>
        <w:rPr>
          <w:b/>
        </w:rPr>
      </w:pPr>
    </w:p>
    <w:p w14:paraId="7901786A" w14:textId="40F4BEBA" w:rsidR="00835B2C" w:rsidRDefault="00835B2C" w:rsidP="00871DB1">
      <w:pPr>
        <w:widowControl w:val="0"/>
        <w:tabs>
          <w:tab w:val="right" w:pos="7371"/>
          <w:tab w:val="right" w:pos="9356"/>
        </w:tabs>
        <w:autoSpaceDE w:val="0"/>
        <w:autoSpaceDN w:val="0"/>
        <w:adjustRightInd w:val="0"/>
      </w:pPr>
      <w:r>
        <w:rPr>
          <w:b/>
        </w:rPr>
        <w:t>Employee Consultation</w:t>
      </w:r>
    </w:p>
    <w:p w14:paraId="48756428" w14:textId="77777777" w:rsidR="00835B2C" w:rsidRDefault="00835B2C" w:rsidP="00871DB1">
      <w:pPr>
        <w:widowControl w:val="0"/>
        <w:tabs>
          <w:tab w:val="right" w:pos="7371"/>
          <w:tab w:val="right" w:pos="9356"/>
        </w:tabs>
        <w:autoSpaceDE w:val="0"/>
        <w:autoSpaceDN w:val="0"/>
        <w:adjustRightInd w:val="0"/>
      </w:pPr>
    </w:p>
    <w:p w14:paraId="5A9030DD" w14:textId="77777777" w:rsidR="00835B2C" w:rsidRDefault="00835B2C" w:rsidP="00871DB1">
      <w:pPr>
        <w:widowControl w:val="0"/>
        <w:tabs>
          <w:tab w:val="right" w:pos="7371"/>
          <w:tab w:val="right" w:pos="9356"/>
        </w:tabs>
        <w:autoSpaceDE w:val="0"/>
        <w:autoSpaceDN w:val="0"/>
        <w:adjustRightInd w:val="0"/>
      </w:pPr>
      <w:r>
        <w:t xml:space="preserve">The Commission recognises the benefits of keeping employees informed of the progress of the business and of involving them in the Commission’s performance.  During the </w:t>
      </w:r>
      <w:r w:rsidR="00176472">
        <w:t>year,</w:t>
      </w:r>
      <w:r>
        <w:t xml:space="preserve"> employees were regularly provided with information regarding the financial and economic factors affecting the performance of the Commission and on other matters of concern to them, as employees</w:t>
      </w:r>
      <w:r w:rsidR="003F0DB2">
        <w:t>,</w:t>
      </w:r>
      <w:r>
        <w:t xml:space="preserve"> through regular staff meetings.  Meetings were also held with employees on the drafting of the Commission’s business plan objectives for </w:t>
      </w:r>
      <w:r w:rsidR="00993DB0">
        <w:t>20</w:t>
      </w:r>
      <w:r w:rsidR="6A3DDA2E">
        <w:t>22</w:t>
      </w:r>
      <w:r w:rsidR="00993DB0">
        <w:t>-23 as well as the Commission’s Strategic Plan for 2022-25</w:t>
      </w:r>
      <w:r>
        <w:t>.</w:t>
      </w:r>
    </w:p>
    <w:p w14:paraId="68AF826C" w14:textId="77777777" w:rsidR="003F0DB2" w:rsidRDefault="003F0DB2" w:rsidP="00871DB1">
      <w:pPr>
        <w:widowControl w:val="0"/>
        <w:tabs>
          <w:tab w:val="right" w:pos="7371"/>
          <w:tab w:val="right" w:pos="9356"/>
        </w:tabs>
        <w:autoSpaceDE w:val="0"/>
        <w:autoSpaceDN w:val="0"/>
        <w:adjustRightInd w:val="0"/>
      </w:pPr>
    </w:p>
    <w:p w14:paraId="302B57E8" w14:textId="77777777" w:rsidR="003F0DB2" w:rsidRDefault="003F0DB2" w:rsidP="00871DB1">
      <w:pPr>
        <w:widowControl w:val="0"/>
        <w:tabs>
          <w:tab w:val="right" w:pos="7371"/>
          <w:tab w:val="right" w:pos="9356"/>
        </w:tabs>
        <w:autoSpaceDE w:val="0"/>
        <w:autoSpaceDN w:val="0"/>
        <w:adjustRightInd w:val="0"/>
        <w:rPr>
          <w:b/>
        </w:rPr>
      </w:pPr>
      <w:r>
        <w:rPr>
          <w:b/>
        </w:rPr>
        <w:t>Health and Safety</w:t>
      </w:r>
    </w:p>
    <w:p w14:paraId="09D81DA0" w14:textId="77777777" w:rsidR="003F0DB2" w:rsidRDefault="003F0DB2" w:rsidP="00871DB1">
      <w:pPr>
        <w:widowControl w:val="0"/>
        <w:tabs>
          <w:tab w:val="right" w:pos="7371"/>
          <w:tab w:val="right" w:pos="9356"/>
        </w:tabs>
        <w:autoSpaceDE w:val="0"/>
        <w:autoSpaceDN w:val="0"/>
        <w:adjustRightInd w:val="0"/>
        <w:rPr>
          <w:b/>
        </w:rPr>
      </w:pPr>
    </w:p>
    <w:p w14:paraId="42F53B65" w14:textId="77777777" w:rsidR="003F0DB2" w:rsidRPr="003F0DB2" w:rsidRDefault="003F0DB2" w:rsidP="00871DB1">
      <w:pPr>
        <w:widowControl w:val="0"/>
        <w:tabs>
          <w:tab w:val="right" w:pos="7371"/>
          <w:tab w:val="right" w:pos="9356"/>
        </w:tabs>
        <w:autoSpaceDE w:val="0"/>
        <w:autoSpaceDN w:val="0"/>
        <w:adjustRightInd w:val="0"/>
      </w:pPr>
      <w:r>
        <w:t xml:space="preserve">We recognise and accept our legal responsibilities in relation to the health, safety and welfare of our employees and for all people using our premises.  In line with this </w:t>
      </w:r>
      <w:r w:rsidR="00176472">
        <w:t>commitment,</w:t>
      </w:r>
      <w:r>
        <w:t xml:space="preserve"> the Commission has complied with the relevant legislation.</w:t>
      </w:r>
    </w:p>
    <w:p w14:paraId="54F47B57" w14:textId="77777777" w:rsidR="00871DB1" w:rsidRDefault="00871DB1" w:rsidP="00871DB1">
      <w:pPr>
        <w:widowControl w:val="0"/>
        <w:tabs>
          <w:tab w:val="right" w:pos="7371"/>
          <w:tab w:val="right" w:pos="9356"/>
        </w:tabs>
        <w:autoSpaceDE w:val="0"/>
        <w:autoSpaceDN w:val="0"/>
        <w:adjustRightInd w:val="0"/>
      </w:pPr>
    </w:p>
    <w:p w14:paraId="422C96CA" w14:textId="77777777" w:rsidR="00871DB1" w:rsidRDefault="00871DB1" w:rsidP="00871DB1">
      <w:pPr>
        <w:widowControl w:val="0"/>
        <w:tabs>
          <w:tab w:val="right" w:pos="7371"/>
          <w:tab w:val="right" w:pos="9356"/>
        </w:tabs>
        <w:autoSpaceDE w:val="0"/>
        <w:autoSpaceDN w:val="0"/>
        <w:adjustRightInd w:val="0"/>
        <w:rPr>
          <w:b/>
        </w:rPr>
      </w:pPr>
      <w:r>
        <w:rPr>
          <w:b/>
        </w:rPr>
        <w:t>Expenditure on Consultancy</w:t>
      </w:r>
    </w:p>
    <w:p w14:paraId="43A1A996" w14:textId="77777777" w:rsidR="00871DB1" w:rsidRDefault="00871DB1" w:rsidP="00871DB1">
      <w:pPr>
        <w:widowControl w:val="0"/>
        <w:tabs>
          <w:tab w:val="right" w:pos="7371"/>
          <w:tab w:val="right" w:pos="9356"/>
        </w:tabs>
        <w:autoSpaceDE w:val="0"/>
        <w:autoSpaceDN w:val="0"/>
        <w:adjustRightInd w:val="0"/>
        <w:rPr>
          <w:b/>
        </w:rPr>
      </w:pPr>
    </w:p>
    <w:p w14:paraId="2BF3B00B" w14:textId="62933108" w:rsidR="00871DB1" w:rsidRDefault="00871DB1" w:rsidP="00871DB1">
      <w:pPr>
        <w:widowControl w:val="0"/>
        <w:tabs>
          <w:tab w:val="right" w:pos="7371"/>
          <w:tab w:val="right" w:pos="9356"/>
        </w:tabs>
        <w:autoSpaceDE w:val="0"/>
        <w:autoSpaceDN w:val="0"/>
        <w:adjustRightInd w:val="0"/>
      </w:pPr>
      <w:r>
        <w:t>There was no exp</w:t>
      </w:r>
      <w:r w:rsidR="00A80575">
        <w:t xml:space="preserve">enditure on consultancy in </w:t>
      </w:r>
      <w:r w:rsidR="00993DB0">
        <w:t>20</w:t>
      </w:r>
      <w:r w:rsidR="519F0027">
        <w:t>2</w:t>
      </w:r>
      <w:r w:rsidR="007472F5">
        <w:t>2</w:t>
      </w:r>
      <w:r w:rsidR="00993DB0">
        <w:t>-2</w:t>
      </w:r>
      <w:r w:rsidR="007472F5">
        <w:t>3</w:t>
      </w:r>
      <w:r w:rsidR="00A80575">
        <w:t xml:space="preserve"> (</w:t>
      </w:r>
      <w:r w:rsidR="00993DB0">
        <w:t>202</w:t>
      </w:r>
      <w:r w:rsidR="007472F5">
        <w:t>1</w:t>
      </w:r>
      <w:r w:rsidR="00993DB0">
        <w:t>-2</w:t>
      </w:r>
      <w:r w:rsidR="007472F5">
        <w:t>2</w:t>
      </w:r>
      <w:r>
        <w:t>: £nil)</w:t>
      </w:r>
      <w:r w:rsidR="00C606DC">
        <w:t>.</w:t>
      </w:r>
    </w:p>
    <w:p w14:paraId="3EB55396" w14:textId="77777777" w:rsidR="00C606DC" w:rsidRDefault="00C606DC" w:rsidP="00871DB1">
      <w:pPr>
        <w:widowControl w:val="0"/>
        <w:tabs>
          <w:tab w:val="right" w:pos="7371"/>
          <w:tab w:val="right" w:pos="9356"/>
        </w:tabs>
        <w:autoSpaceDE w:val="0"/>
        <w:autoSpaceDN w:val="0"/>
        <w:adjustRightInd w:val="0"/>
      </w:pPr>
    </w:p>
    <w:p w14:paraId="4D54872B" w14:textId="77777777" w:rsidR="00871DB1" w:rsidRDefault="00871DB1" w:rsidP="00871DB1">
      <w:pPr>
        <w:widowControl w:val="0"/>
        <w:tabs>
          <w:tab w:val="right" w:pos="7371"/>
          <w:tab w:val="right" w:pos="9356"/>
        </w:tabs>
        <w:autoSpaceDE w:val="0"/>
        <w:autoSpaceDN w:val="0"/>
        <w:adjustRightInd w:val="0"/>
      </w:pPr>
      <w:r>
        <w:rPr>
          <w:b/>
        </w:rPr>
        <w:lastRenderedPageBreak/>
        <w:t>Off-payroll engagements</w:t>
      </w:r>
    </w:p>
    <w:p w14:paraId="3ED2691E" w14:textId="77777777" w:rsidR="00871DB1" w:rsidRDefault="00871DB1" w:rsidP="00871DB1">
      <w:pPr>
        <w:widowControl w:val="0"/>
        <w:tabs>
          <w:tab w:val="right" w:pos="7371"/>
          <w:tab w:val="right" w:pos="9356"/>
        </w:tabs>
        <w:autoSpaceDE w:val="0"/>
        <w:autoSpaceDN w:val="0"/>
        <w:adjustRightInd w:val="0"/>
      </w:pPr>
    </w:p>
    <w:p w14:paraId="29177E57" w14:textId="760D8629" w:rsidR="00871DB1" w:rsidRDefault="00871DB1" w:rsidP="00871DB1">
      <w:pPr>
        <w:widowControl w:val="0"/>
        <w:tabs>
          <w:tab w:val="right" w:pos="7371"/>
          <w:tab w:val="right" w:pos="9356"/>
        </w:tabs>
        <w:autoSpaceDE w:val="0"/>
        <w:autoSpaceDN w:val="0"/>
        <w:adjustRightInd w:val="0"/>
      </w:pPr>
      <w:r>
        <w:t xml:space="preserve">There were no </w:t>
      </w:r>
      <w:r w:rsidR="00A80575">
        <w:t xml:space="preserve">off-payroll engagements in </w:t>
      </w:r>
      <w:r w:rsidR="00993DB0">
        <w:t>20</w:t>
      </w:r>
      <w:r w:rsidR="5D652406">
        <w:t>2</w:t>
      </w:r>
      <w:r w:rsidR="007472F5">
        <w:t>2</w:t>
      </w:r>
      <w:r w:rsidR="00993DB0">
        <w:t>-2</w:t>
      </w:r>
      <w:r w:rsidR="007472F5">
        <w:t>3</w:t>
      </w:r>
      <w:r w:rsidR="00A80575">
        <w:t xml:space="preserve"> (</w:t>
      </w:r>
      <w:r w:rsidR="00993DB0">
        <w:t>20</w:t>
      </w:r>
      <w:r w:rsidR="0700DF38">
        <w:t>2</w:t>
      </w:r>
      <w:r w:rsidR="007472F5">
        <w:t>1</w:t>
      </w:r>
      <w:r w:rsidR="00993DB0">
        <w:t>-2</w:t>
      </w:r>
      <w:r w:rsidR="007472F5">
        <w:t>2</w:t>
      </w:r>
      <w:r>
        <w:t>: £nil)</w:t>
      </w:r>
      <w:r w:rsidR="00737D30">
        <w:t>.</w:t>
      </w:r>
    </w:p>
    <w:p w14:paraId="05568C4D" w14:textId="77777777" w:rsidR="00737D30" w:rsidRPr="00871DB1" w:rsidRDefault="00737D30" w:rsidP="00871DB1">
      <w:pPr>
        <w:widowControl w:val="0"/>
        <w:tabs>
          <w:tab w:val="right" w:pos="7371"/>
          <w:tab w:val="right" w:pos="9356"/>
        </w:tabs>
        <w:autoSpaceDE w:val="0"/>
        <w:autoSpaceDN w:val="0"/>
        <w:adjustRightInd w:val="0"/>
      </w:pPr>
    </w:p>
    <w:p w14:paraId="64511E64" w14:textId="77777777" w:rsidR="000C2A54" w:rsidRPr="00D619EC" w:rsidRDefault="00D619EC" w:rsidP="00D619EC">
      <w:pPr>
        <w:widowControl w:val="0"/>
        <w:tabs>
          <w:tab w:val="left" w:pos="0"/>
          <w:tab w:val="right" w:pos="7371"/>
          <w:tab w:val="right" w:pos="9356"/>
        </w:tabs>
        <w:autoSpaceDE w:val="0"/>
        <w:autoSpaceDN w:val="0"/>
        <w:adjustRightInd w:val="0"/>
        <w:ind w:hanging="567"/>
        <w:rPr>
          <w:b/>
          <w:bCs/>
        </w:rPr>
      </w:pPr>
      <w:r>
        <w:rPr>
          <w:b/>
          <w:bCs/>
        </w:rPr>
        <w:tab/>
      </w:r>
      <w:r w:rsidR="000C2A54" w:rsidRPr="00F97E5F">
        <w:rPr>
          <w:b/>
          <w:bCs/>
        </w:rPr>
        <w:t>Reporting of Civil Service and other compensation schemes – exit packages</w:t>
      </w:r>
      <w:r w:rsidR="000C2A54">
        <w:rPr>
          <w:bCs/>
        </w:rPr>
        <w:t xml:space="preserve"> (audited information)</w:t>
      </w:r>
    </w:p>
    <w:p w14:paraId="1707D9EB" w14:textId="77777777" w:rsidR="000C2A54" w:rsidRPr="00F97E5F" w:rsidRDefault="000C2A54" w:rsidP="000C2A54">
      <w:pPr>
        <w:widowControl w:val="0"/>
        <w:tabs>
          <w:tab w:val="left" w:pos="567"/>
          <w:tab w:val="right" w:pos="7371"/>
          <w:tab w:val="right" w:pos="9356"/>
        </w:tabs>
        <w:autoSpaceDE w:val="0"/>
        <w:autoSpaceDN w:val="0"/>
        <w:adjustRightInd w:val="0"/>
        <w:rPr>
          <w:b/>
        </w:rPr>
      </w:pPr>
    </w:p>
    <w:p w14:paraId="233FBBF4" w14:textId="09CBD762" w:rsidR="000C2A54" w:rsidRPr="00F97E5F" w:rsidRDefault="000C2A54" w:rsidP="00871DB1">
      <w:pPr>
        <w:widowControl w:val="0"/>
        <w:tabs>
          <w:tab w:val="left" w:pos="567"/>
          <w:tab w:val="right" w:pos="7371"/>
          <w:tab w:val="right" w:pos="9356"/>
        </w:tabs>
        <w:autoSpaceDE w:val="0"/>
        <w:autoSpaceDN w:val="0"/>
        <w:adjustRightInd w:val="0"/>
      </w:pPr>
      <w:r>
        <w:t>Ther</w:t>
      </w:r>
      <w:r w:rsidR="005D69D1">
        <w:t xml:space="preserve">e were no exit packages in </w:t>
      </w:r>
      <w:r w:rsidR="00993DB0">
        <w:t>20</w:t>
      </w:r>
      <w:r w:rsidR="4A33703B">
        <w:t>2</w:t>
      </w:r>
      <w:r w:rsidR="007472F5">
        <w:t>2</w:t>
      </w:r>
      <w:r w:rsidR="00993DB0">
        <w:t>-2</w:t>
      </w:r>
      <w:r w:rsidR="007472F5">
        <w:t>3</w:t>
      </w:r>
      <w:r w:rsidR="005D69D1">
        <w:t xml:space="preserve"> (</w:t>
      </w:r>
      <w:r w:rsidR="00993DB0">
        <w:t>20</w:t>
      </w:r>
      <w:r w:rsidR="16BA5364">
        <w:t>2</w:t>
      </w:r>
      <w:r w:rsidR="007472F5">
        <w:t>1</w:t>
      </w:r>
      <w:r w:rsidR="00993DB0">
        <w:t>-2</w:t>
      </w:r>
      <w:r w:rsidR="007472F5">
        <w:t>2</w:t>
      </w:r>
      <w:r w:rsidR="007B768A">
        <w:t>: £n</w:t>
      </w:r>
      <w:r>
        <w:t xml:space="preserve">il).  </w:t>
      </w:r>
    </w:p>
    <w:p w14:paraId="5F1A403A" w14:textId="77777777" w:rsidR="000C2A54" w:rsidRDefault="000C2A54" w:rsidP="000C2A54">
      <w:pPr>
        <w:autoSpaceDE w:val="0"/>
        <w:autoSpaceDN w:val="0"/>
        <w:adjustRightInd w:val="0"/>
        <w:rPr>
          <w:noProof/>
          <w:lang w:eastAsia="en-GB"/>
        </w:rPr>
      </w:pPr>
    </w:p>
    <w:p w14:paraId="0D1EE0F1" w14:textId="77777777" w:rsidR="001E24FD" w:rsidRDefault="00DD7949" w:rsidP="000C2A54">
      <w:pPr>
        <w:autoSpaceDE w:val="0"/>
        <w:autoSpaceDN w:val="0"/>
        <w:adjustRightInd w:val="0"/>
        <w:rPr>
          <w:noProof/>
          <w:lang w:eastAsia="en-GB"/>
        </w:rPr>
      </w:pPr>
      <w:r>
        <w:rPr>
          <w:noProof/>
          <w:lang w:eastAsia="en-GB"/>
        </w:rPr>
        <w:drawing>
          <wp:inline distT="0" distB="0" distL="0" distR="0" wp14:anchorId="7347810F" wp14:editId="192F207A">
            <wp:extent cx="2057399" cy="1182188"/>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7">
                      <a:extLst>
                        <a:ext uri="{28A0092B-C50C-407E-A947-70E740481C1C}">
                          <a14:useLocalDpi xmlns:a14="http://schemas.microsoft.com/office/drawing/2010/main" val="0"/>
                        </a:ext>
                      </a:extLst>
                    </a:blip>
                    <a:stretch>
                      <a:fillRect/>
                    </a:stretch>
                  </pic:blipFill>
                  <pic:spPr>
                    <a:xfrm>
                      <a:off x="0" y="0"/>
                      <a:ext cx="2057399" cy="1182188"/>
                    </a:xfrm>
                    <a:prstGeom prst="rect">
                      <a:avLst/>
                    </a:prstGeom>
                  </pic:spPr>
                </pic:pic>
              </a:graphicData>
            </a:graphic>
          </wp:inline>
        </w:drawing>
      </w:r>
    </w:p>
    <w:p w14:paraId="74A8384B" w14:textId="77777777" w:rsidR="000C2A54" w:rsidRPr="00D80497" w:rsidRDefault="000C2A54" w:rsidP="000C2A54">
      <w:pPr>
        <w:widowControl w:val="0"/>
        <w:autoSpaceDE w:val="0"/>
        <w:autoSpaceDN w:val="0"/>
        <w:adjustRightInd w:val="0"/>
        <w:rPr>
          <w:b/>
        </w:rPr>
      </w:pPr>
      <w:bookmarkStart w:id="17" w:name="SW0003"/>
      <w:r>
        <w:rPr>
          <w:b/>
        </w:rPr>
        <w:t>Dr David Russell</w:t>
      </w:r>
    </w:p>
    <w:p w14:paraId="74847EAB" w14:textId="77777777" w:rsidR="000C2A54" w:rsidRPr="00D80497" w:rsidRDefault="000C2A54" w:rsidP="000C2A54">
      <w:pPr>
        <w:widowControl w:val="0"/>
        <w:autoSpaceDE w:val="0"/>
        <w:autoSpaceDN w:val="0"/>
        <w:adjustRightInd w:val="0"/>
        <w:rPr>
          <w:b/>
        </w:rPr>
      </w:pPr>
      <w:r w:rsidRPr="00D80497">
        <w:rPr>
          <w:b/>
        </w:rPr>
        <w:t>Accounting Officer</w:t>
      </w:r>
    </w:p>
    <w:p w14:paraId="19FC55D8" w14:textId="77777777" w:rsidR="000C2A54" w:rsidRPr="00D80497" w:rsidRDefault="000C2A54" w:rsidP="000C2A54">
      <w:pPr>
        <w:widowControl w:val="0"/>
        <w:tabs>
          <w:tab w:val="left" w:pos="2802"/>
        </w:tabs>
        <w:autoSpaceDE w:val="0"/>
        <w:autoSpaceDN w:val="0"/>
        <w:adjustRightInd w:val="0"/>
      </w:pPr>
    </w:p>
    <w:p w14:paraId="0075EC5B" w14:textId="7C3E86AC" w:rsidR="000C2A54" w:rsidRPr="00D80497" w:rsidRDefault="000C2A54" w:rsidP="000C2A54">
      <w:pPr>
        <w:widowControl w:val="0"/>
        <w:tabs>
          <w:tab w:val="left" w:pos="851"/>
        </w:tabs>
        <w:autoSpaceDE w:val="0"/>
        <w:autoSpaceDN w:val="0"/>
        <w:adjustRightInd w:val="0"/>
        <w:rPr>
          <w:b/>
        </w:rPr>
      </w:pPr>
      <w:r w:rsidRPr="00D80497">
        <w:rPr>
          <w:b/>
        </w:rPr>
        <w:t xml:space="preserve">Date: </w:t>
      </w:r>
      <w:r w:rsidR="005E6D62">
        <w:rPr>
          <w:b/>
        </w:rPr>
        <w:t>3</w:t>
      </w:r>
      <w:r w:rsidR="0049664F">
        <w:rPr>
          <w:b/>
        </w:rPr>
        <w:t xml:space="preserve"> </w:t>
      </w:r>
      <w:r w:rsidR="005E6D62">
        <w:rPr>
          <w:b/>
        </w:rPr>
        <w:t>July</w:t>
      </w:r>
      <w:r w:rsidR="00953497">
        <w:rPr>
          <w:b/>
        </w:rPr>
        <w:t xml:space="preserve"> 20</w:t>
      </w:r>
      <w:r w:rsidR="005E6D62">
        <w:rPr>
          <w:b/>
        </w:rPr>
        <w:t>23</w:t>
      </w:r>
    </w:p>
    <w:bookmarkEnd w:id="17"/>
    <w:p w14:paraId="46F90AF7" w14:textId="77777777" w:rsidR="000C2A54" w:rsidRPr="00503D7F" w:rsidRDefault="000C2A54" w:rsidP="008C73A2">
      <w:pPr>
        <w:jc w:val="center"/>
        <w:rPr>
          <w:b/>
          <w:sz w:val="28"/>
          <w:szCs w:val="28"/>
        </w:rPr>
      </w:pPr>
      <w:r>
        <w:rPr>
          <w:b/>
        </w:rPr>
        <w:br w:type="page"/>
      </w:r>
      <w:bookmarkStart w:id="18" w:name="ParliamentaryAccountability"/>
      <w:r w:rsidR="0045027A">
        <w:rPr>
          <w:rFonts w:cs="Arial"/>
          <w:b/>
          <w:color w:val="77328A"/>
          <w:sz w:val="30"/>
          <w:szCs w:val="30"/>
        </w:rPr>
        <w:lastRenderedPageBreak/>
        <w:t>Parliamentary Accountability and Audit Report</w:t>
      </w:r>
    </w:p>
    <w:bookmarkEnd w:id="18"/>
    <w:p w14:paraId="5B269081" w14:textId="77777777" w:rsidR="000C2A54" w:rsidRDefault="000C2A54" w:rsidP="000C2A54">
      <w:pPr>
        <w:rPr>
          <w:b/>
        </w:rPr>
      </w:pPr>
    </w:p>
    <w:p w14:paraId="718283F2" w14:textId="2314A249" w:rsidR="00F0089C" w:rsidRDefault="00F0089C" w:rsidP="00310B25">
      <w:pPr>
        <w:pStyle w:val="BodyText"/>
        <w:numPr>
          <w:ilvl w:val="1"/>
          <w:numId w:val="16"/>
        </w:numPr>
        <w:spacing w:after="284" w:line="300" w:lineRule="atLeast"/>
      </w:pPr>
      <w:r w:rsidRPr="00E16658">
        <w:t xml:space="preserve">The accounts of the </w:t>
      </w:r>
      <w:r w:rsidR="00941C81">
        <w:t>Northern Ireland Human Rights Commission</w:t>
      </w:r>
      <w:r w:rsidRPr="00E16658">
        <w:t xml:space="preserve"> are audited by the Comptroller and Auditor General under </w:t>
      </w:r>
      <w:r w:rsidR="00941C81">
        <w:t xml:space="preserve">the Northern Ireland Act 1998. </w:t>
      </w:r>
      <w:r w:rsidRPr="00E16658">
        <w:t>The audit fee charged was £</w:t>
      </w:r>
      <w:r w:rsidR="001C7349">
        <w:t>21</w:t>
      </w:r>
      <w:r w:rsidR="005D69D1">
        <w:t>,</w:t>
      </w:r>
      <w:r w:rsidR="001C7349">
        <w:t>875</w:t>
      </w:r>
      <w:r w:rsidR="00993DB0">
        <w:t xml:space="preserve"> (£1</w:t>
      </w:r>
      <w:r w:rsidR="001C7349">
        <w:t>7</w:t>
      </w:r>
      <w:r w:rsidR="00737D30">
        <w:t>,500 in 202</w:t>
      </w:r>
      <w:r w:rsidR="001C7349">
        <w:t>1</w:t>
      </w:r>
      <w:r w:rsidR="00993DB0">
        <w:t>-2</w:t>
      </w:r>
      <w:r w:rsidR="001C7349">
        <w:t>2</w:t>
      </w:r>
      <w:r>
        <w:t>)</w:t>
      </w:r>
      <w:r w:rsidRPr="00E16658">
        <w:t>. The auditors received no fees for non-audit services</w:t>
      </w:r>
      <w:r w:rsidR="007B768A">
        <w:t xml:space="preserve"> (</w:t>
      </w:r>
      <w:r w:rsidR="00993DB0">
        <w:t>20</w:t>
      </w:r>
      <w:r w:rsidR="00737D30">
        <w:t>2</w:t>
      </w:r>
      <w:r w:rsidR="001C7349">
        <w:t>1</w:t>
      </w:r>
      <w:r w:rsidR="00993DB0">
        <w:t>-2</w:t>
      </w:r>
      <w:r w:rsidR="001C7349">
        <w:t>2</w:t>
      </w:r>
      <w:r w:rsidR="007B768A">
        <w:t>: £nil</w:t>
      </w:r>
      <w:r w:rsidR="0072512F">
        <w:t>)</w:t>
      </w:r>
      <w:r w:rsidRPr="00E16658">
        <w:t>. The auditors have been provided with all relevant audit information necessary to complete their audit and the Accounting Officer has taken all the necessary steps to ensure that the auditors are aware of any relevant information.</w:t>
      </w:r>
    </w:p>
    <w:p w14:paraId="1EE80736" w14:textId="1A416465" w:rsidR="001C7663" w:rsidRDefault="001C7663" w:rsidP="00310B25">
      <w:pPr>
        <w:pStyle w:val="BodyText"/>
        <w:numPr>
          <w:ilvl w:val="1"/>
          <w:numId w:val="16"/>
        </w:numPr>
        <w:spacing w:after="284" w:line="300" w:lineRule="atLeast"/>
      </w:pPr>
      <w:r>
        <w:t>As part of the Commission’s commitment to support continuous improvement, we are working with our sponsor department to understand which of the government f</w:t>
      </w:r>
      <w:r w:rsidR="00D80963">
        <w:t>unctional</w:t>
      </w:r>
      <w:r>
        <w:t xml:space="preserve"> standards are most appropriate for our size and scope, and best meet our business needs.  Once we have agreed with our sponsor department which standards are relevant to our organisation, then we will work to embed the appropriate standards into our business processes.</w:t>
      </w:r>
    </w:p>
    <w:p w14:paraId="370CC803" w14:textId="77777777" w:rsidR="00F0089C" w:rsidRDefault="00F0089C" w:rsidP="00310B25">
      <w:pPr>
        <w:pStyle w:val="BodyText"/>
        <w:numPr>
          <w:ilvl w:val="1"/>
          <w:numId w:val="16"/>
        </w:numPr>
        <w:spacing w:after="284" w:line="300" w:lineRule="atLeast"/>
      </w:pPr>
      <w:r>
        <w:t>All expenditure was applied to the purpose intended by Parliament (audited).</w:t>
      </w:r>
    </w:p>
    <w:p w14:paraId="0061E08D" w14:textId="6D8E24CE" w:rsidR="00F0089C" w:rsidRDefault="00F0089C" w:rsidP="00310B25">
      <w:pPr>
        <w:pStyle w:val="BodyText"/>
        <w:numPr>
          <w:ilvl w:val="1"/>
          <w:numId w:val="16"/>
        </w:numPr>
        <w:spacing w:after="284" w:line="300" w:lineRule="atLeast"/>
      </w:pPr>
      <w:r>
        <w:t xml:space="preserve">No fees or charges were </w:t>
      </w:r>
      <w:r w:rsidR="003C45FA">
        <w:t xml:space="preserve">collected </w:t>
      </w:r>
      <w:r>
        <w:t xml:space="preserve">by </w:t>
      </w:r>
      <w:r w:rsidR="00941C81">
        <w:t>the</w:t>
      </w:r>
      <w:r w:rsidR="00941C81" w:rsidRPr="00E16658">
        <w:t xml:space="preserve"> </w:t>
      </w:r>
      <w:r w:rsidR="00941C81">
        <w:t>Northern Ireland Human Rights Commission</w:t>
      </w:r>
      <w:r>
        <w:t xml:space="preserve"> (audited)</w:t>
      </w:r>
      <w:r w:rsidR="00993DB0">
        <w:t xml:space="preserve"> (20</w:t>
      </w:r>
      <w:r w:rsidR="00A7412A">
        <w:t>2</w:t>
      </w:r>
      <w:r w:rsidR="001C7349">
        <w:t>1</w:t>
      </w:r>
      <w:r w:rsidR="00993DB0">
        <w:t>-2</w:t>
      </w:r>
      <w:r w:rsidR="001C7349">
        <w:t>2</w:t>
      </w:r>
      <w:r w:rsidR="00A7412A">
        <w:t>: £nil)</w:t>
      </w:r>
      <w:r>
        <w:t>.</w:t>
      </w:r>
    </w:p>
    <w:p w14:paraId="45F0434F" w14:textId="701969DB" w:rsidR="00F0089C" w:rsidRDefault="00F0089C" w:rsidP="00310B25">
      <w:pPr>
        <w:pStyle w:val="BodyText"/>
        <w:numPr>
          <w:ilvl w:val="1"/>
          <w:numId w:val="16"/>
        </w:numPr>
        <w:spacing w:after="284" w:line="300" w:lineRule="atLeast"/>
      </w:pPr>
      <w:r>
        <w:t xml:space="preserve">The </w:t>
      </w:r>
      <w:r w:rsidR="00941C81">
        <w:t>Northern Ireland Human Rights Commission</w:t>
      </w:r>
      <w:r>
        <w:t xml:space="preserve"> has </w:t>
      </w:r>
      <w:r w:rsidR="00BB74EA">
        <w:t>no</w:t>
      </w:r>
      <w:r w:rsidR="00DC0FA7">
        <w:t xml:space="preserve"> </w:t>
      </w:r>
      <w:r w:rsidR="00BB74EA">
        <w:t xml:space="preserve">remote </w:t>
      </w:r>
      <w:r w:rsidR="00DC0FA7">
        <w:t>contingent liabilit</w:t>
      </w:r>
      <w:r w:rsidR="00BB74EA">
        <w:t>ies</w:t>
      </w:r>
      <w:r w:rsidR="00DC0FA7">
        <w:t xml:space="preserve"> </w:t>
      </w:r>
      <w:r>
        <w:t>(audited)</w:t>
      </w:r>
      <w:r w:rsidR="00993DB0">
        <w:t xml:space="preserve"> (20</w:t>
      </w:r>
      <w:r w:rsidR="00A7412A">
        <w:t>2</w:t>
      </w:r>
      <w:r w:rsidR="001C7349">
        <w:t>1</w:t>
      </w:r>
      <w:r w:rsidR="00993DB0">
        <w:t>-2</w:t>
      </w:r>
      <w:r w:rsidR="001C7349">
        <w:t>2</w:t>
      </w:r>
      <w:r w:rsidR="00A7412A">
        <w:t>: £nil)</w:t>
      </w:r>
      <w:r>
        <w:t>.</w:t>
      </w:r>
    </w:p>
    <w:p w14:paraId="2D530F7C" w14:textId="6222D6AD" w:rsidR="001C06AC" w:rsidRDefault="001C06AC" w:rsidP="00310B25">
      <w:pPr>
        <w:pStyle w:val="BodyText"/>
        <w:numPr>
          <w:ilvl w:val="1"/>
          <w:numId w:val="16"/>
        </w:numPr>
        <w:spacing w:after="284" w:line="300" w:lineRule="atLeast"/>
      </w:pPr>
      <w:r>
        <w:t>The Commission had no losses or special payments (audited)</w:t>
      </w:r>
      <w:r w:rsidR="00993DB0">
        <w:t xml:space="preserve"> (202</w:t>
      </w:r>
      <w:r w:rsidR="001C7349">
        <w:t>1</w:t>
      </w:r>
      <w:r w:rsidR="00993DB0">
        <w:t>-2</w:t>
      </w:r>
      <w:r w:rsidR="001C7349">
        <w:t>2</w:t>
      </w:r>
      <w:r w:rsidR="00A7412A">
        <w:t>: £nil)</w:t>
      </w:r>
      <w:r>
        <w:t>.</w:t>
      </w:r>
    </w:p>
    <w:p w14:paraId="6685CB7B" w14:textId="5733ADD9" w:rsidR="00F0089C" w:rsidRDefault="00F0089C" w:rsidP="00310B25">
      <w:pPr>
        <w:pStyle w:val="BodyText"/>
        <w:numPr>
          <w:ilvl w:val="1"/>
          <w:numId w:val="16"/>
        </w:numPr>
        <w:spacing w:after="284" w:line="300" w:lineRule="atLeast"/>
      </w:pPr>
      <w:r>
        <w:t xml:space="preserve">The </w:t>
      </w:r>
      <w:r w:rsidR="00941C81">
        <w:t>Northern Ireland Human Rights Commission’s</w:t>
      </w:r>
      <w:r w:rsidR="00737D30">
        <w:t xml:space="preserve"> total expenditure in 202</w:t>
      </w:r>
      <w:r w:rsidR="001C7349">
        <w:t>2</w:t>
      </w:r>
      <w:r w:rsidR="00993DB0">
        <w:t>-2</w:t>
      </w:r>
      <w:r w:rsidR="001C7349">
        <w:t>3</w:t>
      </w:r>
      <w:r>
        <w:t xml:space="preserve"> was</w:t>
      </w:r>
      <w:r w:rsidR="00CA7A47">
        <w:t xml:space="preserve"> £</w:t>
      </w:r>
      <w:r w:rsidR="00F643C2">
        <w:t>2,</w:t>
      </w:r>
      <w:r w:rsidR="001C7349">
        <w:t>4</w:t>
      </w:r>
      <w:r w:rsidR="00D768D0">
        <w:t>80</w:t>
      </w:r>
      <w:r w:rsidR="00F643C2">
        <w:t>,</w:t>
      </w:r>
      <w:r w:rsidR="00D768D0">
        <w:t>189</w:t>
      </w:r>
      <w:r>
        <w:t>. The net expenditure for prior years was as follows:</w:t>
      </w:r>
    </w:p>
    <w:p w14:paraId="6028BF0B" w14:textId="77777777" w:rsidR="00F04493" w:rsidRDefault="00F04493" w:rsidP="00F04493">
      <w:pPr>
        <w:pStyle w:val="BodyText"/>
        <w:spacing w:after="284" w:line="300" w:lineRule="atLeast"/>
      </w:pPr>
    </w:p>
    <w:p w14:paraId="4EF65152" w14:textId="77777777" w:rsidR="00F04493" w:rsidRDefault="00F04493" w:rsidP="00F04493">
      <w:pPr>
        <w:pStyle w:val="BodyText"/>
        <w:spacing w:after="284" w:line="300" w:lineRule="atLeast"/>
      </w:pPr>
    </w:p>
    <w:p w14:paraId="5D932143" w14:textId="77777777" w:rsidR="00F04493" w:rsidRDefault="00F04493" w:rsidP="00F04493">
      <w:pPr>
        <w:pStyle w:val="BodyText"/>
        <w:spacing w:after="284" w:line="300" w:lineRule="atLeast"/>
      </w:pPr>
    </w:p>
    <w:p w14:paraId="5E52DD76" w14:textId="77777777" w:rsidR="00F04493" w:rsidRDefault="00F04493" w:rsidP="00F04493">
      <w:pPr>
        <w:pStyle w:val="BodyText"/>
        <w:spacing w:after="284" w:line="300" w:lineRule="atLeast"/>
      </w:pPr>
    </w:p>
    <w:p w14:paraId="07B07F0A" w14:textId="77777777" w:rsidR="00F04493" w:rsidRDefault="00F04493" w:rsidP="00F04493">
      <w:pPr>
        <w:pStyle w:val="BodyText"/>
        <w:spacing w:after="284" w:line="300" w:lineRule="atLeast"/>
      </w:pPr>
    </w:p>
    <w:p w14:paraId="4CCD55CE" w14:textId="77777777" w:rsidR="00F04493" w:rsidRDefault="00F04493" w:rsidP="00F04493">
      <w:pPr>
        <w:pStyle w:val="BodyText"/>
        <w:spacing w:after="284" w:line="300" w:lineRule="atLeast"/>
      </w:pPr>
    </w:p>
    <w:p w14:paraId="35DC19CE" w14:textId="77777777" w:rsidR="00F0089C" w:rsidRPr="004A26CC" w:rsidRDefault="00F0089C" w:rsidP="001730DC">
      <w:pPr>
        <w:pStyle w:val="TableHeading"/>
        <w:rPr>
          <w:rFonts w:ascii="Verdana" w:hAnsi="Verdana"/>
          <w:b/>
          <w:color w:val="auto"/>
          <w:sz w:val="24"/>
        </w:rPr>
      </w:pPr>
      <w:r w:rsidRPr="004A26CC">
        <w:rPr>
          <w:rFonts w:ascii="Verdana" w:hAnsi="Verdana"/>
          <w:b/>
          <w:color w:val="auto"/>
          <w:sz w:val="24"/>
        </w:rPr>
        <w:lastRenderedPageBreak/>
        <w:t>Expenditure and income</w:t>
      </w:r>
    </w:p>
    <w:p w14:paraId="57D6D1CB" w14:textId="77777777" w:rsidR="008474EF" w:rsidRDefault="008474EF" w:rsidP="008474E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2"/>
        <w:gridCol w:w="1813"/>
      </w:tblGrid>
      <w:tr w:rsidR="008474EF" w14:paraId="623A0FC9" w14:textId="77777777" w:rsidTr="008474EF">
        <w:tc>
          <w:tcPr>
            <w:tcW w:w="1812" w:type="dxa"/>
          </w:tcPr>
          <w:p w14:paraId="673B5068" w14:textId="77777777" w:rsidR="008474EF" w:rsidRDefault="008474EF" w:rsidP="008474EF"/>
        </w:tc>
        <w:tc>
          <w:tcPr>
            <w:tcW w:w="1812" w:type="dxa"/>
          </w:tcPr>
          <w:p w14:paraId="698882B1" w14:textId="2474BC2F" w:rsidR="008474EF" w:rsidRDefault="00EF4DE1" w:rsidP="008474EF">
            <w:pPr>
              <w:jc w:val="right"/>
              <w:rPr>
                <w:b/>
                <w:sz w:val="20"/>
                <w:szCs w:val="20"/>
              </w:rPr>
            </w:pPr>
            <w:r>
              <w:rPr>
                <w:b/>
                <w:sz w:val="20"/>
                <w:szCs w:val="20"/>
              </w:rPr>
              <w:t>202</w:t>
            </w:r>
            <w:r w:rsidR="001C7349">
              <w:rPr>
                <w:b/>
                <w:sz w:val="20"/>
                <w:szCs w:val="20"/>
              </w:rPr>
              <w:t>2</w:t>
            </w:r>
            <w:r>
              <w:rPr>
                <w:b/>
                <w:sz w:val="20"/>
                <w:szCs w:val="20"/>
              </w:rPr>
              <w:t>-2</w:t>
            </w:r>
            <w:r w:rsidR="001C7349">
              <w:rPr>
                <w:b/>
                <w:sz w:val="20"/>
                <w:szCs w:val="20"/>
              </w:rPr>
              <w:t>3</w:t>
            </w:r>
          </w:p>
          <w:p w14:paraId="350AA322" w14:textId="77777777" w:rsidR="008474EF" w:rsidRPr="008474EF" w:rsidRDefault="008474EF" w:rsidP="008474EF">
            <w:pPr>
              <w:jc w:val="right"/>
              <w:rPr>
                <w:b/>
                <w:sz w:val="20"/>
                <w:szCs w:val="20"/>
              </w:rPr>
            </w:pPr>
            <w:r w:rsidRPr="008474EF">
              <w:rPr>
                <w:b/>
                <w:sz w:val="20"/>
                <w:szCs w:val="20"/>
              </w:rPr>
              <w:t>£000</w:t>
            </w:r>
          </w:p>
        </w:tc>
        <w:tc>
          <w:tcPr>
            <w:tcW w:w="1812" w:type="dxa"/>
          </w:tcPr>
          <w:p w14:paraId="7421193A" w14:textId="74FF041D" w:rsidR="008474EF" w:rsidRDefault="005D69D1" w:rsidP="008474EF">
            <w:pPr>
              <w:jc w:val="right"/>
              <w:rPr>
                <w:b/>
                <w:sz w:val="20"/>
                <w:szCs w:val="20"/>
              </w:rPr>
            </w:pPr>
            <w:r>
              <w:rPr>
                <w:b/>
                <w:sz w:val="20"/>
                <w:szCs w:val="20"/>
              </w:rPr>
              <w:t>20</w:t>
            </w:r>
            <w:r w:rsidR="00EF4DE1">
              <w:rPr>
                <w:b/>
                <w:sz w:val="20"/>
                <w:szCs w:val="20"/>
              </w:rPr>
              <w:t>2</w:t>
            </w:r>
            <w:r w:rsidR="001C7349">
              <w:rPr>
                <w:b/>
                <w:sz w:val="20"/>
                <w:szCs w:val="20"/>
              </w:rPr>
              <w:t>1</w:t>
            </w:r>
            <w:r w:rsidR="00EF4DE1">
              <w:rPr>
                <w:b/>
                <w:sz w:val="20"/>
                <w:szCs w:val="20"/>
              </w:rPr>
              <w:t>-2</w:t>
            </w:r>
            <w:r w:rsidR="001C7349">
              <w:rPr>
                <w:b/>
                <w:sz w:val="20"/>
                <w:szCs w:val="20"/>
              </w:rPr>
              <w:t>2</w:t>
            </w:r>
            <w:r w:rsidR="008474EF" w:rsidRPr="008474EF">
              <w:rPr>
                <w:b/>
                <w:sz w:val="20"/>
                <w:szCs w:val="20"/>
              </w:rPr>
              <w:t xml:space="preserve"> </w:t>
            </w:r>
          </w:p>
          <w:p w14:paraId="34D1CA05" w14:textId="77777777" w:rsidR="008474EF" w:rsidRPr="008474EF" w:rsidRDefault="008474EF" w:rsidP="008474EF">
            <w:pPr>
              <w:jc w:val="right"/>
              <w:rPr>
                <w:b/>
                <w:sz w:val="20"/>
                <w:szCs w:val="20"/>
              </w:rPr>
            </w:pPr>
            <w:r w:rsidRPr="008474EF">
              <w:rPr>
                <w:b/>
                <w:sz w:val="20"/>
                <w:szCs w:val="20"/>
              </w:rPr>
              <w:t>£000</w:t>
            </w:r>
          </w:p>
        </w:tc>
        <w:tc>
          <w:tcPr>
            <w:tcW w:w="1812" w:type="dxa"/>
          </w:tcPr>
          <w:p w14:paraId="6F3FF6B5" w14:textId="7599540B" w:rsidR="008474EF" w:rsidRDefault="005D69D1" w:rsidP="008474EF">
            <w:pPr>
              <w:jc w:val="right"/>
              <w:rPr>
                <w:b/>
                <w:sz w:val="20"/>
                <w:szCs w:val="20"/>
              </w:rPr>
            </w:pPr>
            <w:r>
              <w:rPr>
                <w:b/>
                <w:sz w:val="20"/>
                <w:szCs w:val="20"/>
              </w:rPr>
              <w:t>20</w:t>
            </w:r>
            <w:r w:rsidR="001C7349">
              <w:rPr>
                <w:b/>
                <w:sz w:val="20"/>
                <w:szCs w:val="20"/>
              </w:rPr>
              <w:t>20</w:t>
            </w:r>
            <w:r w:rsidR="00EF4DE1">
              <w:rPr>
                <w:b/>
                <w:sz w:val="20"/>
                <w:szCs w:val="20"/>
              </w:rPr>
              <w:t>-2</w:t>
            </w:r>
            <w:r w:rsidR="001C7349">
              <w:rPr>
                <w:b/>
                <w:sz w:val="20"/>
                <w:szCs w:val="20"/>
              </w:rPr>
              <w:t>1</w:t>
            </w:r>
          </w:p>
          <w:p w14:paraId="03E8763E" w14:textId="77777777" w:rsidR="008474EF" w:rsidRPr="008474EF" w:rsidRDefault="008474EF" w:rsidP="008474EF">
            <w:pPr>
              <w:jc w:val="right"/>
              <w:rPr>
                <w:b/>
                <w:sz w:val="20"/>
                <w:szCs w:val="20"/>
              </w:rPr>
            </w:pPr>
            <w:r w:rsidRPr="008474EF">
              <w:rPr>
                <w:b/>
                <w:sz w:val="20"/>
                <w:szCs w:val="20"/>
              </w:rPr>
              <w:t>£000</w:t>
            </w:r>
          </w:p>
        </w:tc>
        <w:tc>
          <w:tcPr>
            <w:tcW w:w="1813" w:type="dxa"/>
          </w:tcPr>
          <w:p w14:paraId="080CDF00" w14:textId="677E025C" w:rsidR="008474EF" w:rsidRDefault="00EF4DE1" w:rsidP="008474EF">
            <w:pPr>
              <w:jc w:val="right"/>
              <w:rPr>
                <w:b/>
                <w:sz w:val="20"/>
                <w:szCs w:val="20"/>
              </w:rPr>
            </w:pPr>
            <w:r>
              <w:rPr>
                <w:b/>
                <w:sz w:val="20"/>
                <w:szCs w:val="20"/>
              </w:rPr>
              <w:t>201</w:t>
            </w:r>
            <w:r w:rsidR="001C7349">
              <w:rPr>
                <w:b/>
                <w:sz w:val="20"/>
                <w:szCs w:val="20"/>
              </w:rPr>
              <w:t>9</w:t>
            </w:r>
            <w:r>
              <w:rPr>
                <w:b/>
                <w:sz w:val="20"/>
                <w:szCs w:val="20"/>
              </w:rPr>
              <w:t>-</w:t>
            </w:r>
            <w:r w:rsidR="001C7349">
              <w:rPr>
                <w:b/>
                <w:sz w:val="20"/>
                <w:szCs w:val="20"/>
              </w:rPr>
              <w:t>20</w:t>
            </w:r>
            <w:r w:rsidR="008474EF" w:rsidRPr="008474EF">
              <w:rPr>
                <w:b/>
                <w:sz w:val="20"/>
                <w:szCs w:val="20"/>
              </w:rPr>
              <w:t xml:space="preserve"> </w:t>
            </w:r>
          </w:p>
          <w:p w14:paraId="70D3B87F" w14:textId="77777777" w:rsidR="008474EF" w:rsidRPr="008474EF" w:rsidRDefault="008474EF" w:rsidP="008474EF">
            <w:pPr>
              <w:jc w:val="right"/>
              <w:rPr>
                <w:b/>
                <w:sz w:val="20"/>
                <w:szCs w:val="20"/>
              </w:rPr>
            </w:pPr>
            <w:r w:rsidRPr="008474EF">
              <w:rPr>
                <w:b/>
                <w:sz w:val="20"/>
                <w:szCs w:val="20"/>
              </w:rPr>
              <w:t>£000</w:t>
            </w:r>
          </w:p>
          <w:p w14:paraId="0559D481" w14:textId="77777777" w:rsidR="008474EF" w:rsidRPr="008474EF" w:rsidRDefault="008474EF" w:rsidP="008474EF">
            <w:pPr>
              <w:jc w:val="right"/>
              <w:rPr>
                <w:b/>
                <w:sz w:val="20"/>
                <w:szCs w:val="20"/>
              </w:rPr>
            </w:pPr>
          </w:p>
        </w:tc>
      </w:tr>
      <w:tr w:rsidR="00BE1714" w14:paraId="487553B8" w14:textId="77777777" w:rsidTr="008474EF">
        <w:tc>
          <w:tcPr>
            <w:tcW w:w="1812" w:type="dxa"/>
          </w:tcPr>
          <w:p w14:paraId="687C7154" w14:textId="77777777" w:rsidR="00BE1714" w:rsidRPr="008474EF" w:rsidRDefault="00BE1714" w:rsidP="00BE1714">
            <w:pPr>
              <w:rPr>
                <w:sz w:val="20"/>
                <w:szCs w:val="20"/>
              </w:rPr>
            </w:pPr>
            <w:r w:rsidRPr="008474EF">
              <w:rPr>
                <w:sz w:val="20"/>
                <w:szCs w:val="20"/>
              </w:rPr>
              <w:t>Expenditure</w:t>
            </w:r>
          </w:p>
        </w:tc>
        <w:tc>
          <w:tcPr>
            <w:tcW w:w="1812" w:type="dxa"/>
          </w:tcPr>
          <w:p w14:paraId="09147F28" w14:textId="27F43E94" w:rsidR="00BE1714" w:rsidRPr="005C2E30" w:rsidRDefault="00F643C2" w:rsidP="00BE1714">
            <w:pPr>
              <w:jc w:val="right"/>
              <w:rPr>
                <w:sz w:val="20"/>
                <w:szCs w:val="20"/>
              </w:rPr>
            </w:pPr>
            <w:r>
              <w:rPr>
                <w:sz w:val="20"/>
                <w:szCs w:val="20"/>
              </w:rPr>
              <w:t>2,</w:t>
            </w:r>
            <w:r w:rsidR="00AD5952">
              <w:rPr>
                <w:sz w:val="20"/>
                <w:szCs w:val="20"/>
              </w:rPr>
              <w:t>4</w:t>
            </w:r>
            <w:r w:rsidR="00D768D0">
              <w:rPr>
                <w:sz w:val="20"/>
                <w:szCs w:val="20"/>
              </w:rPr>
              <w:t>80</w:t>
            </w:r>
          </w:p>
        </w:tc>
        <w:tc>
          <w:tcPr>
            <w:tcW w:w="1812" w:type="dxa"/>
          </w:tcPr>
          <w:p w14:paraId="725EDAA0" w14:textId="1A886316" w:rsidR="00BE1714" w:rsidRPr="008474EF" w:rsidRDefault="001C7349" w:rsidP="00BE1714">
            <w:pPr>
              <w:jc w:val="right"/>
              <w:rPr>
                <w:sz w:val="20"/>
                <w:szCs w:val="20"/>
              </w:rPr>
            </w:pPr>
            <w:r>
              <w:rPr>
                <w:sz w:val="20"/>
                <w:szCs w:val="20"/>
              </w:rPr>
              <w:t>2,333</w:t>
            </w:r>
          </w:p>
        </w:tc>
        <w:tc>
          <w:tcPr>
            <w:tcW w:w="1812" w:type="dxa"/>
          </w:tcPr>
          <w:p w14:paraId="3BF615B3" w14:textId="2FCC867D" w:rsidR="00BE1714" w:rsidRPr="008474EF" w:rsidRDefault="00EF4DE1" w:rsidP="00BE1714">
            <w:pPr>
              <w:jc w:val="right"/>
              <w:rPr>
                <w:sz w:val="20"/>
                <w:szCs w:val="20"/>
              </w:rPr>
            </w:pPr>
            <w:r>
              <w:rPr>
                <w:sz w:val="20"/>
                <w:szCs w:val="20"/>
              </w:rPr>
              <w:t>1,</w:t>
            </w:r>
            <w:r w:rsidR="001C7349">
              <w:rPr>
                <w:sz w:val="20"/>
                <w:szCs w:val="20"/>
              </w:rPr>
              <w:t>636</w:t>
            </w:r>
          </w:p>
        </w:tc>
        <w:tc>
          <w:tcPr>
            <w:tcW w:w="1813" w:type="dxa"/>
          </w:tcPr>
          <w:p w14:paraId="6AAB4B51" w14:textId="0385D1B7" w:rsidR="00BE1714" w:rsidRPr="008474EF" w:rsidRDefault="00EF4DE1" w:rsidP="00BE1714">
            <w:pPr>
              <w:jc w:val="right"/>
              <w:rPr>
                <w:sz w:val="20"/>
                <w:szCs w:val="20"/>
              </w:rPr>
            </w:pPr>
            <w:r>
              <w:rPr>
                <w:sz w:val="20"/>
                <w:szCs w:val="20"/>
              </w:rPr>
              <w:t>1</w:t>
            </w:r>
            <w:r w:rsidR="001C7349">
              <w:rPr>
                <w:sz w:val="20"/>
                <w:szCs w:val="20"/>
              </w:rPr>
              <w:t>,282</w:t>
            </w:r>
          </w:p>
        </w:tc>
      </w:tr>
      <w:tr w:rsidR="00BE1714" w14:paraId="7BF01B3A" w14:textId="77777777" w:rsidTr="008474EF">
        <w:tc>
          <w:tcPr>
            <w:tcW w:w="1812" w:type="dxa"/>
          </w:tcPr>
          <w:p w14:paraId="581985E5" w14:textId="77777777" w:rsidR="00BE1714" w:rsidRPr="008474EF" w:rsidRDefault="00BE1714" w:rsidP="00BE1714">
            <w:pPr>
              <w:rPr>
                <w:sz w:val="20"/>
                <w:szCs w:val="20"/>
              </w:rPr>
            </w:pPr>
            <w:r w:rsidRPr="008474EF">
              <w:rPr>
                <w:sz w:val="20"/>
                <w:szCs w:val="20"/>
              </w:rPr>
              <w:t>Income</w:t>
            </w:r>
          </w:p>
        </w:tc>
        <w:tc>
          <w:tcPr>
            <w:tcW w:w="1812" w:type="dxa"/>
          </w:tcPr>
          <w:p w14:paraId="66328A0A" w14:textId="2C27ADC8" w:rsidR="00BE1714" w:rsidRPr="008474EF" w:rsidRDefault="002B1B93" w:rsidP="00737D30">
            <w:pPr>
              <w:jc w:val="right"/>
              <w:rPr>
                <w:sz w:val="20"/>
                <w:szCs w:val="20"/>
                <w:u w:val="single"/>
              </w:rPr>
            </w:pPr>
            <w:r>
              <w:rPr>
                <w:sz w:val="20"/>
                <w:szCs w:val="20"/>
                <w:u w:val="single"/>
              </w:rPr>
              <w:t xml:space="preserve">    </w:t>
            </w:r>
            <w:r w:rsidR="00AD5952">
              <w:rPr>
                <w:sz w:val="20"/>
                <w:szCs w:val="20"/>
                <w:u w:val="single"/>
              </w:rPr>
              <w:t>(</w:t>
            </w:r>
            <w:r w:rsidR="008460D1">
              <w:rPr>
                <w:sz w:val="20"/>
                <w:szCs w:val="20"/>
                <w:u w:val="single"/>
              </w:rPr>
              <w:t>8</w:t>
            </w:r>
            <w:r w:rsidR="00AD5952">
              <w:rPr>
                <w:sz w:val="20"/>
                <w:szCs w:val="20"/>
                <w:u w:val="single"/>
              </w:rPr>
              <w:t>)</w:t>
            </w:r>
          </w:p>
        </w:tc>
        <w:tc>
          <w:tcPr>
            <w:tcW w:w="1812" w:type="dxa"/>
          </w:tcPr>
          <w:p w14:paraId="3BE69865" w14:textId="77777777" w:rsidR="00BE1714" w:rsidRPr="008474EF" w:rsidRDefault="001C06AC" w:rsidP="00EF4DE1">
            <w:pPr>
              <w:jc w:val="right"/>
              <w:rPr>
                <w:sz w:val="20"/>
                <w:szCs w:val="20"/>
                <w:u w:val="single"/>
              </w:rPr>
            </w:pPr>
            <w:r>
              <w:rPr>
                <w:sz w:val="20"/>
                <w:szCs w:val="20"/>
                <w:u w:val="single"/>
              </w:rPr>
              <w:t>___</w:t>
            </w:r>
            <w:r w:rsidR="00EF4DE1">
              <w:rPr>
                <w:sz w:val="20"/>
                <w:szCs w:val="20"/>
                <w:u w:val="single"/>
              </w:rPr>
              <w:t>0</w:t>
            </w:r>
          </w:p>
        </w:tc>
        <w:tc>
          <w:tcPr>
            <w:tcW w:w="1812" w:type="dxa"/>
          </w:tcPr>
          <w:p w14:paraId="187130B6" w14:textId="308E485A" w:rsidR="00BE1714" w:rsidRPr="008474EF" w:rsidRDefault="001C06AC" w:rsidP="00BE1714">
            <w:pPr>
              <w:jc w:val="right"/>
              <w:rPr>
                <w:sz w:val="20"/>
                <w:szCs w:val="20"/>
              </w:rPr>
            </w:pPr>
            <w:r>
              <w:rPr>
                <w:sz w:val="20"/>
                <w:szCs w:val="20"/>
                <w:u w:val="single"/>
              </w:rPr>
              <w:t>__</w:t>
            </w:r>
            <w:r w:rsidR="001C7349">
              <w:rPr>
                <w:sz w:val="20"/>
                <w:szCs w:val="20"/>
                <w:u w:val="single"/>
              </w:rPr>
              <w:t xml:space="preserve">  0</w:t>
            </w:r>
          </w:p>
        </w:tc>
        <w:tc>
          <w:tcPr>
            <w:tcW w:w="1813" w:type="dxa"/>
          </w:tcPr>
          <w:p w14:paraId="49667DAC" w14:textId="6C60BD4D" w:rsidR="00BE1714" w:rsidRPr="008474EF" w:rsidRDefault="00BE1714" w:rsidP="00BE1714">
            <w:pPr>
              <w:jc w:val="right"/>
              <w:rPr>
                <w:sz w:val="20"/>
                <w:szCs w:val="20"/>
                <w:u w:val="single"/>
              </w:rPr>
            </w:pPr>
            <w:r w:rsidRPr="008474EF">
              <w:rPr>
                <w:sz w:val="20"/>
                <w:szCs w:val="20"/>
              </w:rPr>
              <w:softHyphen/>
            </w:r>
            <w:r w:rsidRPr="008474EF">
              <w:rPr>
                <w:sz w:val="20"/>
                <w:szCs w:val="20"/>
              </w:rPr>
              <w:softHyphen/>
            </w:r>
            <w:r w:rsidR="001C06AC">
              <w:rPr>
                <w:sz w:val="20"/>
                <w:szCs w:val="20"/>
                <w:u w:val="single"/>
              </w:rPr>
              <w:t>___(</w:t>
            </w:r>
            <w:r w:rsidR="00737D30">
              <w:rPr>
                <w:sz w:val="20"/>
                <w:szCs w:val="20"/>
                <w:u w:val="single"/>
              </w:rPr>
              <w:t>3</w:t>
            </w:r>
            <w:r w:rsidR="001C7349">
              <w:rPr>
                <w:sz w:val="20"/>
                <w:szCs w:val="20"/>
                <w:u w:val="single"/>
              </w:rPr>
              <w:t>6</w:t>
            </w:r>
            <w:r w:rsidR="001C06AC">
              <w:rPr>
                <w:sz w:val="20"/>
                <w:szCs w:val="20"/>
                <w:u w:val="single"/>
              </w:rPr>
              <w:t>)</w:t>
            </w:r>
          </w:p>
        </w:tc>
      </w:tr>
      <w:tr w:rsidR="00BE1714" w14:paraId="4ABE7E2E" w14:textId="77777777" w:rsidTr="008474EF">
        <w:tc>
          <w:tcPr>
            <w:tcW w:w="1812" w:type="dxa"/>
          </w:tcPr>
          <w:p w14:paraId="455187EA" w14:textId="77777777" w:rsidR="00BE1714" w:rsidRPr="008474EF" w:rsidRDefault="00BE1714" w:rsidP="00BE1714">
            <w:pPr>
              <w:rPr>
                <w:sz w:val="20"/>
                <w:szCs w:val="20"/>
              </w:rPr>
            </w:pPr>
          </w:p>
          <w:p w14:paraId="63D801FC" w14:textId="7D8EF9FF" w:rsidR="00BE1714" w:rsidRPr="008474EF" w:rsidRDefault="00BE1714" w:rsidP="00BE1714">
            <w:pPr>
              <w:rPr>
                <w:sz w:val="20"/>
                <w:szCs w:val="20"/>
              </w:rPr>
            </w:pPr>
            <w:r w:rsidRPr="008474EF">
              <w:rPr>
                <w:sz w:val="20"/>
                <w:szCs w:val="20"/>
              </w:rPr>
              <w:t xml:space="preserve">Net </w:t>
            </w:r>
            <w:r w:rsidR="00D80963">
              <w:rPr>
                <w:sz w:val="20"/>
                <w:szCs w:val="20"/>
              </w:rPr>
              <w:t xml:space="preserve">Operating </w:t>
            </w:r>
            <w:r w:rsidRPr="008474EF">
              <w:rPr>
                <w:sz w:val="20"/>
                <w:szCs w:val="20"/>
              </w:rPr>
              <w:t>Expenditure</w:t>
            </w:r>
          </w:p>
        </w:tc>
        <w:tc>
          <w:tcPr>
            <w:tcW w:w="1812" w:type="dxa"/>
          </w:tcPr>
          <w:p w14:paraId="70D1028D" w14:textId="77777777" w:rsidR="005D69D1" w:rsidRDefault="005D69D1" w:rsidP="005D69D1">
            <w:pPr>
              <w:jc w:val="right"/>
              <w:rPr>
                <w:sz w:val="20"/>
                <w:szCs w:val="20"/>
              </w:rPr>
            </w:pPr>
          </w:p>
          <w:p w14:paraId="1D5BCB8B" w14:textId="77777777" w:rsidR="002B1B93" w:rsidRDefault="002B1B93" w:rsidP="005D69D1">
            <w:pPr>
              <w:jc w:val="right"/>
              <w:rPr>
                <w:sz w:val="20"/>
                <w:szCs w:val="20"/>
              </w:rPr>
            </w:pPr>
          </w:p>
          <w:p w14:paraId="659C51C2" w14:textId="3D5F1969" w:rsidR="002B1B93" w:rsidRPr="008474EF" w:rsidRDefault="00F643C2" w:rsidP="005D69D1">
            <w:pPr>
              <w:jc w:val="right"/>
              <w:rPr>
                <w:sz w:val="20"/>
                <w:szCs w:val="20"/>
              </w:rPr>
            </w:pPr>
            <w:r>
              <w:rPr>
                <w:sz w:val="20"/>
                <w:szCs w:val="20"/>
              </w:rPr>
              <w:t>2,</w:t>
            </w:r>
            <w:r w:rsidR="00AD5952">
              <w:rPr>
                <w:sz w:val="20"/>
                <w:szCs w:val="20"/>
              </w:rPr>
              <w:t>4</w:t>
            </w:r>
            <w:r w:rsidR="008460D1">
              <w:rPr>
                <w:sz w:val="20"/>
                <w:szCs w:val="20"/>
              </w:rPr>
              <w:t>7</w:t>
            </w:r>
            <w:r w:rsidR="00D768D0">
              <w:rPr>
                <w:sz w:val="20"/>
                <w:szCs w:val="20"/>
              </w:rPr>
              <w:t>2</w:t>
            </w:r>
          </w:p>
        </w:tc>
        <w:tc>
          <w:tcPr>
            <w:tcW w:w="1812" w:type="dxa"/>
          </w:tcPr>
          <w:p w14:paraId="38F97D82" w14:textId="77777777" w:rsidR="00BE1714" w:rsidRDefault="00BE1714" w:rsidP="00BE1714">
            <w:pPr>
              <w:jc w:val="right"/>
              <w:rPr>
                <w:sz w:val="20"/>
                <w:szCs w:val="20"/>
                <w:u w:val="single"/>
              </w:rPr>
            </w:pPr>
          </w:p>
          <w:p w14:paraId="5650ABA2" w14:textId="77777777" w:rsidR="00BE1714" w:rsidRPr="008474EF" w:rsidRDefault="00BE1714" w:rsidP="00BE1714">
            <w:pPr>
              <w:jc w:val="right"/>
              <w:rPr>
                <w:sz w:val="20"/>
                <w:szCs w:val="20"/>
                <w:u w:val="single"/>
              </w:rPr>
            </w:pPr>
          </w:p>
          <w:p w14:paraId="6FD543A9" w14:textId="7459F2EC" w:rsidR="00BE1714" w:rsidRDefault="001C7349" w:rsidP="00BE1714">
            <w:pPr>
              <w:jc w:val="right"/>
              <w:rPr>
                <w:sz w:val="20"/>
                <w:szCs w:val="20"/>
              </w:rPr>
            </w:pPr>
            <w:r>
              <w:rPr>
                <w:sz w:val="20"/>
                <w:szCs w:val="20"/>
              </w:rPr>
              <w:t>2,333</w:t>
            </w:r>
          </w:p>
          <w:p w14:paraId="6391941E" w14:textId="77777777" w:rsidR="005D69D1" w:rsidRPr="008474EF" w:rsidRDefault="005D69D1" w:rsidP="00BE1714">
            <w:pPr>
              <w:jc w:val="right"/>
              <w:rPr>
                <w:sz w:val="20"/>
                <w:szCs w:val="20"/>
              </w:rPr>
            </w:pPr>
          </w:p>
        </w:tc>
        <w:tc>
          <w:tcPr>
            <w:tcW w:w="1812" w:type="dxa"/>
          </w:tcPr>
          <w:p w14:paraId="62EC2820" w14:textId="77777777" w:rsidR="00BE1714" w:rsidRPr="008474EF" w:rsidRDefault="00BE1714" w:rsidP="00BE1714">
            <w:pPr>
              <w:jc w:val="right"/>
              <w:rPr>
                <w:sz w:val="20"/>
                <w:szCs w:val="20"/>
                <w:u w:val="single"/>
              </w:rPr>
            </w:pPr>
          </w:p>
          <w:p w14:paraId="18CC3CAD" w14:textId="77777777" w:rsidR="00BE1714" w:rsidRPr="008474EF" w:rsidRDefault="00BE1714" w:rsidP="00BE1714">
            <w:pPr>
              <w:jc w:val="right"/>
              <w:rPr>
                <w:sz w:val="20"/>
                <w:szCs w:val="20"/>
                <w:u w:val="single"/>
              </w:rPr>
            </w:pPr>
          </w:p>
          <w:p w14:paraId="6E4085A6" w14:textId="00749ED3" w:rsidR="00BE1714" w:rsidRPr="008474EF" w:rsidRDefault="00EF4DE1" w:rsidP="00BE1714">
            <w:pPr>
              <w:jc w:val="right"/>
              <w:rPr>
                <w:sz w:val="20"/>
                <w:szCs w:val="20"/>
              </w:rPr>
            </w:pPr>
            <w:r>
              <w:rPr>
                <w:sz w:val="20"/>
                <w:szCs w:val="20"/>
              </w:rPr>
              <w:t>1,</w:t>
            </w:r>
            <w:r w:rsidR="001C7349">
              <w:rPr>
                <w:sz w:val="20"/>
                <w:szCs w:val="20"/>
              </w:rPr>
              <w:t>636</w:t>
            </w:r>
          </w:p>
        </w:tc>
        <w:tc>
          <w:tcPr>
            <w:tcW w:w="1813" w:type="dxa"/>
          </w:tcPr>
          <w:p w14:paraId="3C54121D" w14:textId="77777777" w:rsidR="00BE1714" w:rsidRPr="008474EF" w:rsidRDefault="00BE1714" w:rsidP="00BE1714">
            <w:pPr>
              <w:jc w:val="right"/>
              <w:rPr>
                <w:sz w:val="20"/>
                <w:szCs w:val="20"/>
              </w:rPr>
            </w:pPr>
          </w:p>
          <w:p w14:paraId="0047B017" w14:textId="77777777" w:rsidR="00BE1714" w:rsidRPr="008474EF" w:rsidRDefault="00BE1714" w:rsidP="00BE1714">
            <w:pPr>
              <w:jc w:val="right"/>
              <w:rPr>
                <w:sz w:val="20"/>
                <w:szCs w:val="20"/>
              </w:rPr>
            </w:pPr>
          </w:p>
          <w:p w14:paraId="593B15C1" w14:textId="39D9E7BB" w:rsidR="00BE1714" w:rsidRPr="008474EF" w:rsidRDefault="00EF4DE1" w:rsidP="00BE1714">
            <w:pPr>
              <w:jc w:val="right"/>
              <w:rPr>
                <w:sz w:val="20"/>
                <w:szCs w:val="20"/>
              </w:rPr>
            </w:pPr>
            <w:r>
              <w:rPr>
                <w:sz w:val="20"/>
                <w:szCs w:val="20"/>
              </w:rPr>
              <w:t>1,</w:t>
            </w:r>
            <w:r w:rsidR="001C7349">
              <w:rPr>
                <w:sz w:val="20"/>
                <w:szCs w:val="20"/>
              </w:rPr>
              <w:t>246</w:t>
            </w:r>
          </w:p>
        </w:tc>
      </w:tr>
    </w:tbl>
    <w:p w14:paraId="36CDA7BA" w14:textId="77777777" w:rsidR="001E24FD" w:rsidRDefault="00DD7949" w:rsidP="00DD7949">
      <w:pPr>
        <w:rPr>
          <w:noProof/>
          <w:lang w:eastAsia="en-GB"/>
        </w:rPr>
      </w:pPr>
      <w:r>
        <w:rPr>
          <w:noProof/>
          <w:lang w:eastAsia="en-GB"/>
        </w:rPr>
        <w:drawing>
          <wp:inline distT="0" distB="0" distL="0" distR="0" wp14:anchorId="3FFDA949" wp14:editId="01541B82">
            <wp:extent cx="2057399" cy="1182188"/>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7">
                      <a:extLst>
                        <a:ext uri="{28A0092B-C50C-407E-A947-70E740481C1C}">
                          <a14:useLocalDpi xmlns:a14="http://schemas.microsoft.com/office/drawing/2010/main" val="0"/>
                        </a:ext>
                      </a:extLst>
                    </a:blip>
                    <a:stretch>
                      <a:fillRect/>
                    </a:stretch>
                  </pic:blipFill>
                  <pic:spPr>
                    <a:xfrm>
                      <a:off x="0" y="0"/>
                      <a:ext cx="2057399" cy="1182188"/>
                    </a:xfrm>
                    <a:prstGeom prst="rect">
                      <a:avLst/>
                    </a:prstGeom>
                  </pic:spPr>
                </pic:pic>
              </a:graphicData>
            </a:graphic>
          </wp:inline>
        </w:drawing>
      </w:r>
    </w:p>
    <w:p w14:paraId="0AA8683C" w14:textId="77777777" w:rsidR="00866B98" w:rsidRPr="00D80497" w:rsidRDefault="00866B98" w:rsidP="00866B98">
      <w:pPr>
        <w:widowControl w:val="0"/>
        <w:autoSpaceDE w:val="0"/>
        <w:autoSpaceDN w:val="0"/>
        <w:adjustRightInd w:val="0"/>
        <w:rPr>
          <w:b/>
        </w:rPr>
      </w:pPr>
      <w:r>
        <w:rPr>
          <w:b/>
        </w:rPr>
        <w:t>Dr David Russell</w:t>
      </w:r>
    </w:p>
    <w:p w14:paraId="79B37B38" w14:textId="77777777" w:rsidR="00866B98" w:rsidRPr="00D80497" w:rsidRDefault="00866B98" w:rsidP="00866B98">
      <w:pPr>
        <w:widowControl w:val="0"/>
        <w:autoSpaceDE w:val="0"/>
        <w:autoSpaceDN w:val="0"/>
        <w:adjustRightInd w:val="0"/>
        <w:rPr>
          <w:b/>
        </w:rPr>
      </w:pPr>
      <w:r w:rsidRPr="00D80497">
        <w:rPr>
          <w:b/>
        </w:rPr>
        <w:t>Accounting Officer</w:t>
      </w:r>
    </w:p>
    <w:p w14:paraId="758B00BC" w14:textId="77777777" w:rsidR="00866B98" w:rsidRPr="00D80497" w:rsidRDefault="00866B98" w:rsidP="00866B98">
      <w:pPr>
        <w:widowControl w:val="0"/>
        <w:tabs>
          <w:tab w:val="left" w:pos="2802"/>
        </w:tabs>
        <w:autoSpaceDE w:val="0"/>
        <w:autoSpaceDN w:val="0"/>
        <w:adjustRightInd w:val="0"/>
      </w:pPr>
    </w:p>
    <w:p w14:paraId="70A833FD" w14:textId="1A224FF2" w:rsidR="00866B98" w:rsidRDefault="00866B98" w:rsidP="00866B98">
      <w:pPr>
        <w:widowControl w:val="0"/>
        <w:tabs>
          <w:tab w:val="left" w:pos="851"/>
        </w:tabs>
        <w:autoSpaceDE w:val="0"/>
        <w:autoSpaceDN w:val="0"/>
        <w:adjustRightInd w:val="0"/>
        <w:rPr>
          <w:b/>
        </w:rPr>
      </w:pPr>
      <w:r w:rsidRPr="00D80497">
        <w:rPr>
          <w:b/>
        </w:rPr>
        <w:t xml:space="preserve">Date: </w:t>
      </w:r>
      <w:r w:rsidR="005E6D62">
        <w:rPr>
          <w:b/>
        </w:rPr>
        <w:t>3</w:t>
      </w:r>
      <w:r w:rsidR="0049664F">
        <w:rPr>
          <w:b/>
        </w:rPr>
        <w:t xml:space="preserve"> </w:t>
      </w:r>
      <w:r w:rsidR="005E6D62">
        <w:rPr>
          <w:b/>
        </w:rPr>
        <w:t>July</w:t>
      </w:r>
      <w:r w:rsidR="00953497">
        <w:rPr>
          <w:b/>
        </w:rPr>
        <w:t xml:space="preserve"> 20</w:t>
      </w:r>
      <w:r w:rsidR="005E6D62">
        <w:rPr>
          <w:b/>
        </w:rPr>
        <w:t>23</w:t>
      </w:r>
    </w:p>
    <w:p w14:paraId="6C8695E0" w14:textId="77777777" w:rsidR="00F04493" w:rsidRDefault="00F04493" w:rsidP="00866B98">
      <w:pPr>
        <w:widowControl w:val="0"/>
        <w:tabs>
          <w:tab w:val="left" w:pos="851"/>
        </w:tabs>
        <w:autoSpaceDE w:val="0"/>
        <w:autoSpaceDN w:val="0"/>
        <w:adjustRightInd w:val="0"/>
        <w:rPr>
          <w:b/>
        </w:rPr>
      </w:pPr>
    </w:p>
    <w:p w14:paraId="0C5F85D6" w14:textId="77777777" w:rsidR="00F04493" w:rsidRDefault="00F04493" w:rsidP="00866B98">
      <w:pPr>
        <w:widowControl w:val="0"/>
        <w:tabs>
          <w:tab w:val="left" w:pos="851"/>
        </w:tabs>
        <w:autoSpaceDE w:val="0"/>
        <w:autoSpaceDN w:val="0"/>
        <w:adjustRightInd w:val="0"/>
        <w:rPr>
          <w:b/>
        </w:rPr>
      </w:pPr>
    </w:p>
    <w:p w14:paraId="08944C67" w14:textId="77777777" w:rsidR="00F04493" w:rsidRDefault="00F04493" w:rsidP="00866B98">
      <w:pPr>
        <w:widowControl w:val="0"/>
        <w:tabs>
          <w:tab w:val="left" w:pos="851"/>
        </w:tabs>
        <w:autoSpaceDE w:val="0"/>
        <w:autoSpaceDN w:val="0"/>
        <w:adjustRightInd w:val="0"/>
        <w:rPr>
          <w:b/>
        </w:rPr>
      </w:pPr>
    </w:p>
    <w:p w14:paraId="31761B0B" w14:textId="77777777" w:rsidR="00F04493" w:rsidRDefault="00F04493" w:rsidP="00866B98">
      <w:pPr>
        <w:widowControl w:val="0"/>
        <w:tabs>
          <w:tab w:val="left" w:pos="851"/>
        </w:tabs>
        <w:autoSpaceDE w:val="0"/>
        <w:autoSpaceDN w:val="0"/>
        <w:adjustRightInd w:val="0"/>
        <w:rPr>
          <w:b/>
        </w:rPr>
      </w:pPr>
    </w:p>
    <w:p w14:paraId="39E7FF89" w14:textId="77777777" w:rsidR="00F04493" w:rsidRDefault="00F04493" w:rsidP="00866B98">
      <w:pPr>
        <w:widowControl w:val="0"/>
        <w:tabs>
          <w:tab w:val="left" w:pos="851"/>
        </w:tabs>
        <w:autoSpaceDE w:val="0"/>
        <w:autoSpaceDN w:val="0"/>
        <w:adjustRightInd w:val="0"/>
        <w:rPr>
          <w:b/>
        </w:rPr>
      </w:pPr>
    </w:p>
    <w:p w14:paraId="05727210" w14:textId="77777777" w:rsidR="00F04493" w:rsidRDefault="00F04493" w:rsidP="00866B98">
      <w:pPr>
        <w:widowControl w:val="0"/>
        <w:tabs>
          <w:tab w:val="left" w:pos="851"/>
        </w:tabs>
        <w:autoSpaceDE w:val="0"/>
        <w:autoSpaceDN w:val="0"/>
        <w:adjustRightInd w:val="0"/>
        <w:rPr>
          <w:b/>
        </w:rPr>
      </w:pPr>
    </w:p>
    <w:p w14:paraId="44778985" w14:textId="77777777" w:rsidR="00F04493" w:rsidRDefault="00F04493" w:rsidP="00866B98">
      <w:pPr>
        <w:widowControl w:val="0"/>
        <w:tabs>
          <w:tab w:val="left" w:pos="851"/>
        </w:tabs>
        <w:autoSpaceDE w:val="0"/>
        <w:autoSpaceDN w:val="0"/>
        <w:adjustRightInd w:val="0"/>
        <w:rPr>
          <w:b/>
        </w:rPr>
      </w:pPr>
    </w:p>
    <w:p w14:paraId="77665135" w14:textId="77777777" w:rsidR="00F04493" w:rsidRDefault="00F04493" w:rsidP="00866B98">
      <w:pPr>
        <w:widowControl w:val="0"/>
        <w:tabs>
          <w:tab w:val="left" w:pos="851"/>
        </w:tabs>
        <w:autoSpaceDE w:val="0"/>
        <w:autoSpaceDN w:val="0"/>
        <w:adjustRightInd w:val="0"/>
        <w:rPr>
          <w:b/>
        </w:rPr>
      </w:pPr>
    </w:p>
    <w:p w14:paraId="13A31B1D" w14:textId="77777777" w:rsidR="00F04493" w:rsidRDefault="00F04493" w:rsidP="00866B98">
      <w:pPr>
        <w:widowControl w:val="0"/>
        <w:tabs>
          <w:tab w:val="left" w:pos="851"/>
        </w:tabs>
        <w:autoSpaceDE w:val="0"/>
        <w:autoSpaceDN w:val="0"/>
        <w:adjustRightInd w:val="0"/>
        <w:rPr>
          <w:b/>
        </w:rPr>
      </w:pPr>
    </w:p>
    <w:p w14:paraId="6FEECE44" w14:textId="77777777" w:rsidR="00F04493" w:rsidRDefault="00F04493" w:rsidP="00866B98">
      <w:pPr>
        <w:widowControl w:val="0"/>
        <w:tabs>
          <w:tab w:val="left" w:pos="851"/>
        </w:tabs>
        <w:autoSpaceDE w:val="0"/>
        <w:autoSpaceDN w:val="0"/>
        <w:adjustRightInd w:val="0"/>
        <w:rPr>
          <w:b/>
        </w:rPr>
      </w:pPr>
    </w:p>
    <w:p w14:paraId="797F4D9F" w14:textId="77777777" w:rsidR="00F04493" w:rsidRDefault="00F04493" w:rsidP="00866B98">
      <w:pPr>
        <w:widowControl w:val="0"/>
        <w:tabs>
          <w:tab w:val="left" w:pos="851"/>
        </w:tabs>
        <w:autoSpaceDE w:val="0"/>
        <w:autoSpaceDN w:val="0"/>
        <w:adjustRightInd w:val="0"/>
        <w:rPr>
          <w:b/>
        </w:rPr>
      </w:pPr>
    </w:p>
    <w:p w14:paraId="0C518E9E" w14:textId="77777777" w:rsidR="00F04493" w:rsidRDefault="00F04493" w:rsidP="00866B98">
      <w:pPr>
        <w:widowControl w:val="0"/>
        <w:tabs>
          <w:tab w:val="left" w:pos="851"/>
        </w:tabs>
        <w:autoSpaceDE w:val="0"/>
        <w:autoSpaceDN w:val="0"/>
        <w:adjustRightInd w:val="0"/>
        <w:rPr>
          <w:b/>
        </w:rPr>
      </w:pPr>
    </w:p>
    <w:p w14:paraId="26A89829" w14:textId="77777777" w:rsidR="00F04493" w:rsidRDefault="00F04493" w:rsidP="00866B98">
      <w:pPr>
        <w:widowControl w:val="0"/>
        <w:tabs>
          <w:tab w:val="left" w:pos="851"/>
        </w:tabs>
        <w:autoSpaceDE w:val="0"/>
        <w:autoSpaceDN w:val="0"/>
        <w:adjustRightInd w:val="0"/>
        <w:rPr>
          <w:b/>
        </w:rPr>
      </w:pPr>
    </w:p>
    <w:p w14:paraId="12C80F04" w14:textId="77777777" w:rsidR="00F04493" w:rsidRDefault="00F04493" w:rsidP="00866B98">
      <w:pPr>
        <w:widowControl w:val="0"/>
        <w:tabs>
          <w:tab w:val="left" w:pos="851"/>
        </w:tabs>
        <w:autoSpaceDE w:val="0"/>
        <w:autoSpaceDN w:val="0"/>
        <w:adjustRightInd w:val="0"/>
        <w:rPr>
          <w:b/>
        </w:rPr>
      </w:pPr>
    </w:p>
    <w:p w14:paraId="1AAB0159" w14:textId="77777777" w:rsidR="00F04493" w:rsidRDefault="00F04493" w:rsidP="00866B98">
      <w:pPr>
        <w:widowControl w:val="0"/>
        <w:tabs>
          <w:tab w:val="left" w:pos="851"/>
        </w:tabs>
        <w:autoSpaceDE w:val="0"/>
        <w:autoSpaceDN w:val="0"/>
        <w:adjustRightInd w:val="0"/>
        <w:rPr>
          <w:b/>
        </w:rPr>
      </w:pPr>
    </w:p>
    <w:p w14:paraId="6803E153" w14:textId="77777777" w:rsidR="00F04493" w:rsidRDefault="00F04493" w:rsidP="00866B98">
      <w:pPr>
        <w:widowControl w:val="0"/>
        <w:tabs>
          <w:tab w:val="left" w:pos="851"/>
        </w:tabs>
        <w:autoSpaceDE w:val="0"/>
        <w:autoSpaceDN w:val="0"/>
        <w:adjustRightInd w:val="0"/>
        <w:rPr>
          <w:b/>
        </w:rPr>
      </w:pPr>
    </w:p>
    <w:p w14:paraId="30C46851" w14:textId="77777777" w:rsidR="00F04493" w:rsidRDefault="00F04493" w:rsidP="00866B98">
      <w:pPr>
        <w:widowControl w:val="0"/>
        <w:tabs>
          <w:tab w:val="left" w:pos="851"/>
        </w:tabs>
        <w:autoSpaceDE w:val="0"/>
        <w:autoSpaceDN w:val="0"/>
        <w:adjustRightInd w:val="0"/>
        <w:rPr>
          <w:b/>
        </w:rPr>
      </w:pPr>
    </w:p>
    <w:p w14:paraId="0477C902" w14:textId="77777777" w:rsidR="00F04493" w:rsidRDefault="00F04493" w:rsidP="00866B98">
      <w:pPr>
        <w:widowControl w:val="0"/>
        <w:tabs>
          <w:tab w:val="left" w:pos="851"/>
        </w:tabs>
        <w:autoSpaceDE w:val="0"/>
        <w:autoSpaceDN w:val="0"/>
        <w:adjustRightInd w:val="0"/>
        <w:rPr>
          <w:b/>
        </w:rPr>
      </w:pPr>
    </w:p>
    <w:p w14:paraId="4EB5FCF4" w14:textId="77777777" w:rsidR="00F04493" w:rsidRDefault="00F04493" w:rsidP="00866B98">
      <w:pPr>
        <w:widowControl w:val="0"/>
        <w:tabs>
          <w:tab w:val="left" w:pos="851"/>
        </w:tabs>
        <w:autoSpaceDE w:val="0"/>
        <w:autoSpaceDN w:val="0"/>
        <w:adjustRightInd w:val="0"/>
        <w:rPr>
          <w:b/>
        </w:rPr>
      </w:pPr>
    </w:p>
    <w:p w14:paraId="39415805" w14:textId="77777777" w:rsidR="00F04493" w:rsidRDefault="00F04493" w:rsidP="00866B98">
      <w:pPr>
        <w:widowControl w:val="0"/>
        <w:tabs>
          <w:tab w:val="left" w:pos="851"/>
        </w:tabs>
        <w:autoSpaceDE w:val="0"/>
        <w:autoSpaceDN w:val="0"/>
        <w:adjustRightInd w:val="0"/>
        <w:rPr>
          <w:b/>
        </w:rPr>
      </w:pPr>
    </w:p>
    <w:p w14:paraId="1EE7D156" w14:textId="77777777" w:rsidR="00DC2DA5" w:rsidRPr="00DC2DA5" w:rsidRDefault="00DC2DA5" w:rsidP="00827D54">
      <w:pPr>
        <w:pStyle w:val="Heading1"/>
        <w:rPr>
          <w:rFonts w:ascii="Verdana" w:hAnsi="Verdana"/>
          <w:b w:val="0"/>
          <w:bCs w:val="0"/>
          <w:color w:val="auto"/>
        </w:rPr>
      </w:pPr>
      <w:r w:rsidRPr="00DC2DA5">
        <w:rPr>
          <w:rFonts w:ascii="Verdana" w:hAnsi="Verdana"/>
          <w:color w:val="auto"/>
        </w:rPr>
        <w:lastRenderedPageBreak/>
        <w:t>THE CERTIFICATE AND REPORT OF THE COMPTROLLER AND AUDITOR GENERAL TO THE HOUSES OF PARLIAMENT</w:t>
      </w:r>
    </w:p>
    <w:p w14:paraId="10F062F1" w14:textId="07C66712" w:rsidR="00DC2DA5" w:rsidRPr="00CE4F1A" w:rsidRDefault="00DC2DA5" w:rsidP="00827D54">
      <w:pPr>
        <w:pStyle w:val="Heading2"/>
        <w:spacing w:before="100" w:beforeAutospacing="1" w:after="100" w:afterAutospacing="1"/>
        <w:rPr>
          <w:rFonts w:ascii="Verdana" w:hAnsi="Verdana"/>
          <w:color w:val="auto"/>
          <w:sz w:val="24"/>
          <w:szCs w:val="24"/>
        </w:rPr>
      </w:pPr>
      <w:r w:rsidRPr="00CE4F1A">
        <w:rPr>
          <w:rStyle w:val="SubtleEmphasis"/>
          <w:rFonts w:ascii="Verdana" w:hAnsi="Verdana"/>
          <w:color w:val="auto"/>
          <w:sz w:val="24"/>
          <w:szCs w:val="24"/>
        </w:rPr>
        <w:t xml:space="preserve">Opinion on financial statements </w:t>
      </w:r>
    </w:p>
    <w:p w14:paraId="71107FA1" w14:textId="6539304B" w:rsidR="00DC2DA5" w:rsidRPr="00DC2DA5" w:rsidRDefault="00DC2DA5" w:rsidP="00827D54">
      <w:pPr>
        <w:spacing w:before="100" w:beforeAutospacing="1" w:after="100" w:afterAutospacing="1"/>
      </w:pPr>
      <w:r w:rsidRPr="00DC2DA5">
        <w:t>I certify that I have audited the financial statements of the Northern Ireland Human Rights Commission for the year ended 31 March 202</w:t>
      </w:r>
      <w:r w:rsidR="00CE4F1A">
        <w:t>3</w:t>
      </w:r>
      <w:r w:rsidRPr="00DC2DA5">
        <w:t xml:space="preserve"> under the Northern Ireland Act 1998.</w:t>
      </w:r>
    </w:p>
    <w:p w14:paraId="20FD39A7" w14:textId="77777777" w:rsidR="00DC2DA5" w:rsidRPr="00DC2DA5" w:rsidRDefault="00DC2DA5" w:rsidP="00827D54">
      <w:pPr>
        <w:spacing w:before="100" w:beforeAutospacing="1" w:after="100" w:afterAutospacing="1"/>
      </w:pPr>
      <w:r w:rsidRPr="00DC2DA5">
        <w:t>The financial statements comprise the Northern Ireland Human Rights Commission’s</w:t>
      </w:r>
    </w:p>
    <w:p w14:paraId="2D998061" w14:textId="4AF1B61F" w:rsidR="00DC2DA5" w:rsidRPr="00DC2DA5" w:rsidRDefault="00DC2DA5" w:rsidP="00827D54">
      <w:pPr>
        <w:pStyle w:val="BodyText"/>
        <w:numPr>
          <w:ilvl w:val="0"/>
          <w:numId w:val="20"/>
        </w:numPr>
        <w:spacing w:before="100" w:beforeAutospacing="1" w:after="100" w:afterAutospacing="1"/>
      </w:pPr>
      <w:r w:rsidRPr="00DC2DA5">
        <w:t>Statement of Financial Position as at 31 March 202</w:t>
      </w:r>
      <w:r w:rsidR="00CE4F1A">
        <w:t>3</w:t>
      </w:r>
      <w:r w:rsidRPr="00DC2DA5">
        <w:t xml:space="preserve">;  </w:t>
      </w:r>
    </w:p>
    <w:p w14:paraId="74DED25E" w14:textId="77777777" w:rsidR="00DC2DA5" w:rsidRPr="00DC2DA5" w:rsidRDefault="00DC2DA5" w:rsidP="00827D54">
      <w:pPr>
        <w:pStyle w:val="BodyText"/>
        <w:numPr>
          <w:ilvl w:val="0"/>
          <w:numId w:val="20"/>
        </w:numPr>
        <w:spacing w:before="100" w:beforeAutospacing="1" w:after="100" w:afterAutospacing="1"/>
      </w:pPr>
      <w:r w:rsidRPr="00DC2DA5">
        <w:t xml:space="preserve">Statement of Comprehensive Net Expenditure, Statement of Cash Flows and Statement of Changes in Taxpayers’ Equity for the year then ended; and </w:t>
      </w:r>
    </w:p>
    <w:p w14:paraId="233944C7" w14:textId="77777777" w:rsidR="00DC2DA5" w:rsidRPr="00DC2DA5" w:rsidRDefault="00DC2DA5" w:rsidP="00827D54">
      <w:pPr>
        <w:pStyle w:val="BodyText"/>
        <w:numPr>
          <w:ilvl w:val="0"/>
          <w:numId w:val="20"/>
        </w:numPr>
        <w:spacing w:before="100" w:beforeAutospacing="1" w:after="100" w:afterAutospacing="1"/>
      </w:pPr>
      <w:r w:rsidRPr="00DC2DA5">
        <w:t>the related notes including the significant accounting policies.</w:t>
      </w:r>
    </w:p>
    <w:p w14:paraId="67105E08" w14:textId="46879774" w:rsidR="00DC2DA5" w:rsidRPr="00DC2DA5" w:rsidRDefault="00DC2DA5" w:rsidP="00827D54">
      <w:pPr>
        <w:pStyle w:val="BodyText"/>
        <w:spacing w:before="100" w:beforeAutospacing="1" w:after="100" w:afterAutospacing="1"/>
      </w:pPr>
      <w:r w:rsidRPr="00DC2DA5">
        <w:t xml:space="preserve">The financial reporting framework that has been applied in the preparation of the financial statements is </w:t>
      </w:r>
      <w:r w:rsidRPr="00DC2DA5">
        <w:rPr>
          <w:rFonts w:cs="Arial"/>
        </w:rPr>
        <w:t>applicable law and UK adopted</w:t>
      </w:r>
      <w:r w:rsidRPr="00DC2DA5">
        <w:t xml:space="preserve"> International Accounting Standards.  </w:t>
      </w:r>
    </w:p>
    <w:p w14:paraId="79F44DA4" w14:textId="77777777" w:rsidR="00DC2DA5" w:rsidRPr="00DC2DA5" w:rsidRDefault="00DC2DA5" w:rsidP="00827D54">
      <w:pPr>
        <w:spacing w:before="100" w:beforeAutospacing="1" w:after="100" w:afterAutospacing="1"/>
      </w:pPr>
      <w:r w:rsidRPr="00DC2DA5">
        <w:t>In my opinion, the financial statements:</w:t>
      </w:r>
    </w:p>
    <w:p w14:paraId="2C538CA2" w14:textId="08C413A2" w:rsidR="00DC2DA5" w:rsidRPr="00DC2DA5" w:rsidRDefault="00DC2DA5" w:rsidP="00827D54">
      <w:pPr>
        <w:numPr>
          <w:ilvl w:val="0"/>
          <w:numId w:val="19"/>
        </w:numPr>
        <w:spacing w:before="100" w:beforeAutospacing="1" w:after="100" w:afterAutospacing="1"/>
      </w:pPr>
      <w:r w:rsidRPr="00DC2DA5">
        <w:t>give a true and fair view of the state of the Northern Ireland Human Rights Commission’s affairs as at 31 March 202</w:t>
      </w:r>
      <w:r w:rsidR="00CE4F1A">
        <w:t>3</w:t>
      </w:r>
      <w:r w:rsidRPr="00DC2DA5">
        <w:t xml:space="preserve"> and its net</w:t>
      </w:r>
      <w:r w:rsidR="00BF7ED8">
        <w:t xml:space="preserve"> </w:t>
      </w:r>
      <w:r w:rsidRPr="00DC2DA5">
        <w:t>expenditure for the year then ended; and</w:t>
      </w:r>
    </w:p>
    <w:p w14:paraId="1C46E6AA" w14:textId="77777777" w:rsidR="00DC2DA5" w:rsidRPr="00DC2DA5" w:rsidRDefault="00DC2DA5" w:rsidP="00827D54">
      <w:pPr>
        <w:numPr>
          <w:ilvl w:val="0"/>
          <w:numId w:val="19"/>
        </w:numPr>
        <w:spacing w:before="100" w:beforeAutospacing="1" w:after="100" w:afterAutospacing="1"/>
      </w:pPr>
      <w:r w:rsidRPr="00DC2DA5">
        <w:t>have been properly prepared in accordance with the Northern Ireland Act 1998 and Secretary of State directions issued thereunder.</w:t>
      </w:r>
    </w:p>
    <w:p w14:paraId="4A5104FE" w14:textId="36818DDB" w:rsidR="00DC2DA5" w:rsidRPr="00CE4F1A" w:rsidRDefault="00DC2DA5" w:rsidP="00632319">
      <w:pPr>
        <w:pStyle w:val="Heading2"/>
        <w:spacing w:before="100" w:beforeAutospacing="1" w:after="100" w:afterAutospacing="1"/>
        <w:rPr>
          <w:rFonts w:ascii="Verdana" w:hAnsi="Verdana"/>
          <w:b w:val="0"/>
          <w:bCs w:val="0"/>
          <w:i w:val="0"/>
          <w:iCs w:val="0"/>
          <w:color w:val="auto"/>
          <w:sz w:val="24"/>
          <w:szCs w:val="24"/>
        </w:rPr>
      </w:pPr>
      <w:r w:rsidRPr="00CE4F1A">
        <w:rPr>
          <w:rFonts w:ascii="Verdana" w:hAnsi="Verdana"/>
          <w:i w:val="0"/>
          <w:iCs w:val="0"/>
          <w:color w:val="auto"/>
          <w:sz w:val="24"/>
          <w:szCs w:val="24"/>
        </w:rPr>
        <w:t>Opinion on regularity</w:t>
      </w:r>
    </w:p>
    <w:p w14:paraId="21395772" w14:textId="77777777" w:rsidR="00DC2DA5" w:rsidRPr="00DC2DA5" w:rsidRDefault="00DC2DA5" w:rsidP="00827D54">
      <w:pPr>
        <w:spacing w:before="100" w:beforeAutospacing="1" w:after="100" w:afterAutospacing="1"/>
      </w:pPr>
      <w:r w:rsidRPr="00DC2DA5">
        <w:t>In my opinion, in all material respects, the income and expenditure recorded in the financial statements have been applied to the purposes intended by Parliament and the financial transactions recorded in the financial statements conform to the authorities which govern them.</w:t>
      </w:r>
    </w:p>
    <w:p w14:paraId="38830A60" w14:textId="232BCF32" w:rsidR="00DC2DA5" w:rsidRPr="00CE4F1A" w:rsidRDefault="00DC2DA5" w:rsidP="00632319">
      <w:pPr>
        <w:pStyle w:val="Heading2"/>
        <w:spacing w:before="100" w:beforeAutospacing="1" w:after="100" w:afterAutospacing="1"/>
        <w:rPr>
          <w:rFonts w:ascii="Verdana" w:hAnsi="Verdana"/>
          <w:b w:val="0"/>
          <w:bCs w:val="0"/>
          <w:i w:val="0"/>
          <w:iCs w:val="0"/>
          <w:color w:val="auto"/>
          <w:sz w:val="24"/>
          <w:szCs w:val="24"/>
        </w:rPr>
      </w:pPr>
      <w:r w:rsidRPr="00CE4F1A">
        <w:rPr>
          <w:rFonts w:ascii="Verdana" w:hAnsi="Verdana"/>
          <w:i w:val="0"/>
          <w:iCs w:val="0"/>
          <w:color w:val="auto"/>
          <w:sz w:val="24"/>
          <w:szCs w:val="24"/>
        </w:rPr>
        <w:t>Basis for opinions</w:t>
      </w:r>
    </w:p>
    <w:p w14:paraId="1631D820" w14:textId="6F9A04D3" w:rsidR="00DC2DA5" w:rsidRPr="00DC2DA5" w:rsidRDefault="00DC2DA5" w:rsidP="00827D54">
      <w:pPr>
        <w:spacing w:before="100" w:beforeAutospacing="1" w:after="100" w:afterAutospacing="1"/>
      </w:pPr>
      <w:bookmarkStart w:id="19" w:name="_Hlk535919225"/>
      <w:r w:rsidRPr="00DC2DA5">
        <w:t xml:space="preserve">I conducted my audit in accordance with International Standards on Auditing (UK) (ISAs UK), applicable law and Practice Note 10 </w:t>
      </w:r>
      <w:r w:rsidRPr="00DC2DA5">
        <w:rPr>
          <w:i/>
          <w:iCs/>
        </w:rPr>
        <w:t>Audit of Financial Statements and regularity of Public Sector Entities in the United Kingdom</w:t>
      </w:r>
      <w:r w:rsidR="00CE4F1A">
        <w:rPr>
          <w:i/>
          <w:iCs/>
        </w:rPr>
        <w:t xml:space="preserve"> (2022)</w:t>
      </w:r>
      <w:r w:rsidRPr="00DC2DA5">
        <w:t xml:space="preserve">. My responsibilities under those standards are further described in the </w:t>
      </w:r>
      <w:r w:rsidRPr="00DC2DA5">
        <w:rPr>
          <w:i/>
          <w:iCs/>
        </w:rPr>
        <w:t>Auditor’s responsibilities for the audit of the financial statements</w:t>
      </w:r>
      <w:r w:rsidRPr="00DC2DA5">
        <w:t xml:space="preserve"> section of my certificate.</w:t>
      </w:r>
    </w:p>
    <w:p w14:paraId="113CEF89" w14:textId="65178870" w:rsidR="00DC2DA5" w:rsidRPr="00DC2DA5" w:rsidRDefault="00DC2DA5" w:rsidP="00827D54">
      <w:pPr>
        <w:spacing w:before="100" w:beforeAutospacing="1" w:after="100" w:afterAutospacing="1"/>
      </w:pPr>
      <w:r w:rsidRPr="00DC2DA5">
        <w:lastRenderedPageBreak/>
        <w:t xml:space="preserve">Those standards require me and my staff to comply with the Financial Reporting Council’s </w:t>
      </w:r>
      <w:r w:rsidRPr="00DC2DA5">
        <w:rPr>
          <w:i/>
          <w:iCs/>
        </w:rPr>
        <w:t>Revised Ethical Standard 2019</w:t>
      </w:r>
      <w:r w:rsidRPr="00DC2DA5">
        <w:t xml:space="preserve">. I am independent of the Northern Ireland Human Rights Commission in accordance with the ethical requirements that are relevant to my audit of the financial statements in the UK. My staff and I have fulfilled our other ethical responsibilities in accordance with these requirements. </w:t>
      </w:r>
    </w:p>
    <w:p w14:paraId="69BE1F2D" w14:textId="77777777" w:rsidR="00DC2DA5" w:rsidRPr="00DC2DA5" w:rsidRDefault="00DC2DA5" w:rsidP="00827D54">
      <w:pPr>
        <w:spacing w:before="100" w:beforeAutospacing="1" w:after="100" w:afterAutospacing="1"/>
      </w:pPr>
      <w:r w:rsidRPr="00DC2DA5">
        <w:t>I believe that the audit evidence I have obtained is sufficient and appropriate to provide a basis for my opinion.</w:t>
      </w:r>
    </w:p>
    <w:p w14:paraId="62BCBAA0" w14:textId="62B87353" w:rsidR="00DC2DA5" w:rsidRPr="00CE4F1A" w:rsidRDefault="00DC2DA5" w:rsidP="00632319">
      <w:pPr>
        <w:pStyle w:val="Heading2"/>
        <w:spacing w:before="100" w:beforeAutospacing="1" w:after="100" w:afterAutospacing="1"/>
        <w:rPr>
          <w:rFonts w:ascii="Verdana" w:hAnsi="Verdana"/>
          <w:b w:val="0"/>
          <w:i w:val="0"/>
          <w:iCs w:val="0"/>
          <w:color w:val="auto"/>
          <w:sz w:val="24"/>
          <w:szCs w:val="24"/>
        </w:rPr>
      </w:pPr>
      <w:r w:rsidRPr="00CE4F1A">
        <w:rPr>
          <w:rFonts w:ascii="Verdana" w:hAnsi="Verdana"/>
          <w:i w:val="0"/>
          <w:iCs w:val="0"/>
          <w:color w:val="auto"/>
          <w:sz w:val="24"/>
          <w:szCs w:val="24"/>
        </w:rPr>
        <w:t xml:space="preserve">Conclusions relating to going concern </w:t>
      </w:r>
    </w:p>
    <w:p w14:paraId="7D5088A7" w14:textId="77777777" w:rsidR="00DC2DA5" w:rsidRPr="00DC2DA5" w:rsidRDefault="00DC2DA5" w:rsidP="00827D54">
      <w:pPr>
        <w:pStyle w:val="BodyText"/>
        <w:spacing w:before="100" w:beforeAutospacing="1" w:after="100" w:afterAutospacing="1"/>
      </w:pPr>
      <w:r w:rsidRPr="00DC2DA5">
        <w:t xml:space="preserve">In auditing the financial statements, I have concluded that the Northern Ireland Human Right Commission’s use of the going concern basis of accounting in the preparation of the financial statements is appropriate. </w:t>
      </w:r>
    </w:p>
    <w:p w14:paraId="15976A87" w14:textId="77777777" w:rsidR="00DC2DA5" w:rsidRPr="00DC2DA5" w:rsidRDefault="00DC2DA5" w:rsidP="00827D54">
      <w:pPr>
        <w:pStyle w:val="BodyText"/>
        <w:spacing w:before="100" w:beforeAutospacing="1" w:after="100" w:afterAutospacing="1"/>
      </w:pPr>
      <w:r w:rsidRPr="00DC2DA5">
        <w:t xml:space="preserve">Based on the work I have performed, I have not identified any material uncertainties relating to events or conditions that, individually or collectively, may cast significant doubt on the Northern Ireland Human Rights Commission’s ability to continue as a going concern for a period of at least twelve months from when the financial statements are authorised for issue. </w:t>
      </w:r>
    </w:p>
    <w:p w14:paraId="6CDE7A42" w14:textId="77777777" w:rsidR="00DC2DA5" w:rsidRPr="00DC2DA5" w:rsidRDefault="00DC2DA5" w:rsidP="00827D54">
      <w:pPr>
        <w:pStyle w:val="BodyText"/>
        <w:spacing w:before="100" w:beforeAutospacing="1" w:after="100" w:afterAutospacing="1"/>
      </w:pPr>
      <w:r w:rsidRPr="00DC2DA5">
        <w:t>My responsibilities and the responsibilities of the Accounting Officer</w:t>
      </w:r>
      <w:r w:rsidRPr="00DC2DA5">
        <w:rPr>
          <w:b/>
          <w:bCs/>
        </w:rPr>
        <w:t xml:space="preserve"> </w:t>
      </w:r>
      <w:r w:rsidRPr="00DC2DA5">
        <w:t>with respect to going concern are described in the relevant sections of this certificate.</w:t>
      </w:r>
    </w:p>
    <w:p w14:paraId="2E051F2D" w14:textId="5F94C6FB" w:rsidR="00DC2DA5" w:rsidRPr="00DC2DA5" w:rsidRDefault="00DC2DA5" w:rsidP="00827D54">
      <w:pPr>
        <w:pStyle w:val="BodyText"/>
        <w:spacing w:before="100" w:beforeAutospacing="1" w:after="100" w:afterAutospacing="1"/>
        <w:rPr>
          <w:iCs/>
          <w:vertAlign w:val="superscript"/>
        </w:rPr>
      </w:pPr>
      <w:r w:rsidRPr="00DC2DA5">
        <w:t xml:space="preserve">The going concern basis of accounting for the Northern Ireland Human Rights Commission is adopted in consideration of the requirements set out in HM Treasury’s Government Financial Reporting Manual, which require entities to adopt the going concern basis of accounting in the preparation of the financial statements where it </w:t>
      </w:r>
      <w:r w:rsidR="00844592">
        <w:t xml:space="preserve">is </w:t>
      </w:r>
      <w:r w:rsidRPr="00DC2DA5">
        <w:t>anticipated that the services which they provide will continue into the future.</w:t>
      </w:r>
    </w:p>
    <w:p w14:paraId="64CD108E" w14:textId="592D1FE7" w:rsidR="00DC2DA5" w:rsidRPr="00CE4F1A" w:rsidRDefault="00DC2DA5" w:rsidP="00632319">
      <w:pPr>
        <w:pStyle w:val="Heading2"/>
        <w:spacing w:before="100" w:beforeAutospacing="1" w:after="100" w:afterAutospacing="1"/>
        <w:rPr>
          <w:rFonts w:ascii="Verdana" w:hAnsi="Verdana"/>
          <w:b w:val="0"/>
          <w:i w:val="0"/>
          <w:iCs w:val="0"/>
          <w:color w:val="auto"/>
          <w:sz w:val="24"/>
          <w:szCs w:val="24"/>
        </w:rPr>
      </w:pPr>
      <w:r w:rsidRPr="00CE4F1A">
        <w:rPr>
          <w:rFonts w:ascii="Verdana" w:hAnsi="Verdana"/>
          <w:i w:val="0"/>
          <w:iCs w:val="0"/>
          <w:color w:val="auto"/>
          <w:sz w:val="24"/>
          <w:szCs w:val="24"/>
        </w:rPr>
        <w:t>Other Information</w:t>
      </w:r>
    </w:p>
    <w:bookmarkEnd w:id="19"/>
    <w:p w14:paraId="2A010C40" w14:textId="4A99B6D3" w:rsidR="00DC2DA5" w:rsidRPr="00DC2DA5" w:rsidRDefault="00DC2DA5" w:rsidP="00827D54">
      <w:pPr>
        <w:pStyle w:val="BodyText"/>
        <w:spacing w:before="100" w:beforeAutospacing="1" w:after="100" w:afterAutospacing="1"/>
      </w:pPr>
      <w:r w:rsidRPr="00DC2DA5">
        <w:t>The other information comprises information included in the Annual Report</w:t>
      </w:r>
      <w:r w:rsidR="00CE4F1A">
        <w:t>,</w:t>
      </w:r>
      <w:r w:rsidRPr="00DC2DA5">
        <w:t xml:space="preserve"> but does not include the financial statements nor my auditor’s certificate</w:t>
      </w:r>
      <w:r w:rsidR="00CE4F1A">
        <w:t xml:space="preserve"> and report</w:t>
      </w:r>
      <w:r w:rsidRPr="00DC2DA5">
        <w:t>. The Accounting Officer is responsible for the other information.</w:t>
      </w:r>
    </w:p>
    <w:p w14:paraId="053FC5FA" w14:textId="77777777" w:rsidR="00DC2DA5" w:rsidRPr="00DC2DA5" w:rsidRDefault="00DC2DA5" w:rsidP="00827D54">
      <w:pPr>
        <w:pStyle w:val="BodyText"/>
        <w:spacing w:before="100" w:beforeAutospacing="1" w:after="100" w:afterAutospacing="1"/>
      </w:pPr>
      <w:r w:rsidRPr="00DC2DA5">
        <w:t xml:space="preserve">My opinion on the financial statements does not cover the other information and, except to the extent otherwise explicitly stated in my certificate, I do not express any form of assurance conclusion thereon. </w:t>
      </w:r>
    </w:p>
    <w:p w14:paraId="7A9AA94F" w14:textId="4798C4FD" w:rsidR="00DC2DA5" w:rsidRPr="00DC2DA5" w:rsidRDefault="00CE4F1A" w:rsidP="00827D54">
      <w:pPr>
        <w:pStyle w:val="BodyText"/>
        <w:spacing w:before="100" w:beforeAutospacing="1" w:after="100" w:afterAutospacing="1"/>
      </w:pPr>
      <w:r>
        <w:t>M</w:t>
      </w:r>
      <w:r w:rsidR="00DC2DA5" w:rsidRPr="00DC2DA5">
        <w:t>y responsibility is to read the other information and, in doing so, consider whether the other information is materially inconsistent with the financial statements</w:t>
      </w:r>
      <w:r>
        <w:t>,</w:t>
      </w:r>
      <w:r w:rsidR="00DC2DA5" w:rsidRPr="00DC2DA5">
        <w:t xml:space="preserve"> or my knowledge obtained in the audit</w:t>
      </w:r>
      <w:r>
        <w:t>,</w:t>
      </w:r>
      <w:r w:rsidR="00DC2DA5" w:rsidRPr="00DC2DA5">
        <w:t xml:space="preserve"> or otherwise appears to be materially misstated. </w:t>
      </w:r>
    </w:p>
    <w:p w14:paraId="1A5E4352" w14:textId="77777777" w:rsidR="00DC2DA5" w:rsidRPr="00DC2DA5" w:rsidRDefault="00DC2DA5" w:rsidP="00827D54">
      <w:pPr>
        <w:pStyle w:val="BodyText"/>
        <w:spacing w:before="100" w:beforeAutospacing="1" w:after="100" w:afterAutospacing="1"/>
      </w:pPr>
      <w:r w:rsidRPr="00DC2DA5">
        <w:lastRenderedPageBreak/>
        <w:t xml:space="preserve">If I identify such material inconsistencies or apparent material misstatements, I am required to determine whether this gives rise to a material misstatement in the financial statements themselves. If, based on the work I have performed, I conclude that there is a material misstatement of this other information, I am required to report that fact. </w:t>
      </w:r>
    </w:p>
    <w:p w14:paraId="2D4971F0" w14:textId="7488DC33" w:rsidR="00DC2DA5" w:rsidRPr="00DC2DA5" w:rsidRDefault="00DC2DA5" w:rsidP="00827D54">
      <w:pPr>
        <w:pStyle w:val="BodyText"/>
        <w:spacing w:before="100" w:beforeAutospacing="1" w:after="100" w:afterAutospacing="1"/>
      </w:pPr>
      <w:r w:rsidRPr="00DC2DA5">
        <w:t>I have nothing to report in this regard</w:t>
      </w:r>
      <w:r w:rsidR="00CE4F1A">
        <w:t>.</w:t>
      </w:r>
    </w:p>
    <w:p w14:paraId="4F45B6F7" w14:textId="430158E9" w:rsidR="00DC2DA5" w:rsidRPr="00CE4F1A" w:rsidRDefault="00DC2DA5" w:rsidP="00632319">
      <w:pPr>
        <w:pStyle w:val="Heading2"/>
        <w:spacing w:before="100" w:beforeAutospacing="1" w:after="100" w:afterAutospacing="1"/>
        <w:rPr>
          <w:rFonts w:ascii="Verdana" w:hAnsi="Verdana"/>
          <w:b w:val="0"/>
          <w:i w:val="0"/>
          <w:iCs w:val="0"/>
          <w:color w:val="auto"/>
          <w:sz w:val="24"/>
          <w:szCs w:val="24"/>
        </w:rPr>
      </w:pPr>
      <w:r w:rsidRPr="00CE4F1A">
        <w:rPr>
          <w:rFonts w:ascii="Verdana" w:hAnsi="Verdana"/>
          <w:i w:val="0"/>
          <w:iCs w:val="0"/>
          <w:color w:val="auto"/>
          <w:sz w:val="24"/>
          <w:szCs w:val="24"/>
        </w:rPr>
        <w:t>Opinion on other matters</w:t>
      </w:r>
    </w:p>
    <w:p w14:paraId="4089114D" w14:textId="77777777" w:rsidR="00DC2DA5" w:rsidRPr="00DC2DA5" w:rsidRDefault="00DC2DA5" w:rsidP="00827D54">
      <w:pPr>
        <w:spacing w:before="100" w:beforeAutospacing="1" w:after="100" w:afterAutospacing="1"/>
      </w:pPr>
      <w:r w:rsidRPr="00DC2DA5">
        <w:t xml:space="preserve">In my opinion the part of the Remuneration and Staff Report to be audited has been properly prepared in accordance with Secretary of State </w:t>
      </w:r>
      <w:r w:rsidRPr="00DC2DA5">
        <w:rPr>
          <w:rFonts w:cs="Arial"/>
        </w:rPr>
        <w:t xml:space="preserve">directions issued under the Northern Ireland Act 1998: </w:t>
      </w:r>
      <w:r w:rsidRPr="00DC2DA5">
        <w:rPr>
          <w:highlight w:val="lightGray"/>
        </w:rPr>
        <w:t xml:space="preserve"> </w:t>
      </w:r>
    </w:p>
    <w:p w14:paraId="65697C34" w14:textId="77777777" w:rsidR="00DC2DA5" w:rsidRPr="00DC2DA5" w:rsidRDefault="00DC2DA5" w:rsidP="00827D54">
      <w:pPr>
        <w:spacing w:before="100" w:beforeAutospacing="1" w:after="100" w:afterAutospacing="1"/>
      </w:pPr>
      <w:r w:rsidRPr="00DC2DA5">
        <w:t>In my opinion, based on the work undertaken in the course of the audit:</w:t>
      </w:r>
    </w:p>
    <w:p w14:paraId="1ACED0CD" w14:textId="77777777" w:rsidR="00DC2DA5" w:rsidRPr="00DC2DA5" w:rsidRDefault="00DC2DA5" w:rsidP="00827D54">
      <w:pPr>
        <w:pStyle w:val="BodyText"/>
        <w:numPr>
          <w:ilvl w:val="0"/>
          <w:numId w:val="21"/>
        </w:numPr>
        <w:spacing w:before="100" w:beforeAutospacing="1" w:after="100" w:afterAutospacing="1"/>
      </w:pPr>
      <w:r w:rsidRPr="00DC2DA5">
        <w:t>the parts of the Accountability Report subject to audit</w:t>
      </w:r>
      <w:r w:rsidRPr="00DC2DA5">
        <w:rPr>
          <w:rStyle w:val="FootnoteReference"/>
        </w:rPr>
        <w:t xml:space="preserve"> </w:t>
      </w:r>
      <w:r w:rsidRPr="00DC2DA5">
        <w:t xml:space="preserve">have been properly prepared in accordance with Secretary of State directions made under the Northern Ireland Act 1998; and </w:t>
      </w:r>
    </w:p>
    <w:p w14:paraId="5AD567E7" w14:textId="6EF1D00C" w:rsidR="00DC2DA5" w:rsidRPr="00DC2DA5" w:rsidRDefault="00DC2DA5" w:rsidP="00827D54">
      <w:pPr>
        <w:pStyle w:val="BodyText"/>
        <w:numPr>
          <w:ilvl w:val="0"/>
          <w:numId w:val="21"/>
        </w:numPr>
        <w:spacing w:before="100" w:beforeAutospacing="1" w:after="100" w:afterAutospacing="1"/>
      </w:pPr>
      <w:r w:rsidRPr="00DC2DA5">
        <w:rPr>
          <w:rFonts w:cs="Arial"/>
        </w:rPr>
        <w:t xml:space="preserve">the information given in the Performance and Accountability Reports for the financial year for which the financial statements are prepared is consistent with the financial statements and is in accordance with the applicable legal requirements. </w:t>
      </w:r>
    </w:p>
    <w:p w14:paraId="3DF5E64C" w14:textId="25BCCA92" w:rsidR="00DC2DA5" w:rsidRPr="00FD79AD" w:rsidRDefault="00DC2DA5" w:rsidP="00632319">
      <w:pPr>
        <w:pStyle w:val="Heading2"/>
        <w:spacing w:before="100" w:beforeAutospacing="1" w:after="100" w:afterAutospacing="1"/>
        <w:rPr>
          <w:rFonts w:ascii="Verdana" w:hAnsi="Verdana"/>
          <w:b w:val="0"/>
          <w:i w:val="0"/>
          <w:iCs w:val="0"/>
          <w:color w:val="auto"/>
          <w:sz w:val="24"/>
          <w:szCs w:val="24"/>
        </w:rPr>
      </w:pPr>
      <w:r w:rsidRPr="00FD79AD">
        <w:rPr>
          <w:rFonts w:ascii="Verdana" w:hAnsi="Verdana"/>
          <w:i w:val="0"/>
          <w:iCs w:val="0"/>
          <w:color w:val="auto"/>
          <w:sz w:val="24"/>
          <w:szCs w:val="24"/>
        </w:rPr>
        <w:t>Matters on which I report by exception</w:t>
      </w:r>
    </w:p>
    <w:p w14:paraId="1D90C216" w14:textId="739FE14A" w:rsidR="00DC2DA5" w:rsidRPr="00DC2DA5" w:rsidRDefault="00DC2DA5" w:rsidP="00827D54">
      <w:pPr>
        <w:pStyle w:val="BodyText"/>
        <w:spacing w:before="100" w:beforeAutospacing="1" w:after="100" w:afterAutospacing="1"/>
        <w:rPr>
          <w:highlight w:val="lightGray"/>
        </w:rPr>
      </w:pPr>
      <w:r w:rsidRPr="00DC2DA5">
        <w:t>In the light of the knowledge and understanding of the Northern Ireland Human Rights Commission and its environment obtained in the course of the audit, I have not identified material misstatements in the Performance and Accountability Report</w:t>
      </w:r>
      <w:r w:rsidR="001E7E4C">
        <w:t>s</w:t>
      </w:r>
      <w:r w:rsidRPr="00DC2DA5">
        <w:t>.</w:t>
      </w:r>
    </w:p>
    <w:p w14:paraId="55727C9D" w14:textId="77777777" w:rsidR="00DC2DA5" w:rsidRPr="00DC2DA5" w:rsidRDefault="00DC2DA5" w:rsidP="00827D54">
      <w:pPr>
        <w:pStyle w:val="BodyText"/>
        <w:spacing w:before="100" w:beforeAutospacing="1" w:after="100" w:afterAutospacing="1"/>
      </w:pPr>
      <w:r w:rsidRPr="00DC2DA5">
        <w:t>I have nothing to report in respect of the following matters which I report to you if, in my opinion:</w:t>
      </w:r>
    </w:p>
    <w:p w14:paraId="53FE09A7" w14:textId="4BF48DEF" w:rsidR="00FD79AD" w:rsidRDefault="00FD79AD" w:rsidP="00827D54">
      <w:pPr>
        <w:pStyle w:val="BodyText"/>
        <w:numPr>
          <w:ilvl w:val="0"/>
          <w:numId w:val="22"/>
        </w:numPr>
        <w:spacing w:before="100" w:beforeAutospacing="1" w:after="100" w:afterAutospacing="1"/>
      </w:pPr>
      <w:r>
        <w:t>Adequate accounting records have not been kept by the Northern Ireland Human Rights Commission or returns adequate for my audit have not been received from branches not visited by my staff; or</w:t>
      </w:r>
    </w:p>
    <w:p w14:paraId="24237CD6" w14:textId="29198B34" w:rsidR="00DC2DA5" w:rsidRPr="00DC2DA5" w:rsidRDefault="00DC2DA5" w:rsidP="00827D54">
      <w:pPr>
        <w:pStyle w:val="BodyText"/>
        <w:numPr>
          <w:ilvl w:val="0"/>
          <w:numId w:val="22"/>
        </w:numPr>
        <w:spacing w:before="100" w:beforeAutospacing="1" w:after="100" w:afterAutospacing="1"/>
      </w:pPr>
      <w:r w:rsidRPr="00DC2DA5">
        <w:t>I have not received all of the information and explanations I require for my audit; or</w:t>
      </w:r>
    </w:p>
    <w:p w14:paraId="38BC8376" w14:textId="77777777" w:rsidR="00DC2DA5" w:rsidRPr="00DC2DA5" w:rsidRDefault="00DC2DA5" w:rsidP="00827D54">
      <w:pPr>
        <w:pStyle w:val="BodyText"/>
        <w:numPr>
          <w:ilvl w:val="0"/>
          <w:numId w:val="22"/>
        </w:numPr>
        <w:spacing w:before="100" w:beforeAutospacing="1" w:after="100" w:afterAutospacing="1"/>
      </w:pPr>
      <w:r w:rsidRPr="00DC2DA5">
        <w:t>the financial statements and the parts of the Accountability Report subject to audit are not in agreement with the accounting records and returns; or</w:t>
      </w:r>
    </w:p>
    <w:p w14:paraId="7C741666" w14:textId="21B4A727" w:rsidR="00FD79AD" w:rsidRPr="00DC2DA5" w:rsidRDefault="00DC2DA5" w:rsidP="00FD79AD">
      <w:pPr>
        <w:pStyle w:val="BodyText"/>
        <w:numPr>
          <w:ilvl w:val="0"/>
          <w:numId w:val="22"/>
        </w:numPr>
        <w:spacing w:before="100" w:beforeAutospacing="1" w:after="100" w:afterAutospacing="1"/>
      </w:pPr>
      <w:r w:rsidRPr="00DC2DA5">
        <w:rPr>
          <w:rFonts w:cs="Arial"/>
        </w:rPr>
        <w:t>certain disclosures of remuneration specified by HM Treasury’s Government Financial Reporting Manual have not been made or parts of the Remuneration and Staff Report to be audited are not in agreement with the accounting records and returns; or</w:t>
      </w:r>
    </w:p>
    <w:p w14:paraId="7529B7A9" w14:textId="540F4D64" w:rsidR="00DC2DA5" w:rsidRPr="00632319" w:rsidRDefault="00DC2DA5" w:rsidP="00FD79AD">
      <w:pPr>
        <w:pStyle w:val="BodyText"/>
        <w:numPr>
          <w:ilvl w:val="0"/>
          <w:numId w:val="22"/>
        </w:numPr>
        <w:spacing w:before="100" w:beforeAutospacing="1" w:after="100" w:afterAutospacing="1"/>
      </w:pPr>
      <w:r w:rsidRPr="00DC2DA5">
        <w:t>the Governance Statement does not reflect compliance with HM Treasury’s guidance.</w:t>
      </w:r>
    </w:p>
    <w:p w14:paraId="7C180B7F" w14:textId="6A18E51E" w:rsidR="00DC2DA5" w:rsidRPr="00FD79AD" w:rsidRDefault="00DC2DA5" w:rsidP="00632319">
      <w:pPr>
        <w:pStyle w:val="Heading2"/>
        <w:spacing w:before="100" w:beforeAutospacing="1" w:after="100" w:afterAutospacing="1"/>
        <w:rPr>
          <w:rFonts w:ascii="Verdana" w:hAnsi="Verdana"/>
          <w:b w:val="0"/>
          <w:bCs w:val="0"/>
          <w:i w:val="0"/>
          <w:iCs w:val="0"/>
          <w:color w:val="auto"/>
          <w:sz w:val="24"/>
          <w:szCs w:val="24"/>
        </w:rPr>
      </w:pPr>
      <w:r w:rsidRPr="00FD79AD">
        <w:rPr>
          <w:rFonts w:ascii="Verdana" w:hAnsi="Verdana"/>
          <w:i w:val="0"/>
          <w:iCs w:val="0"/>
          <w:color w:val="auto"/>
          <w:sz w:val="24"/>
          <w:szCs w:val="24"/>
        </w:rPr>
        <w:lastRenderedPageBreak/>
        <w:t>Responsibilities of the Accounting Officer for the financial statements</w:t>
      </w:r>
    </w:p>
    <w:p w14:paraId="417E0790" w14:textId="77777777" w:rsidR="00DC2DA5" w:rsidRPr="00DC2DA5" w:rsidRDefault="00DC2DA5" w:rsidP="00827D54">
      <w:pPr>
        <w:pStyle w:val="BodyText"/>
        <w:spacing w:before="100" w:beforeAutospacing="1" w:after="100" w:afterAutospacing="1"/>
      </w:pPr>
      <w:r w:rsidRPr="00DC2DA5">
        <w:t xml:space="preserve">As explained more fully in the Statement of Accounting Officer’s Responsibilities, the Accounting Officer is responsible for:  </w:t>
      </w:r>
    </w:p>
    <w:p w14:paraId="1AF5060B" w14:textId="77777777" w:rsidR="00DC2DA5" w:rsidRDefault="00DC2DA5" w:rsidP="00827D54">
      <w:pPr>
        <w:pStyle w:val="BodyText"/>
        <w:numPr>
          <w:ilvl w:val="0"/>
          <w:numId w:val="24"/>
        </w:numPr>
        <w:spacing w:before="100" w:beforeAutospacing="1" w:after="100" w:afterAutospacing="1"/>
      </w:pPr>
      <w:r w:rsidRPr="00DC2DA5">
        <w:t xml:space="preserve">maintaining proper accounting records; </w:t>
      </w:r>
    </w:p>
    <w:p w14:paraId="57D3CC91" w14:textId="1843C33F" w:rsidR="00FD79AD" w:rsidRDefault="00FD79AD" w:rsidP="00827D54">
      <w:pPr>
        <w:pStyle w:val="BodyText"/>
        <w:numPr>
          <w:ilvl w:val="0"/>
          <w:numId w:val="24"/>
        </w:numPr>
        <w:spacing w:before="100" w:beforeAutospacing="1" w:after="100" w:afterAutospacing="1"/>
      </w:pPr>
      <w:r>
        <w:t>providing the C&amp;AG with access to all information of which management is aware that is relevant to the preparation of the financial statements such as records, documentation and other matters;</w:t>
      </w:r>
    </w:p>
    <w:p w14:paraId="41829EE5" w14:textId="5BFE5A34" w:rsidR="00FD79AD" w:rsidRDefault="00FD79AD" w:rsidP="00827D54">
      <w:pPr>
        <w:pStyle w:val="BodyText"/>
        <w:numPr>
          <w:ilvl w:val="0"/>
          <w:numId w:val="24"/>
        </w:numPr>
        <w:spacing w:before="100" w:beforeAutospacing="1" w:after="100" w:afterAutospacing="1"/>
      </w:pPr>
      <w:r>
        <w:t>providing the C&amp;AG with additional information and explanations needed for his audit;</w:t>
      </w:r>
    </w:p>
    <w:p w14:paraId="472D2586" w14:textId="18569DE9" w:rsidR="00FD79AD" w:rsidRDefault="00FD79AD" w:rsidP="00827D54">
      <w:pPr>
        <w:pStyle w:val="BodyText"/>
        <w:numPr>
          <w:ilvl w:val="0"/>
          <w:numId w:val="24"/>
        </w:numPr>
        <w:spacing w:before="100" w:beforeAutospacing="1" w:after="100" w:afterAutospacing="1"/>
      </w:pPr>
      <w:r>
        <w:t>providing the C&amp;AG with unrestricted access to persons within the Northern Ireland Human Rights Commission from whom the auditor determines it necessary to obtain audit evidence;</w:t>
      </w:r>
    </w:p>
    <w:p w14:paraId="71775024" w14:textId="72086A07" w:rsidR="00FD79AD" w:rsidRDefault="00FD79AD" w:rsidP="00827D54">
      <w:pPr>
        <w:pStyle w:val="BodyText"/>
        <w:numPr>
          <w:ilvl w:val="0"/>
          <w:numId w:val="24"/>
        </w:numPr>
        <w:spacing w:before="100" w:beforeAutospacing="1" w:after="100" w:afterAutospacing="1"/>
      </w:pPr>
      <w:r>
        <w:t>ensuring such internal controls are in place as deemed necessary to enable the preparation of financial statements to be free from material misstatement, whether due to fraud or error;</w:t>
      </w:r>
    </w:p>
    <w:p w14:paraId="73C87213" w14:textId="3BF0A416" w:rsidR="00FD79AD" w:rsidRDefault="00FD79AD" w:rsidP="00827D54">
      <w:pPr>
        <w:pStyle w:val="BodyText"/>
        <w:numPr>
          <w:ilvl w:val="0"/>
          <w:numId w:val="24"/>
        </w:numPr>
        <w:spacing w:before="100" w:beforeAutospacing="1" w:after="100" w:afterAutospacing="1"/>
      </w:pPr>
      <w:r>
        <w:t>ensuring that the financial statements give a true and fair view and are prepared in accordance with Secretary of State directions made under the Northern Ireland Act 1998;</w:t>
      </w:r>
    </w:p>
    <w:p w14:paraId="22D4776D" w14:textId="7337DEE2" w:rsidR="00FD79AD" w:rsidRPr="00DC2DA5" w:rsidRDefault="00FD79AD" w:rsidP="00827D54">
      <w:pPr>
        <w:pStyle w:val="BodyText"/>
        <w:numPr>
          <w:ilvl w:val="0"/>
          <w:numId w:val="24"/>
        </w:numPr>
        <w:spacing w:before="100" w:beforeAutospacing="1" w:after="100" w:afterAutospacing="1"/>
      </w:pPr>
      <w:r>
        <w:t>ensuring that the annual report, which includes the Remuneration and Staff Report, is prepared in accordance with Secretary of State directions made under the Northern Ireland Act 1998; and</w:t>
      </w:r>
    </w:p>
    <w:p w14:paraId="1D563605" w14:textId="3D4EA62A" w:rsidR="00DC2DA5" w:rsidRPr="00DC2DA5" w:rsidRDefault="00DC2DA5" w:rsidP="00827D54">
      <w:pPr>
        <w:numPr>
          <w:ilvl w:val="0"/>
          <w:numId w:val="24"/>
        </w:numPr>
        <w:spacing w:before="100" w:beforeAutospacing="1" w:after="100" w:afterAutospacing="1"/>
        <w:ind w:left="1134"/>
      </w:pPr>
      <w:r w:rsidRPr="00DC2DA5">
        <w:t>assessing the Northern Ireland Human Rights Commission’s ability to continue as a going concern, disclosing, as applicable, matters related to going concern and using the going concern basis of accounting unless the Accounting Officer anticipates that the services provided by the Northern Ireland Human Rights Commission will not continue to be provided in the future</w:t>
      </w:r>
      <w:r w:rsidR="00FD79AD">
        <w:t>.</w:t>
      </w:r>
    </w:p>
    <w:p w14:paraId="69F3D560" w14:textId="17585B68" w:rsidR="00DC2DA5" w:rsidRPr="00FD79AD" w:rsidRDefault="00DC2DA5" w:rsidP="00632319">
      <w:pPr>
        <w:pStyle w:val="Heading2"/>
        <w:spacing w:before="100" w:beforeAutospacing="1" w:after="100" w:afterAutospacing="1"/>
        <w:rPr>
          <w:rFonts w:ascii="Verdana" w:hAnsi="Verdana"/>
          <w:b w:val="0"/>
          <w:i w:val="0"/>
          <w:iCs w:val="0"/>
          <w:color w:val="auto"/>
          <w:sz w:val="24"/>
          <w:szCs w:val="24"/>
        </w:rPr>
      </w:pPr>
      <w:r w:rsidRPr="00FD79AD">
        <w:rPr>
          <w:rFonts w:ascii="Verdana" w:hAnsi="Verdana"/>
          <w:i w:val="0"/>
          <w:iCs w:val="0"/>
          <w:color w:val="auto"/>
          <w:sz w:val="24"/>
          <w:szCs w:val="24"/>
        </w:rPr>
        <w:t>Auditor’s responsibilities for the audit of the financial statements</w:t>
      </w:r>
    </w:p>
    <w:p w14:paraId="4A4DC32E" w14:textId="77777777" w:rsidR="00DC2DA5" w:rsidRPr="00DC2DA5" w:rsidRDefault="00DC2DA5" w:rsidP="00827D54">
      <w:pPr>
        <w:pStyle w:val="BodyText"/>
        <w:spacing w:before="100" w:beforeAutospacing="1" w:after="100" w:afterAutospacing="1"/>
      </w:pPr>
      <w:r w:rsidRPr="00DC2DA5">
        <w:t>My responsibility is to audit, certify and report on the financial statements in accordance with the Northern Ireland Act 1998.</w:t>
      </w:r>
    </w:p>
    <w:p w14:paraId="1BE9EBD7" w14:textId="76A88274" w:rsidR="00632319" w:rsidRDefault="00DC2DA5" w:rsidP="00FD79AD">
      <w:pPr>
        <w:pStyle w:val="BodyText"/>
        <w:spacing w:before="100" w:beforeAutospacing="1" w:after="100" w:afterAutospacing="1"/>
      </w:pPr>
      <w:r w:rsidRPr="00DC2DA5">
        <w:t>My objectives are to obtain reasonable assurance about whether the financial statements as a whole are free from material misstatement, whether due to fraud or error, and to issue a certificate that includes my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14:paraId="1A454DE4" w14:textId="33B7594F" w:rsidR="00DC2DA5" w:rsidRPr="000C1E05" w:rsidRDefault="00DC2DA5" w:rsidP="00827D54">
      <w:pPr>
        <w:pStyle w:val="Subtitle"/>
        <w:spacing w:before="100" w:beforeAutospacing="1" w:after="100" w:afterAutospacing="1"/>
        <w:rPr>
          <w:rFonts w:ascii="Verdana" w:hAnsi="Verdana"/>
          <w:color w:val="auto"/>
          <w:sz w:val="24"/>
          <w:szCs w:val="24"/>
          <w:u w:val="single"/>
        </w:rPr>
      </w:pPr>
      <w:r w:rsidRPr="000C1E05">
        <w:rPr>
          <w:rFonts w:ascii="Verdana" w:eastAsia="Times New Roman" w:hAnsi="Verdana" w:cs="Arial"/>
          <w:color w:val="auto"/>
          <w:spacing w:val="0"/>
          <w:sz w:val="24"/>
          <w:szCs w:val="24"/>
          <w:u w:val="single"/>
        </w:rPr>
        <w:lastRenderedPageBreak/>
        <w:t>Extent to which the audit was considered capable of detecting non-compliance with laws and regulations including fraud</w:t>
      </w:r>
    </w:p>
    <w:p w14:paraId="30AB5699" w14:textId="78095D29" w:rsidR="00DC2DA5" w:rsidRPr="00DC2DA5" w:rsidRDefault="00DC2DA5" w:rsidP="00827D54">
      <w:pPr>
        <w:pStyle w:val="BodyText"/>
        <w:spacing w:before="100" w:beforeAutospacing="1" w:after="100" w:afterAutospacing="1"/>
        <w:rPr>
          <w:rFonts w:cs="Arial"/>
        </w:rPr>
      </w:pPr>
      <w:r w:rsidRPr="00DC2DA5">
        <w:rPr>
          <w:rFonts w:cs="Arial"/>
        </w:rPr>
        <w:t>I design procedures in line with my responsibilities, outlined above, to detect material misstatements in respect of non-compliance with laws and regulations, including fraud. The extent to which my procedures are capable of detecting non-compliance with laws and regulations, including fraud is detailed below.</w:t>
      </w:r>
    </w:p>
    <w:p w14:paraId="382608B8" w14:textId="77777777" w:rsidR="00DC2DA5" w:rsidRPr="00E37132" w:rsidRDefault="00DC2DA5" w:rsidP="00827D54">
      <w:pPr>
        <w:pStyle w:val="Subtitle"/>
        <w:spacing w:before="100" w:beforeAutospacing="1" w:after="100" w:afterAutospacing="1"/>
        <w:rPr>
          <w:rFonts w:ascii="Verdana" w:eastAsia="Times New Roman" w:hAnsi="Verdana" w:cs="Arial"/>
          <w:color w:val="auto"/>
          <w:spacing w:val="0"/>
          <w:sz w:val="24"/>
          <w:szCs w:val="24"/>
          <w:u w:val="single"/>
        </w:rPr>
      </w:pPr>
      <w:r w:rsidRPr="00E37132">
        <w:rPr>
          <w:rFonts w:ascii="Verdana" w:eastAsia="Times New Roman" w:hAnsi="Verdana" w:cs="Arial"/>
          <w:color w:val="auto"/>
          <w:spacing w:val="0"/>
          <w:sz w:val="24"/>
          <w:szCs w:val="24"/>
          <w:u w:val="single"/>
        </w:rPr>
        <w:t xml:space="preserve">Identifying and assessing potential risks related to non-compliance with laws and regulations, including fraud </w:t>
      </w:r>
    </w:p>
    <w:p w14:paraId="014D21FD" w14:textId="77777777" w:rsidR="00FD79AD" w:rsidRDefault="00DC2DA5" w:rsidP="00827D54">
      <w:pPr>
        <w:pStyle w:val="BodyText"/>
        <w:spacing w:before="100" w:beforeAutospacing="1" w:after="100" w:afterAutospacing="1"/>
        <w:rPr>
          <w:rFonts w:cs="Arial"/>
        </w:rPr>
      </w:pPr>
      <w:r w:rsidRPr="00DC2DA5">
        <w:rPr>
          <w:rFonts w:cs="Arial"/>
        </w:rPr>
        <w:t xml:space="preserve">In identifying and assessing risks of material misstatement in respect of non-compliance with laws and regulations, including fraud, </w:t>
      </w:r>
      <w:r w:rsidR="00FD79AD">
        <w:rPr>
          <w:rFonts w:cs="Arial"/>
        </w:rPr>
        <w:t>I:</w:t>
      </w:r>
    </w:p>
    <w:p w14:paraId="01209A8D" w14:textId="560B0646" w:rsidR="00FD79AD" w:rsidRPr="00FD79AD" w:rsidRDefault="00FD79AD" w:rsidP="00FD79AD">
      <w:pPr>
        <w:pStyle w:val="BodyText"/>
        <w:numPr>
          <w:ilvl w:val="0"/>
          <w:numId w:val="26"/>
        </w:numPr>
        <w:spacing w:before="100" w:beforeAutospacing="1" w:after="100" w:afterAutospacing="1"/>
        <w:rPr>
          <w:rFonts w:cs="Arial"/>
        </w:rPr>
      </w:pPr>
      <w:r>
        <w:rPr>
          <w:rFonts w:cs="Arial"/>
        </w:rPr>
        <w:t xml:space="preserve">considered </w:t>
      </w:r>
      <w:r w:rsidR="00DC2DA5" w:rsidRPr="00DC2DA5">
        <w:rPr>
          <w:rFonts w:cs="Arial"/>
        </w:rPr>
        <w:t>the nature of the sector, control environment and operational performance including the design of the Northern Ireland Human Rights Commission’s accounting policies</w:t>
      </w:r>
      <w:r>
        <w:rPr>
          <w:rFonts w:cs="Arial"/>
        </w:rPr>
        <w:t>;</w:t>
      </w:r>
      <w:r w:rsidR="00DC2DA5" w:rsidRPr="00DC2DA5">
        <w:rPr>
          <w:rFonts w:cs="Arial"/>
          <w:highlight w:val="lightGray"/>
        </w:rPr>
        <w:t xml:space="preserve">  </w:t>
      </w:r>
    </w:p>
    <w:p w14:paraId="3C497FA2" w14:textId="36AFBACC" w:rsidR="00DC2DA5" w:rsidRPr="00DC2DA5" w:rsidRDefault="00DC2DA5" w:rsidP="00827D54">
      <w:pPr>
        <w:pStyle w:val="BodyText"/>
        <w:numPr>
          <w:ilvl w:val="0"/>
          <w:numId w:val="26"/>
        </w:numPr>
        <w:spacing w:before="100" w:beforeAutospacing="1" w:after="100" w:afterAutospacing="1"/>
        <w:rPr>
          <w:rFonts w:cs="Arial"/>
        </w:rPr>
      </w:pPr>
      <w:r w:rsidRPr="00DC2DA5">
        <w:rPr>
          <w:rFonts w:cs="Arial"/>
        </w:rPr>
        <w:t>Inquir</w:t>
      </w:r>
      <w:r w:rsidR="000C1E05">
        <w:rPr>
          <w:rFonts w:cs="Arial"/>
        </w:rPr>
        <w:t>ed</w:t>
      </w:r>
      <w:r w:rsidRPr="00DC2DA5">
        <w:rPr>
          <w:rFonts w:cs="Arial"/>
        </w:rPr>
        <w:t xml:space="preserve"> of management, </w:t>
      </w:r>
      <w:r w:rsidR="000C1E05">
        <w:rPr>
          <w:rFonts w:cs="Arial"/>
        </w:rPr>
        <w:t xml:space="preserve">the </w:t>
      </w:r>
      <w:r w:rsidRPr="00DC2DA5">
        <w:t>Northern Ireland Human Rights Commission</w:t>
      </w:r>
      <w:r w:rsidRPr="00DC2DA5">
        <w:rPr>
          <w:rFonts w:cs="Arial"/>
        </w:rPr>
        <w:t xml:space="preserve">’s head of internal audit and those charged with governance, including obtaining and reviewing supporting documentation relating to the </w:t>
      </w:r>
      <w:r w:rsidRPr="00DC2DA5">
        <w:t>Northern Ireland Human Rights Commission</w:t>
      </w:r>
      <w:r w:rsidRPr="00DC2DA5">
        <w:rPr>
          <w:rFonts w:cs="Arial"/>
        </w:rPr>
        <w:t xml:space="preserve">’s policies and procedures </w:t>
      </w:r>
      <w:r w:rsidR="00FD79AD">
        <w:rPr>
          <w:rFonts w:cs="Arial"/>
        </w:rPr>
        <w:t>on</w:t>
      </w:r>
      <w:r w:rsidRPr="00DC2DA5">
        <w:rPr>
          <w:rFonts w:cs="Arial"/>
        </w:rPr>
        <w:t xml:space="preserve">: </w:t>
      </w:r>
    </w:p>
    <w:p w14:paraId="6AB2341A" w14:textId="0E9DF064" w:rsidR="00DC2DA5" w:rsidRPr="00DC2DA5" w:rsidRDefault="00DC2DA5" w:rsidP="00827D54">
      <w:pPr>
        <w:pStyle w:val="BodyText"/>
        <w:numPr>
          <w:ilvl w:val="1"/>
          <w:numId w:val="26"/>
        </w:numPr>
        <w:spacing w:before="100" w:beforeAutospacing="1" w:after="100" w:afterAutospacing="1"/>
        <w:rPr>
          <w:rFonts w:cs="Arial"/>
        </w:rPr>
      </w:pPr>
      <w:r w:rsidRPr="00DC2DA5">
        <w:rPr>
          <w:rFonts w:cs="Arial"/>
        </w:rPr>
        <w:t>identifying, evaluating and complying with laws and regulations</w:t>
      </w:r>
    </w:p>
    <w:p w14:paraId="5185C9DF" w14:textId="5C1BDC5B" w:rsidR="00DC2DA5" w:rsidRPr="00DC2DA5" w:rsidRDefault="00DC2DA5" w:rsidP="00827D54">
      <w:pPr>
        <w:pStyle w:val="BodyText"/>
        <w:numPr>
          <w:ilvl w:val="1"/>
          <w:numId w:val="26"/>
        </w:numPr>
        <w:spacing w:before="100" w:beforeAutospacing="1" w:after="100" w:afterAutospacing="1"/>
        <w:rPr>
          <w:rFonts w:cs="Arial"/>
        </w:rPr>
      </w:pPr>
      <w:r w:rsidRPr="00DC2DA5">
        <w:rPr>
          <w:rFonts w:cs="Arial"/>
        </w:rPr>
        <w:t>detecting and responding to the risks of fraud; and</w:t>
      </w:r>
    </w:p>
    <w:p w14:paraId="149E5697" w14:textId="7F4F51D0" w:rsidR="00DC2DA5" w:rsidRDefault="00DC2DA5" w:rsidP="00827D54">
      <w:pPr>
        <w:pStyle w:val="BodyText"/>
        <w:numPr>
          <w:ilvl w:val="1"/>
          <w:numId w:val="26"/>
        </w:numPr>
        <w:spacing w:before="100" w:beforeAutospacing="1" w:after="100" w:afterAutospacing="1"/>
        <w:rPr>
          <w:rFonts w:cs="Arial"/>
        </w:rPr>
      </w:pPr>
      <w:r w:rsidRPr="00DC2DA5">
        <w:rPr>
          <w:rFonts w:cs="Arial"/>
        </w:rPr>
        <w:t xml:space="preserve">the internal controls established to mitigate risks related to fraud or non-compliance with laws and regulations including </w:t>
      </w:r>
      <w:r w:rsidR="00742BD7">
        <w:rPr>
          <w:rFonts w:cs="Arial"/>
        </w:rPr>
        <w:t xml:space="preserve">the Northern Ireland Human Rights Commission’s controls relating to the Northern Ireland Human Rights Commission’s compliance with </w:t>
      </w:r>
      <w:r w:rsidRPr="00DC2DA5">
        <w:rPr>
          <w:rFonts w:cs="Arial"/>
        </w:rPr>
        <w:t xml:space="preserve">the </w:t>
      </w:r>
      <w:r w:rsidRPr="00DC2DA5">
        <w:t>Northern Ireland Act 1998</w:t>
      </w:r>
      <w:r w:rsidRPr="00DC2DA5">
        <w:rPr>
          <w:rFonts w:cs="Arial"/>
        </w:rPr>
        <w:t xml:space="preserve"> and Managing Public Money;</w:t>
      </w:r>
    </w:p>
    <w:p w14:paraId="751CABA6" w14:textId="5F581323" w:rsidR="00742BD7" w:rsidRDefault="00742BD7" w:rsidP="00742BD7">
      <w:pPr>
        <w:pStyle w:val="BodyText"/>
        <w:numPr>
          <w:ilvl w:val="0"/>
          <w:numId w:val="26"/>
        </w:numPr>
        <w:spacing w:before="100" w:beforeAutospacing="1" w:after="100" w:afterAutospacing="1"/>
        <w:rPr>
          <w:rFonts w:cs="Arial"/>
        </w:rPr>
      </w:pPr>
      <w:r>
        <w:rPr>
          <w:rFonts w:cs="Arial"/>
        </w:rPr>
        <w:t>Inquired o</w:t>
      </w:r>
      <w:r w:rsidR="000C1E05">
        <w:rPr>
          <w:rFonts w:cs="Arial"/>
        </w:rPr>
        <w:t>f</w:t>
      </w:r>
      <w:r>
        <w:rPr>
          <w:rFonts w:cs="Arial"/>
        </w:rPr>
        <w:t xml:space="preserve"> management, the Northern Ireland Human Rights Commission’s head of internal audit and those charged with governance whether:</w:t>
      </w:r>
    </w:p>
    <w:p w14:paraId="33C29163" w14:textId="477B3BA5" w:rsidR="00742BD7" w:rsidRDefault="00742BD7" w:rsidP="00742BD7">
      <w:pPr>
        <w:pStyle w:val="BodyText"/>
        <w:numPr>
          <w:ilvl w:val="1"/>
          <w:numId w:val="26"/>
        </w:numPr>
        <w:spacing w:before="100" w:beforeAutospacing="1" w:after="100" w:afterAutospacing="1"/>
        <w:rPr>
          <w:rFonts w:cs="Arial"/>
        </w:rPr>
      </w:pPr>
      <w:r>
        <w:rPr>
          <w:rFonts w:cs="Arial"/>
        </w:rPr>
        <w:t xml:space="preserve">They were aware of any instances of non-compliance with laws and regulations; and </w:t>
      </w:r>
    </w:p>
    <w:p w14:paraId="47B4E0DE" w14:textId="42716802" w:rsidR="00742BD7" w:rsidRPr="00DC2DA5" w:rsidRDefault="00742BD7" w:rsidP="00742BD7">
      <w:pPr>
        <w:pStyle w:val="BodyText"/>
        <w:numPr>
          <w:ilvl w:val="1"/>
          <w:numId w:val="26"/>
        </w:numPr>
        <w:spacing w:before="100" w:beforeAutospacing="1" w:after="100" w:afterAutospacing="1"/>
        <w:rPr>
          <w:rFonts w:cs="Arial"/>
        </w:rPr>
      </w:pPr>
      <w:r>
        <w:rPr>
          <w:rFonts w:cs="Arial"/>
        </w:rPr>
        <w:t>They had any knowledge of any actual, suspected, or alleged fraud;</w:t>
      </w:r>
    </w:p>
    <w:p w14:paraId="196CABE2" w14:textId="6EF0F131" w:rsidR="00DC2DA5" w:rsidRPr="00DC2DA5" w:rsidRDefault="00DC2DA5" w:rsidP="00827D54">
      <w:pPr>
        <w:pStyle w:val="BodyText"/>
        <w:numPr>
          <w:ilvl w:val="0"/>
          <w:numId w:val="27"/>
        </w:numPr>
        <w:spacing w:before="100" w:beforeAutospacing="1" w:after="100" w:afterAutospacing="1"/>
        <w:rPr>
          <w:rFonts w:cs="Arial"/>
        </w:rPr>
      </w:pPr>
      <w:r w:rsidRPr="00DC2DA5">
        <w:rPr>
          <w:rFonts w:cs="Arial"/>
        </w:rPr>
        <w:t>discuss</w:t>
      </w:r>
      <w:r w:rsidR="000C1E05">
        <w:rPr>
          <w:rFonts w:cs="Arial"/>
        </w:rPr>
        <w:t>ed</w:t>
      </w:r>
      <w:r w:rsidRPr="00DC2DA5">
        <w:rPr>
          <w:rFonts w:cs="Arial"/>
        </w:rPr>
        <w:t xml:space="preserve"> among the engagement team </w:t>
      </w:r>
      <w:r w:rsidR="00742BD7">
        <w:rPr>
          <w:rFonts w:cs="Arial"/>
        </w:rPr>
        <w:t xml:space="preserve">regarding </w:t>
      </w:r>
      <w:r w:rsidRPr="00DC2DA5">
        <w:rPr>
          <w:rFonts w:cs="Arial"/>
        </w:rPr>
        <w:t xml:space="preserve">how and where fraud might occur in the financial statements and any potential indicators of fraud. </w:t>
      </w:r>
    </w:p>
    <w:p w14:paraId="790ACC73" w14:textId="265D902A" w:rsidR="00DC2DA5" w:rsidRPr="00DC2DA5" w:rsidRDefault="00DC2DA5" w:rsidP="00827D54">
      <w:pPr>
        <w:pStyle w:val="BodyText"/>
        <w:spacing w:before="100" w:beforeAutospacing="1" w:after="100" w:afterAutospacing="1"/>
        <w:rPr>
          <w:rFonts w:cs="Arial"/>
        </w:rPr>
      </w:pPr>
      <w:r w:rsidRPr="00DC2DA5">
        <w:rPr>
          <w:rFonts w:cs="Arial"/>
        </w:rPr>
        <w:t xml:space="preserve">As a result of these procedures, I considered the opportunities and incentives that may exist within the Northern Ireland Human Rights Commission for fraud and identified the greatest potential for fraud in the following areas: </w:t>
      </w:r>
      <w:r w:rsidR="002420AB">
        <w:rPr>
          <w:rFonts w:cs="Arial"/>
        </w:rPr>
        <w:t xml:space="preserve">revenue recognition, </w:t>
      </w:r>
      <w:r w:rsidRPr="00DC2DA5">
        <w:rPr>
          <w:rFonts w:cs="Arial"/>
        </w:rPr>
        <w:t>posting of unusual journals, complex transactions,</w:t>
      </w:r>
      <w:r w:rsidR="000C1E05">
        <w:rPr>
          <w:rFonts w:cs="Arial"/>
        </w:rPr>
        <w:t xml:space="preserve"> and</w:t>
      </w:r>
      <w:r w:rsidRPr="00DC2DA5">
        <w:rPr>
          <w:rFonts w:cs="Arial"/>
        </w:rPr>
        <w:t xml:space="preserve"> bias in management estimates. In common with all </w:t>
      </w:r>
      <w:r w:rsidRPr="00DC2DA5">
        <w:rPr>
          <w:rFonts w:cs="Arial"/>
        </w:rPr>
        <w:lastRenderedPageBreak/>
        <w:t>audits under ISAs (UK), I am also required to perform specific procedures to respond to the risk of management override of controls.</w:t>
      </w:r>
    </w:p>
    <w:p w14:paraId="2454548E" w14:textId="0AFDB954" w:rsidR="00DC2DA5" w:rsidRPr="00DC2DA5" w:rsidRDefault="00DC2DA5" w:rsidP="00827D54">
      <w:pPr>
        <w:pStyle w:val="BodyText"/>
        <w:spacing w:before="100" w:beforeAutospacing="1" w:after="100" w:afterAutospacing="1"/>
        <w:rPr>
          <w:rFonts w:cs="Arial"/>
        </w:rPr>
      </w:pPr>
      <w:r w:rsidRPr="00DC2DA5">
        <w:rPr>
          <w:rFonts w:cs="Arial"/>
        </w:rPr>
        <w:t>I obtained an understanding of the Northern Ireland Human Rights Commission’s framework of authority a</w:t>
      </w:r>
      <w:r w:rsidR="00742BD7">
        <w:rPr>
          <w:rFonts w:cs="Arial"/>
        </w:rPr>
        <w:t>nd</w:t>
      </w:r>
      <w:r w:rsidRPr="00DC2DA5">
        <w:rPr>
          <w:rFonts w:cs="Arial"/>
        </w:rPr>
        <w:t xml:space="preserve"> other legal and regulatory frameworks in which the Northern Ireland Human Rights Commission operates</w:t>
      </w:r>
      <w:r w:rsidR="00742BD7">
        <w:rPr>
          <w:rFonts w:cs="Arial"/>
        </w:rPr>
        <w:t>. I</w:t>
      </w:r>
      <w:r w:rsidRPr="00DC2DA5">
        <w:rPr>
          <w:rFonts w:cs="Arial"/>
        </w:rPr>
        <w:t xml:space="preserve"> focus</w:t>
      </w:r>
      <w:r w:rsidR="00742BD7">
        <w:rPr>
          <w:rFonts w:cs="Arial"/>
        </w:rPr>
        <w:t>ed</w:t>
      </w:r>
      <w:r w:rsidRPr="00DC2DA5">
        <w:rPr>
          <w:rFonts w:cs="Arial"/>
        </w:rPr>
        <w:t xml:space="preserve"> on those laws and regulations that had a direct effect on material amounts and disclosures in the financial statements or that had a fundamental effect on the operations of the Northern Ireland Human Rights Commission. The key laws and regulations I considered in this context included </w:t>
      </w:r>
      <w:r w:rsidRPr="00DC2DA5">
        <w:t>Northern Ireland Act 1998,</w:t>
      </w:r>
      <w:r w:rsidR="000C1E05">
        <w:t xml:space="preserve"> </w:t>
      </w:r>
      <w:r w:rsidRPr="00DC2DA5">
        <w:rPr>
          <w:rFonts w:cs="Arial"/>
        </w:rPr>
        <w:t>Managing Public Money, employment law</w:t>
      </w:r>
      <w:r w:rsidR="000C1E05">
        <w:rPr>
          <w:rFonts w:cs="Arial"/>
        </w:rPr>
        <w:t>, pension legislation and</w:t>
      </w:r>
      <w:r w:rsidRPr="00DC2DA5">
        <w:rPr>
          <w:rFonts w:cs="Arial"/>
        </w:rPr>
        <w:t xml:space="preserve"> tax </w:t>
      </w:r>
      <w:r w:rsidR="00742BD7">
        <w:rPr>
          <w:rFonts w:cs="Arial"/>
        </w:rPr>
        <w:t>l</w:t>
      </w:r>
      <w:r w:rsidRPr="00DC2DA5">
        <w:rPr>
          <w:rFonts w:cs="Arial"/>
        </w:rPr>
        <w:t>egislation.</w:t>
      </w:r>
    </w:p>
    <w:p w14:paraId="523C99A9" w14:textId="77777777" w:rsidR="00DC2DA5" w:rsidRPr="00E37132" w:rsidRDefault="00DC2DA5" w:rsidP="00827D54">
      <w:pPr>
        <w:pStyle w:val="Subtitle"/>
        <w:spacing w:before="100" w:beforeAutospacing="1" w:after="100" w:afterAutospacing="1"/>
        <w:rPr>
          <w:rFonts w:ascii="Verdana" w:eastAsia="Times New Roman" w:hAnsi="Verdana" w:cs="Arial"/>
          <w:color w:val="auto"/>
          <w:spacing w:val="0"/>
          <w:sz w:val="24"/>
          <w:szCs w:val="24"/>
          <w:u w:val="single"/>
        </w:rPr>
      </w:pPr>
      <w:r w:rsidRPr="00E37132">
        <w:rPr>
          <w:rFonts w:ascii="Verdana" w:eastAsia="Times New Roman" w:hAnsi="Verdana" w:cs="Arial"/>
          <w:color w:val="auto"/>
          <w:spacing w:val="0"/>
          <w:sz w:val="24"/>
          <w:szCs w:val="24"/>
          <w:u w:val="single"/>
        </w:rPr>
        <w:t xml:space="preserve">Audit response to identified risk </w:t>
      </w:r>
    </w:p>
    <w:p w14:paraId="79DFCC92" w14:textId="2C712355" w:rsidR="00DC2DA5" w:rsidRPr="00DC2DA5" w:rsidRDefault="00742BD7" w:rsidP="00827D54">
      <w:pPr>
        <w:spacing w:before="100" w:beforeAutospacing="1" w:after="100" w:afterAutospacing="1"/>
        <w:rPr>
          <w:rFonts w:cs="Arial"/>
        </w:rPr>
      </w:pPr>
      <w:r>
        <w:rPr>
          <w:rFonts w:cs="Arial"/>
        </w:rPr>
        <w:t>T</w:t>
      </w:r>
      <w:r w:rsidR="00DC2DA5" w:rsidRPr="00DC2DA5">
        <w:rPr>
          <w:rFonts w:cs="Arial"/>
        </w:rPr>
        <w:t xml:space="preserve">o respond to identified risks </w:t>
      </w:r>
      <w:r>
        <w:rPr>
          <w:rFonts w:cs="Arial"/>
        </w:rPr>
        <w:t>resulting from the above procedures</w:t>
      </w:r>
      <w:r w:rsidR="00DC2DA5" w:rsidRPr="00DC2DA5">
        <w:rPr>
          <w:rFonts w:cs="Arial"/>
        </w:rPr>
        <w:t xml:space="preserve">: </w:t>
      </w:r>
    </w:p>
    <w:p w14:paraId="19B7F7A0" w14:textId="1F2B8552" w:rsidR="00DC2DA5" w:rsidRPr="00DC2DA5" w:rsidRDefault="00742BD7" w:rsidP="00827D54">
      <w:pPr>
        <w:pStyle w:val="BodyText"/>
        <w:numPr>
          <w:ilvl w:val="0"/>
          <w:numId w:val="25"/>
        </w:numPr>
        <w:spacing w:before="100" w:beforeAutospacing="1" w:after="100" w:afterAutospacing="1"/>
        <w:rPr>
          <w:rFonts w:cs="Arial"/>
        </w:rPr>
      </w:pPr>
      <w:r>
        <w:rPr>
          <w:rFonts w:cs="Arial"/>
        </w:rPr>
        <w:t xml:space="preserve">I </w:t>
      </w:r>
      <w:r w:rsidR="00DC2DA5" w:rsidRPr="00DC2DA5">
        <w:rPr>
          <w:rFonts w:cs="Arial"/>
        </w:rPr>
        <w:t>review</w:t>
      </w:r>
      <w:r>
        <w:rPr>
          <w:rFonts w:cs="Arial"/>
        </w:rPr>
        <w:t>ed</w:t>
      </w:r>
      <w:r w:rsidR="00DC2DA5" w:rsidRPr="00DC2DA5">
        <w:rPr>
          <w:rFonts w:cs="Arial"/>
        </w:rPr>
        <w:t xml:space="preserve"> the financial statement disclosures and test</w:t>
      </w:r>
      <w:r w:rsidR="000C1E05">
        <w:rPr>
          <w:rFonts w:cs="Arial"/>
        </w:rPr>
        <w:t>ed</w:t>
      </w:r>
      <w:r w:rsidR="00DC2DA5" w:rsidRPr="00DC2DA5">
        <w:rPr>
          <w:rFonts w:cs="Arial"/>
        </w:rPr>
        <w:t xml:space="preserve"> to supporting documentation to assess compliance with provisions of relevant laws and regulations described above as having direct effect on the financial statements;</w:t>
      </w:r>
    </w:p>
    <w:p w14:paraId="41A36EE5" w14:textId="14C2B5CB" w:rsidR="00DC2DA5" w:rsidRPr="00DC2DA5" w:rsidRDefault="00742BD7" w:rsidP="00827D54">
      <w:pPr>
        <w:pStyle w:val="BodyText"/>
        <w:numPr>
          <w:ilvl w:val="0"/>
          <w:numId w:val="25"/>
        </w:numPr>
        <w:spacing w:before="100" w:beforeAutospacing="1" w:after="100" w:afterAutospacing="1"/>
        <w:rPr>
          <w:rFonts w:cs="Arial"/>
        </w:rPr>
      </w:pPr>
      <w:r>
        <w:rPr>
          <w:rFonts w:cs="Arial"/>
        </w:rPr>
        <w:t xml:space="preserve">I </w:t>
      </w:r>
      <w:r w:rsidR="00DC2DA5" w:rsidRPr="00DC2DA5">
        <w:rPr>
          <w:rFonts w:cs="Arial"/>
        </w:rPr>
        <w:t>enquir</w:t>
      </w:r>
      <w:r>
        <w:rPr>
          <w:rFonts w:cs="Arial"/>
        </w:rPr>
        <w:t>ed</w:t>
      </w:r>
      <w:r w:rsidR="00DC2DA5" w:rsidRPr="00DC2DA5">
        <w:rPr>
          <w:rFonts w:cs="Arial"/>
        </w:rPr>
        <w:t xml:space="preserve"> of management, the Audit and Risk Committee and in-house legal counsel concerning actual and potential litigation and claims; </w:t>
      </w:r>
    </w:p>
    <w:p w14:paraId="35E222C1" w14:textId="63A66C16" w:rsidR="00DC2DA5" w:rsidRPr="00DC2DA5" w:rsidRDefault="00742BD7" w:rsidP="00827D54">
      <w:pPr>
        <w:pStyle w:val="BodyText"/>
        <w:numPr>
          <w:ilvl w:val="0"/>
          <w:numId w:val="25"/>
        </w:numPr>
        <w:spacing w:before="100" w:beforeAutospacing="1" w:after="100" w:afterAutospacing="1"/>
        <w:rPr>
          <w:rFonts w:cs="Arial"/>
        </w:rPr>
      </w:pPr>
      <w:r>
        <w:rPr>
          <w:rFonts w:cs="Arial"/>
        </w:rPr>
        <w:t xml:space="preserve">I </w:t>
      </w:r>
      <w:r w:rsidR="00DC2DA5" w:rsidRPr="00DC2DA5">
        <w:rPr>
          <w:rFonts w:cs="Arial"/>
        </w:rPr>
        <w:t>review</w:t>
      </w:r>
      <w:r>
        <w:rPr>
          <w:rFonts w:cs="Arial"/>
        </w:rPr>
        <w:t>ed</w:t>
      </w:r>
      <w:r w:rsidR="00DC2DA5" w:rsidRPr="00DC2DA5">
        <w:rPr>
          <w:rFonts w:cs="Arial"/>
        </w:rPr>
        <w:t xml:space="preserve"> minutes of meetings of those charged with governance and the </w:t>
      </w:r>
      <w:r>
        <w:rPr>
          <w:rFonts w:cs="Arial"/>
        </w:rPr>
        <w:t xml:space="preserve">Board </w:t>
      </w:r>
      <w:r w:rsidR="00DC2DA5" w:rsidRPr="00DC2DA5">
        <w:rPr>
          <w:rFonts w:cs="Arial"/>
        </w:rPr>
        <w:t>and internal audit reports; and</w:t>
      </w:r>
    </w:p>
    <w:p w14:paraId="3F5C1E9B" w14:textId="5CDAFF41" w:rsidR="00DC2DA5" w:rsidRDefault="00DC2DA5" w:rsidP="00827D54">
      <w:pPr>
        <w:pStyle w:val="BodyText"/>
        <w:numPr>
          <w:ilvl w:val="0"/>
          <w:numId w:val="25"/>
        </w:numPr>
        <w:spacing w:before="100" w:beforeAutospacing="1" w:after="100" w:afterAutospacing="1"/>
        <w:rPr>
          <w:rFonts w:cs="Arial"/>
        </w:rPr>
      </w:pPr>
      <w:r w:rsidRPr="00DC2DA5">
        <w:rPr>
          <w:rFonts w:cs="Arial"/>
        </w:rPr>
        <w:t xml:space="preserve">in addressing the risk of fraud through management override of controls, </w:t>
      </w:r>
      <w:r w:rsidR="00742BD7">
        <w:rPr>
          <w:rFonts w:cs="Arial"/>
        </w:rPr>
        <w:t xml:space="preserve">I </w:t>
      </w:r>
      <w:r w:rsidRPr="00DC2DA5">
        <w:rPr>
          <w:rFonts w:cs="Arial"/>
        </w:rPr>
        <w:t>test</w:t>
      </w:r>
      <w:r w:rsidR="00742BD7">
        <w:rPr>
          <w:rFonts w:cs="Arial"/>
        </w:rPr>
        <w:t>ed</w:t>
      </w:r>
      <w:r w:rsidRPr="00DC2DA5">
        <w:rPr>
          <w:rFonts w:cs="Arial"/>
        </w:rPr>
        <w:t xml:space="preserve"> the appropriateness of journal entries and other adjustments; assess</w:t>
      </w:r>
      <w:r w:rsidR="000C1E05">
        <w:rPr>
          <w:rFonts w:cs="Arial"/>
        </w:rPr>
        <w:t>ed</w:t>
      </w:r>
      <w:r w:rsidRPr="00DC2DA5">
        <w:rPr>
          <w:rFonts w:cs="Arial"/>
        </w:rPr>
        <w:t xml:space="preserve"> whether the judgements made in making accounting estimates are indicative of a potential bias; and evaluat</w:t>
      </w:r>
      <w:r w:rsidR="000C1E05">
        <w:rPr>
          <w:rFonts w:cs="Arial"/>
        </w:rPr>
        <w:t>ed</w:t>
      </w:r>
      <w:r w:rsidRPr="00DC2DA5">
        <w:rPr>
          <w:rFonts w:cs="Arial"/>
        </w:rPr>
        <w:t xml:space="preserve"> the business rationale of any significant transactions that are unusual or outside the normal course of business.</w:t>
      </w:r>
    </w:p>
    <w:p w14:paraId="2AB22724" w14:textId="1FD36264" w:rsidR="005A53F8" w:rsidRPr="005A53F8" w:rsidRDefault="001F3AD0" w:rsidP="001F3AD0">
      <w:pPr>
        <w:pStyle w:val="BodyText"/>
      </w:pPr>
      <w:r>
        <w:t xml:space="preserve">I </w:t>
      </w:r>
      <w:r w:rsidR="005A53F8">
        <w:t xml:space="preserve">communicated relevant identified laws and regulations and potential fraud risks to all engagement team members and remained alert to any indicators of fraud or non-compliance with laws and regulations throughout the audit. </w:t>
      </w:r>
    </w:p>
    <w:p w14:paraId="72D9556B" w14:textId="72C8147C" w:rsidR="00DC2DA5" w:rsidRDefault="00DC2DA5" w:rsidP="00827D54">
      <w:pPr>
        <w:pStyle w:val="BodyText"/>
        <w:spacing w:before="100" w:beforeAutospacing="1" w:after="100" w:afterAutospacing="1"/>
      </w:pPr>
      <w:r w:rsidRPr="00DC2DA5">
        <w:t xml:space="preserve">A further description of my responsibilities for the audit of the financial statements is located on the Financial Reporting Council’s website at: </w:t>
      </w:r>
      <w:hyperlink r:id="rId32" w:history="1">
        <w:r w:rsidRPr="00DC2DA5">
          <w:rPr>
            <w:rStyle w:val="Hyperlink"/>
            <w:rFonts w:cs="Arial"/>
            <w:color w:val="auto"/>
          </w:rPr>
          <w:t>www.frc.org.uk/auditorsresponsibilities</w:t>
        </w:r>
      </w:hyperlink>
      <w:r w:rsidRPr="00DC2DA5">
        <w:t xml:space="preserve">. This description forms part of my certificate. </w:t>
      </w:r>
    </w:p>
    <w:p w14:paraId="4E038D89" w14:textId="7B751A8B" w:rsidR="000C1E05" w:rsidRDefault="000C1E05" w:rsidP="000C1E05">
      <w:pPr>
        <w:pStyle w:val="Subtitle"/>
        <w:spacing w:before="100" w:beforeAutospacing="1" w:after="100" w:afterAutospacing="1"/>
        <w:rPr>
          <w:rFonts w:ascii="Verdana" w:eastAsia="Times New Roman" w:hAnsi="Verdana" w:cs="Arial"/>
          <w:color w:val="auto"/>
          <w:spacing w:val="0"/>
          <w:sz w:val="24"/>
          <w:szCs w:val="24"/>
          <w:u w:val="single"/>
        </w:rPr>
      </w:pPr>
      <w:r>
        <w:rPr>
          <w:rFonts w:ascii="Verdana" w:eastAsia="Times New Roman" w:hAnsi="Verdana" w:cs="Arial"/>
          <w:color w:val="auto"/>
          <w:spacing w:val="0"/>
          <w:sz w:val="24"/>
          <w:szCs w:val="24"/>
          <w:u w:val="single"/>
        </w:rPr>
        <w:t>Other auditor’s responsibilities</w:t>
      </w:r>
    </w:p>
    <w:p w14:paraId="56883DDB" w14:textId="1FDD2ADA" w:rsidR="000C1E05" w:rsidRDefault="000C1E05" w:rsidP="000C1E05">
      <w:pPr>
        <w:rPr>
          <w:lang w:eastAsia="en-GB" w:bidi="ne-NP"/>
        </w:rPr>
      </w:pPr>
      <w:r>
        <w:rPr>
          <w:lang w:eastAsia="en-GB" w:bidi="ne-NP"/>
        </w:rPr>
        <w:t xml:space="preserve">I am required to obtain evidence sufficient to give reasonable assurance that the expenditure and income recorded in the financial statements have been applied to the purposes intended by Parliament and the financial </w:t>
      </w:r>
      <w:r>
        <w:rPr>
          <w:lang w:eastAsia="en-GB" w:bidi="ne-NP"/>
        </w:rPr>
        <w:lastRenderedPageBreak/>
        <w:t>transaction recorded in the financial statements conform to the authorities which govern them.</w:t>
      </w:r>
    </w:p>
    <w:p w14:paraId="02C1A057" w14:textId="2D6EDFDD" w:rsidR="000C1E05" w:rsidRDefault="000C1E05" w:rsidP="000C1E05">
      <w:pPr>
        <w:rPr>
          <w:lang w:eastAsia="en-GB" w:bidi="ne-NP"/>
        </w:rPr>
      </w:pPr>
    </w:p>
    <w:p w14:paraId="00C6C5D9" w14:textId="73A04390" w:rsidR="000C1E05" w:rsidRPr="000C1E05" w:rsidRDefault="000C1E05" w:rsidP="000C1E05">
      <w:pPr>
        <w:rPr>
          <w:lang w:eastAsia="en-GB" w:bidi="ne-NP"/>
        </w:rPr>
      </w:pPr>
      <w:r>
        <w:rPr>
          <w:lang w:eastAsia="en-GB" w:bidi="ne-NP"/>
        </w:rPr>
        <w:t>I communicate with those charged with governance regarding, among other matters, the planned scope and timing of the audit and significant audit findings, including any significant deficiencies in internal control I identify during my audit</w:t>
      </w:r>
      <w:r w:rsidR="00521110">
        <w:rPr>
          <w:lang w:eastAsia="en-GB" w:bidi="ne-NP"/>
        </w:rPr>
        <w:t>.</w:t>
      </w:r>
    </w:p>
    <w:p w14:paraId="007E4342" w14:textId="0DD818A9" w:rsidR="00DC2DA5" w:rsidRPr="001F3AD0" w:rsidRDefault="00DC2DA5" w:rsidP="00827D54">
      <w:pPr>
        <w:pStyle w:val="Heading2"/>
        <w:spacing w:before="100" w:beforeAutospacing="1" w:after="100" w:afterAutospacing="1"/>
        <w:rPr>
          <w:rFonts w:ascii="Verdana" w:hAnsi="Verdana"/>
          <w:b w:val="0"/>
          <w:bCs w:val="0"/>
          <w:i w:val="0"/>
          <w:iCs w:val="0"/>
          <w:color w:val="auto"/>
          <w:sz w:val="24"/>
          <w:szCs w:val="24"/>
        </w:rPr>
      </w:pPr>
      <w:r w:rsidRPr="001F3AD0">
        <w:rPr>
          <w:rFonts w:ascii="Verdana" w:hAnsi="Verdana"/>
          <w:i w:val="0"/>
          <w:iCs w:val="0"/>
          <w:color w:val="auto"/>
          <w:sz w:val="24"/>
          <w:szCs w:val="24"/>
        </w:rPr>
        <w:t xml:space="preserve">Report  </w:t>
      </w:r>
    </w:p>
    <w:p w14:paraId="652E401D" w14:textId="1D0E3EAD" w:rsidR="00DC2DA5" w:rsidRPr="00632319" w:rsidRDefault="00DC2DA5" w:rsidP="00632319">
      <w:pPr>
        <w:spacing w:before="100" w:beforeAutospacing="1" w:after="100" w:afterAutospacing="1"/>
      </w:pPr>
      <w:r w:rsidRPr="00822CD0">
        <w:t>I have no observations to make on these financial statements.</w:t>
      </w:r>
    </w:p>
    <w:p w14:paraId="3A5E7B41" w14:textId="77777777" w:rsidR="00DC2DA5" w:rsidRPr="00822CD0" w:rsidRDefault="00DC2DA5" w:rsidP="00DC2DA5"/>
    <w:p w14:paraId="55AB3F2F" w14:textId="0A94088B" w:rsidR="00DC2DA5" w:rsidRPr="00822CD0" w:rsidRDefault="00DC2DA5" w:rsidP="00DC2DA5">
      <w:pPr>
        <w:rPr>
          <w:b/>
        </w:rPr>
      </w:pPr>
      <w:r w:rsidRPr="00822CD0">
        <w:rPr>
          <w:b/>
        </w:rPr>
        <w:t>Gareth Davies</w:t>
      </w:r>
      <w:r w:rsidRPr="00822CD0">
        <w:rPr>
          <w:b/>
        </w:rPr>
        <w:tab/>
      </w:r>
      <w:r w:rsidRPr="00822CD0">
        <w:rPr>
          <w:b/>
        </w:rPr>
        <w:tab/>
      </w:r>
      <w:r w:rsidRPr="00822CD0">
        <w:rPr>
          <w:b/>
        </w:rPr>
        <w:tab/>
      </w:r>
      <w:r w:rsidRPr="00822CD0">
        <w:rPr>
          <w:b/>
        </w:rPr>
        <w:tab/>
      </w:r>
      <w:r w:rsidRPr="00822CD0">
        <w:rPr>
          <w:b/>
        </w:rPr>
        <w:tab/>
      </w:r>
      <w:r w:rsidRPr="00822CD0">
        <w:rPr>
          <w:b/>
        </w:rPr>
        <w:tab/>
        <w:t>Date</w:t>
      </w:r>
      <w:r w:rsidR="004A60FF">
        <w:rPr>
          <w:b/>
        </w:rPr>
        <w:t xml:space="preserve"> </w:t>
      </w:r>
      <w:r w:rsidR="00EC5246">
        <w:rPr>
          <w:b/>
        </w:rPr>
        <w:t>3</w:t>
      </w:r>
      <w:r w:rsidR="00671DA5">
        <w:rPr>
          <w:b/>
        </w:rPr>
        <w:t xml:space="preserve"> </w:t>
      </w:r>
      <w:r w:rsidR="00EC5246">
        <w:rPr>
          <w:b/>
        </w:rPr>
        <w:t>July</w:t>
      </w:r>
      <w:r w:rsidR="00671DA5">
        <w:rPr>
          <w:b/>
        </w:rPr>
        <w:t xml:space="preserve"> 20</w:t>
      </w:r>
      <w:r w:rsidR="001F3AD0">
        <w:rPr>
          <w:b/>
        </w:rPr>
        <w:t>23</w:t>
      </w:r>
    </w:p>
    <w:p w14:paraId="25A3CE5C" w14:textId="77777777" w:rsidR="00DC2DA5" w:rsidRPr="00822CD0" w:rsidRDefault="00DC2DA5" w:rsidP="00DC2DA5">
      <w:pPr>
        <w:rPr>
          <w:b/>
        </w:rPr>
      </w:pPr>
      <w:r w:rsidRPr="00822CD0">
        <w:rPr>
          <w:b/>
        </w:rPr>
        <w:t>Comptroller and Auditor General</w:t>
      </w:r>
    </w:p>
    <w:p w14:paraId="1830628F" w14:textId="77777777" w:rsidR="00DC2DA5" w:rsidRPr="00822CD0" w:rsidRDefault="00DC2DA5" w:rsidP="00DC2DA5"/>
    <w:p w14:paraId="1341D833" w14:textId="77777777" w:rsidR="00DC2DA5" w:rsidRPr="00822CD0" w:rsidRDefault="00DC2DA5" w:rsidP="00DC2DA5">
      <w:r w:rsidRPr="00822CD0">
        <w:t>National Audit Office</w:t>
      </w:r>
    </w:p>
    <w:p w14:paraId="600FE49B" w14:textId="77777777" w:rsidR="00DC2DA5" w:rsidRPr="00822CD0" w:rsidRDefault="00DC2DA5" w:rsidP="00DC2DA5">
      <w:r w:rsidRPr="00822CD0">
        <w:t>157-197 Buckingham Palace Road</w:t>
      </w:r>
    </w:p>
    <w:p w14:paraId="5CC20478" w14:textId="77777777" w:rsidR="00DC2DA5" w:rsidRPr="00822CD0" w:rsidRDefault="00DC2DA5" w:rsidP="00DC2DA5">
      <w:r w:rsidRPr="00822CD0">
        <w:t>Victoria</w:t>
      </w:r>
    </w:p>
    <w:p w14:paraId="1A325A98" w14:textId="77777777" w:rsidR="00DC2DA5" w:rsidRPr="00822CD0" w:rsidRDefault="00DC2DA5" w:rsidP="00DC2DA5">
      <w:r w:rsidRPr="00822CD0">
        <w:t>London</w:t>
      </w:r>
    </w:p>
    <w:p w14:paraId="18CA3B62" w14:textId="77777777" w:rsidR="00DC2DA5" w:rsidRPr="00822CD0" w:rsidRDefault="00DC2DA5" w:rsidP="00DC2DA5">
      <w:r w:rsidRPr="00822CD0">
        <w:t>SW1W 9SP</w:t>
      </w:r>
    </w:p>
    <w:p w14:paraId="2154E0FD" w14:textId="77777777" w:rsidR="00DC2DA5" w:rsidRPr="00822CD0" w:rsidRDefault="00DC2DA5" w:rsidP="00DC2DA5">
      <w:pPr>
        <w:spacing w:after="120" w:line="276" w:lineRule="auto"/>
        <w:jc w:val="both"/>
      </w:pPr>
    </w:p>
    <w:p w14:paraId="50482133" w14:textId="77777777" w:rsidR="00DC2DA5" w:rsidRPr="00822CD0" w:rsidRDefault="00DC2DA5" w:rsidP="00DC2DA5">
      <w:pPr>
        <w:spacing w:after="120" w:line="276" w:lineRule="auto"/>
        <w:jc w:val="both"/>
      </w:pPr>
    </w:p>
    <w:p w14:paraId="7A2E92D1" w14:textId="77777777" w:rsidR="00DC2DA5" w:rsidRPr="00822CD0" w:rsidRDefault="00DC2DA5" w:rsidP="00DC2DA5">
      <w:pPr>
        <w:spacing w:after="120" w:line="276" w:lineRule="auto"/>
        <w:jc w:val="both"/>
      </w:pPr>
    </w:p>
    <w:p w14:paraId="67C34E57" w14:textId="77777777" w:rsidR="00DC2DA5" w:rsidRPr="00822CD0" w:rsidRDefault="00DC2DA5" w:rsidP="00DC2DA5">
      <w:pPr>
        <w:spacing w:after="120" w:line="276" w:lineRule="auto"/>
        <w:jc w:val="both"/>
      </w:pPr>
    </w:p>
    <w:p w14:paraId="2ED4BBD9" w14:textId="77777777" w:rsidR="000C2A54" w:rsidRDefault="000C2A54" w:rsidP="000C2A54">
      <w:pPr>
        <w:jc w:val="center"/>
        <w:rPr>
          <w:b/>
          <w:color w:val="auto"/>
          <w:sz w:val="28"/>
          <w:szCs w:val="28"/>
        </w:rPr>
        <w:sectPr w:rsidR="000C2A54" w:rsidSect="00AE0E5D">
          <w:headerReference w:type="even" r:id="rId33"/>
          <w:headerReference w:type="default" r:id="rId34"/>
          <w:footerReference w:type="even" r:id="rId35"/>
          <w:footerReference w:type="default" r:id="rId36"/>
          <w:headerReference w:type="first" r:id="rId37"/>
          <w:pgSz w:w="11907" w:h="16840" w:code="9"/>
          <w:pgMar w:top="1418" w:right="1418" w:bottom="851" w:left="1418" w:header="709" w:footer="709" w:gutter="0"/>
          <w:pgNumType w:start="5"/>
          <w:cols w:space="708"/>
          <w:docGrid w:linePitch="360"/>
        </w:sectPr>
      </w:pPr>
    </w:p>
    <w:p w14:paraId="3E282C2A" w14:textId="7FB964C5" w:rsidR="004A14D8" w:rsidRPr="004A14D8" w:rsidRDefault="000C2A54" w:rsidP="004A14D8">
      <w:pPr>
        <w:widowControl w:val="0"/>
        <w:autoSpaceDE w:val="0"/>
        <w:autoSpaceDN w:val="0"/>
        <w:adjustRightInd w:val="0"/>
        <w:ind w:left="-567" w:right="-567"/>
        <w:jc w:val="center"/>
        <w:rPr>
          <w:rFonts w:cs="Arial"/>
          <w:b/>
          <w:color w:val="77328A"/>
          <w:sz w:val="30"/>
          <w:szCs w:val="30"/>
        </w:rPr>
      </w:pPr>
      <w:r w:rsidRPr="001C4D92">
        <w:rPr>
          <w:b/>
          <w:sz w:val="32"/>
          <w:szCs w:val="32"/>
        </w:rPr>
        <w:lastRenderedPageBreak/>
        <w:t xml:space="preserve"> </w:t>
      </w:r>
      <w:r w:rsidR="008C73A2">
        <w:rPr>
          <w:rFonts w:cs="Arial"/>
          <w:b/>
          <w:color w:val="77328A"/>
          <w:sz w:val="30"/>
          <w:szCs w:val="30"/>
        </w:rPr>
        <w:t>Financial Statements</w:t>
      </w:r>
      <w:r w:rsidR="008D0E8C">
        <w:rPr>
          <w:rFonts w:cs="Arial"/>
          <w:b/>
          <w:color w:val="77328A"/>
          <w:sz w:val="30"/>
          <w:szCs w:val="30"/>
        </w:rPr>
        <w:t xml:space="preserve"> for the Year Ended 31 March 202</w:t>
      </w:r>
      <w:r w:rsidR="004A14D8">
        <w:rPr>
          <w:rFonts w:cs="Arial"/>
          <w:b/>
          <w:color w:val="77328A"/>
          <w:sz w:val="30"/>
          <w:szCs w:val="30"/>
        </w:rPr>
        <w:t>3</w:t>
      </w:r>
    </w:p>
    <w:p w14:paraId="09CEE928" w14:textId="77777777" w:rsidR="000C2A54" w:rsidRDefault="000C2A54" w:rsidP="000C2A54">
      <w:pPr>
        <w:widowControl w:val="0"/>
        <w:autoSpaceDE w:val="0"/>
        <w:autoSpaceDN w:val="0"/>
        <w:adjustRightInd w:val="0"/>
        <w:ind w:left="-567" w:right="-567"/>
        <w:jc w:val="center"/>
      </w:pPr>
    </w:p>
    <w:p w14:paraId="61D36A43" w14:textId="0D848351" w:rsidR="000C2A54" w:rsidRDefault="008C73A2" w:rsidP="000C2A54">
      <w:pPr>
        <w:widowControl w:val="0"/>
        <w:autoSpaceDE w:val="0"/>
        <w:autoSpaceDN w:val="0"/>
        <w:adjustRightInd w:val="0"/>
        <w:ind w:left="-567" w:right="-567"/>
        <w:jc w:val="center"/>
        <w:rPr>
          <w:b/>
          <w:sz w:val="28"/>
          <w:szCs w:val="28"/>
        </w:rPr>
      </w:pPr>
      <w:bookmarkStart w:id="20" w:name="StatementofComprehensiveNetExpenditure"/>
      <w:r>
        <w:rPr>
          <w:rFonts w:cs="Arial"/>
          <w:b/>
          <w:color w:val="77328A"/>
          <w:sz w:val="30"/>
          <w:szCs w:val="30"/>
        </w:rPr>
        <w:t>Statement of Comprehensive Net Expenditure for the Year End</w:t>
      </w:r>
      <w:r w:rsidR="008D0E8C">
        <w:rPr>
          <w:rFonts w:cs="Arial"/>
          <w:b/>
          <w:color w:val="77328A"/>
          <w:sz w:val="30"/>
          <w:szCs w:val="30"/>
        </w:rPr>
        <w:t>ed 31 March 202</w:t>
      </w:r>
      <w:r w:rsidR="004A14D8">
        <w:rPr>
          <w:rFonts w:cs="Arial"/>
          <w:b/>
          <w:color w:val="77328A"/>
          <w:sz w:val="30"/>
          <w:szCs w:val="30"/>
        </w:rPr>
        <w:t>3</w:t>
      </w:r>
    </w:p>
    <w:bookmarkEnd w:id="20"/>
    <w:p w14:paraId="06A0782A" w14:textId="77777777" w:rsidR="000C2A54" w:rsidRPr="00AC49A1" w:rsidRDefault="000C2A54" w:rsidP="000C2A54">
      <w:pPr>
        <w:widowControl w:val="0"/>
        <w:tabs>
          <w:tab w:val="right" w:pos="7371"/>
          <w:tab w:val="right" w:pos="9071"/>
        </w:tabs>
        <w:autoSpaceDE w:val="0"/>
        <w:autoSpaceDN w:val="0"/>
        <w:adjustRightInd w:val="0"/>
        <w:rPr>
          <w:rFonts w:cs="Arial"/>
          <w:b/>
          <w:bCs/>
          <w:sz w:val="22"/>
          <w:szCs w:val="22"/>
        </w:rPr>
      </w:pPr>
    </w:p>
    <w:p w14:paraId="552EA558" w14:textId="6F00C6B6" w:rsidR="000C2A54" w:rsidRPr="003061F1" w:rsidRDefault="000C2A54" w:rsidP="000C2A54">
      <w:pPr>
        <w:widowControl w:val="0"/>
        <w:tabs>
          <w:tab w:val="right" w:pos="7371"/>
          <w:tab w:val="right" w:pos="9071"/>
        </w:tabs>
        <w:autoSpaceDE w:val="0"/>
        <w:autoSpaceDN w:val="0"/>
        <w:adjustRightInd w:val="0"/>
        <w:rPr>
          <w:rFonts w:cs="Arial"/>
          <w:b/>
          <w:bCs/>
          <w:sz w:val="20"/>
          <w:szCs w:val="20"/>
        </w:rPr>
      </w:pPr>
      <w:r w:rsidRPr="00AC49A1">
        <w:rPr>
          <w:rFonts w:cs="Arial"/>
          <w:b/>
          <w:bCs/>
          <w:sz w:val="22"/>
          <w:szCs w:val="22"/>
        </w:rPr>
        <w:tab/>
      </w:r>
      <w:r w:rsidR="003A3109">
        <w:rPr>
          <w:rFonts w:cs="Arial"/>
          <w:b/>
          <w:bCs/>
          <w:sz w:val="20"/>
          <w:szCs w:val="20"/>
        </w:rPr>
        <w:t>202</w:t>
      </w:r>
      <w:r w:rsidR="004A14D8">
        <w:rPr>
          <w:rFonts w:cs="Arial"/>
          <w:b/>
          <w:bCs/>
          <w:sz w:val="20"/>
          <w:szCs w:val="20"/>
        </w:rPr>
        <w:t>2</w:t>
      </w:r>
      <w:r w:rsidR="003A3109">
        <w:rPr>
          <w:rFonts w:cs="Arial"/>
          <w:b/>
          <w:bCs/>
          <w:sz w:val="20"/>
          <w:szCs w:val="20"/>
        </w:rPr>
        <w:t>-2</w:t>
      </w:r>
      <w:r w:rsidR="004A14D8">
        <w:rPr>
          <w:rFonts w:cs="Arial"/>
          <w:b/>
          <w:bCs/>
          <w:sz w:val="20"/>
          <w:szCs w:val="20"/>
        </w:rPr>
        <w:t>3</w:t>
      </w:r>
      <w:r w:rsidRPr="003061F1">
        <w:rPr>
          <w:rFonts w:cs="Arial"/>
          <w:b/>
          <w:bCs/>
          <w:sz w:val="20"/>
          <w:szCs w:val="20"/>
        </w:rPr>
        <w:tab/>
      </w:r>
      <w:r w:rsidR="003A3109">
        <w:rPr>
          <w:rFonts w:cs="Arial"/>
          <w:b/>
          <w:bCs/>
          <w:sz w:val="20"/>
          <w:szCs w:val="20"/>
        </w:rPr>
        <w:t>202</w:t>
      </w:r>
      <w:r w:rsidR="004A14D8">
        <w:rPr>
          <w:rFonts w:cs="Arial"/>
          <w:b/>
          <w:bCs/>
          <w:sz w:val="20"/>
          <w:szCs w:val="20"/>
        </w:rPr>
        <w:t>1</w:t>
      </w:r>
      <w:r w:rsidR="003A3109">
        <w:rPr>
          <w:rFonts w:cs="Arial"/>
          <w:b/>
          <w:bCs/>
          <w:sz w:val="20"/>
          <w:szCs w:val="20"/>
        </w:rPr>
        <w:t>-2</w:t>
      </w:r>
      <w:r w:rsidR="004A14D8">
        <w:rPr>
          <w:rFonts w:cs="Arial"/>
          <w:b/>
          <w:bCs/>
          <w:sz w:val="20"/>
          <w:szCs w:val="20"/>
        </w:rPr>
        <w:t>2</w:t>
      </w:r>
    </w:p>
    <w:p w14:paraId="798A02BF" w14:textId="77777777" w:rsidR="000C2A54" w:rsidRPr="003061F1" w:rsidRDefault="000C2A54" w:rsidP="000C2A54">
      <w:pPr>
        <w:widowControl w:val="0"/>
        <w:tabs>
          <w:tab w:val="center" w:pos="5580"/>
          <w:tab w:val="right" w:pos="7371"/>
          <w:tab w:val="right" w:pos="9072"/>
        </w:tabs>
        <w:autoSpaceDE w:val="0"/>
        <w:autoSpaceDN w:val="0"/>
        <w:adjustRightInd w:val="0"/>
        <w:rPr>
          <w:b/>
          <w:sz w:val="20"/>
          <w:szCs w:val="20"/>
        </w:rPr>
      </w:pPr>
      <w:r w:rsidRPr="003061F1">
        <w:rPr>
          <w:b/>
          <w:sz w:val="20"/>
          <w:szCs w:val="20"/>
        </w:rPr>
        <w:tab/>
        <w:t>Notes</w:t>
      </w:r>
      <w:r w:rsidRPr="003061F1">
        <w:rPr>
          <w:b/>
          <w:sz w:val="20"/>
          <w:szCs w:val="20"/>
        </w:rPr>
        <w:tab/>
        <w:t>£</w:t>
      </w:r>
      <w:r w:rsidRPr="003061F1">
        <w:rPr>
          <w:b/>
          <w:sz w:val="20"/>
          <w:szCs w:val="20"/>
        </w:rPr>
        <w:tab/>
        <w:t>£</w:t>
      </w:r>
    </w:p>
    <w:p w14:paraId="3E985B2A" w14:textId="77777777" w:rsidR="000C2A54" w:rsidRPr="003061F1" w:rsidRDefault="000C2A54" w:rsidP="000C2A54">
      <w:pPr>
        <w:widowControl w:val="0"/>
        <w:tabs>
          <w:tab w:val="center" w:pos="5580"/>
        </w:tabs>
        <w:autoSpaceDE w:val="0"/>
        <w:autoSpaceDN w:val="0"/>
        <w:adjustRightInd w:val="0"/>
        <w:rPr>
          <w:rFonts w:cs="Arial"/>
          <w:b/>
          <w:bCs/>
          <w:sz w:val="20"/>
          <w:szCs w:val="20"/>
        </w:rPr>
      </w:pPr>
    </w:p>
    <w:p w14:paraId="75EE24CF" w14:textId="77777777" w:rsidR="000C2A54" w:rsidRPr="003061F1" w:rsidRDefault="000C2A54" w:rsidP="000C2A54">
      <w:pPr>
        <w:widowControl w:val="0"/>
        <w:tabs>
          <w:tab w:val="center" w:pos="5580"/>
          <w:tab w:val="right" w:pos="7371"/>
          <w:tab w:val="right" w:pos="9071"/>
        </w:tabs>
        <w:autoSpaceDE w:val="0"/>
        <w:autoSpaceDN w:val="0"/>
        <w:adjustRightInd w:val="0"/>
        <w:rPr>
          <w:rFonts w:cs="Arial"/>
          <w:b/>
          <w:bCs/>
          <w:sz w:val="20"/>
          <w:szCs w:val="20"/>
        </w:rPr>
      </w:pPr>
      <w:r w:rsidRPr="003061F1">
        <w:rPr>
          <w:rFonts w:cs="Arial"/>
          <w:b/>
          <w:bCs/>
          <w:sz w:val="20"/>
          <w:szCs w:val="20"/>
        </w:rPr>
        <w:t>Expenditure</w:t>
      </w:r>
    </w:p>
    <w:p w14:paraId="4C070F23" w14:textId="5B7D18D1" w:rsidR="000C2A54" w:rsidRPr="003061F1" w:rsidRDefault="000C2A54" w:rsidP="000C2A54">
      <w:pPr>
        <w:widowControl w:val="0"/>
        <w:tabs>
          <w:tab w:val="center" w:pos="5580"/>
          <w:tab w:val="right" w:pos="7371"/>
          <w:tab w:val="left" w:pos="7695"/>
          <w:tab w:val="right" w:pos="9071"/>
        </w:tabs>
        <w:autoSpaceDE w:val="0"/>
        <w:autoSpaceDN w:val="0"/>
        <w:adjustRightInd w:val="0"/>
        <w:rPr>
          <w:rFonts w:cs="Arial"/>
          <w:sz w:val="20"/>
          <w:szCs w:val="20"/>
        </w:rPr>
      </w:pPr>
      <w:r w:rsidRPr="003061F1">
        <w:rPr>
          <w:rFonts w:cs="Arial"/>
          <w:sz w:val="20"/>
          <w:szCs w:val="20"/>
        </w:rPr>
        <w:t>Staff costs</w:t>
      </w:r>
      <w:r w:rsidRPr="003061F1">
        <w:rPr>
          <w:rFonts w:cs="Arial"/>
          <w:sz w:val="20"/>
          <w:szCs w:val="20"/>
        </w:rPr>
        <w:tab/>
      </w:r>
      <w:r w:rsidRPr="003061F1">
        <w:rPr>
          <w:rFonts w:cs="Arial"/>
          <w:b/>
          <w:bCs/>
          <w:sz w:val="20"/>
          <w:szCs w:val="20"/>
        </w:rPr>
        <w:t>3</w:t>
      </w:r>
      <w:r w:rsidR="0087285C">
        <w:rPr>
          <w:rFonts w:cs="Arial"/>
          <w:bCs/>
          <w:sz w:val="20"/>
          <w:szCs w:val="20"/>
        </w:rPr>
        <w:tab/>
      </w:r>
      <w:r w:rsidR="003A3109">
        <w:rPr>
          <w:rFonts w:cs="Arial"/>
          <w:bCs/>
          <w:sz w:val="20"/>
          <w:szCs w:val="20"/>
        </w:rPr>
        <w:t>1,</w:t>
      </w:r>
      <w:r w:rsidR="004A14D8">
        <w:rPr>
          <w:rFonts w:cs="Arial"/>
          <w:bCs/>
          <w:sz w:val="20"/>
          <w:szCs w:val="20"/>
        </w:rPr>
        <w:t>668,716</w:t>
      </w:r>
      <w:r w:rsidRPr="003061F1">
        <w:rPr>
          <w:rFonts w:cs="Arial"/>
          <w:bCs/>
          <w:sz w:val="20"/>
          <w:szCs w:val="20"/>
        </w:rPr>
        <w:tab/>
      </w:r>
      <w:r w:rsidRPr="003061F1">
        <w:rPr>
          <w:rFonts w:cs="Arial"/>
          <w:bCs/>
          <w:sz w:val="20"/>
          <w:szCs w:val="20"/>
        </w:rPr>
        <w:tab/>
      </w:r>
      <w:r w:rsidR="004A14D8">
        <w:rPr>
          <w:rFonts w:cs="Arial"/>
          <w:bCs/>
          <w:sz w:val="20"/>
          <w:szCs w:val="20"/>
        </w:rPr>
        <w:t>1,573,013</w:t>
      </w:r>
    </w:p>
    <w:p w14:paraId="45DC87F5" w14:textId="61AD2AAC" w:rsidR="000C2A54" w:rsidRDefault="007B768A" w:rsidP="000C2A54">
      <w:pPr>
        <w:widowControl w:val="0"/>
        <w:tabs>
          <w:tab w:val="center" w:pos="5580"/>
          <w:tab w:val="right" w:pos="7371"/>
          <w:tab w:val="right" w:pos="9071"/>
        </w:tabs>
        <w:autoSpaceDE w:val="0"/>
        <w:autoSpaceDN w:val="0"/>
        <w:adjustRightInd w:val="0"/>
        <w:rPr>
          <w:rFonts w:cs="Arial"/>
          <w:bCs/>
          <w:sz w:val="20"/>
          <w:szCs w:val="20"/>
        </w:rPr>
      </w:pPr>
      <w:r>
        <w:rPr>
          <w:rFonts w:cs="Arial"/>
          <w:sz w:val="20"/>
          <w:szCs w:val="20"/>
        </w:rPr>
        <w:t>Other o</w:t>
      </w:r>
      <w:r w:rsidR="000C2A54" w:rsidRPr="003061F1">
        <w:rPr>
          <w:rFonts w:cs="Arial"/>
          <w:sz w:val="20"/>
          <w:szCs w:val="20"/>
        </w:rPr>
        <w:t>perating costs</w:t>
      </w:r>
      <w:r w:rsidR="000C2A54" w:rsidRPr="003061F1">
        <w:rPr>
          <w:rFonts w:cs="Arial"/>
          <w:sz w:val="20"/>
          <w:szCs w:val="20"/>
        </w:rPr>
        <w:tab/>
      </w:r>
      <w:r w:rsidR="000C2A54" w:rsidRPr="003061F1">
        <w:rPr>
          <w:rFonts w:cs="Arial"/>
          <w:b/>
          <w:bCs/>
          <w:sz w:val="20"/>
          <w:szCs w:val="20"/>
        </w:rPr>
        <w:t>4</w:t>
      </w:r>
      <w:r w:rsidR="000C2A54" w:rsidRPr="003061F1">
        <w:rPr>
          <w:rFonts w:cs="Arial"/>
          <w:bCs/>
          <w:sz w:val="20"/>
          <w:szCs w:val="20"/>
        </w:rPr>
        <w:tab/>
      </w:r>
      <w:r w:rsidR="00B55E87">
        <w:rPr>
          <w:rFonts w:cs="Arial"/>
          <w:bCs/>
          <w:sz w:val="20"/>
          <w:szCs w:val="20"/>
        </w:rPr>
        <w:t>6</w:t>
      </w:r>
      <w:r w:rsidR="009D6D7C">
        <w:rPr>
          <w:rFonts w:cs="Arial"/>
          <w:bCs/>
          <w:sz w:val="20"/>
          <w:szCs w:val="20"/>
        </w:rPr>
        <w:t>35,581</w:t>
      </w:r>
      <w:r w:rsidR="000C2A54" w:rsidRPr="003061F1">
        <w:rPr>
          <w:rFonts w:cs="Arial"/>
          <w:bCs/>
          <w:sz w:val="20"/>
          <w:szCs w:val="20"/>
        </w:rPr>
        <w:tab/>
      </w:r>
      <w:r w:rsidR="004A14D8">
        <w:rPr>
          <w:rFonts w:cs="Arial"/>
          <w:bCs/>
          <w:sz w:val="20"/>
          <w:szCs w:val="20"/>
        </w:rPr>
        <w:t>669,319</w:t>
      </w:r>
    </w:p>
    <w:p w14:paraId="38589E77" w14:textId="1CCE4C6F" w:rsidR="000C2A54" w:rsidRDefault="007B768A" w:rsidP="000C2A54">
      <w:pPr>
        <w:widowControl w:val="0"/>
        <w:tabs>
          <w:tab w:val="center" w:pos="5580"/>
          <w:tab w:val="right" w:pos="7371"/>
          <w:tab w:val="right" w:pos="9071"/>
        </w:tabs>
        <w:autoSpaceDE w:val="0"/>
        <w:autoSpaceDN w:val="0"/>
        <w:adjustRightInd w:val="0"/>
        <w:rPr>
          <w:rFonts w:cs="Arial"/>
          <w:bCs/>
          <w:sz w:val="20"/>
          <w:szCs w:val="20"/>
        </w:rPr>
      </w:pPr>
      <w:r>
        <w:rPr>
          <w:rFonts w:cs="Arial"/>
          <w:sz w:val="20"/>
          <w:szCs w:val="20"/>
        </w:rPr>
        <w:t>Depreciation, amortisation and i</w:t>
      </w:r>
      <w:r w:rsidR="000C2A54" w:rsidRPr="003061F1">
        <w:rPr>
          <w:rFonts w:cs="Arial"/>
          <w:sz w:val="20"/>
          <w:szCs w:val="20"/>
        </w:rPr>
        <w:t>mpairment</w:t>
      </w:r>
      <w:r w:rsidR="000C2A54" w:rsidRPr="003061F1">
        <w:rPr>
          <w:rFonts w:cs="Arial"/>
          <w:sz w:val="20"/>
          <w:szCs w:val="20"/>
        </w:rPr>
        <w:tab/>
      </w:r>
      <w:r w:rsidR="000C2A54" w:rsidRPr="003061F1">
        <w:rPr>
          <w:rFonts w:cs="Arial"/>
          <w:b/>
          <w:bCs/>
          <w:sz w:val="20"/>
          <w:szCs w:val="20"/>
        </w:rPr>
        <w:t>4</w:t>
      </w:r>
      <w:r w:rsidR="000C2A54" w:rsidRPr="003061F1">
        <w:rPr>
          <w:rFonts w:cs="Arial"/>
          <w:bCs/>
          <w:sz w:val="20"/>
          <w:szCs w:val="20"/>
        </w:rPr>
        <w:tab/>
      </w:r>
      <w:r w:rsidR="004A14D8">
        <w:rPr>
          <w:rFonts w:cs="Arial"/>
          <w:bCs/>
          <w:sz w:val="20"/>
          <w:szCs w:val="20"/>
        </w:rPr>
        <w:t>100,461</w:t>
      </w:r>
      <w:r w:rsidR="000C2A54" w:rsidRPr="003061F1">
        <w:rPr>
          <w:rFonts w:cs="Arial"/>
          <w:bCs/>
          <w:sz w:val="20"/>
          <w:szCs w:val="20"/>
        </w:rPr>
        <w:tab/>
      </w:r>
      <w:r w:rsidR="004A14D8">
        <w:rPr>
          <w:rFonts w:cs="Arial"/>
          <w:bCs/>
          <w:sz w:val="20"/>
          <w:szCs w:val="20"/>
        </w:rPr>
        <w:t>91,241</w:t>
      </w:r>
    </w:p>
    <w:p w14:paraId="00F07D64" w14:textId="308D288D" w:rsidR="004A14D8" w:rsidRPr="004A14D8" w:rsidRDefault="004A14D8" w:rsidP="000C2A54">
      <w:pPr>
        <w:widowControl w:val="0"/>
        <w:tabs>
          <w:tab w:val="center" w:pos="5580"/>
          <w:tab w:val="right" w:pos="7371"/>
          <w:tab w:val="right" w:pos="9071"/>
        </w:tabs>
        <w:autoSpaceDE w:val="0"/>
        <w:autoSpaceDN w:val="0"/>
        <w:adjustRightInd w:val="0"/>
        <w:rPr>
          <w:rFonts w:cs="Arial"/>
          <w:bCs/>
          <w:sz w:val="20"/>
          <w:szCs w:val="20"/>
        </w:rPr>
      </w:pPr>
      <w:r>
        <w:rPr>
          <w:rFonts w:cs="Arial"/>
          <w:bCs/>
          <w:sz w:val="20"/>
          <w:szCs w:val="20"/>
        </w:rPr>
        <w:t>Depreciation on Right-of-Use Assets</w:t>
      </w:r>
      <w:r>
        <w:rPr>
          <w:rFonts w:cs="Arial"/>
          <w:bCs/>
          <w:sz w:val="20"/>
          <w:szCs w:val="20"/>
        </w:rPr>
        <w:tab/>
      </w:r>
      <w:r w:rsidRPr="004A14D8">
        <w:rPr>
          <w:rFonts w:cs="Arial"/>
          <w:b/>
          <w:sz w:val="20"/>
          <w:szCs w:val="20"/>
        </w:rPr>
        <w:t>7</w:t>
      </w:r>
      <w:r>
        <w:rPr>
          <w:rFonts w:cs="Arial"/>
          <w:b/>
          <w:sz w:val="20"/>
          <w:szCs w:val="20"/>
        </w:rPr>
        <w:tab/>
      </w:r>
      <w:r w:rsidR="009D6D7C">
        <w:rPr>
          <w:rFonts w:cs="Arial"/>
          <w:bCs/>
          <w:sz w:val="20"/>
          <w:szCs w:val="20"/>
        </w:rPr>
        <w:t>75,431</w:t>
      </w:r>
      <w:r>
        <w:rPr>
          <w:rFonts w:cs="Arial"/>
          <w:bCs/>
          <w:sz w:val="20"/>
          <w:szCs w:val="20"/>
        </w:rPr>
        <w:tab/>
        <w:t>0</w:t>
      </w:r>
    </w:p>
    <w:p w14:paraId="103DDBA5" w14:textId="77777777" w:rsidR="000C2A54" w:rsidRPr="003061F1" w:rsidRDefault="000C2A54" w:rsidP="000C2A54">
      <w:pPr>
        <w:widowControl w:val="0"/>
        <w:tabs>
          <w:tab w:val="center" w:pos="5580"/>
          <w:tab w:val="right" w:pos="7371"/>
          <w:tab w:val="right" w:pos="9072"/>
        </w:tabs>
        <w:autoSpaceDE w:val="0"/>
        <w:autoSpaceDN w:val="0"/>
        <w:adjustRightInd w:val="0"/>
        <w:rPr>
          <w:sz w:val="20"/>
          <w:szCs w:val="20"/>
        </w:rPr>
      </w:pPr>
      <w:r w:rsidRPr="003061F1">
        <w:rPr>
          <w:rFonts w:cs="Arial"/>
          <w:sz w:val="20"/>
          <w:szCs w:val="20"/>
        </w:rPr>
        <w:tab/>
      </w:r>
      <w:r w:rsidRPr="003061F1">
        <w:rPr>
          <w:rFonts w:cs="Arial"/>
          <w:sz w:val="20"/>
          <w:szCs w:val="20"/>
        </w:rPr>
        <w:tab/>
      </w:r>
      <w:r w:rsidRPr="003061F1">
        <w:rPr>
          <w:rFonts w:ascii="Arial" w:hAnsi="Arial" w:cs="Arial"/>
          <w:sz w:val="20"/>
          <w:szCs w:val="20"/>
        </w:rPr>
        <w:t>─────────</w:t>
      </w:r>
      <w:r w:rsidRPr="003061F1">
        <w:rPr>
          <w:rFonts w:cs="Arial"/>
          <w:sz w:val="20"/>
          <w:szCs w:val="20"/>
        </w:rPr>
        <w:tab/>
      </w:r>
      <w:r w:rsidRPr="003061F1">
        <w:rPr>
          <w:rFonts w:ascii="Arial" w:hAnsi="Arial" w:cs="Arial"/>
          <w:sz w:val="20"/>
          <w:szCs w:val="20"/>
        </w:rPr>
        <w:t>─────────</w:t>
      </w:r>
    </w:p>
    <w:p w14:paraId="301FFDEB" w14:textId="67586EA8" w:rsidR="000C2A54" w:rsidRPr="003061F1" w:rsidRDefault="000C2A54" w:rsidP="000C2A54">
      <w:pPr>
        <w:widowControl w:val="0"/>
        <w:tabs>
          <w:tab w:val="center" w:pos="5580"/>
          <w:tab w:val="right" w:pos="7371"/>
          <w:tab w:val="right" w:pos="9071"/>
        </w:tabs>
        <w:autoSpaceDE w:val="0"/>
        <w:autoSpaceDN w:val="0"/>
        <w:adjustRightInd w:val="0"/>
        <w:rPr>
          <w:rFonts w:cs="Arial"/>
          <w:b/>
          <w:sz w:val="20"/>
          <w:szCs w:val="20"/>
        </w:rPr>
      </w:pPr>
      <w:r w:rsidRPr="003061F1">
        <w:rPr>
          <w:rFonts w:cs="Arial"/>
          <w:b/>
          <w:bCs/>
          <w:sz w:val="20"/>
          <w:szCs w:val="20"/>
        </w:rPr>
        <w:t xml:space="preserve">Total </w:t>
      </w:r>
      <w:r w:rsidR="007B768A">
        <w:rPr>
          <w:rFonts w:cs="Arial"/>
          <w:b/>
          <w:bCs/>
          <w:sz w:val="20"/>
          <w:szCs w:val="20"/>
        </w:rPr>
        <w:t xml:space="preserve">operating </w:t>
      </w:r>
      <w:r w:rsidRPr="003061F1">
        <w:rPr>
          <w:rFonts w:cs="Arial"/>
          <w:b/>
          <w:bCs/>
          <w:sz w:val="20"/>
          <w:szCs w:val="20"/>
        </w:rPr>
        <w:t>expenditure</w:t>
      </w:r>
      <w:r w:rsidRPr="003061F1">
        <w:rPr>
          <w:rFonts w:cs="Arial"/>
          <w:b/>
          <w:bCs/>
          <w:sz w:val="20"/>
          <w:szCs w:val="20"/>
        </w:rPr>
        <w:tab/>
      </w:r>
      <w:r w:rsidRPr="003061F1">
        <w:rPr>
          <w:rFonts w:cs="Arial"/>
          <w:b/>
          <w:bCs/>
          <w:sz w:val="20"/>
          <w:szCs w:val="20"/>
        </w:rPr>
        <w:tab/>
      </w:r>
      <w:r w:rsidR="00B55E87">
        <w:rPr>
          <w:rFonts w:cs="Arial"/>
          <w:b/>
          <w:bCs/>
          <w:sz w:val="20"/>
          <w:szCs w:val="20"/>
        </w:rPr>
        <w:t>2,</w:t>
      </w:r>
      <w:r w:rsidR="004A14D8">
        <w:rPr>
          <w:rFonts w:cs="Arial"/>
          <w:b/>
          <w:bCs/>
          <w:sz w:val="20"/>
          <w:szCs w:val="20"/>
        </w:rPr>
        <w:t>4</w:t>
      </w:r>
      <w:r w:rsidR="009D6D7C">
        <w:rPr>
          <w:rFonts w:cs="Arial"/>
          <w:b/>
          <w:bCs/>
          <w:sz w:val="20"/>
          <w:szCs w:val="20"/>
        </w:rPr>
        <w:t>80,189</w:t>
      </w:r>
      <w:r w:rsidRPr="003061F1">
        <w:rPr>
          <w:rFonts w:cs="Arial"/>
          <w:b/>
          <w:bCs/>
          <w:sz w:val="20"/>
          <w:szCs w:val="20"/>
        </w:rPr>
        <w:tab/>
      </w:r>
      <w:r w:rsidR="004A14D8">
        <w:rPr>
          <w:rFonts w:cs="Arial"/>
          <w:b/>
          <w:bCs/>
          <w:sz w:val="20"/>
          <w:szCs w:val="20"/>
        </w:rPr>
        <w:t>2,333,573</w:t>
      </w:r>
    </w:p>
    <w:p w14:paraId="565CE3F5" w14:textId="77777777" w:rsidR="000C2A54" w:rsidRPr="003061F1" w:rsidRDefault="000C2A54" w:rsidP="000C2A54">
      <w:pPr>
        <w:widowControl w:val="0"/>
        <w:tabs>
          <w:tab w:val="center" w:pos="5580"/>
          <w:tab w:val="right" w:pos="7371"/>
          <w:tab w:val="right" w:pos="9072"/>
        </w:tabs>
        <w:autoSpaceDE w:val="0"/>
        <w:autoSpaceDN w:val="0"/>
        <w:adjustRightInd w:val="0"/>
        <w:rPr>
          <w:sz w:val="20"/>
          <w:szCs w:val="20"/>
        </w:rPr>
      </w:pPr>
      <w:r w:rsidRPr="003061F1">
        <w:rPr>
          <w:rFonts w:cs="Arial"/>
          <w:sz w:val="20"/>
          <w:szCs w:val="20"/>
        </w:rPr>
        <w:tab/>
      </w:r>
      <w:r w:rsidRPr="003061F1">
        <w:rPr>
          <w:rFonts w:cs="Arial"/>
          <w:sz w:val="20"/>
          <w:szCs w:val="20"/>
        </w:rPr>
        <w:tab/>
      </w:r>
      <w:r w:rsidRPr="003061F1">
        <w:rPr>
          <w:rFonts w:ascii="Arial" w:hAnsi="Arial" w:cs="Arial"/>
          <w:sz w:val="20"/>
          <w:szCs w:val="20"/>
        </w:rPr>
        <w:t>─────────</w:t>
      </w:r>
      <w:r w:rsidRPr="003061F1">
        <w:rPr>
          <w:rFonts w:cs="Arial"/>
          <w:sz w:val="20"/>
          <w:szCs w:val="20"/>
        </w:rPr>
        <w:tab/>
      </w:r>
      <w:r w:rsidRPr="003061F1">
        <w:rPr>
          <w:rFonts w:ascii="Arial" w:hAnsi="Arial" w:cs="Arial"/>
          <w:sz w:val="20"/>
          <w:szCs w:val="20"/>
        </w:rPr>
        <w:t>─────────</w:t>
      </w:r>
    </w:p>
    <w:p w14:paraId="44A201B3" w14:textId="77777777" w:rsidR="000C2A54" w:rsidRPr="003061F1" w:rsidRDefault="000C2A54" w:rsidP="000C2A54">
      <w:pPr>
        <w:widowControl w:val="0"/>
        <w:tabs>
          <w:tab w:val="center" w:pos="5580"/>
          <w:tab w:val="right" w:pos="7371"/>
          <w:tab w:val="right" w:pos="9071"/>
        </w:tabs>
        <w:autoSpaceDE w:val="0"/>
        <w:autoSpaceDN w:val="0"/>
        <w:adjustRightInd w:val="0"/>
        <w:rPr>
          <w:rFonts w:cs="Arial"/>
          <w:b/>
          <w:bCs/>
          <w:sz w:val="20"/>
          <w:szCs w:val="20"/>
          <w:highlight w:val="yellow"/>
        </w:rPr>
      </w:pPr>
    </w:p>
    <w:p w14:paraId="162805C0" w14:textId="77777777" w:rsidR="000C2A54" w:rsidRPr="003061F1" w:rsidRDefault="000C2A54" w:rsidP="000C2A54">
      <w:pPr>
        <w:widowControl w:val="0"/>
        <w:tabs>
          <w:tab w:val="center" w:pos="5580"/>
          <w:tab w:val="right" w:pos="7371"/>
          <w:tab w:val="right" w:pos="9071"/>
        </w:tabs>
        <w:autoSpaceDE w:val="0"/>
        <w:autoSpaceDN w:val="0"/>
        <w:adjustRightInd w:val="0"/>
        <w:rPr>
          <w:rFonts w:cs="Arial"/>
          <w:b/>
          <w:bCs/>
          <w:sz w:val="20"/>
          <w:szCs w:val="20"/>
        </w:rPr>
      </w:pPr>
      <w:r w:rsidRPr="003061F1">
        <w:rPr>
          <w:rFonts w:cs="Arial"/>
          <w:b/>
          <w:bCs/>
          <w:sz w:val="20"/>
          <w:szCs w:val="20"/>
        </w:rPr>
        <w:t>Income</w:t>
      </w:r>
    </w:p>
    <w:p w14:paraId="18714270" w14:textId="6EB4DDD0" w:rsidR="000C2A54" w:rsidRPr="003061F1" w:rsidRDefault="000C2A54" w:rsidP="000C2A54">
      <w:pPr>
        <w:widowControl w:val="0"/>
        <w:tabs>
          <w:tab w:val="center" w:pos="5580"/>
          <w:tab w:val="right" w:pos="7371"/>
          <w:tab w:val="right" w:pos="9071"/>
        </w:tabs>
        <w:autoSpaceDE w:val="0"/>
        <w:autoSpaceDN w:val="0"/>
        <w:adjustRightInd w:val="0"/>
        <w:rPr>
          <w:rFonts w:cs="Arial"/>
          <w:sz w:val="20"/>
          <w:szCs w:val="20"/>
        </w:rPr>
      </w:pPr>
      <w:r w:rsidRPr="003061F1">
        <w:rPr>
          <w:rFonts w:cs="Arial"/>
          <w:sz w:val="20"/>
          <w:szCs w:val="20"/>
        </w:rPr>
        <w:t xml:space="preserve">Other income </w:t>
      </w:r>
      <w:r w:rsidRPr="003061F1">
        <w:rPr>
          <w:rFonts w:cs="Arial"/>
          <w:sz w:val="20"/>
          <w:szCs w:val="20"/>
        </w:rPr>
        <w:tab/>
      </w:r>
      <w:r w:rsidRPr="003061F1">
        <w:rPr>
          <w:rFonts w:cs="Arial"/>
          <w:b/>
          <w:bCs/>
          <w:sz w:val="20"/>
          <w:szCs w:val="20"/>
        </w:rPr>
        <w:t>5</w:t>
      </w:r>
      <w:r w:rsidRPr="003061F1">
        <w:rPr>
          <w:rFonts w:cs="Arial"/>
          <w:bCs/>
          <w:sz w:val="20"/>
          <w:szCs w:val="20"/>
        </w:rPr>
        <w:tab/>
      </w:r>
      <w:r w:rsidR="004A14D8">
        <w:rPr>
          <w:rFonts w:cs="Arial"/>
          <w:bCs/>
          <w:sz w:val="20"/>
          <w:szCs w:val="20"/>
        </w:rPr>
        <w:t>(</w:t>
      </w:r>
      <w:r w:rsidR="008460D1">
        <w:rPr>
          <w:rFonts w:cs="Arial"/>
          <w:bCs/>
          <w:sz w:val="20"/>
          <w:szCs w:val="20"/>
        </w:rPr>
        <w:t>7,702</w:t>
      </w:r>
      <w:r w:rsidR="004A14D8">
        <w:rPr>
          <w:rFonts w:cs="Arial"/>
          <w:bCs/>
          <w:sz w:val="20"/>
          <w:szCs w:val="20"/>
        </w:rPr>
        <w:t>)</w:t>
      </w:r>
      <w:r w:rsidR="003A3109">
        <w:rPr>
          <w:rFonts w:cs="Arial"/>
          <w:bCs/>
          <w:sz w:val="20"/>
          <w:szCs w:val="20"/>
        </w:rPr>
        <w:tab/>
        <w:t>0</w:t>
      </w:r>
    </w:p>
    <w:p w14:paraId="4C0E7231" w14:textId="77777777" w:rsidR="000C2A54" w:rsidRPr="003061F1" w:rsidRDefault="000C2A54" w:rsidP="000C2A54">
      <w:pPr>
        <w:widowControl w:val="0"/>
        <w:tabs>
          <w:tab w:val="center" w:pos="5580"/>
          <w:tab w:val="right" w:pos="7371"/>
          <w:tab w:val="right" w:pos="9072"/>
        </w:tabs>
        <w:autoSpaceDE w:val="0"/>
        <w:autoSpaceDN w:val="0"/>
        <w:adjustRightInd w:val="0"/>
        <w:rPr>
          <w:sz w:val="20"/>
          <w:szCs w:val="20"/>
        </w:rPr>
      </w:pPr>
      <w:r w:rsidRPr="003061F1">
        <w:rPr>
          <w:rFonts w:cs="Arial"/>
          <w:sz w:val="20"/>
          <w:szCs w:val="20"/>
        </w:rPr>
        <w:tab/>
      </w:r>
      <w:r w:rsidRPr="003061F1">
        <w:rPr>
          <w:rFonts w:cs="Arial"/>
          <w:sz w:val="20"/>
          <w:szCs w:val="20"/>
        </w:rPr>
        <w:tab/>
      </w:r>
      <w:r w:rsidRPr="003061F1">
        <w:rPr>
          <w:rFonts w:ascii="Arial" w:hAnsi="Arial" w:cs="Arial"/>
          <w:sz w:val="20"/>
          <w:szCs w:val="20"/>
        </w:rPr>
        <w:t>─────────</w:t>
      </w:r>
      <w:r w:rsidRPr="003061F1">
        <w:rPr>
          <w:rFonts w:cs="Arial"/>
          <w:sz w:val="20"/>
          <w:szCs w:val="20"/>
        </w:rPr>
        <w:tab/>
      </w:r>
      <w:r w:rsidRPr="003061F1">
        <w:rPr>
          <w:rFonts w:ascii="Arial" w:hAnsi="Arial" w:cs="Arial"/>
          <w:sz w:val="20"/>
          <w:szCs w:val="20"/>
        </w:rPr>
        <w:t>─────────</w:t>
      </w:r>
    </w:p>
    <w:p w14:paraId="42CA6476" w14:textId="7886F929" w:rsidR="008460D1" w:rsidRPr="008460D1" w:rsidRDefault="000C2A54" w:rsidP="000C2A54">
      <w:pPr>
        <w:widowControl w:val="0"/>
        <w:tabs>
          <w:tab w:val="center" w:pos="5580"/>
          <w:tab w:val="right" w:pos="7371"/>
          <w:tab w:val="right" w:pos="9071"/>
        </w:tabs>
        <w:autoSpaceDE w:val="0"/>
        <w:autoSpaceDN w:val="0"/>
        <w:adjustRightInd w:val="0"/>
        <w:rPr>
          <w:rFonts w:cs="Arial"/>
          <w:b/>
          <w:bCs/>
          <w:sz w:val="20"/>
          <w:szCs w:val="20"/>
        </w:rPr>
      </w:pPr>
      <w:r w:rsidRPr="003061F1">
        <w:rPr>
          <w:rFonts w:cs="Arial"/>
          <w:b/>
          <w:bCs/>
          <w:sz w:val="20"/>
          <w:szCs w:val="20"/>
        </w:rPr>
        <w:t xml:space="preserve">Total </w:t>
      </w:r>
      <w:r w:rsidR="007B768A">
        <w:rPr>
          <w:rFonts w:cs="Arial"/>
          <w:b/>
          <w:bCs/>
          <w:sz w:val="20"/>
          <w:szCs w:val="20"/>
        </w:rPr>
        <w:t xml:space="preserve">operating </w:t>
      </w:r>
      <w:r w:rsidRPr="003061F1">
        <w:rPr>
          <w:rFonts w:cs="Arial"/>
          <w:b/>
          <w:bCs/>
          <w:sz w:val="20"/>
          <w:szCs w:val="20"/>
        </w:rPr>
        <w:t xml:space="preserve">income </w:t>
      </w:r>
      <w:r w:rsidRPr="003061F1">
        <w:rPr>
          <w:rFonts w:cs="Arial"/>
          <w:b/>
          <w:bCs/>
          <w:sz w:val="20"/>
          <w:szCs w:val="20"/>
        </w:rPr>
        <w:tab/>
      </w:r>
      <w:r w:rsidRPr="003061F1">
        <w:rPr>
          <w:rFonts w:cs="Arial"/>
          <w:b/>
          <w:bCs/>
          <w:sz w:val="20"/>
          <w:szCs w:val="20"/>
        </w:rPr>
        <w:tab/>
      </w:r>
      <w:r w:rsidR="004A14D8">
        <w:rPr>
          <w:rFonts w:cs="Arial"/>
          <w:b/>
          <w:bCs/>
          <w:sz w:val="20"/>
          <w:szCs w:val="20"/>
        </w:rPr>
        <w:t>(</w:t>
      </w:r>
      <w:r w:rsidR="008460D1">
        <w:rPr>
          <w:rFonts w:cs="Arial"/>
          <w:b/>
          <w:bCs/>
          <w:sz w:val="20"/>
          <w:szCs w:val="20"/>
        </w:rPr>
        <w:t>7,702</w:t>
      </w:r>
      <w:r w:rsidR="004A14D8">
        <w:rPr>
          <w:rFonts w:cs="Arial"/>
          <w:b/>
          <w:bCs/>
          <w:sz w:val="20"/>
          <w:szCs w:val="20"/>
        </w:rPr>
        <w:t>)</w:t>
      </w:r>
      <w:r w:rsidR="003A3109">
        <w:rPr>
          <w:rFonts w:cs="Arial"/>
          <w:b/>
          <w:bCs/>
          <w:sz w:val="20"/>
          <w:szCs w:val="20"/>
        </w:rPr>
        <w:tab/>
        <w:t>0</w:t>
      </w:r>
    </w:p>
    <w:p w14:paraId="612E69A5" w14:textId="77777777" w:rsidR="000C2A54" w:rsidRPr="003061F1" w:rsidRDefault="000C2A54" w:rsidP="000C2A54">
      <w:pPr>
        <w:widowControl w:val="0"/>
        <w:tabs>
          <w:tab w:val="center" w:pos="5580"/>
          <w:tab w:val="right" w:pos="7371"/>
          <w:tab w:val="right" w:pos="9072"/>
        </w:tabs>
        <w:autoSpaceDE w:val="0"/>
        <w:autoSpaceDN w:val="0"/>
        <w:adjustRightInd w:val="0"/>
        <w:rPr>
          <w:rFonts w:cs="Arial"/>
          <w:sz w:val="20"/>
          <w:szCs w:val="20"/>
        </w:rPr>
      </w:pPr>
    </w:p>
    <w:p w14:paraId="4C97BFAC" w14:textId="77777777" w:rsidR="000C2A54" w:rsidRPr="003061F1" w:rsidRDefault="000C2A54" w:rsidP="000C2A54">
      <w:pPr>
        <w:widowControl w:val="0"/>
        <w:tabs>
          <w:tab w:val="center" w:pos="5580"/>
          <w:tab w:val="right" w:pos="7371"/>
          <w:tab w:val="right" w:pos="9072"/>
        </w:tabs>
        <w:autoSpaceDE w:val="0"/>
        <w:autoSpaceDN w:val="0"/>
        <w:adjustRightInd w:val="0"/>
        <w:rPr>
          <w:sz w:val="20"/>
          <w:szCs w:val="20"/>
        </w:rPr>
      </w:pPr>
      <w:r w:rsidRPr="003061F1">
        <w:rPr>
          <w:rFonts w:cs="Arial"/>
          <w:sz w:val="20"/>
          <w:szCs w:val="20"/>
        </w:rPr>
        <w:tab/>
      </w:r>
      <w:r w:rsidRPr="003061F1">
        <w:rPr>
          <w:rFonts w:cs="Arial"/>
          <w:sz w:val="20"/>
          <w:szCs w:val="20"/>
        </w:rPr>
        <w:tab/>
      </w:r>
      <w:r w:rsidRPr="003061F1">
        <w:rPr>
          <w:rFonts w:ascii="Arial" w:hAnsi="Arial" w:cs="Arial"/>
          <w:sz w:val="20"/>
          <w:szCs w:val="20"/>
        </w:rPr>
        <w:t>─────────</w:t>
      </w:r>
      <w:r w:rsidRPr="003061F1">
        <w:rPr>
          <w:rFonts w:cs="Arial"/>
          <w:sz w:val="20"/>
          <w:szCs w:val="20"/>
        </w:rPr>
        <w:tab/>
      </w:r>
      <w:r w:rsidRPr="003061F1">
        <w:rPr>
          <w:rFonts w:ascii="Arial" w:hAnsi="Arial" w:cs="Arial"/>
          <w:sz w:val="20"/>
          <w:szCs w:val="20"/>
        </w:rPr>
        <w:t>─────────</w:t>
      </w:r>
    </w:p>
    <w:p w14:paraId="74A1166D" w14:textId="42DB78EF" w:rsidR="000C2A54" w:rsidRPr="003061F1" w:rsidRDefault="00503D7F" w:rsidP="000C2A54">
      <w:pPr>
        <w:widowControl w:val="0"/>
        <w:tabs>
          <w:tab w:val="center" w:pos="5580"/>
          <w:tab w:val="right" w:pos="7371"/>
          <w:tab w:val="right" w:pos="9072"/>
        </w:tabs>
        <w:autoSpaceDE w:val="0"/>
        <w:autoSpaceDN w:val="0"/>
        <w:adjustRightInd w:val="0"/>
        <w:rPr>
          <w:b/>
          <w:sz w:val="20"/>
          <w:szCs w:val="20"/>
        </w:rPr>
      </w:pPr>
      <w:r>
        <w:rPr>
          <w:b/>
          <w:sz w:val="20"/>
          <w:szCs w:val="20"/>
        </w:rPr>
        <w:t>Net</w:t>
      </w:r>
      <w:r w:rsidR="007B768A">
        <w:rPr>
          <w:b/>
          <w:sz w:val="20"/>
          <w:szCs w:val="20"/>
        </w:rPr>
        <w:t xml:space="preserve"> operating e</w:t>
      </w:r>
      <w:r w:rsidR="000C2A54" w:rsidRPr="003061F1">
        <w:rPr>
          <w:b/>
          <w:sz w:val="20"/>
          <w:szCs w:val="20"/>
        </w:rPr>
        <w:t>xpenditure</w:t>
      </w:r>
      <w:r w:rsidR="000C2A54" w:rsidRPr="003061F1">
        <w:rPr>
          <w:b/>
          <w:sz w:val="20"/>
          <w:szCs w:val="20"/>
        </w:rPr>
        <w:tab/>
      </w:r>
      <w:r w:rsidR="000C2A54" w:rsidRPr="003061F1">
        <w:rPr>
          <w:b/>
          <w:sz w:val="20"/>
          <w:szCs w:val="20"/>
        </w:rPr>
        <w:tab/>
      </w:r>
      <w:r w:rsidR="00B55E87">
        <w:rPr>
          <w:b/>
          <w:sz w:val="20"/>
          <w:szCs w:val="20"/>
        </w:rPr>
        <w:t>2,</w:t>
      </w:r>
      <w:r w:rsidR="004A14D8">
        <w:rPr>
          <w:b/>
          <w:sz w:val="20"/>
          <w:szCs w:val="20"/>
        </w:rPr>
        <w:t>47</w:t>
      </w:r>
      <w:r w:rsidR="009D6D7C">
        <w:rPr>
          <w:b/>
          <w:sz w:val="20"/>
          <w:szCs w:val="20"/>
        </w:rPr>
        <w:t>2,487</w:t>
      </w:r>
      <w:r w:rsidR="000C2A54" w:rsidRPr="003061F1">
        <w:rPr>
          <w:b/>
          <w:sz w:val="20"/>
          <w:szCs w:val="20"/>
        </w:rPr>
        <w:tab/>
      </w:r>
      <w:r w:rsidR="004A14D8">
        <w:rPr>
          <w:b/>
          <w:sz w:val="20"/>
          <w:szCs w:val="20"/>
        </w:rPr>
        <w:t>2,333,573</w:t>
      </w:r>
    </w:p>
    <w:p w14:paraId="62E657D8" w14:textId="42BE56C7" w:rsidR="000C2A54" w:rsidRDefault="000C2A54" w:rsidP="000C2A54">
      <w:pPr>
        <w:widowControl w:val="0"/>
        <w:tabs>
          <w:tab w:val="center" w:pos="5580"/>
          <w:tab w:val="right" w:pos="7371"/>
          <w:tab w:val="right" w:pos="9072"/>
        </w:tabs>
        <w:autoSpaceDE w:val="0"/>
        <w:autoSpaceDN w:val="0"/>
        <w:adjustRightInd w:val="0"/>
        <w:rPr>
          <w:rFonts w:cs="Arial"/>
          <w:sz w:val="22"/>
          <w:szCs w:val="22"/>
        </w:rPr>
      </w:pPr>
      <w:r w:rsidRPr="003061F1">
        <w:rPr>
          <w:b/>
          <w:sz w:val="20"/>
          <w:szCs w:val="20"/>
        </w:rPr>
        <w:t>for the year ended 31 March</w:t>
      </w:r>
      <w:r w:rsidR="003A3109">
        <w:rPr>
          <w:b/>
          <w:sz w:val="20"/>
          <w:szCs w:val="20"/>
        </w:rPr>
        <w:t xml:space="preserve"> 202</w:t>
      </w:r>
      <w:r w:rsidR="004506F1">
        <w:rPr>
          <w:b/>
          <w:sz w:val="20"/>
          <w:szCs w:val="20"/>
        </w:rPr>
        <w:t>3</w:t>
      </w:r>
      <w:r w:rsidRPr="003061F1">
        <w:rPr>
          <w:rFonts w:cs="Arial"/>
          <w:b/>
          <w:bCs/>
          <w:sz w:val="20"/>
          <w:szCs w:val="20"/>
        </w:rPr>
        <w:tab/>
      </w:r>
      <w:r w:rsidRPr="003061F1">
        <w:rPr>
          <w:rFonts w:cs="Arial"/>
          <w:b/>
          <w:bCs/>
          <w:sz w:val="20"/>
          <w:szCs w:val="20"/>
        </w:rPr>
        <w:tab/>
      </w:r>
      <w:r w:rsidRPr="003061F1">
        <w:rPr>
          <w:rFonts w:cs="Arial"/>
          <w:sz w:val="20"/>
          <w:szCs w:val="20"/>
        </w:rPr>
        <w:t>─────────</w:t>
      </w:r>
      <w:r w:rsidRPr="00EB5423">
        <w:rPr>
          <w:rFonts w:cs="Arial"/>
          <w:sz w:val="22"/>
          <w:szCs w:val="22"/>
        </w:rPr>
        <w:tab/>
        <w:t>─────────</w:t>
      </w:r>
    </w:p>
    <w:p w14:paraId="3E0A307C" w14:textId="77777777" w:rsidR="008460D1" w:rsidRDefault="008460D1" w:rsidP="000C2A54">
      <w:pPr>
        <w:widowControl w:val="0"/>
        <w:tabs>
          <w:tab w:val="center" w:pos="5580"/>
          <w:tab w:val="right" w:pos="7371"/>
          <w:tab w:val="right" w:pos="9072"/>
        </w:tabs>
        <w:autoSpaceDE w:val="0"/>
        <w:autoSpaceDN w:val="0"/>
        <w:adjustRightInd w:val="0"/>
        <w:rPr>
          <w:rFonts w:cs="Arial"/>
          <w:sz w:val="22"/>
          <w:szCs w:val="22"/>
        </w:rPr>
      </w:pPr>
    </w:p>
    <w:p w14:paraId="0437C915" w14:textId="57CB8763" w:rsidR="008460D1" w:rsidRPr="008460D1" w:rsidRDefault="008460D1" w:rsidP="000C2A54">
      <w:pPr>
        <w:widowControl w:val="0"/>
        <w:tabs>
          <w:tab w:val="center" w:pos="5580"/>
          <w:tab w:val="right" w:pos="7371"/>
          <w:tab w:val="right" w:pos="9072"/>
        </w:tabs>
        <w:autoSpaceDE w:val="0"/>
        <w:autoSpaceDN w:val="0"/>
        <w:adjustRightInd w:val="0"/>
        <w:rPr>
          <w:rFonts w:cs="Arial"/>
          <w:b/>
          <w:bCs/>
          <w:sz w:val="20"/>
          <w:szCs w:val="20"/>
        </w:rPr>
      </w:pPr>
      <w:r w:rsidRPr="008460D1">
        <w:rPr>
          <w:rFonts w:cs="Arial"/>
          <w:b/>
          <w:bCs/>
          <w:sz w:val="20"/>
          <w:szCs w:val="20"/>
        </w:rPr>
        <w:t>Finance Income</w:t>
      </w:r>
    </w:p>
    <w:p w14:paraId="63CC8A16" w14:textId="75D3D73E" w:rsidR="008460D1" w:rsidRDefault="008460D1" w:rsidP="000C2A54">
      <w:pPr>
        <w:widowControl w:val="0"/>
        <w:tabs>
          <w:tab w:val="center" w:pos="5580"/>
          <w:tab w:val="right" w:pos="7371"/>
          <w:tab w:val="right" w:pos="9072"/>
        </w:tabs>
        <w:autoSpaceDE w:val="0"/>
        <w:autoSpaceDN w:val="0"/>
        <w:adjustRightInd w:val="0"/>
        <w:rPr>
          <w:rFonts w:cs="Arial"/>
          <w:sz w:val="20"/>
          <w:szCs w:val="20"/>
        </w:rPr>
      </w:pPr>
      <w:r w:rsidRPr="008460D1">
        <w:rPr>
          <w:rFonts w:cs="Arial"/>
          <w:sz w:val="20"/>
          <w:szCs w:val="20"/>
        </w:rPr>
        <w:t>Interest Receivable</w:t>
      </w:r>
      <w:r w:rsidRPr="008460D1">
        <w:rPr>
          <w:rFonts w:cs="Arial"/>
          <w:sz w:val="20"/>
          <w:szCs w:val="20"/>
        </w:rPr>
        <w:tab/>
      </w:r>
      <w:r w:rsidRPr="008460D1">
        <w:rPr>
          <w:rFonts w:cs="Arial"/>
          <w:sz w:val="20"/>
          <w:szCs w:val="20"/>
        </w:rPr>
        <w:tab/>
      </w:r>
      <w:r>
        <w:rPr>
          <w:rFonts w:cs="Arial"/>
          <w:sz w:val="20"/>
          <w:szCs w:val="20"/>
        </w:rPr>
        <w:t>(3,810)</w:t>
      </w:r>
      <w:r w:rsidRPr="008460D1">
        <w:rPr>
          <w:rFonts w:cs="Arial"/>
          <w:sz w:val="20"/>
          <w:szCs w:val="20"/>
        </w:rPr>
        <w:tab/>
        <w:t>0</w:t>
      </w:r>
    </w:p>
    <w:p w14:paraId="6C5496D2" w14:textId="77777777" w:rsidR="008460D1" w:rsidRDefault="008460D1" w:rsidP="000C2A54">
      <w:pPr>
        <w:widowControl w:val="0"/>
        <w:tabs>
          <w:tab w:val="center" w:pos="5580"/>
          <w:tab w:val="right" w:pos="7371"/>
          <w:tab w:val="right" w:pos="9072"/>
        </w:tabs>
        <w:autoSpaceDE w:val="0"/>
        <w:autoSpaceDN w:val="0"/>
        <w:adjustRightInd w:val="0"/>
        <w:rPr>
          <w:rFonts w:cs="Arial"/>
          <w:sz w:val="20"/>
          <w:szCs w:val="20"/>
        </w:rPr>
      </w:pPr>
    </w:p>
    <w:p w14:paraId="45D875CD" w14:textId="58076687" w:rsidR="008460D1" w:rsidRPr="008460D1" w:rsidRDefault="008460D1" w:rsidP="000C2A54">
      <w:pPr>
        <w:widowControl w:val="0"/>
        <w:tabs>
          <w:tab w:val="center" w:pos="5580"/>
          <w:tab w:val="right" w:pos="7371"/>
          <w:tab w:val="right" w:pos="9072"/>
        </w:tabs>
        <w:autoSpaceDE w:val="0"/>
        <w:autoSpaceDN w:val="0"/>
        <w:adjustRightInd w:val="0"/>
        <w:rPr>
          <w:rFonts w:cs="Arial"/>
          <w:b/>
          <w:bCs/>
          <w:sz w:val="20"/>
          <w:szCs w:val="20"/>
        </w:rPr>
      </w:pPr>
      <w:r w:rsidRPr="008460D1">
        <w:rPr>
          <w:rFonts w:cs="Arial"/>
          <w:b/>
          <w:bCs/>
          <w:sz w:val="20"/>
          <w:szCs w:val="20"/>
        </w:rPr>
        <w:t>Finance Expense</w:t>
      </w:r>
    </w:p>
    <w:p w14:paraId="0802EF90" w14:textId="12FC672E" w:rsidR="008460D1" w:rsidRPr="008460D1" w:rsidRDefault="008460D1" w:rsidP="008460D1">
      <w:pPr>
        <w:widowControl w:val="0"/>
        <w:tabs>
          <w:tab w:val="center" w:pos="5580"/>
          <w:tab w:val="left" w:pos="6195"/>
          <w:tab w:val="right" w:pos="7371"/>
          <w:tab w:val="left" w:pos="7605"/>
          <w:tab w:val="right" w:pos="9072"/>
        </w:tabs>
        <w:autoSpaceDE w:val="0"/>
        <w:autoSpaceDN w:val="0"/>
        <w:adjustRightInd w:val="0"/>
        <w:rPr>
          <w:rFonts w:cs="Arial"/>
          <w:b/>
          <w:bCs/>
          <w:sz w:val="20"/>
          <w:szCs w:val="20"/>
        </w:rPr>
      </w:pPr>
      <w:r>
        <w:rPr>
          <w:rFonts w:cs="Arial"/>
          <w:sz w:val="20"/>
          <w:szCs w:val="20"/>
        </w:rPr>
        <w:t>Finance expense on lease liabilit</w:t>
      </w:r>
      <w:r w:rsidR="002D47AF">
        <w:rPr>
          <w:rFonts w:cs="Arial"/>
          <w:sz w:val="20"/>
          <w:szCs w:val="20"/>
        </w:rPr>
        <w:t>ies</w:t>
      </w:r>
      <w:r>
        <w:rPr>
          <w:rFonts w:cs="Arial"/>
          <w:sz w:val="20"/>
          <w:szCs w:val="20"/>
        </w:rPr>
        <w:tab/>
      </w:r>
      <w:r w:rsidR="00EF4A8A">
        <w:rPr>
          <w:rFonts w:cs="Arial"/>
          <w:b/>
          <w:bCs/>
          <w:sz w:val="20"/>
          <w:szCs w:val="20"/>
        </w:rPr>
        <w:t>7</w:t>
      </w:r>
      <w:r>
        <w:rPr>
          <w:rFonts w:cs="Arial"/>
          <w:sz w:val="20"/>
          <w:szCs w:val="20"/>
        </w:rPr>
        <w:tab/>
      </w:r>
      <w:r w:rsidRPr="008460D1">
        <w:rPr>
          <w:rFonts w:cs="Arial"/>
          <w:sz w:val="20"/>
          <w:szCs w:val="20"/>
          <w:u w:val="single"/>
        </w:rPr>
        <w:tab/>
      </w:r>
      <w:r w:rsidR="009D6D7C">
        <w:rPr>
          <w:rFonts w:cs="Arial"/>
          <w:sz w:val="20"/>
          <w:szCs w:val="20"/>
          <w:u w:val="single"/>
        </w:rPr>
        <w:t>7,568</w:t>
      </w:r>
      <w:r w:rsidRPr="008460D1">
        <w:rPr>
          <w:rFonts w:cs="Arial"/>
          <w:sz w:val="20"/>
          <w:szCs w:val="20"/>
        </w:rPr>
        <w:tab/>
      </w:r>
      <w:r>
        <w:rPr>
          <w:rFonts w:cs="Arial"/>
          <w:sz w:val="20"/>
          <w:szCs w:val="20"/>
          <w:u w:val="single"/>
        </w:rPr>
        <w:tab/>
      </w:r>
      <w:r w:rsidRPr="008460D1">
        <w:rPr>
          <w:rFonts w:cs="Arial"/>
          <w:sz w:val="20"/>
          <w:szCs w:val="20"/>
          <w:u w:val="single"/>
        </w:rPr>
        <w:t>0</w:t>
      </w:r>
    </w:p>
    <w:p w14:paraId="39C4EA3D" w14:textId="117948C1" w:rsidR="000C2A54" w:rsidRPr="008460D1" w:rsidRDefault="008460D1" w:rsidP="000C2A54">
      <w:pPr>
        <w:widowControl w:val="0"/>
        <w:tabs>
          <w:tab w:val="center" w:pos="5529"/>
          <w:tab w:val="right" w:pos="7371"/>
          <w:tab w:val="right" w:pos="9356"/>
        </w:tabs>
        <w:autoSpaceDE w:val="0"/>
        <w:autoSpaceDN w:val="0"/>
        <w:adjustRightInd w:val="0"/>
        <w:rPr>
          <w:b/>
          <w:bCs/>
          <w:sz w:val="20"/>
          <w:szCs w:val="20"/>
        </w:rPr>
      </w:pPr>
      <w:r>
        <w:rPr>
          <w:b/>
          <w:bCs/>
          <w:sz w:val="20"/>
          <w:szCs w:val="20"/>
        </w:rPr>
        <w:t xml:space="preserve">Net Expenditure for the year  </w:t>
      </w:r>
      <w:r>
        <w:rPr>
          <w:b/>
          <w:bCs/>
          <w:sz w:val="20"/>
          <w:szCs w:val="20"/>
        </w:rPr>
        <w:tab/>
      </w:r>
      <w:r>
        <w:rPr>
          <w:b/>
          <w:bCs/>
          <w:sz w:val="20"/>
          <w:szCs w:val="20"/>
        </w:rPr>
        <w:tab/>
        <w:t>2,476</w:t>
      </w:r>
      <w:r w:rsidR="009D6D7C">
        <w:rPr>
          <w:b/>
          <w:bCs/>
          <w:sz w:val="20"/>
          <w:szCs w:val="20"/>
        </w:rPr>
        <w:t>,245</w:t>
      </w:r>
      <w:r>
        <w:rPr>
          <w:b/>
          <w:bCs/>
          <w:sz w:val="20"/>
          <w:szCs w:val="20"/>
        </w:rPr>
        <w:tab/>
        <w:t>2,333,573</w:t>
      </w:r>
    </w:p>
    <w:p w14:paraId="0BC19698" w14:textId="77777777" w:rsidR="008460D1" w:rsidRDefault="008460D1" w:rsidP="000C2A54">
      <w:pPr>
        <w:widowControl w:val="0"/>
        <w:tabs>
          <w:tab w:val="center" w:pos="5529"/>
          <w:tab w:val="right" w:pos="7371"/>
          <w:tab w:val="right" w:pos="9356"/>
        </w:tabs>
        <w:autoSpaceDE w:val="0"/>
        <w:autoSpaceDN w:val="0"/>
        <w:adjustRightInd w:val="0"/>
        <w:rPr>
          <w:sz w:val="22"/>
          <w:szCs w:val="22"/>
        </w:rPr>
      </w:pPr>
    </w:p>
    <w:p w14:paraId="525AE7CC" w14:textId="77777777" w:rsidR="00A80D37" w:rsidRPr="00251E9E" w:rsidRDefault="00A80D37" w:rsidP="000C2A54">
      <w:pPr>
        <w:widowControl w:val="0"/>
        <w:tabs>
          <w:tab w:val="center" w:pos="5529"/>
          <w:tab w:val="right" w:pos="7371"/>
          <w:tab w:val="right" w:pos="9356"/>
        </w:tabs>
        <w:autoSpaceDE w:val="0"/>
        <w:autoSpaceDN w:val="0"/>
        <w:adjustRightInd w:val="0"/>
        <w:rPr>
          <w:b/>
          <w:color w:val="auto"/>
          <w:sz w:val="20"/>
          <w:szCs w:val="20"/>
        </w:rPr>
      </w:pPr>
      <w:r w:rsidRPr="00251E9E">
        <w:rPr>
          <w:b/>
          <w:color w:val="auto"/>
          <w:sz w:val="20"/>
          <w:szCs w:val="20"/>
        </w:rPr>
        <w:t>Other comprehensive net expenditure</w:t>
      </w:r>
    </w:p>
    <w:p w14:paraId="047B5B73" w14:textId="77777777" w:rsidR="00A80D37" w:rsidRPr="00251E9E" w:rsidRDefault="00A80D37" w:rsidP="000C2A54">
      <w:pPr>
        <w:widowControl w:val="0"/>
        <w:tabs>
          <w:tab w:val="center" w:pos="5529"/>
          <w:tab w:val="right" w:pos="7371"/>
          <w:tab w:val="right" w:pos="9356"/>
        </w:tabs>
        <w:autoSpaceDE w:val="0"/>
        <w:autoSpaceDN w:val="0"/>
        <w:adjustRightInd w:val="0"/>
        <w:rPr>
          <w:b/>
          <w:color w:val="auto"/>
          <w:sz w:val="20"/>
          <w:szCs w:val="20"/>
        </w:rPr>
      </w:pPr>
    </w:p>
    <w:p w14:paraId="0B6FF231" w14:textId="7063B1B2" w:rsidR="00503D7F" w:rsidRPr="007544D5" w:rsidRDefault="00A80D37" w:rsidP="000C2A54">
      <w:pPr>
        <w:widowControl w:val="0"/>
        <w:tabs>
          <w:tab w:val="right" w:pos="7371"/>
          <w:tab w:val="right" w:pos="9071"/>
        </w:tabs>
        <w:autoSpaceDE w:val="0"/>
        <w:autoSpaceDN w:val="0"/>
        <w:adjustRightInd w:val="0"/>
        <w:rPr>
          <w:rFonts w:cs="Arial"/>
          <w:b/>
          <w:color w:val="auto"/>
          <w:sz w:val="20"/>
          <w:szCs w:val="20"/>
        </w:rPr>
      </w:pPr>
      <w:r w:rsidRPr="00251E9E">
        <w:rPr>
          <w:rFonts w:cs="Arial"/>
          <w:bCs/>
          <w:color w:val="auto"/>
          <w:sz w:val="20"/>
          <w:szCs w:val="20"/>
        </w:rPr>
        <w:t xml:space="preserve">Net </w:t>
      </w:r>
      <w:r w:rsidR="00737D30">
        <w:rPr>
          <w:rFonts w:cs="Arial"/>
          <w:bCs/>
          <w:color w:val="auto"/>
          <w:sz w:val="20"/>
          <w:szCs w:val="20"/>
        </w:rPr>
        <w:t>(gain)/</w:t>
      </w:r>
      <w:r w:rsidRPr="00251E9E">
        <w:rPr>
          <w:rFonts w:cs="Arial"/>
          <w:bCs/>
          <w:color w:val="auto"/>
          <w:sz w:val="20"/>
          <w:szCs w:val="20"/>
        </w:rPr>
        <w:t xml:space="preserve">loss on revaluation of property, plant and </w:t>
      </w:r>
      <w:r w:rsidR="007544D5">
        <w:rPr>
          <w:rFonts w:cs="Arial"/>
          <w:bCs/>
          <w:color w:val="auto"/>
          <w:sz w:val="20"/>
          <w:szCs w:val="20"/>
        </w:rPr>
        <w:t xml:space="preserve"> </w:t>
      </w:r>
      <w:r w:rsidR="007544D5">
        <w:rPr>
          <w:rFonts w:cs="Arial"/>
          <w:b/>
          <w:color w:val="auto"/>
          <w:sz w:val="20"/>
          <w:szCs w:val="20"/>
        </w:rPr>
        <w:t>6</w:t>
      </w:r>
    </w:p>
    <w:p w14:paraId="60AB0A1B" w14:textId="64621ADA" w:rsidR="00654B06" w:rsidRDefault="00503D7F" w:rsidP="00201F9C">
      <w:pPr>
        <w:widowControl w:val="0"/>
        <w:tabs>
          <w:tab w:val="right" w:pos="7371"/>
          <w:tab w:val="right" w:pos="9071"/>
        </w:tabs>
        <w:autoSpaceDE w:val="0"/>
        <w:autoSpaceDN w:val="0"/>
        <w:adjustRightInd w:val="0"/>
        <w:rPr>
          <w:rFonts w:cs="Arial"/>
          <w:bCs/>
          <w:color w:val="auto"/>
          <w:sz w:val="20"/>
          <w:szCs w:val="20"/>
        </w:rPr>
      </w:pPr>
      <w:r w:rsidRPr="00251E9E">
        <w:rPr>
          <w:rFonts w:cs="Arial"/>
          <w:bCs/>
          <w:color w:val="auto"/>
          <w:sz w:val="20"/>
          <w:szCs w:val="20"/>
        </w:rPr>
        <w:t>E</w:t>
      </w:r>
      <w:r w:rsidR="00654B06">
        <w:rPr>
          <w:rFonts w:cs="Arial"/>
          <w:bCs/>
          <w:color w:val="auto"/>
          <w:sz w:val="20"/>
          <w:szCs w:val="20"/>
        </w:rPr>
        <w:t>quipment</w:t>
      </w:r>
      <w:r w:rsidR="00654B06" w:rsidRPr="00251E9E">
        <w:rPr>
          <w:rFonts w:cs="Arial"/>
          <w:bCs/>
          <w:color w:val="auto"/>
          <w:sz w:val="20"/>
          <w:szCs w:val="20"/>
        </w:rPr>
        <w:t xml:space="preserve">                                          </w:t>
      </w:r>
      <w:r w:rsidR="008D0E8C">
        <w:rPr>
          <w:rFonts w:cs="Arial"/>
          <w:bCs/>
          <w:color w:val="auto"/>
          <w:sz w:val="20"/>
          <w:szCs w:val="20"/>
        </w:rPr>
        <w:t xml:space="preserve">                    </w:t>
      </w:r>
      <w:r w:rsidR="00654B06" w:rsidRPr="00201F9C">
        <w:rPr>
          <w:rFonts w:cs="Arial"/>
          <w:b/>
          <w:bCs/>
          <w:color w:val="auto"/>
          <w:sz w:val="20"/>
          <w:szCs w:val="20"/>
        </w:rPr>
        <w:t xml:space="preserve">         </w:t>
      </w:r>
      <w:r w:rsidR="003A3109">
        <w:rPr>
          <w:rFonts w:cs="Arial"/>
          <w:b/>
          <w:bCs/>
          <w:color w:val="auto"/>
          <w:sz w:val="20"/>
          <w:szCs w:val="20"/>
          <w:u w:val="single"/>
        </w:rPr>
        <w:t xml:space="preserve">    </w:t>
      </w:r>
      <w:r w:rsidR="00654B06" w:rsidRPr="00201F9C">
        <w:rPr>
          <w:rFonts w:cs="Arial"/>
          <w:bCs/>
          <w:color w:val="auto"/>
          <w:sz w:val="20"/>
          <w:szCs w:val="20"/>
          <w:u w:val="single"/>
        </w:rPr>
        <w:t xml:space="preserve"> </w:t>
      </w:r>
      <w:r w:rsidR="00654B06" w:rsidRPr="00201F9C">
        <w:rPr>
          <w:rFonts w:cs="Arial"/>
          <w:bCs/>
          <w:color w:val="auto"/>
          <w:sz w:val="20"/>
          <w:szCs w:val="20"/>
          <w:u w:val="single"/>
        </w:rPr>
        <w:tab/>
      </w:r>
      <w:r w:rsidR="0027305F">
        <w:rPr>
          <w:rFonts w:cs="Arial"/>
          <w:bCs/>
          <w:color w:val="auto"/>
          <w:sz w:val="20"/>
          <w:szCs w:val="20"/>
          <w:u w:val="single"/>
        </w:rPr>
        <w:t xml:space="preserve">  </w:t>
      </w:r>
      <w:r w:rsidR="003A3109">
        <w:rPr>
          <w:rFonts w:cs="Arial"/>
          <w:bCs/>
          <w:color w:val="auto"/>
          <w:sz w:val="20"/>
          <w:szCs w:val="20"/>
          <w:u w:val="single"/>
        </w:rPr>
        <w:t>(</w:t>
      </w:r>
      <w:r w:rsidR="004A14D8">
        <w:rPr>
          <w:rFonts w:cs="Arial"/>
          <w:bCs/>
          <w:color w:val="auto"/>
          <w:sz w:val="20"/>
          <w:szCs w:val="20"/>
          <w:u w:val="single"/>
        </w:rPr>
        <w:t>41,203</w:t>
      </w:r>
      <w:r w:rsidR="003A3109">
        <w:rPr>
          <w:rFonts w:cs="Arial"/>
          <w:bCs/>
          <w:color w:val="auto"/>
          <w:sz w:val="20"/>
          <w:szCs w:val="20"/>
          <w:u w:val="single"/>
        </w:rPr>
        <w:t>)</w:t>
      </w:r>
      <w:r w:rsidR="00201F9C" w:rsidRPr="00201F9C">
        <w:rPr>
          <w:rFonts w:cs="Arial"/>
          <w:bCs/>
          <w:color w:val="auto"/>
          <w:sz w:val="20"/>
          <w:szCs w:val="20"/>
          <w:u w:val="single"/>
        </w:rPr>
        <w:tab/>
      </w:r>
      <w:r w:rsidR="004A14D8">
        <w:rPr>
          <w:rFonts w:cs="Arial"/>
          <w:bCs/>
          <w:color w:val="auto"/>
          <w:sz w:val="20"/>
          <w:szCs w:val="20"/>
          <w:u w:val="single"/>
        </w:rPr>
        <w:t>(29,403)</w:t>
      </w:r>
      <w:r w:rsidR="00654B06" w:rsidRPr="00251E9E">
        <w:rPr>
          <w:rFonts w:cs="Arial"/>
          <w:bCs/>
          <w:color w:val="auto"/>
          <w:sz w:val="20"/>
          <w:szCs w:val="20"/>
          <w:u w:val="single"/>
        </w:rPr>
        <w:t xml:space="preserve">    </w:t>
      </w:r>
    </w:p>
    <w:p w14:paraId="1CAF9284" w14:textId="77777777" w:rsidR="00A80D37" w:rsidRDefault="00503D7F" w:rsidP="000C2A54">
      <w:pPr>
        <w:widowControl w:val="0"/>
        <w:tabs>
          <w:tab w:val="right" w:pos="7371"/>
          <w:tab w:val="right" w:pos="9071"/>
        </w:tabs>
        <w:autoSpaceDE w:val="0"/>
        <w:autoSpaceDN w:val="0"/>
        <w:adjustRightInd w:val="0"/>
        <w:rPr>
          <w:rFonts w:cs="Arial"/>
          <w:bCs/>
          <w:color w:val="auto"/>
          <w:sz w:val="20"/>
          <w:szCs w:val="20"/>
        </w:rPr>
      </w:pPr>
      <w:r w:rsidRPr="00251E9E">
        <w:rPr>
          <w:rFonts w:cs="Arial"/>
          <w:bCs/>
          <w:color w:val="auto"/>
          <w:sz w:val="20"/>
          <w:szCs w:val="20"/>
          <w:u w:val="single"/>
        </w:rPr>
        <w:t xml:space="preserve">  </w:t>
      </w:r>
      <w:r w:rsidR="00251E9E">
        <w:rPr>
          <w:rFonts w:cs="Arial"/>
          <w:bCs/>
          <w:color w:val="auto"/>
          <w:sz w:val="20"/>
          <w:szCs w:val="20"/>
        </w:rPr>
        <w:br/>
      </w:r>
    </w:p>
    <w:p w14:paraId="16948A3A" w14:textId="18A352EB" w:rsidR="000C2A54" w:rsidRDefault="00A80D37" w:rsidP="000C2A54">
      <w:pPr>
        <w:widowControl w:val="0"/>
        <w:tabs>
          <w:tab w:val="right" w:pos="7371"/>
          <w:tab w:val="right" w:pos="9071"/>
        </w:tabs>
        <w:autoSpaceDE w:val="0"/>
        <w:autoSpaceDN w:val="0"/>
        <w:adjustRightInd w:val="0"/>
        <w:rPr>
          <w:rFonts w:cs="Arial"/>
          <w:b/>
          <w:bCs/>
          <w:sz w:val="20"/>
          <w:szCs w:val="20"/>
        </w:rPr>
      </w:pPr>
      <w:r w:rsidRPr="00251E9E">
        <w:rPr>
          <w:b/>
          <w:color w:val="auto"/>
          <w:sz w:val="20"/>
          <w:szCs w:val="20"/>
        </w:rPr>
        <w:t>Comprehensive net expenditure for the year</w:t>
      </w:r>
      <w:r w:rsidR="00503D7F" w:rsidRPr="00251E9E">
        <w:rPr>
          <w:b/>
          <w:color w:val="auto"/>
          <w:sz w:val="20"/>
          <w:szCs w:val="20"/>
        </w:rPr>
        <w:t xml:space="preserve">  </w:t>
      </w:r>
      <w:r w:rsidR="00503D7F" w:rsidRPr="00251E9E">
        <w:rPr>
          <w:b/>
          <w:color w:val="auto"/>
          <w:sz w:val="20"/>
          <w:szCs w:val="20"/>
        </w:rPr>
        <w:tab/>
      </w:r>
      <w:r w:rsidR="004A14D8">
        <w:rPr>
          <w:b/>
          <w:color w:val="auto"/>
          <w:sz w:val="20"/>
          <w:szCs w:val="20"/>
        </w:rPr>
        <w:t xml:space="preserve">  </w:t>
      </w:r>
      <w:r w:rsidR="00A672F7">
        <w:rPr>
          <w:b/>
          <w:color w:val="auto"/>
          <w:sz w:val="20"/>
          <w:szCs w:val="20"/>
          <w:u w:val="single"/>
        </w:rPr>
        <w:t>2,</w:t>
      </w:r>
      <w:r w:rsidR="004A14D8">
        <w:rPr>
          <w:b/>
          <w:color w:val="auto"/>
          <w:sz w:val="20"/>
          <w:szCs w:val="20"/>
          <w:u w:val="single"/>
        </w:rPr>
        <w:t>435,</w:t>
      </w:r>
      <w:r w:rsidR="009D6D7C">
        <w:rPr>
          <w:b/>
          <w:color w:val="auto"/>
          <w:sz w:val="20"/>
          <w:szCs w:val="20"/>
          <w:u w:val="single"/>
        </w:rPr>
        <w:t>042</w:t>
      </w:r>
      <w:r w:rsidR="000C2A54" w:rsidRPr="00251E9E">
        <w:rPr>
          <w:rFonts w:cs="Arial"/>
          <w:b/>
          <w:bCs/>
          <w:color w:val="auto"/>
          <w:sz w:val="22"/>
          <w:szCs w:val="22"/>
        </w:rPr>
        <w:tab/>
      </w:r>
      <w:r w:rsidR="004A14D8">
        <w:rPr>
          <w:rFonts w:cs="Arial"/>
          <w:b/>
          <w:bCs/>
          <w:color w:val="auto"/>
          <w:sz w:val="20"/>
          <w:szCs w:val="20"/>
          <w:u w:val="single"/>
        </w:rPr>
        <w:t>2,304,170</w:t>
      </w:r>
    </w:p>
    <w:p w14:paraId="5B87965B" w14:textId="77777777" w:rsidR="00600AD1" w:rsidRPr="00600AD1" w:rsidRDefault="00600AD1" w:rsidP="000C2A54">
      <w:pPr>
        <w:widowControl w:val="0"/>
        <w:tabs>
          <w:tab w:val="right" w:pos="7371"/>
          <w:tab w:val="right" w:pos="9071"/>
        </w:tabs>
        <w:autoSpaceDE w:val="0"/>
        <w:autoSpaceDN w:val="0"/>
        <w:adjustRightInd w:val="0"/>
        <w:rPr>
          <w:b/>
          <w:color w:val="FF0000"/>
          <w:sz w:val="20"/>
          <w:szCs w:val="20"/>
        </w:rPr>
      </w:pPr>
    </w:p>
    <w:p w14:paraId="7B9FFF3D" w14:textId="77777777" w:rsidR="000C2A54" w:rsidRPr="00AC49A1" w:rsidRDefault="00600AD1" w:rsidP="000C2A54">
      <w:pPr>
        <w:widowControl w:val="0"/>
        <w:tabs>
          <w:tab w:val="center" w:pos="5529"/>
          <w:tab w:val="right" w:pos="7371"/>
          <w:tab w:val="right" w:pos="9356"/>
        </w:tabs>
        <w:autoSpaceDE w:val="0"/>
        <w:autoSpaceDN w:val="0"/>
        <w:adjustRightInd w:val="0"/>
        <w:rPr>
          <w:sz w:val="22"/>
          <w:szCs w:val="22"/>
        </w:rPr>
      </w:pPr>
      <w:r>
        <w:rPr>
          <w:sz w:val="22"/>
          <w:szCs w:val="22"/>
        </w:rPr>
        <w:tab/>
      </w:r>
      <w:r>
        <w:rPr>
          <w:sz w:val="22"/>
          <w:szCs w:val="22"/>
        </w:rPr>
        <w:tab/>
      </w:r>
    </w:p>
    <w:p w14:paraId="440FD3BA" w14:textId="77777777" w:rsidR="000C2A54" w:rsidRPr="00EB5423" w:rsidRDefault="000C2A54" w:rsidP="000C2A54">
      <w:pPr>
        <w:widowControl w:val="0"/>
        <w:tabs>
          <w:tab w:val="center" w:pos="5529"/>
          <w:tab w:val="right" w:pos="7371"/>
          <w:tab w:val="right" w:pos="9356"/>
        </w:tabs>
        <w:autoSpaceDE w:val="0"/>
        <w:autoSpaceDN w:val="0"/>
        <w:adjustRightInd w:val="0"/>
        <w:rPr>
          <w:sz w:val="22"/>
          <w:szCs w:val="22"/>
        </w:rPr>
      </w:pPr>
      <w:r w:rsidRPr="00EB5423">
        <w:rPr>
          <w:sz w:val="22"/>
          <w:szCs w:val="22"/>
        </w:rPr>
        <w:t>All amounts above relate to continuing activities.</w:t>
      </w:r>
    </w:p>
    <w:p w14:paraId="2E3A571F" w14:textId="77777777" w:rsidR="000C2A54" w:rsidRPr="00EB5423" w:rsidRDefault="000C2A54" w:rsidP="000C2A54">
      <w:pPr>
        <w:widowControl w:val="0"/>
        <w:tabs>
          <w:tab w:val="center" w:pos="5529"/>
          <w:tab w:val="right" w:pos="7371"/>
          <w:tab w:val="right" w:pos="9356"/>
        </w:tabs>
        <w:autoSpaceDE w:val="0"/>
        <w:autoSpaceDN w:val="0"/>
        <w:adjustRightInd w:val="0"/>
        <w:rPr>
          <w:sz w:val="22"/>
          <w:szCs w:val="22"/>
        </w:rPr>
      </w:pPr>
    </w:p>
    <w:p w14:paraId="0F2CFDDB" w14:textId="7F7F1BC9" w:rsidR="000C2A54" w:rsidRPr="00EB5423" w:rsidRDefault="000C2A54" w:rsidP="000C2A54">
      <w:pPr>
        <w:widowControl w:val="0"/>
        <w:tabs>
          <w:tab w:val="center" w:pos="6096"/>
          <w:tab w:val="right" w:pos="7797"/>
          <w:tab w:val="right" w:pos="9356"/>
        </w:tabs>
        <w:autoSpaceDE w:val="0"/>
        <w:autoSpaceDN w:val="0"/>
        <w:adjustRightInd w:val="0"/>
        <w:rPr>
          <w:sz w:val="22"/>
          <w:szCs w:val="22"/>
        </w:rPr>
      </w:pPr>
      <w:r w:rsidRPr="00EB5423">
        <w:rPr>
          <w:sz w:val="22"/>
          <w:szCs w:val="22"/>
        </w:rPr>
        <w:t xml:space="preserve">The notes on pages </w:t>
      </w:r>
      <w:r w:rsidR="00320CF6">
        <w:rPr>
          <w:sz w:val="22"/>
          <w:szCs w:val="22"/>
        </w:rPr>
        <w:t>66</w:t>
      </w:r>
      <w:r w:rsidR="00863A80" w:rsidRPr="00EB5423">
        <w:rPr>
          <w:sz w:val="22"/>
          <w:szCs w:val="22"/>
        </w:rPr>
        <w:t xml:space="preserve"> </w:t>
      </w:r>
      <w:r w:rsidR="00C529B8">
        <w:rPr>
          <w:sz w:val="22"/>
          <w:szCs w:val="22"/>
        </w:rPr>
        <w:t xml:space="preserve">to </w:t>
      </w:r>
      <w:r w:rsidR="00320CF6">
        <w:rPr>
          <w:sz w:val="22"/>
          <w:szCs w:val="22"/>
        </w:rPr>
        <w:t>84</w:t>
      </w:r>
      <w:r w:rsidR="00863A80" w:rsidRPr="00EB5423">
        <w:rPr>
          <w:sz w:val="22"/>
          <w:szCs w:val="22"/>
        </w:rPr>
        <w:t xml:space="preserve"> </w:t>
      </w:r>
      <w:r w:rsidRPr="00EB5423">
        <w:rPr>
          <w:sz w:val="22"/>
          <w:szCs w:val="22"/>
        </w:rPr>
        <w:t>form part of the financial statements.</w:t>
      </w:r>
    </w:p>
    <w:p w14:paraId="4C1379DF" w14:textId="77777777" w:rsidR="000C2A54" w:rsidRDefault="000C2A54" w:rsidP="000C2A54">
      <w:pPr>
        <w:jc w:val="center"/>
      </w:pPr>
      <w:r w:rsidRPr="00351DFE">
        <w:rPr>
          <w:b/>
        </w:rPr>
        <w:br w:type="page"/>
      </w:r>
    </w:p>
    <w:p w14:paraId="22374C83" w14:textId="3E539C47" w:rsidR="000C2A54" w:rsidRPr="00EB5423" w:rsidRDefault="008C73A2" w:rsidP="000C2A54">
      <w:pPr>
        <w:jc w:val="center"/>
        <w:rPr>
          <w:b/>
        </w:rPr>
      </w:pPr>
      <w:bookmarkStart w:id="21" w:name="StatementofFinancialPosition"/>
      <w:r>
        <w:rPr>
          <w:rFonts w:cs="Arial"/>
          <w:b/>
          <w:color w:val="77328A"/>
          <w:sz w:val="30"/>
          <w:szCs w:val="30"/>
        </w:rPr>
        <w:lastRenderedPageBreak/>
        <w:t>Statement of Finan</w:t>
      </w:r>
      <w:r w:rsidR="008D0E8C">
        <w:rPr>
          <w:rFonts w:cs="Arial"/>
          <w:b/>
          <w:color w:val="77328A"/>
          <w:sz w:val="30"/>
          <w:szCs w:val="30"/>
        </w:rPr>
        <w:t>cial Position as at 31 March 202</w:t>
      </w:r>
      <w:r w:rsidR="004A14D8">
        <w:rPr>
          <w:rFonts w:cs="Arial"/>
          <w:b/>
          <w:color w:val="77328A"/>
          <w:sz w:val="30"/>
          <w:szCs w:val="30"/>
        </w:rPr>
        <w:t>3</w:t>
      </w:r>
    </w:p>
    <w:bookmarkEnd w:id="21"/>
    <w:p w14:paraId="3E7EF1AA" w14:textId="77777777" w:rsidR="000C2A54" w:rsidRPr="00024A9C" w:rsidRDefault="000C2A54" w:rsidP="000C2A54">
      <w:pPr>
        <w:jc w:val="center"/>
        <w:rPr>
          <w:b/>
        </w:rPr>
      </w:pPr>
    </w:p>
    <w:tbl>
      <w:tblPr>
        <w:tblW w:w="9004" w:type="dxa"/>
        <w:jc w:val="center"/>
        <w:tblLayout w:type="fixed"/>
        <w:tblLook w:val="01E0" w:firstRow="1" w:lastRow="1" w:firstColumn="1" w:lastColumn="1" w:noHBand="0" w:noVBand="0"/>
      </w:tblPr>
      <w:tblGrid>
        <w:gridCol w:w="2800"/>
        <w:gridCol w:w="641"/>
        <w:gridCol w:w="181"/>
        <w:gridCol w:w="282"/>
        <w:gridCol w:w="437"/>
        <w:gridCol w:w="1080"/>
        <w:gridCol w:w="1260"/>
        <w:gridCol w:w="974"/>
        <w:gridCol w:w="109"/>
        <w:gridCol w:w="1240"/>
      </w:tblGrid>
      <w:tr w:rsidR="000C2A54" w:rsidRPr="00287A60" w14:paraId="0C916425" w14:textId="77777777" w:rsidTr="000C2A54">
        <w:trPr>
          <w:jc w:val="center"/>
        </w:trPr>
        <w:tc>
          <w:tcPr>
            <w:tcW w:w="3441" w:type="dxa"/>
            <w:gridSpan w:val="2"/>
          </w:tcPr>
          <w:p w14:paraId="2709E9D1" w14:textId="77777777" w:rsidR="000C2A54" w:rsidRPr="00B90FC7" w:rsidRDefault="000C2A54" w:rsidP="000C2A54">
            <w:pPr>
              <w:rPr>
                <w:b/>
                <w:sz w:val="20"/>
                <w:szCs w:val="20"/>
              </w:rPr>
            </w:pPr>
          </w:p>
        </w:tc>
        <w:tc>
          <w:tcPr>
            <w:tcW w:w="900" w:type="dxa"/>
            <w:gridSpan w:val="3"/>
          </w:tcPr>
          <w:p w14:paraId="425BAF59" w14:textId="77777777" w:rsidR="000C2A54" w:rsidRPr="00B90FC7" w:rsidRDefault="000C2A54" w:rsidP="000C2A54">
            <w:pPr>
              <w:rPr>
                <w:b/>
                <w:sz w:val="20"/>
                <w:szCs w:val="20"/>
              </w:rPr>
            </w:pPr>
          </w:p>
        </w:tc>
        <w:tc>
          <w:tcPr>
            <w:tcW w:w="2340" w:type="dxa"/>
            <w:gridSpan w:val="2"/>
          </w:tcPr>
          <w:p w14:paraId="5262BA8E" w14:textId="7DFE72A8" w:rsidR="000C2A54" w:rsidRPr="00B90FC7" w:rsidRDefault="008D0E8C" w:rsidP="000C2A54">
            <w:pPr>
              <w:jc w:val="center"/>
              <w:rPr>
                <w:b/>
                <w:sz w:val="20"/>
                <w:szCs w:val="20"/>
              </w:rPr>
            </w:pPr>
            <w:r>
              <w:rPr>
                <w:b/>
                <w:sz w:val="20"/>
                <w:szCs w:val="20"/>
              </w:rPr>
              <w:t>31 March 202</w:t>
            </w:r>
            <w:r w:rsidR="004A14D8">
              <w:rPr>
                <w:b/>
                <w:sz w:val="20"/>
                <w:szCs w:val="20"/>
              </w:rPr>
              <w:t>3</w:t>
            </w:r>
          </w:p>
        </w:tc>
        <w:tc>
          <w:tcPr>
            <w:tcW w:w="2323" w:type="dxa"/>
            <w:gridSpan w:val="3"/>
          </w:tcPr>
          <w:p w14:paraId="309BAF88" w14:textId="775FECDE" w:rsidR="000C2A54" w:rsidRDefault="000C2A54" w:rsidP="000C2A54">
            <w:pPr>
              <w:jc w:val="center"/>
              <w:rPr>
                <w:b/>
                <w:sz w:val="20"/>
                <w:szCs w:val="20"/>
              </w:rPr>
            </w:pPr>
            <w:r>
              <w:rPr>
                <w:b/>
                <w:sz w:val="20"/>
                <w:szCs w:val="20"/>
              </w:rPr>
              <w:t xml:space="preserve">31 March </w:t>
            </w:r>
            <w:r w:rsidR="003A3109">
              <w:rPr>
                <w:b/>
                <w:sz w:val="20"/>
                <w:szCs w:val="20"/>
              </w:rPr>
              <w:t>202</w:t>
            </w:r>
            <w:r w:rsidR="004A14D8">
              <w:rPr>
                <w:b/>
                <w:sz w:val="20"/>
                <w:szCs w:val="20"/>
              </w:rPr>
              <w:t>2</w:t>
            </w:r>
          </w:p>
          <w:p w14:paraId="5FA9B4FE" w14:textId="77777777" w:rsidR="000C2A54" w:rsidRPr="00B90FC7" w:rsidRDefault="000C2A54" w:rsidP="000C2A54">
            <w:pPr>
              <w:jc w:val="center"/>
              <w:rPr>
                <w:b/>
                <w:sz w:val="20"/>
                <w:szCs w:val="20"/>
              </w:rPr>
            </w:pPr>
          </w:p>
        </w:tc>
      </w:tr>
      <w:tr w:rsidR="000C2A54" w:rsidRPr="00287A60" w14:paraId="270FCEF9" w14:textId="77777777" w:rsidTr="000C2A54">
        <w:trPr>
          <w:jc w:val="center"/>
        </w:trPr>
        <w:tc>
          <w:tcPr>
            <w:tcW w:w="3441" w:type="dxa"/>
            <w:gridSpan w:val="2"/>
          </w:tcPr>
          <w:p w14:paraId="40BB9A2F" w14:textId="77777777" w:rsidR="000C2A54" w:rsidRPr="00B90FC7" w:rsidRDefault="000C2A54" w:rsidP="000C2A54">
            <w:pPr>
              <w:rPr>
                <w:b/>
                <w:sz w:val="20"/>
                <w:szCs w:val="20"/>
              </w:rPr>
            </w:pPr>
          </w:p>
        </w:tc>
        <w:tc>
          <w:tcPr>
            <w:tcW w:w="900" w:type="dxa"/>
            <w:gridSpan w:val="3"/>
          </w:tcPr>
          <w:p w14:paraId="7816E67F" w14:textId="77777777" w:rsidR="000C2A54" w:rsidRPr="00B90FC7" w:rsidRDefault="000C2A54" w:rsidP="000C2A54">
            <w:pPr>
              <w:rPr>
                <w:b/>
                <w:sz w:val="20"/>
                <w:szCs w:val="20"/>
              </w:rPr>
            </w:pPr>
            <w:r w:rsidRPr="00B90FC7">
              <w:rPr>
                <w:b/>
                <w:sz w:val="20"/>
                <w:szCs w:val="20"/>
              </w:rPr>
              <w:t>Notes</w:t>
            </w:r>
          </w:p>
        </w:tc>
        <w:tc>
          <w:tcPr>
            <w:tcW w:w="1080" w:type="dxa"/>
          </w:tcPr>
          <w:p w14:paraId="219585C8" w14:textId="77777777" w:rsidR="000C2A54" w:rsidRPr="00B90FC7" w:rsidRDefault="000C2A54" w:rsidP="000C2A54">
            <w:pPr>
              <w:jc w:val="right"/>
              <w:rPr>
                <w:b/>
                <w:sz w:val="20"/>
                <w:szCs w:val="20"/>
              </w:rPr>
            </w:pPr>
            <w:r w:rsidRPr="00B90FC7">
              <w:rPr>
                <w:b/>
                <w:sz w:val="20"/>
                <w:szCs w:val="20"/>
              </w:rPr>
              <w:t>£</w:t>
            </w:r>
          </w:p>
        </w:tc>
        <w:tc>
          <w:tcPr>
            <w:tcW w:w="1260" w:type="dxa"/>
          </w:tcPr>
          <w:p w14:paraId="003A1603" w14:textId="77777777" w:rsidR="000C2A54" w:rsidRPr="00B90FC7" w:rsidRDefault="000C2A54" w:rsidP="000C2A54">
            <w:pPr>
              <w:jc w:val="right"/>
              <w:rPr>
                <w:b/>
                <w:sz w:val="20"/>
                <w:szCs w:val="20"/>
              </w:rPr>
            </w:pPr>
            <w:r w:rsidRPr="00B90FC7">
              <w:rPr>
                <w:b/>
                <w:sz w:val="20"/>
                <w:szCs w:val="20"/>
              </w:rPr>
              <w:t>£</w:t>
            </w:r>
          </w:p>
        </w:tc>
        <w:tc>
          <w:tcPr>
            <w:tcW w:w="1083" w:type="dxa"/>
            <w:gridSpan w:val="2"/>
          </w:tcPr>
          <w:p w14:paraId="4F6B2816" w14:textId="77777777" w:rsidR="000C2A54" w:rsidRPr="00B90FC7" w:rsidRDefault="000C2A54" w:rsidP="000C2A54">
            <w:pPr>
              <w:jc w:val="right"/>
              <w:rPr>
                <w:b/>
                <w:sz w:val="20"/>
                <w:szCs w:val="20"/>
              </w:rPr>
            </w:pPr>
            <w:r w:rsidRPr="00B90FC7">
              <w:rPr>
                <w:b/>
                <w:sz w:val="20"/>
                <w:szCs w:val="20"/>
              </w:rPr>
              <w:t>£</w:t>
            </w:r>
          </w:p>
        </w:tc>
        <w:tc>
          <w:tcPr>
            <w:tcW w:w="1240" w:type="dxa"/>
          </w:tcPr>
          <w:p w14:paraId="5CEDBA45" w14:textId="77777777" w:rsidR="000C2A54" w:rsidRPr="00B90FC7" w:rsidRDefault="000C2A54" w:rsidP="000C2A54">
            <w:pPr>
              <w:jc w:val="right"/>
              <w:rPr>
                <w:b/>
                <w:sz w:val="20"/>
                <w:szCs w:val="20"/>
              </w:rPr>
            </w:pPr>
            <w:r w:rsidRPr="00B90FC7">
              <w:rPr>
                <w:b/>
                <w:sz w:val="20"/>
                <w:szCs w:val="20"/>
              </w:rPr>
              <w:t>£</w:t>
            </w:r>
          </w:p>
        </w:tc>
      </w:tr>
      <w:tr w:rsidR="000C2A54" w:rsidRPr="00287A60" w14:paraId="42FB4B8E" w14:textId="77777777" w:rsidTr="000C2A54">
        <w:trPr>
          <w:jc w:val="center"/>
        </w:trPr>
        <w:tc>
          <w:tcPr>
            <w:tcW w:w="3622" w:type="dxa"/>
            <w:gridSpan w:val="3"/>
          </w:tcPr>
          <w:p w14:paraId="2483DB22" w14:textId="77777777" w:rsidR="000C2A54" w:rsidRPr="00B90FC7" w:rsidRDefault="000C2A54" w:rsidP="000C2A54">
            <w:pPr>
              <w:widowControl w:val="0"/>
              <w:tabs>
                <w:tab w:val="center" w:pos="3969"/>
                <w:tab w:val="center" w:pos="5245"/>
                <w:tab w:val="right" w:pos="5670"/>
                <w:tab w:val="center" w:pos="6379"/>
                <w:tab w:val="right" w:pos="6804"/>
                <w:tab w:val="center" w:pos="7513"/>
                <w:tab w:val="right" w:pos="7938"/>
                <w:tab w:val="center" w:pos="8647"/>
              </w:tabs>
              <w:autoSpaceDE w:val="0"/>
              <w:autoSpaceDN w:val="0"/>
              <w:adjustRightInd w:val="0"/>
              <w:rPr>
                <w:rFonts w:cs="Arial"/>
                <w:b/>
                <w:bCs/>
                <w:sz w:val="20"/>
                <w:szCs w:val="20"/>
              </w:rPr>
            </w:pPr>
            <w:r w:rsidRPr="00B90FC7">
              <w:rPr>
                <w:rFonts w:cs="Arial"/>
                <w:b/>
                <w:bCs/>
                <w:sz w:val="20"/>
                <w:szCs w:val="20"/>
              </w:rPr>
              <w:t>Non</w:t>
            </w:r>
            <w:r>
              <w:rPr>
                <w:rFonts w:cs="Arial"/>
                <w:b/>
                <w:bCs/>
                <w:sz w:val="20"/>
                <w:szCs w:val="20"/>
                <w:lang w:val="fr-FR"/>
              </w:rPr>
              <w:t>-</w:t>
            </w:r>
            <w:r w:rsidRPr="00B90FC7">
              <w:rPr>
                <w:rFonts w:cs="Arial"/>
                <w:b/>
                <w:bCs/>
                <w:sz w:val="20"/>
                <w:szCs w:val="20"/>
              </w:rPr>
              <w:t>current assets:</w:t>
            </w:r>
          </w:p>
        </w:tc>
        <w:tc>
          <w:tcPr>
            <w:tcW w:w="282" w:type="dxa"/>
          </w:tcPr>
          <w:p w14:paraId="717A756D" w14:textId="77777777" w:rsidR="000C2A54" w:rsidRPr="00B90FC7" w:rsidRDefault="000C2A54" w:rsidP="000C2A54">
            <w:pPr>
              <w:rPr>
                <w:b/>
                <w:sz w:val="20"/>
                <w:szCs w:val="20"/>
              </w:rPr>
            </w:pPr>
          </w:p>
        </w:tc>
        <w:tc>
          <w:tcPr>
            <w:tcW w:w="1517" w:type="dxa"/>
            <w:gridSpan w:val="2"/>
          </w:tcPr>
          <w:p w14:paraId="01F7BAC8" w14:textId="77777777" w:rsidR="000C2A54" w:rsidRPr="00B90FC7" w:rsidRDefault="000C2A54" w:rsidP="000C2A54">
            <w:pPr>
              <w:jc w:val="right"/>
              <w:rPr>
                <w:sz w:val="20"/>
                <w:szCs w:val="20"/>
              </w:rPr>
            </w:pPr>
          </w:p>
        </w:tc>
        <w:tc>
          <w:tcPr>
            <w:tcW w:w="1260" w:type="dxa"/>
          </w:tcPr>
          <w:p w14:paraId="17C53897" w14:textId="77777777" w:rsidR="000C2A54" w:rsidRPr="00B90FC7" w:rsidRDefault="000C2A54" w:rsidP="000C2A54">
            <w:pPr>
              <w:jc w:val="right"/>
              <w:rPr>
                <w:sz w:val="20"/>
                <w:szCs w:val="20"/>
              </w:rPr>
            </w:pPr>
          </w:p>
        </w:tc>
        <w:tc>
          <w:tcPr>
            <w:tcW w:w="1083" w:type="dxa"/>
            <w:gridSpan w:val="2"/>
          </w:tcPr>
          <w:p w14:paraId="0418B99A" w14:textId="77777777" w:rsidR="000C2A54" w:rsidRPr="00B90FC7" w:rsidRDefault="000C2A54" w:rsidP="000C2A54">
            <w:pPr>
              <w:jc w:val="right"/>
              <w:rPr>
                <w:sz w:val="20"/>
                <w:szCs w:val="20"/>
              </w:rPr>
            </w:pPr>
          </w:p>
        </w:tc>
        <w:tc>
          <w:tcPr>
            <w:tcW w:w="1240" w:type="dxa"/>
          </w:tcPr>
          <w:p w14:paraId="4394EAAA" w14:textId="77777777" w:rsidR="000C2A54" w:rsidRPr="00B90FC7" w:rsidRDefault="000C2A54" w:rsidP="000C2A54">
            <w:pPr>
              <w:jc w:val="right"/>
              <w:rPr>
                <w:sz w:val="20"/>
                <w:szCs w:val="20"/>
              </w:rPr>
            </w:pPr>
          </w:p>
        </w:tc>
      </w:tr>
      <w:tr w:rsidR="000C2A54" w:rsidRPr="00287A60" w14:paraId="598A5026" w14:textId="77777777" w:rsidTr="000C2A54">
        <w:trPr>
          <w:jc w:val="center"/>
        </w:trPr>
        <w:tc>
          <w:tcPr>
            <w:tcW w:w="3441" w:type="dxa"/>
            <w:gridSpan w:val="2"/>
          </w:tcPr>
          <w:p w14:paraId="3D8E7196" w14:textId="77777777" w:rsidR="000C2A54" w:rsidRPr="00B90FC7" w:rsidRDefault="000C2A54" w:rsidP="000C2A54">
            <w:pPr>
              <w:rPr>
                <w:b/>
                <w:sz w:val="20"/>
                <w:szCs w:val="20"/>
              </w:rPr>
            </w:pPr>
            <w:r w:rsidRPr="00B90FC7">
              <w:rPr>
                <w:rFonts w:cs="Arial"/>
                <w:sz w:val="20"/>
                <w:szCs w:val="20"/>
              </w:rPr>
              <w:t>Property, plant and equipment</w:t>
            </w:r>
          </w:p>
        </w:tc>
        <w:tc>
          <w:tcPr>
            <w:tcW w:w="900" w:type="dxa"/>
            <w:gridSpan w:val="3"/>
          </w:tcPr>
          <w:p w14:paraId="1CA849A8" w14:textId="77777777" w:rsidR="000C2A54" w:rsidRPr="00B90FC7" w:rsidRDefault="000C2A54" w:rsidP="000C2A54">
            <w:pPr>
              <w:jc w:val="center"/>
              <w:rPr>
                <w:b/>
                <w:sz w:val="20"/>
                <w:szCs w:val="20"/>
              </w:rPr>
            </w:pPr>
            <w:r>
              <w:rPr>
                <w:b/>
                <w:sz w:val="20"/>
                <w:szCs w:val="20"/>
              </w:rPr>
              <w:t>6</w:t>
            </w:r>
          </w:p>
        </w:tc>
        <w:tc>
          <w:tcPr>
            <w:tcW w:w="1080" w:type="dxa"/>
          </w:tcPr>
          <w:p w14:paraId="7F1E746A" w14:textId="77777777" w:rsidR="000C2A54" w:rsidRPr="00B90FC7" w:rsidRDefault="000C2A54" w:rsidP="000C2A54">
            <w:pPr>
              <w:jc w:val="right"/>
              <w:rPr>
                <w:sz w:val="20"/>
                <w:szCs w:val="20"/>
              </w:rPr>
            </w:pPr>
          </w:p>
        </w:tc>
        <w:tc>
          <w:tcPr>
            <w:tcW w:w="1260" w:type="dxa"/>
          </w:tcPr>
          <w:p w14:paraId="4E650429" w14:textId="376020E9" w:rsidR="000C2A54" w:rsidRPr="00B90FC7" w:rsidRDefault="00BE575E" w:rsidP="000C2A54">
            <w:pPr>
              <w:jc w:val="right"/>
              <w:rPr>
                <w:sz w:val="20"/>
                <w:szCs w:val="20"/>
              </w:rPr>
            </w:pPr>
            <w:r>
              <w:rPr>
                <w:sz w:val="20"/>
                <w:szCs w:val="20"/>
              </w:rPr>
              <w:t>480,085</w:t>
            </w:r>
          </w:p>
        </w:tc>
        <w:tc>
          <w:tcPr>
            <w:tcW w:w="1083" w:type="dxa"/>
            <w:gridSpan w:val="2"/>
          </w:tcPr>
          <w:p w14:paraId="145D8A44" w14:textId="77777777" w:rsidR="000C2A54" w:rsidRPr="00B90FC7" w:rsidRDefault="000C2A54" w:rsidP="000C2A54">
            <w:pPr>
              <w:jc w:val="right"/>
              <w:rPr>
                <w:sz w:val="20"/>
                <w:szCs w:val="20"/>
              </w:rPr>
            </w:pPr>
          </w:p>
        </w:tc>
        <w:tc>
          <w:tcPr>
            <w:tcW w:w="1240" w:type="dxa"/>
          </w:tcPr>
          <w:p w14:paraId="638DFF5C" w14:textId="2A6693AA" w:rsidR="000C2A54" w:rsidRPr="005B6801" w:rsidRDefault="003A3109" w:rsidP="000C2A54">
            <w:pPr>
              <w:jc w:val="right"/>
              <w:rPr>
                <w:sz w:val="20"/>
                <w:szCs w:val="20"/>
              </w:rPr>
            </w:pPr>
            <w:r>
              <w:rPr>
                <w:sz w:val="20"/>
                <w:szCs w:val="20"/>
              </w:rPr>
              <w:t>5</w:t>
            </w:r>
            <w:r w:rsidR="004A14D8">
              <w:rPr>
                <w:sz w:val="20"/>
                <w:szCs w:val="20"/>
              </w:rPr>
              <w:t>36,916</w:t>
            </w:r>
          </w:p>
        </w:tc>
      </w:tr>
      <w:tr w:rsidR="004A14D8" w:rsidRPr="00287A60" w14:paraId="1740BDA0" w14:textId="77777777" w:rsidTr="000C2A54">
        <w:trPr>
          <w:jc w:val="center"/>
        </w:trPr>
        <w:tc>
          <w:tcPr>
            <w:tcW w:w="3441" w:type="dxa"/>
            <w:gridSpan w:val="2"/>
          </w:tcPr>
          <w:p w14:paraId="6170FEC1" w14:textId="637E3BC3" w:rsidR="004A14D8" w:rsidRDefault="004A14D8" w:rsidP="000C2A54">
            <w:pPr>
              <w:rPr>
                <w:rFonts w:cs="Arial"/>
                <w:sz w:val="20"/>
                <w:szCs w:val="20"/>
              </w:rPr>
            </w:pPr>
            <w:r>
              <w:rPr>
                <w:rFonts w:cs="Arial"/>
                <w:sz w:val="20"/>
                <w:szCs w:val="20"/>
              </w:rPr>
              <w:t>Right-of-Use assets</w:t>
            </w:r>
          </w:p>
        </w:tc>
        <w:tc>
          <w:tcPr>
            <w:tcW w:w="900" w:type="dxa"/>
            <w:gridSpan w:val="3"/>
          </w:tcPr>
          <w:p w14:paraId="46EA2833" w14:textId="5126D937" w:rsidR="004A14D8" w:rsidRPr="004A14D8" w:rsidRDefault="004A14D8" w:rsidP="000C2A54">
            <w:pPr>
              <w:jc w:val="center"/>
              <w:rPr>
                <w:b/>
                <w:sz w:val="20"/>
                <w:szCs w:val="20"/>
              </w:rPr>
            </w:pPr>
            <w:r>
              <w:rPr>
                <w:b/>
                <w:sz w:val="20"/>
                <w:szCs w:val="20"/>
              </w:rPr>
              <w:t>7</w:t>
            </w:r>
          </w:p>
        </w:tc>
        <w:tc>
          <w:tcPr>
            <w:tcW w:w="1080" w:type="dxa"/>
          </w:tcPr>
          <w:p w14:paraId="2015108F" w14:textId="77777777" w:rsidR="004A14D8" w:rsidRPr="00B90FC7" w:rsidRDefault="004A14D8" w:rsidP="000C2A54">
            <w:pPr>
              <w:jc w:val="right"/>
              <w:rPr>
                <w:sz w:val="20"/>
                <w:szCs w:val="20"/>
              </w:rPr>
            </w:pPr>
          </w:p>
        </w:tc>
        <w:tc>
          <w:tcPr>
            <w:tcW w:w="1260" w:type="dxa"/>
          </w:tcPr>
          <w:p w14:paraId="6329043B" w14:textId="39ABE2AE" w:rsidR="004A14D8" w:rsidRDefault="00F96687" w:rsidP="00600AD1">
            <w:pPr>
              <w:jc w:val="right"/>
              <w:rPr>
                <w:sz w:val="20"/>
                <w:szCs w:val="20"/>
              </w:rPr>
            </w:pPr>
            <w:r>
              <w:rPr>
                <w:sz w:val="20"/>
                <w:szCs w:val="20"/>
              </w:rPr>
              <w:t>520,452</w:t>
            </w:r>
          </w:p>
        </w:tc>
        <w:tc>
          <w:tcPr>
            <w:tcW w:w="1083" w:type="dxa"/>
            <w:gridSpan w:val="2"/>
          </w:tcPr>
          <w:p w14:paraId="379433CF" w14:textId="77777777" w:rsidR="004A14D8" w:rsidRPr="00B90FC7" w:rsidRDefault="004A14D8" w:rsidP="000C2A54">
            <w:pPr>
              <w:jc w:val="right"/>
              <w:rPr>
                <w:sz w:val="20"/>
                <w:szCs w:val="20"/>
              </w:rPr>
            </w:pPr>
          </w:p>
        </w:tc>
        <w:tc>
          <w:tcPr>
            <w:tcW w:w="1240" w:type="dxa"/>
          </w:tcPr>
          <w:p w14:paraId="4B946703" w14:textId="61AEF30B" w:rsidR="004A14D8" w:rsidRPr="00375309" w:rsidRDefault="002C776D" w:rsidP="000C2A54">
            <w:pPr>
              <w:jc w:val="right"/>
              <w:rPr>
                <w:sz w:val="20"/>
                <w:szCs w:val="20"/>
              </w:rPr>
            </w:pPr>
            <w:r w:rsidRPr="00375309">
              <w:rPr>
                <w:sz w:val="20"/>
                <w:szCs w:val="20"/>
              </w:rPr>
              <w:t>0</w:t>
            </w:r>
          </w:p>
        </w:tc>
      </w:tr>
      <w:tr w:rsidR="000C2A54" w:rsidRPr="00287A60" w14:paraId="6E91877E" w14:textId="77777777" w:rsidTr="000C2A54">
        <w:trPr>
          <w:jc w:val="center"/>
        </w:trPr>
        <w:tc>
          <w:tcPr>
            <w:tcW w:w="3441" w:type="dxa"/>
            <w:gridSpan w:val="2"/>
          </w:tcPr>
          <w:p w14:paraId="2A31B8F1" w14:textId="77777777" w:rsidR="000C2A54" w:rsidRPr="00B90FC7" w:rsidRDefault="000C2A54" w:rsidP="000C2A54">
            <w:pPr>
              <w:rPr>
                <w:rFonts w:cs="Arial"/>
                <w:sz w:val="20"/>
                <w:szCs w:val="20"/>
              </w:rPr>
            </w:pPr>
            <w:r>
              <w:rPr>
                <w:rFonts w:cs="Arial"/>
                <w:sz w:val="20"/>
                <w:szCs w:val="20"/>
              </w:rPr>
              <w:t>Intangible</w:t>
            </w:r>
            <w:r w:rsidR="007B768A">
              <w:rPr>
                <w:rFonts w:cs="Arial"/>
                <w:sz w:val="20"/>
                <w:szCs w:val="20"/>
              </w:rPr>
              <w:t xml:space="preserve"> assets</w:t>
            </w:r>
          </w:p>
        </w:tc>
        <w:tc>
          <w:tcPr>
            <w:tcW w:w="900" w:type="dxa"/>
            <w:gridSpan w:val="3"/>
          </w:tcPr>
          <w:p w14:paraId="5090C80C" w14:textId="613F9716" w:rsidR="000C2A54" w:rsidRDefault="004A14D8" w:rsidP="000C2A54">
            <w:pPr>
              <w:jc w:val="center"/>
              <w:rPr>
                <w:b/>
                <w:sz w:val="20"/>
                <w:szCs w:val="20"/>
              </w:rPr>
            </w:pPr>
            <w:r>
              <w:rPr>
                <w:b/>
                <w:sz w:val="20"/>
                <w:szCs w:val="20"/>
              </w:rPr>
              <w:t>8</w:t>
            </w:r>
          </w:p>
        </w:tc>
        <w:tc>
          <w:tcPr>
            <w:tcW w:w="1080" w:type="dxa"/>
          </w:tcPr>
          <w:p w14:paraId="5D574DAC" w14:textId="77777777" w:rsidR="000C2A54" w:rsidRPr="00B90FC7" w:rsidRDefault="000C2A54" w:rsidP="000C2A54">
            <w:pPr>
              <w:jc w:val="right"/>
              <w:rPr>
                <w:sz w:val="20"/>
                <w:szCs w:val="20"/>
              </w:rPr>
            </w:pPr>
          </w:p>
        </w:tc>
        <w:tc>
          <w:tcPr>
            <w:tcW w:w="1260" w:type="dxa"/>
          </w:tcPr>
          <w:p w14:paraId="794BAD1A" w14:textId="190DFD96" w:rsidR="000C2A54" w:rsidRDefault="00BE575E" w:rsidP="00600AD1">
            <w:pPr>
              <w:jc w:val="right"/>
              <w:rPr>
                <w:sz w:val="20"/>
                <w:szCs w:val="20"/>
              </w:rPr>
            </w:pPr>
            <w:r>
              <w:rPr>
                <w:sz w:val="20"/>
                <w:szCs w:val="20"/>
              </w:rPr>
              <w:t>795</w:t>
            </w:r>
          </w:p>
        </w:tc>
        <w:tc>
          <w:tcPr>
            <w:tcW w:w="1083" w:type="dxa"/>
            <w:gridSpan w:val="2"/>
          </w:tcPr>
          <w:p w14:paraId="673CB4AE" w14:textId="77777777" w:rsidR="000C2A54" w:rsidRPr="00B90FC7" w:rsidRDefault="000C2A54" w:rsidP="000C2A54">
            <w:pPr>
              <w:jc w:val="right"/>
              <w:rPr>
                <w:sz w:val="20"/>
                <w:szCs w:val="20"/>
              </w:rPr>
            </w:pPr>
          </w:p>
        </w:tc>
        <w:tc>
          <w:tcPr>
            <w:tcW w:w="1240" w:type="dxa"/>
          </w:tcPr>
          <w:p w14:paraId="1EEC6954" w14:textId="3641273F" w:rsidR="000C2A54" w:rsidRDefault="004A14D8" w:rsidP="000C2A54">
            <w:pPr>
              <w:jc w:val="right"/>
              <w:rPr>
                <w:sz w:val="20"/>
                <w:szCs w:val="20"/>
                <w:u w:val="single"/>
              </w:rPr>
            </w:pPr>
            <w:r>
              <w:rPr>
                <w:sz w:val="20"/>
                <w:szCs w:val="20"/>
                <w:u w:val="single"/>
              </w:rPr>
              <w:t xml:space="preserve">3,222  </w:t>
            </w:r>
          </w:p>
        </w:tc>
      </w:tr>
      <w:tr w:rsidR="000C2A54" w:rsidRPr="00287A60" w14:paraId="23908ED2" w14:textId="77777777" w:rsidTr="000C2A54">
        <w:trPr>
          <w:jc w:val="center"/>
        </w:trPr>
        <w:tc>
          <w:tcPr>
            <w:tcW w:w="3622" w:type="dxa"/>
            <w:gridSpan w:val="3"/>
          </w:tcPr>
          <w:p w14:paraId="6007CDA7" w14:textId="77777777" w:rsidR="000C2A54" w:rsidRPr="00B90FC7" w:rsidRDefault="000C2A54" w:rsidP="000C2A54">
            <w:pPr>
              <w:rPr>
                <w:b/>
                <w:sz w:val="20"/>
                <w:szCs w:val="20"/>
              </w:rPr>
            </w:pPr>
            <w:r w:rsidRPr="00B90FC7">
              <w:rPr>
                <w:rFonts w:cs="Arial"/>
                <w:b/>
                <w:bCs/>
                <w:sz w:val="20"/>
                <w:szCs w:val="20"/>
              </w:rPr>
              <w:t>Total non</w:t>
            </w:r>
            <w:r>
              <w:rPr>
                <w:rFonts w:cs="Arial"/>
                <w:b/>
                <w:bCs/>
                <w:sz w:val="20"/>
                <w:szCs w:val="20"/>
                <w:lang w:val="fr-FR"/>
              </w:rPr>
              <w:t>-</w:t>
            </w:r>
            <w:r w:rsidRPr="00B90FC7">
              <w:rPr>
                <w:rFonts w:cs="Arial"/>
                <w:b/>
                <w:bCs/>
                <w:sz w:val="20"/>
                <w:szCs w:val="20"/>
              </w:rPr>
              <w:t>current assets</w:t>
            </w:r>
          </w:p>
        </w:tc>
        <w:tc>
          <w:tcPr>
            <w:tcW w:w="282" w:type="dxa"/>
          </w:tcPr>
          <w:p w14:paraId="26697AA1" w14:textId="77777777" w:rsidR="000C2A54" w:rsidRPr="00B90FC7" w:rsidRDefault="000C2A54" w:rsidP="000C2A54">
            <w:pPr>
              <w:rPr>
                <w:b/>
                <w:sz w:val="20"/>
                <w:szCs w:val="20"/>
              </w:rPr>
            </w:pPr>
          </w:p>
        </w:tc>
        <w:tc>
          <w:tcPr>
            <w:tcW w:w="1517" w:type="dxa"/>
            <w:gridSpan w:val="2"/>
          </w:tcPr>
          <w:p w14:paraId="379228BD" w14:textId="77777777" w:rsidR="000C2A54" w:rsidRPr="00B90FC7" w:rsidRDefault="000C2A54" w:rsidP="000C2A54">
            <w:pPr>
              <w:jc w:val="right"/>
              <w:rPr>
                <w:sz w:val="20"/>
                <w:szCs w:val="20"/>
              </w:rPr>
            </w:pPr>
          </w:p>
        </w:tc>
        <w:tc>
          <w:tcPr>
            <w:tcW w:w="1260" w:type="dxa"/>
            <w:tcBorders>
              <w:top w:val="single" w:sz="4" w:space="0" w:color="auto"/>
            </w:tcBorders>
          </w:tcPr>
          <w:p w14:paraId="7D31A19D" w14:textId="1072F943" w:rsidR="000C2A54" w:rsidRPr="00B90FC7" w:rsidRDefault="00E07CEF" w:rsidP="00C9166E">
            <w:pPr>
              <w:jc w:val="right"/>
              <w:rPr>
                <w:sz w:val="20"/>
                <w:szCs w:val="20"/>
              </w:rPr>
            </w:pPr>
            <w:r>
              <w:rPr>
                <w:sz w:val="20"/>
                <w:szCs w:val="20"/>
              </w:rPr>
              <w:t>1,001,332</w:t>
            </w:r>
          </w:p>
        </w:tc>
        <w:tc>
          <w:tcPr>
            <w:tcW w:w="1083" w:type="dxa"/>
            <w:gridSpan w:val="2"/>
          </w:tcPr>
          <w:p w14:paraId="741204C2" w14:textId="77777777" w:rsidR="000C2A54" w:rsidRPr="00B90FC7" w:rsidRDefault="000C2A54" w:rsidP="000C2A54">
            <w:pPr>
              <w:jc w:val="right"/>
              <w:rPr>
                <w:sz w:val="20"/>
                <w:szCs w:val="20"/>
              </w:rPr>
            </w:pPr>
          </w:p>
        </w:tc>
        <w:tc>
          <w:tcPr>
            <w:tcW w:w="1240" w:type="dxa"/>
          </w:tcPr>
          <w:p w14:paraId="724D8913" w14:textId="208F1A68" w:rsidR="000C2A54" w:rsidRPr="00B90FC7" w:rsidRDefault="00E916F9" w:rsidP="00C9166E">
            <w:pPr>
              <w:jc w:val="right"/>
              <w:rPr>
                <w:sz w:val="20"/>
                <w:szCs w:val="20"/>
              </w:rPr>
            </w:pPr>
            <w:r>
              <w:rPr>
                <w:sz w:val="20"/>
                <w:szCs w:val="20"/>
              </w:rPr>
              <w:t>5</w:t>
            </w:r>
            <w:r w:rsidR="00BE575E">
              <w:rPr>
                <w:sz w:val="20"/>
                <w:szCs w:val="20"/>
              </w:rPr>
              <w:t>40,138</w:t>
            </w:r>
          </w:p>
        </w:tc>
      </w:tr>
      <w:tr w:rsidR="000C2A54" w:rsidRPr="00287A60" w14:paraId="6DE384C6" w14:textId="77777777" w:rsidTr="000C2A54">
        <w:trPr>
          <w:jc w:val="center"/>
        </w:trPr>
        <w:tc>
          <w:tcPr>
            <w:tcW w:w="2800" w:type="dxa"/>
          </w:tcPr>
          <w:p w14:paraId="7BC3DDEF" w14:textId="77777777" w:rsidR="007B768A" w:rsidRDefault="007B768A" w:rsidP="000C2A54">
            <w:pPr>
              <w:widowControl w:val="0"/>
              <w:tabs>
                <w:tab w:val="center" w:pos="3969"/>
                <w:tab w:val="right" w:pos="5670"/>
                <w:tab w:val="right" w:pos="6804"/>
                <w:tab w:val="right" w:pos="7938"/>
                <w:tab w:val="right" w:pos="9072"/>
              </w:tabs>
              <w:autoSpaceDE w:val="0"/>
              <w:autoSpaceDN w:val="0"/>
              <w:adjustRightInd w:val="0"/>
              <w:rPr>
                <w:rFonts w:cs="Arial"/>
                <w:b/>
                <w:bCs/>
                <w:sz w:val="20"/>
                <w:szCs w:val="20"/>
              </w:rPr>
            </w:pPr>
          </w:p>
          <w:p w14:paraId="24261D40" w14:textId="77777777" w:rsidR="000C2A54" w:rsidRPr="00B90FC7" w:rsidRDefault="000C2A54" w:rsidP="000C2A54">
            <w:pPr>
              <w:widowControl w:val="0"/>
              <w:tabs>
                <w:tab w:val="center" w:pos="3969"/>
                <w:tab w:val="right" w:pos="5670"/>
                <w:tab w:val="right" w:pos="6804"/>
                <w:tab w:val="right" w:pos="7938"/>
                <w:tab w:val="right" w:pos="9072"/>
              </w:tabs>
              <w:autoSpaceDE w:val="0"/>
              <w:autoSpaceDN w:val="0"/>
              <w:adjustRightInd w:val="0"/>
              <w:rPr>
                <w:rFonts w:cs="Arial"/>
                <w:b/>
                <w:bCs/>
                <w:sz w:val="20"/>
                <w:szCs w:val="20"/>
              </w:rPr>
            </w:pPr>
            <w:r w:rsidRPr="00B90FC7">
              <w:rPr>
                <w:rFonts w:cs="Arial"/>
                <w:b/>
                <w:bCs/>
                <w:sz w:val="20"/>
                <w:szCs w:val="20"/>
              </w:rPr>
              <w:t>Current assets:</w:t>
            </w:r>
          </w:p>
        </w:tc>
        <w:tc>
          <w:tcPr>
            <w:tcW w:w="1541" w:type="dxa"/>
            <w:gridSpan w:val="4"/>
          </w:tcPr>
          <w:p w14:paraId="653CEACD" w14:textId="77777777" w:rsidR="000C2A54" w:rsidRPr="00B90FC7" w:rsidRDefault="000C2A54" w:rsidP="000C2A54">
            <w:pPr>
              <w:rPr>
                <w:b/>
                <w:sz w:val="20"/>
                <w:szCs w:val="20"/>
              </w:rPr>
            </w:pPr>
          </w:p>
        </w:tc>
        <w:tc>
          <w:tcPr>
            <w:tcW w:w="1080" w:type="dxa"/>
          </w:tcPr>
          <w:p w14:paraId="6D08B068" w14:textId="77777777" w:rsidR="000C2A54" w:rsidRPr="00B90FC7" w:rsidRDefault="000C2A54" w:rsidP="000C2A54">
            <w:pPr>
              <w:jc w:val="right"/>
              <w:rPr>
                <w:sz w:val="20"/>
                <w:szCs w:val="20"/>
              </w:rPr>
            </w:pPr>
          </w:p>
        </w:tc>
        <w:tc>
          <w:tcPr>
            <w:tcW w:w="1260" w:type="dxa"/>
          </w:tcPr>
          <w:p w14:paraId="0164823E" w14:textId="77777777" w:rsidR="000C2A54" w:rsidRPr="00B90FC7" w:rsidRDefault="000C2A54" w:rsidP="000C2A54">
            <w:pPr>
              <w:jc w:val="right"/>
              <w:rPr>
                <w:sz w:val="20"/>
                <w:szCs w:val="20"/>
              </w:rPr>
            </w:pPr>
          </w:p>
        </w:tc>
        <w:tc>
          <w:tcPr>
            <w:tcW w:w="1083" w:type="dxa"/>
            <w:gridSpan w:val="2"/>
          </w:tcPr>
          <w:p w14:paraId="07E52CC4" w14:textId="77777777" w:rsidR="000C2A54" w:rsidRPr="00B90FC7" w:rsidRDefault="000C2A54" w:rsidP="000C2A54">
            <w:pPr>
              <w:jc w:val="right"/>
              <w:rPr>
                <w:sz w:val="20"/>
                <w:szCs w:val="20"/>
              </w:rPr>
            </w:pPr>
          </w:p>
        </w:tc>
        <w:tc>
          <w:tcPr>
            <w:tcW w:w="1240" w:type="dxa"/>
          </w:tcPr>
          <w:p w14:paraId="7DF2FD12" w14:textId="77777777" w:rsidR="000C2A54" w:rsidRPr="00B90FC7" w:rsidRDefault="000C2A54" w:rsidP="000C2A54">
            <w:pPr>
              <w:jc w:val="right"/>
              <w:rPr>
                <w:sz w:val="20"/>
                <w:szCs w:val="20"/>
              </w:rPr>
            </w:pPr>
          </w:p>
        </w:tc>
      </w:tr>
      <w:tr w:rsidR="000C2A54" w:rsidRPr="00287A60" w14:paraId="4A6C7033" w14:textId="77777777" w:rsidTr="000C2A54">
        <w:trPr>
          <w:jc w:val="center"/>
        </w:trPr>
        <w:tc>
          <w:tcPr>
            <w:tcW w:w="3441" w:type="dxa"/>
            <w:gridSpan w:val="2"/>
          </w:tcPr>
          <w:p w14:paraId="4C699172" w14:textId="77777777" w:rsidR="000C2A54" w:rsidRPr="00B90FC7" w:rsidRDefault="000C2A54" w:rsidP="000C2A54">
            <w:pPr>
              <w:rPr>
                <w:b/>
                <w:sz w:val="20"/>
                <w:szCs w:val="20"/>
              </w:rPr>
            </w:pPr>
            <w:r w:rsidRPr="00B90FC7">
              <w:rPr>
                <w:rFonts w:cs="Arial"/>
                <w:sz w:val="20"/>
                <w:szCs w:val="20"/>
              </w:rPr>
              <w:t>Trade and other receivables</w:t>
            </w:r>
          </w:p>
        </w:tc>
        <w:tc>
          <w:tcPr>
            <w:tcW w:w="900" w:type="dxa"/>
            <w:gridSpan w:val="3"/>
          </w:tcPr>
          <w:p w14:paraId="08FDA373" w14:textId="1A53E261" w:rsidR="000C2A54" w:rsidRPr="00B90FC7" w:rsidRDefault="007544D5" w:rsidP="000C2A54">
            <w:pPr>
              <w:jc w:val="center"/>
              <w:rPr>
                <w:b/>
                <w:sz w:val="20"/>
                <w:szCs w:val="20"/>
              </w:rPr>
            </w:pPr>
            <w:r>
              <w:rPr>
                <w:b/>
                <w:sz w:val="20"/>
                <w:szCs w:val="20"/>
              </w:rPr>
              <w:t>10</w:t>
            </w:r>
          </w:p>
        </w:tc>
        <w:tc>
          <w:tcPr>
            <w:tcW w:w="1080" w:type="dxa"/>
          </w:tcPr>
          <w:p w14:paraId="05742EE0" w14:textId="581D44F4" w:rsidR="000C2A54" w:rsidRPr="00B90FC7" w:rsidRDefault="00E916F9" w:rsidP="000C2A54">
            <w:pPr>
              <w:jc w:val="right"/>
              <w:rPr>
                <w:sz w:val="20"/>
                <w:szCs w:val="20"/>
              </w:rPr>
            </w:pPr>
            <w:r>
              <w:rPr>
                <w:sz w:val="20"/>
                <w:szCs w:val="20"/>
              </w:rPr>
              <w:t>61,5</w:t>
            </w:r>
            <w:r w:rsidR="00846689">
              <w:rPr>
                <w:sz w:val="20"/>
                <w:szCs w:val="20"/>
              </w:rPr>
              <w:t>25</w:t>
            </w:r>
          </w:p>
        </w:tc>
        <w:tc>
          <w:tcPr>
            <w:tcW w:w="1260" w:type="dxa"/>
          </w:tcPr>
          <w:p w14:paraId="5536EE69" w14:textId="77777777" w:rsidR="000C2A54" w:rsidRPr="00B90FC7" w:rsidRDefault="000C2A54" w:rsidP="000C2A54">
            <w:pPr>
              <w:jc w:val="right"/>
              <w:rPr>
                <w:sz w:val="20"/>
                <w:szCs w:val="20"/>
              </w:rPr>
            </w:pPr>
          </w:p>
        </w:tc>
        <w:tc>
          <w:tcPr>
            <w:tcW w:w="1083" w:type="dxa"/>
            <w:gridSpan w:val="2"/>
          </w:tcPr>
          <w:p w14:paraId="37652456" w14:textId="75AF111F" w:rsidR="000C2A54" w:rsidRPr="00B90FC7" w:rsidRDefault="00846689" w:rsidP="000C2A54">
            <w:pPr>
              <w:jc w:val="right"/>
              <w:rPr>
                <w:sz w:val="20"/>
                <w:szCs w:val="20"/>
              </w:rPr>
            </w:pPr>
            <w:r>
              <w:rPr>
                <w:sz w:val="20"/>
                <w:szCs w:val="20"/>
              </w:rPr>
              <w:t>61,507</w:t>
            </w:r>
          </w:p>
        </w:tc>
        <w:tc>
          <w:tcPr>
            <w:tcW w:w="1240" w:type="dxa"/>
          </w:tcPr>
          <w:p w14:paraId="3E2FCA30" w14:textId="77777777" w:rsidR="000C2A54" w:rsidRPr="00B90FC7" w:rsidRDefault="000C2A54" w:rsidP="000C2A54">
            <w:pPr>
              <w:jc w:val="right"/>
              <w:rPr>
                <w:sz w:val="20"/>
                <w:szCs w:val="20"/>
              </w:rPr>
            </w:pPr>
          </w:p>
        </w:tc>
      </w:tr>
      <w:tr w:rsidR="000C2A54" w:rsidRPr="00287A60" w14:paraId="5C74451A" w14:textId="77777777" w:rsidTr="000C2A54">
        <w:trPr>
          <w:jc w:val="center"/>
        </w:trPr>
        <w:tc>
          <w:tcPr>
            <w:tcW w:w="3441" w:type="dxa"/>
            <w:gridSpan w:val="2"/>
          </w:tcPr>
          <w:p w14:paraId="3D19296C" w14:textId="77777777" w:rsidR="000C2A54" w:rsidRPr="00B90FC7" w:rsidRDefault="000C2A54" w:rsidP="000C2A54">
            <w:pPr>
              <w:rPr>
                <w:b/>
                <w:sz w:val="20"/>
                <w:szCs w:val="20"/>
              </w:rPr>
            </w:pPr>
            <w:r w:rsidRPr="00B90FC7">
              <w:rPr>
                <w:rFonts w:cs="Arial"/>
                <w:sz w:val="20"/>
                <w:szCs w:val="20"/>
              </w:rPr>
              <w:t>Cash and cash equivalents</w:t>
            </w:r>
          </w:p>
        </w:tc>
        <w:tc>
          <w:tcPr>
            <w:tcW w:w="900" w:type="dxa"/>
            <w:gridSpan w:val="3"/>
          </w:tcPr>
          <w:p w14:paraId="0956E65C" w14:textId="66412AB1" w:rsidR="000C2A54" w:rsidRPr="00B90FC7" w:rsidRDefault="000C2A54" w:rsidP="000C2A54">
            <w:pPr>
              <w:jc w:val="center"/>
              <w:rPr>
                <w:b/>
                <w:sz w:val="20"/>
                <w:szCs w:val="20"/>
              </w:rPr>
            </w:pPr>
            <w:r>
              <w:rPr>
                <w:b/>
                <w:sz w:val="20"/>
                <w:szCs w:val="20"/>
              </w:rPr>
              <w:t>1</w:t>
            </w:r>
            <w:r w:rsidR="007544D5">
              <w:rPr>
                <w:b/>
                <w:sz w:val="20"/>
                <w:szCs w:val="20"/>
              </w:rPr>
              <w:t>1</w:t>
            </w:r>
          </w:p>
        </w:tc>
        <w:tc>
          <w:tcPr>
            <w:tcW w:w="1080" w:type="dxa"/>
            <w:tcBorders>
              <w:bottom w:val="single" w:sz="4" w:space="0" w:color="auto"/>
            </w:tcBorders>
          </w:tcPr>
          <w:p w14:paraId="65D00DE5" w14:textId="5B73D83A" w:rsidR="000C2A54" w:rsidRPr="00B90FC7" w:rsidRDefault="00E916F9" w:rsidP="000C2A54">
            <w:pPr>
              <w:jc w:val="right"/>
              <w:rPr>
                <w:sz w:val="20"/>
                <w:szCs w:val="20"/>
              </w:rPr>
            </w:pPr>
            <w:r>
              <w:rPr>
                <w:sz w:val="20"/>
                <w:szCs w:val="20"/>
              </w:rPr>
              <w:t>5</w:t>
            </w:r>
            <w:r w:rsidR="00846689">
              <w:rPr>
                <w:sz w:val="20"/>
                <w:szCs w:val="20"/>
              </w:rPr>
              <w:t>56,60</w:t>
            </w:r>
            <w:r w:rsidR="00A71147">
              <w:rPr>
                <w:sz w:val="20"/>
                <w:szCs w:val="20"/>
              </w:rPr>
              <w:t>6</w:t>
            </w:r>
          </w:p>
        </w:tc>
        <w:tc>
          <w:tcPr>
            <w:tcW w:w="1260" w:type="dxa"/>
          </w:tcPr>
          <w:p w14:paraId="79B1E60D" w14:textId="77777777" w:rsidR="000C2A54" w:rsidRPr="00B90FC7" w:rsidRDefault="000C2A54" w:rsidP="000C2A54">
            <w:pPr>
              <w:jc w:val="right"/>
              <w:rPr>
                <w:sz w:val="20"/>
                <w:szCs w:val="20"/>
              </w:rPr>
            </w:pPr>
          </w:p>
        </w:tc>
        <w:tc>
          <w:tcPr>
            <w:tcW w:w="1083" w:type="dxa"/>
            <w:gridSpan w:val="2"/>
            <w:tcBorders>
              <w:bottom w:val="single" w:sz="4" w:space="0" w:color="auto"/>
            </w:tcBorders>
          </w:tcPr>
          <w:p w14:paraId="38D37516" w14:textId="1B72BC49" w:rsidR="000C2A54" w:rsidRPr="00B90FC7" w:rsidRDefault="00846689" w:rsidP="000C2A54">
            <w:pPr>
              <w:jc w:val="right"/>
              <w:rPr>
                <w:sz w:val="20"/>
                <w:szCs w:val="20"/>
              </w:rPr>
            </w:pPr>
            <w:r>
              <w:rPr>
                <w:sz w:val="20"/>
                <w:szCs w:val="20"/>
              </w:rPr>
              <w:t>541,738</w:t>
            </w:r>
          </w:p>
        </w:tc>
        <w:tc>
          <w:tcPr>
            <w:tcW w:w="1240" w:type="dxa"/>
          </w:tcPr>
          <w:p w14:paraId="233FAA48" w14:textId="77777777" w:rsidR="000C2A54" w:rsidRPr="00B90FC7" w:rsidRDefault="000C2A54" w:rsidP="000C2A54">
            <w:pPr>
              <w:jc w:val="right"/>
              <w:rPr>
                <w:sz w:val="20"/>
                <w:szCs w:val="20"/>
              </w:rPr>
            </w:pPr>
          </w:p>
        </w:tc>
      </w:tr>
      <w:tr w:rsidR="000C2A54" w:rsidRPr="00287A60" w14:paraId="700C26D7" w14:textId="77777777" w:rsidTr="000C2A54">
        <w:trPr>
          <w:jc w:val="center"/>
        </w:trPr>
        <w:tc>
          <w:tcPr>
            <w:tcW w:w="3622" w:type="dxa"/>
            <w:gridSpan w:val="3"/>
          </w:tcPr>
          <w:p w14:paraId="738BD214" w14:textId="77777777" w:rsidR="000C2A54" w:rsidRPr="00B90FC7" w:rsidRDefault="000C2A54" w:rsidP="000C2A54">
            <w:pPr>
              <w:rPr>
                <w:rFonts w:cs="Arial"/>
                <w:b/>
                <w:sz w:val="20"/>
                <w:szCs w:val="20"/>
              </w:rPr>
            </w:pPr>
            <w:r w:rsidRPr="00B90FC7">
              <w:rPr>
                <w:rFonts w:cs="Arial"/>
                <w:b/>
                <w:sz w:val="20"/>
                <w:szCs w:val="20"/>
              </w:rPr>
              <w:t>Total current assets</w:t>
            </w:r>
          </w:p>
          <w:p w14:paraId="56074F16" w14:textId="77777777" w:rsidR="000C2A54" w:rsidRPr="00B90FC7" w:rsidRDefault="000C2A54" w:rsidP="000C2A54">
            <w:pPr>
              <w:rPr>
                <w:b/>
                <w:sz w:val="20"/>
                <w:szCs w:val="20"/>
              </w:rPr>
            </w:pPr>
          </w:p>
        </w:tc>
        <w:tc>
          <w:tcPr>
            <w:tcW w:w="719" w:type="dxa"/>
            <w:gridSpan w:val="2"/>
          </w:tcPr>
          <w:p w14:paraId="7171E8B7" w14:textId="77777777" w:rsidR="000C2A54" w:rsidRPr="00B90FC7" w:rsidRDefault="000C2A54" w:rsidP="000C2A54">
            <w:pPr>
              <w:rPr>
                <w:b/>
                <w:sz w:val="20"/>
                <w:szCs w:val="20"/>
              </w:rPr>
            </w:pPr>
          </w:p>
        </w:tc>
        <w:tc>
          <w:tcPr>
            <w:tcW w:w="1080" w:type="dxa"/>
            <w:tcBorders>
              <w:top w:val="single" w:sz="4" w:space="0" w:color="auto"/>
            </w:tcBorders>
          </w:tcPr>
          <w:p w14:paraId="39F999A2" w14:textId="77777777" w:rsidR="000C2A54" w:rsidRPr="00B90FC7" w:rsidRDefault="000C2A54" w:rsidP="000C2A54">
            <w:pPr>
              <w:jc w:val="right"/>
              <w:rPr>
                <w:sz w:val="20"/>
                <w:szCs w:val="20"/>
              </w:rPr>
            </w:pPr>
          </w:p>
        </w:tc>
        <w:tc>
          <w:tcPr>
            <w:tcW w:w="1260" w:type="dxa"/>
            <w:tcBorders>
              <w:bottom w:val="single" w:sz="4" w:space="0" w:color="auto"/>
            </w:tcBorders>
          </w:tcPr>
          <w:p w14:paraId="3787BE15" w14:textId="36483306" w:rsidR="000C2A54" w:rsidRPr="00B90FC7" w:rsidRDefault="009F599C" w:rsidP="000C2A54">
            <w:pPr>
              <w:jc w:val="right"/>
              <w:rPr>
                <w:sz w:val="20"/>
                <w:szCs w:val="20"/>
              </w:rPr>
            </w:pPr>
            <w:r>
              <w:rPr>
                <w:sz w:val="20"/>
                <w:szCs w:val="20"/>
              </w:rPr>
              <w:t>6</w:t>
            </w:r>
            <w:r w:rsidR="00E07CEF">
              <w:rPr>
                <w:sz w:val="20"/>
                <w:szCs w:val="20"/>
              </w:rPr>
              <w:t>18,131</w:t>
            </w:r>
          </w:p>
        </w:tc>
        <w:tc>
          <w:tcPr>
            <w:tcW w:w="1083" w:type="dxa"/>
            <w:gridSpan w:val="2"/>
            <w:tcBorders>
              <w:top w:val="single" w:sz="4" w:space="0" w:color="auto"/>
            </w:tcBorders>
          </w:tcPr>
          <w:p w14:paraId="6D940A7C" w14:textId="77777777" w:rsidR="000C2A54" w:rsidRPr="00B90FC7" w:rsidRDefault="000C2A54" w:rsidP="000C2A54">
            <w:pPr>
              <w:jc w:val="right"/>
              <w:rPr>
                <w:sz w:val="20"/>
                <w:szCs w:val="20"/>
              </w:rPr>
            </w:pPr>
          </w:p>
        </w:tc>
        <w:tc>
          <w:tcPr>
            <w:tcW w:w="1240" w:type="dxa"/>
            <w:tcBorders>
              <w:bottom w:val="single" w:sz="4" w:space="0" w:color="auto"/>
            </w:tcBorders>
          </w:tcPr>
          <w:p w14:paraId="63633599" w14:textId="0B44FBF5" w:rsidR="000C2A54" w:rsidRPr="00B90FC7" w:rsidRDefault="00846689" w:rsidP="000C2A54">
            <w:pPr>
              <w:jc w:val="right"/>
              <w:rPr>
                <w:sz w:val="20"/>
                <w:szCs w:val="20"/>
              </w:rPr>
            </w:pPr>
            <w:r>
              <w:rPr>
                <w:sz w:val="20"/>
                <w:szCs w:val="20"/>
              </w:rPr>
              <w:t>603,245</w:t>
            </w:r>
          </w:p>
        </w:tc>
      </w:tr>
      <w:tr w:rsidR="000C2A54" w:rsidRPr="00287A60" w14:paraId="1349EBF0" w14:textId="77777777" w:rsidTr="00846689">
        <w:trPr>
          <w:jc w:val="center"/>
        </w:trPr>
        <w:tc>
          <w:tcPr>
            <w:tcW w:w="3441" w:type="dxa"/>
            <w:gridSpan w:val="2"/>
          </w:tcPr>
          <w:p w14:paraId="1D3AF467" w14:textId="77777777" w:rsidR="000C2A54" w:rsidRPr="00B90FC7" w:rsidRDefault="000C2A54" w:rsidP="000C2A54">
            <w:pPr>
              <w:rPr>
                <w:rFonts w:cs="Arial"/>
                <w:b/>
                <w:bCs/>
                <w:sz w:val="20"/>
                <w:szCs w:val="20"/>
              </w:rPr>
            </w:pPr>
          </w:p>
          <w:p w14:paraId="79BED547" w14:textId="77777777" w:rsidR="000C2A54" w:rsidRPr="00B90FC7" w:rsidRDefault="000C2A54" w:rsidP="000C2A54">
            <w:pPr>
              <w:rPr>
                <w:b/>
                <w:sz w:val="20"/>
                <w:szCs w:val="20"/>
              </w:rPr>
            </w:pPr>
            <w:r w:rsidRPr="00B90FC7">
              <w:rPr>
                <w:rFonts w:cs="Arial"/>
                <w:b/>
                <w:bCs/>
                <w:sz w:val="20"/>
                <w:szCs w:val="20"/>
              </w:rPr>
              <w:t>Total assets</w:t>
            </w:r>
          </w:p>
        </w:tc>
        <w:tc>
          <w:tcPr>
            <w:tcW w:w="900" w:type="dxa"/>
            <w:gridSpan w:val="3"/>
          </w:tcPr>
          <w:p w14:paraId="2908F809" w14:textId="77777777" w:rsidR="000C2A54" w:rsidRPr="00B90FC7" w:rsidRDefault="000C2A54" w:rsidP="000C2A54">
            <w:pPr>
              <w:rPr>
                <w:b/>
                <w:sz w:val="20"/>
                <w:szCs w:val="20"/>
              </w:rPr>
            </w:pPr>
          </w:p>
        </w:tc>
        <w:tc>
          <w:tcPr>
            <w:tcW w:w="1080" w:type="dxa"/>
          </w:tcPr>
          <w:p w14:paraId="582032D5" w14:textId="77777777" w:rsidR="000C2A54" w:rsidRPr="00B90FC7" w:rsidRDefault="000C2A54" w:rsidP="000C2A54">
            <w:pPr>
              <w:jc w:val="right"/>
              <w:rPr>
                <w:sz w:val="20"/>
                <w:szCs w:val="20"/>
              </w:rPr>
            </w:pPr>
          </w:p>
        </w:tc>
        <w:tc>
          <w:tcPr>
            <w:tcW w:w="1260" w:type="dxa"/>
            <w:tcBorders>
              <w:top w:val="single" w:sz="4" w:space="0" w:color="auto"/>
              <w:bottom w:val="single" w:sz="4" w:space="0" w:color="auto"/>
            </w:tcBorders>
          </w:tcPr>
          <w:p w14:paraId="664AECBE" w14:textId="77777777" w:rsidR="00737D30" w:rsidRDefault="00737D30" w:rsidP="00737D30">
            <w:pPr>
              <w:jc w:val="right"/>
              <w:rPr>
                <w:sz w:val="20"/>
                <w:szCs w:val="20"/>
              </w:rPr>
            </w:pPr>
          </w:p>
          <w:p w14:paraId="63692D48" w14:textId="244159DB" w:rsidR="00E916F9" w:rsidRPr="00B90FC7" w:rsidRDefault="00E916F9" w:rsidP="00737D30">
            <w:pPr>
              <w:jc w:val="right"/>
              <w:rPr>
                <w:sz w:val="20"/>
                <w:szCs w:val="20"/>
              </w:rPr>
            </w:pPr>
            <w:r>
              <w:rPr>
                <w:sz w:val="20"/>
                <w:szCs w:val="20"/>
              </w:rPr>
              <w:t>1,</w:t>
            </w:r>
            <w:r w:rsidR="009F599C">
              <w:rPr>
                <w:sz w:val="20"/>
                <w:szCs w:val="20"/>
              </w:rPr>
              <w:t>619,46</w:t>
            </w:r>
            <w:r w:rsidR="00A30F83">
              <w:rPr>
                <w:sz w:val="20"/>
                <w:szCs w:val="20"/>
              </w:rPr>
              <w:t>3</w:t>
            </w:r>
          </w:p>
        </w:tc>
        <w:tc>
          <w:tcPr>
            <w:tcW w:w="974" w:type="dxa"/>
          </w:tcPr>
          <w:p w14:paraId="54FB1173" w14:textId="77777777" w:rsidR="000C2A54" w:rsidRPr="00B90FC7" w:rsidRDefault="000C2A54" w:rsidP="000C2A54">
            <w:pPr>
              <w:jc w:val="right"/>
              <w:rPr>
                <w:sz w:val="20"/>
                <w:szCs w:val="20"/>
              </w:rPr>
            </w:pPr>
          </w:p>
        </w:tc>
        <w:tc>
          <w:tcPr>
            <w:tcW w:w="1349" w:type="dxa"/>
            <w:gridSpan w:val="2"/>
            <w:tcBorders>
              <w:top w:val="single" w:sz="4" w:space="0" w:color="auto"/>
              <w:bottom w:val="single" w:sz="4" w:space="0" w:color="auto"/>
            </w:tcBorders>
          </w:tcPr>
          <w:p w14:paraId="147DD779" w14:textId="77777777" w:rsidR="00E916F9" w:rsidRDefault="00E916F9" w:rsidP="00846689">
            <w:pPr>
              <w:rPr>
                <w:sz w:val="20"/>
                <w:szCs w:val="20"/>
              </w:rPr>
            </w:pPr>
          </w:p>
          <w:p w14:paraId="3205603E" w14:textId="27E5A8ED" w:rsidR="00846689" w:rsidRPr="003B42D9" w:rsidRDefault="00846689" w:rsidP="00846689">
            <w:pPr>
              <w:rPr>
                <w:sz w:val="20"/>
                <w:szCs w:val="20"/>
              </w:rPr>
            </w:pPr>
            <w:r>
              <w:rPr>
                <w:sz w:val="20"/>
                <w:szCs w:val="20"/>
              </w:rPr>
              <w:t>1,143,383</w:t>
            </w:r>
          </w:p>
        </w:tc>
      </w:tr>
      <w:tr w:rsidR="000C2A54" w:rsidRPr="00287A60" w14:paraId="445138B1" w14:textId="77777777" w:rsidTr="000C2A54">
        <w:trPr>
          <w:jc w:val="center"/>
        </w:trPr>
        <w:tc>
          <w:tcPr>
            <w:tcW w:w="3441" w:type="dxa"/>
            <w:gridSpan w:val="2"/>
          </w:tcPr>
          <w:p w14:paraId="15ED1F9F" w14:textId="77777777" w:rsidR="007B768A" w:rsidRDefault="007B768A" w:rsidP="000C2A54">
            <w:pPr>
              <w:widowControl w:val="0"/>
              <w:tabs>
                <w:tab w:val="center" w:pos="3969"/>
                <w:tab w:val="right" w:pos="5670"/>
                <w:tab w:val="right" w:pos="6804"/>
                <w:tab w:val="right" w:pos="7938"/>
                <w:tab w:val="right" w:pos="9072"/>
              </w:tabs>
              <w:autoSpaceDE w:val="0"/>
              <w:autoSpaceDN w:val="0"/>
              <w:adjustRightInd w:val="0"/>
              <w:rPr>
                <w:rFonts w:cs="Arial"/>
                <w:b/>
                <w:bCs/>
                <w:sz w:val="20"/>
                <w:szCs w:val="20"/>
              </w:rPr>
            </w:pPr>
          </w:p>
          <w:p w14:paraId="44E2CA8A" w14:textId="77777777" w:rsidR="000C2A54" w:rsidRPr="00B90FC7" w:rsidRDefault="000C2A54" w:rsidP="000C2A54">
            <w:pPr>
              <w:widowControl w:val="0"/>
              <w:tabs>
                <w:tab w:val="center" w:pos="3969"/>
                <w:tab w:val="right" w:pos="5670"/>
                <w:tab w:val="right" w:pos="6804"/>
                <w:tab w:val="right" w:pos="7938"/>
                <w:tab w:val="right" w:pos="9072"/>
              </w:tabs>
              <w:autoSpaceDE w:val="0"/>
              <w:autoSpaceDN w:val="0"/>
              <w:adjustRightInd w:val="0"/>
              <w:rPr>
                <w:rFonts w:cs="Arial"/>
                <w:b/>
                <w:bCs/>
                <w:sz w:val="20"/>
                <w:szCs w:val="20"/>
              </w:rPr>
            </w:pPr>
            <w:r w:rsidRPr="00B90FC7">
              <w:rPr>
                <w:rFonts w:cs="Arial"/>
                <w:b/>
                <w:bCs/>
                <w:sz w:val="20"/>
                <w:szCs w:val="20"/>
              </w:rPr>
              <w:t>Current liabilities:</w:t>
            </w:r>
          </w:p>
        </w:tc>
        <w:tc>
          <w:tcPr>
            <w:tcW w:w="900" w:type="dxa"/>
            <w:gridSpan w:val="3"/>
          </w:tcPr>
          <w:p w14:paraId="4B80D750" w14:textId="77777777" w:rsidR="000C2A54" w:rsidRPr="00B90FC7" w:rsidRDefault="000C2A54" w:rsidP="000C2A54">
            <w:pPr>
              <w:rPr>
                <w:b/>
                <w:sz w:val="20"/>
                <w:szCs w:val="20"/>
              </w:rPr>
            </w:pPr>
          </w:p>
        </w:tc>
        <w:tc>
          <w:tcPr>
            <w:tcW w:w="1080" w:type="dxa"/>
          </w:tcPr>
          <w:p w14:paraId="28D10755" w14:textId="77777777" w:rsidR="000C2A54" w:rsidRPr="00B90FC7" w:rsidRDefault="000C2A54" w:rsidP="000C2A54">
            <w:pPr>
              <w:jc w:val="right"/>
              <w:rPr>
                <w:sz w:val="20"/>
                <w:szCs w:val="20"/>
              </w:rPr>
            </w:pPr>
          </w:p>
        </w:tc>
        <w:tc>
          <w:tcPr>
            <w:tcW w:w="1260" w:type="dxa"/>
            <w:tcBorders>
              <w:top w:val="single" w:sz="4" w:space="0" w:color="auto"/>
            </w:tcBorders>
          </w:tcPr>
          <w:p w14:paraId="7613179A" w14:textId="77777777" w:rsidR="000C2A54" w:rsidRPr="00B90FC7" w:rsidRDefault="000C2A54" w:rsidP="000C2A54">
            <w:pPr>
              <w:jc w:val="right"/>
              <w:rPr>
                <w:sz w:val="20"/>
                <w:szCs w:val="20"/>
              </w:rPr>
            </w:pPr>
          </w:p>
        </w:tc>
        <w:tc>
          <w:tcPr>
            <w:tcW w:w="1083" w:type="dxa"/>
            <w:gridSpan w:val="2"/>
          </w:tcPr>
          <w:p w14:paraId="557D52F9" w14:textId="77777777" w:rsidR="000C2A54" w:rsidRPr="00B90FC7" w:rsidRDefault="000C2A54" w:rsidP="000C2A54">
            <w:pPr>
              <w:jc w:val="right"/>
              <w:rPr>
                <w:sz w:val="20"/>
                <w:szCs w:val="20"/>
              </w:rPr>
            </w:pPr>
          </w:p>
        </w:tc>
        <w:tc>
          <w:tcPr>
            <w:tcW w:w="1240" w:type="dxa"/>
            <w:tcBorders>
              <w:top w:val="single" w:sz="4" w:space="0" w:color="auto"/>
            </w:tcBorders>
          </w:tcPr>
          <w:p w14:paraId="43E5072E" w14:textId="77777777" w:rsidR="000C2A54" w:rsidRPr="00B90FC7" w:rsidRDefault="000C2A54" w:rsidP="000C2A54">
            <w:pPr>
              <w:jc w:val="right"/>
              <w:rPr>
                <w:sz w:val="20"/>
                <w:szCs w:val="20"/>
              </w:rPr>
            </w:pPr>
          </w:p>
        </w:tc>
      </w:tr>
      <w:tr w:rsidR="000C2A54" w:rsidRPr="00287A60" w14:paraId="750BE1E4" w14:textId="77777777" w:rsidTr="000C2A54">
        <w:trPr>
          <w:jc w:val="center"/>
        </w:trPr>
        <w:tc>
          <w:tcPr>
            <w:tcW w:w="3441" w:type="dxa"/>
            <w:gridSpan w:val="2"/>
          </w:tcPr>
          <w:p w14:paraId="7AF8B4FD" w14:textId="77777777" w:rsidR="000C2A54" w:rsidRPr="00737D30" w:rsidRDefault="000C2A54" w:rsidP="000C2A54">
            <w:pPr>
              <w:rPr>
                <w:rFonts w:cs="Arial"/>
                <w:sz w:val="20"/>
                <w:szCs w:val="20"/>
              </w:rPr>
            </w:pPr>
            <w:r w:rsidRPr="00B90FC7">
              <w:rPr>
                <w:rFonts w:cs="Arial"/>
                <w:sz w:val="20"/>
                <w:szCs w:val="20"/>
              </w:rPr>
              <w:t>Trade and other payables</w:t>
            </w:r>
          </w:p>
        </w:tc>
        <w:tc>
          <w:tcPr>
            <w:tcW w:w="900" w:type="dxa"/>
            <w:gridSpan w:val="3"/>
          </w:tcPr>
          <w:p w14:paraId="3244542F" w14:textId="62CDD155" w:rsidR="000C2A54" w:rsidRPr="00B90FC7" w:rsidRDefault="000C2A54" w:rsidP="00737D30">
            <w:pPr>
              <w:jc w:val="center"/>
              <w:rPr>
                <w:b/>
                <w:sz w:val="20"/>
                <w:szCs w:val="20"/>
              </w:rPr>
            </w:pPr>
            <w:r>
              <w:rPr>
                <w:b/>
                <w:sz w:val="20"/>
                <w:szCs w:val="20"/>
              </w:rPr>
              <w:t>1</w:t>
            </w:r>
            <w:r w:rsidR="007544D5">
              <w:rPr>
                <w:b/>
                <w:sz w:val="20"/>
                <w:szCs w:val="20"/>
              </w:rPr>
              <w:t>2</w:t>
            </w:r>
          </w:p>
        </w:tc>
        <w:tc>
          <w:tcPr>
            <w:tcW w:w="1080" w:type="dxa"/>
          </w:tcPr>
          <w:p w14:paraId="025E55BC" w14:textId="77777777" w:rsidR="000C2A54" w:rsidRPr="00B90FC7" w:rsidRDefault="000C2A54" w:rsidP="000C2A54">
            <w:pPr>
              <w:jc w:val="right"/>
              <w:rPr>
                <w:sz w:val="20"/>
                <w:szCs w:val="20"/>
              </w:rPr>
            </w:pPr>
          </w:p>
        </w:tc>
        <w:tc>
          <w:tcPr>
            <w:tcW w:w="1260" w:type="dxa"/>
            <w:tcBorders>
              <w:bottom w:val="single" w:sz="4" w:space="0" w:color="auto"/>
            </w:tcBorders>
          </w:tcPr>
          <w:p w14:paraId="780BCBC9" w14:textId="4E943FB1" w:rsidR="00737D30" w:rsidRPr="00B90FC7" w:rsidRDefault="00846689" w:rsidP="00737D30">
            <w:pPr>
              <w:jc w:val="right"/>
              <w:rPr>
                <w:sz w:val="20"/>
                <w:szCs w:val="20"/>
              </w:rPr>
            </w:pPr>
            <w:r>
              <w:rPr>
                <w:sz w:val="20"/>
                <w:szCs w:val="20"/>
              </w:rPr>
              <w:t>325,368</w:t>
            </w:r>
          </w:p>
        </w:tc>
        <w:tc>
          <w:tcPr>
            <w:tcW w:w="1083" w:type="dxa"/>
            <w:gridSpan w:val="2"/>
          </w:tcPr>
          <w:p w14:paraId="7795CA97" w14:textId="77777777" w:rsidR="000C2A54" w:rsidRPr="00B90FC7" w:rsidRDefault="000C2A54" w:rsidP="00737D30">
            <w:pPr>
              <w:jc w:val="center"/>
              <w:rPr>
                <w:sz w:val="20"/>
                <w:szCs w:val="20"/>
              </w:rPr>
            </w:pPr>
          </w:p>
        </w:tc>
        <w:tc>
          <w:tcPr>
            <w:tcW w:w="1240" w:type="dxa"/>
            <w:tcBorders>
              <w:bottom w:val="single" w:sz="4" w:space="0" w:color="auto"/>
            </w:tcBorders>
          </w:tcPr>
          <w:p w14:paraId="4889FB44" w14:textId="2BA2A232" w:rsidR="00737D30" w:rsidRDefault="00E916F9" w:rsidP="00737D30">
            <w:pPr>
              <w:jc w:val="right"/>
              <w:rPr>
                <w:sz w:val="20"/>
                <w:szCs w:val="20"/>
              </w:rPr>
            </w:pPr>
            <w:r>
              <w:rPr>
                <w:sz w:val="20"/>
                <w:szCs w:val="20"/>
              </w:rPr>
              <w:t>2</w:t>
            </w:r>
            <w:r w:rsidR="00846689">
              <w:rPr>
                <w:sz w:val="20"/>
                <w:szCs w:val="20"/>
              </w:rPr>
              <w:t>19,330</w:t>
            </w:r>
          </w:p>
          <w:p w14:paraId="707935A5" w14:textId="77777777" w:rsidR="00737D30" w:rsidRPr="00B90FC7" w:rsidRDefault="00737D30" w:rsidP="00737D30">
            <w:pPr>
              <w:jc w:val="right"/>
              <w:rPr>
                <w:sz w:val="20"/>
                <w:szCs w:val="20"/>
              </w:rPr>
            </w:pPr>
          </w:p>
        </w:tc>
      </w:tr>
      <w:tr w:rsidR="000C2A54" w:rsidRPr="00394E89" w14:paraId="14D95293" w14:textId="77777777" w:rsidTr="000C2A54">
        <w:trPr>
          <w:jc w:val="center"/>
        </w:trPr>
        <w:tc>
          <w:tcPr>
            <w:tcW w:w="3622" w:type="dxa"/>
            <w:gridSpan w:val="3"/>
          </w:tcPr>
          <w:p w14:paraId="63E5D7D8" w14:textId="77777777" w:rsidR="000C2A54" w:rsidRPr="003902AD" w:rsidRDefault="000C2A54" w:rsidP="000C2A54">
            <w:pPr>
              <w:rPr>
                <w:rFonts w:cs="Arial"/>
                <w:b/>
                <w:bCs/>
                <w:sz w:val="20"/>
                <w:szCs w:val="20"/>
              </w:rPr>
            </w:pPr>
            <w:r w:rsidRPr="00B90FC7">
              <w:rPr>
                <w:rFonts w:cs="Arial"/>
                <w:b/>
                <w:sz w:val="20"/>
                <w:szCs w:val="20"/>
              </w:rPr>
              <w:t xml:space="preserve">Total current </w:t>
            </w:r>
            <w:r w:rsidRPr="00B90FC7">
              <w:rPr>
                <w:rFonts w:cs="Arial"/>
                <w:b/>
                <w:bCs/>
                <w:sz w:val="20"/>
                <w:szCs w:val="20"/>
              </w:rPr>
              <w:t>liabilities</w:t>
            </w:r>
          </w:p>
        </w:tc>
        <w:tc>
          <w:tcPr>
            <w:tcW w:w="719" w:type="dxa"/>
            <w:gridSpan w:val="2"/>
          </w:tcPr>
          <w:p w14:paraId="03966897" w14:textId="77777777" w:rsidR="000C2A54" w:rsidRPr="00B90FC7" w:rsidRDefault="000C2A54" w:rsidP="000C2A54">
            <w:pPr>
              <w:rPr>
                <w:b/>
                <w:sz w:val="20"/>
                <w:szCs w:val="20"/>
              </w:rPr>
            </w:pPr>
          </w:p>
        </w:tc>
        <w:tc>
          <w:tcPr>
            <w:tcW w:w="1080" w:type="dxa"/>
          </w:tcPr>
          <w:p w14:paraId="3C372AA5" w14:textId="77777777" w:rsidR="000C2A54" w:rsidRPr="00B90FC7" w:rsidRDefault="000C2A54" w:rsidP="000C2A54">
            <w:pPr>
              <w:jc w:val="right"/>
              <w:rPr>
                <w:sz w:val="20"/>
                <w:szCs w:val="20"/>
              </w:rPr>
            </w:pPr>
          </w:p>
        </w:tc>
        <w:tc>
          <w:tcPr>
            <w:tcW w:w="1260" w:type="dxa"/>
            <w:tcBorders>
              <w:top w:val="single" w:sz="4" w:space="0" w:color="auto"/>
              <w:bottom w:val="single" w:sz="4" w:space="0" w:color="auto"/>
            </w:tcBorders>
          </w:tcPr>
          <w:p w14:paraId="2B6BC1DA" w14:textId="5382F94C" w:rsidR="000C2A54" w:rsidRPr="00B90FC7" w:rsidRDefault="00846689" w:rsidP="000C2A54">
            <w:pPr>
              <w:jc w:val="right"/>
              <w:rPr>
                <w:sz w:val="20"/>
                <w:szCs w:val="20"/>
              </w:rPr>
            </w:pPr>
            <w:r>
              <w:rPr>
                <w:sz w:val="20"/>
                <w:szCs w:val="20"/>
              </w:rPr>
              <w:t>325,368</w:t>
            </w:r>
          </w:p>
        </w:tc>
        <w:tc>
          <w:tcPr>
            <w:tcW w:w="1083" w:type="dxa"/>
            <w:gridSpan w:val="2"/>
          </w:tcPr>
          <w:p w14:paraId="5FF88DBA" w14:textId="77777777" w:rsidR="000C2A54" w:rsidRPr="00B90FC7" w:rsidRDefault="000C2A54" w:rsidP="000C2A54">
            <w:pPr>
              <w:jc w:val="right"/>
              <w:rPr>
                <w:sz w:val="20"/>
                <w:szCs w:val="20"/>
              </w:rPr>
            </w:pPr>
          </w:p>
        </w:tc>
        <w:tc>
          <w:tcPr>
            <w:tcW w:w="1240" w:type="dxa"/>
            <w:tcBorders>
              <w:top w:val="single" w:sz="4" w:space="0" w:color="auto"/>
              <w:bottom w:val="single" w:sz="4" w:space="0" w:color="auto"/>
            </w:tcBorders>
          </w:tcPr>
          <w:p w14:paraId="5D6207FD" w14:textId="10C2060A" w:rsidR="000C2A54" w:rsidRPr="00B90FC7" w:rsidRDefault="00846689" w:rsidP="007D6AD0">
            <w:pPr>
              <w:jc w:val="right"/>
              <w:rPr>
                <w:sz w:val="20"/>
                <w:szCs w:val="20"/>
              </w:rPr>
            </w:pPr>
            <w:r>
              <w:rPr>
                <w:sz w:val="20"/>
                <w:szCs w:val="20"/>
              </w:rPr>
              <w:t>219,330</w:t>
            </w:r>
          </w:p>
        </w:tc>
      </w:tr>
      <w:tr w:rsidR="000C2A54" w:rsidRPr="00287A60" w14:paraId="50EB0AF7" w14:textId="77777777" w:rsidTr="00580421">
        <w:trPr>
          <w:jc w:val="center"/>
        </w:trPr>
        <w:tc>
          <w:tcPr>
            <w:tcW w:w="3622" w:type="dxa"/>
            <w:gridSpan w:val="3"/>
          </w:tcPr>
          <w:p w14:paraId="704186D3" w14:textId="77777777" w:rsidR="00737D30" w:rsidRDefault="00737D30" w:rsidP="000C2A54">
            <w:pPr>
              <w:rPr>
                <w:rFonts w:cs="Arial"/>
                <w:b/>
                <w:sz w:val="20"/>
                <w:szCs w:val="20"/>
                <w:lang w:val="fr-FR"/>
              </w:rPr>
            </w:pPr>
          </w:p>
          <w:p w14:paraId="1CDE3A0D" w14:textId="4BC9C8C9" w:rsidR="00737D30" w:rsidRDefault="00737D30" w:rsidP="000C2A54">
            <w:pPr>
              <w:rPr>
                <w:rFonts w:cs="Arial"/>
                <w:b/>
                <w:sz w:val="20"/>
                <w:szCs w:val="20"/>
                <w:lang w:val="fr-FR"/>
              </w:rPr>
            </w:pPr>
            <w:r>
              <w:rPr>
                <w:rFonts w:cs="Arial"/>
                <w:b/>
                <w:sz w:val="20"/>
                <w:szCs w:val="20"/>
                <w:lang w:val="fr-FR"/>
              </w:rPr>
              <w:t xml:space="preserve">Non Current </w:t>
            </w:r>
            <w:r w:rsidR="007806F6">
              <w:rPr>
                <w:rFonts w:cs="Arial"/>
                <w:b/>
                <w:sz w:val="20"/>
                <w:szCs w:val="20"/>
                <w:lang w:val="fr-FR"/>
              </w:rPr>
              <w:t>l</w:t>
            </w:r>
            <w:r>
              <w:rPr>
                <w:rFonts w:cs="Arial"/>
                <w:b/>
                <w:sz w:val="20"/>
                <w:szCs w:val="20"/>
                <w:lang w:val="fr-FR"/>
              </w:rPr>
              <w:t>iabilities</w:t>
            </w:r>
          </w:p>
          <w:p w14:paraId="1465BFB2" w14:textId="77777777" w:rsidR="00737D30" w:rsidRDefault="00737D30" w:rsidP="000C2A54">
            <w:pPr>
              <w:rPr>
                <w:rFonts w:cs="Arial"/>
                <w:sz w:val="20"/>
                <w:szCs w:val="20"/>
                <w:lang w:val="fr-FR"/>
              </w:rPr>
            </w:pPr>
            <w:r>
              <w:rPr>
                <w:rFonts w:cs="Arial"/>
                <w:sz w:val="20"/>
                <w:szCs w:val="20"/>
                <w:lang w:val="fr-FR"/>
              </w:rPr>
              <w:t>Provisions – Dilapidations</w:t>
            </w:r>
          </w:p>
          <w:p w14:paraId="1E77C145" w14:textId="4A439295" w:rsidR="00737D30" w:rsidRPr="00737D30" w:rsidRDefault="00846689" w:rsidP="000C2A54">
            <w:pPr>
              <w:rPr>
                <w:rFonts w:cs="Arial"/>
                <w:sz w:val="20"/>
                <w:szCs w:val="20"/>
                <w:lang w:val="fr-FR"/>
              </w:rPr>
            </w:pPr>
            <w:r>
              <w:rPr>
                <w:rFonts w:cs="Arial"/>
                <w:sz w:val="20"/>
                <w:szCs w:val="20"/>
                <w:lang w:val="fr-FR"/>
              </w:rPr>
              <w:t>Lease Liabilities</w:t>
            </w:r>
            <w:r w:rsidR="007544D5">
              <w:rPr>
                <w:rFonts w:cs="Arial"/>
                <w:sz w:val="20"/>
                <w:szCs w:val="20"/>
                <w:lang w:val="fr-FR"/>
              </w:rPr>
              <w:t xml:space="preserve">                              </w:t>
            </w:r>
          </w:p>
          <w:p w14:paraId="733E30FB" w14:textId="77777777" w:rsidR="003902AD" w:rsidRDefault="003902AD" w:rsidP="000C2A54">
            <w:pPr>
              <w:rPr>
                <w:rFonts w:cs="Arial"/>
                <w:b/>
                <w:sz w:val="20"/>
                <w:szCs w:val="20"/>
                <w:lang w:val="fr-FR"/>
              </w:rPr>
            </w:pPr>
          </w:p>
          <w:p w14:paraId="33EA00E0" w14:textId="77777777" w:rsidR="003902AD" w:rsidRDefault="003902AD" w:rsidP="000C2A54">
            <w:pPr>
              <w:rPr>
                <w:rFonts w:cs="Arial"/>
                <w:b/>
                <w:sz w:val="20"/>
                <w:szCs w:val="20"/>
                <w:lang w:val="fr-FR"/>
              </w:rPr>
            </w:pPr>
          </w:p>
          <w:p w14:paraId="3330563C" w14:textId="0C1A13E5" w:rsidR="000C2A54" w:rsidRPr="00B90FC7" w:rsidRDefault="000C2A54" w:rsidP="000C2A54">
            <w:pPr>
              <w:rPr>
                <w:b/>
                <w:sz w:val="20"/>
                <w:szCs w:val="20"/>
                <w:lang w:val="fr-FR"/>
              </w:rPr>
            </w:pPr>
          </w:p>
        </w:tc>
        <w:tc>
          <w:tcPr>
            <w:tcW w:w="719" w:type="dxa"/>
            <w:gridSpan w:val="2"/>
          </w:tcPr>
          <w:p w14:paraId="606912DD" w14:textId="77777777" w:rsidR="000C2A54" w:rsidRDefault="000C2A54" w:rsidP="000C2A54">
            <w:pPr>
              <w:rPr>
                <w:b/>
                <w:sz w:val="20"/>
                <w:szCs w:val="20"/>
                <w:lang w:val="fr-FR"/>
              </w:rPr>
            </w:pPr>
          </w:p>
          <w:p w14:paraId="3A0584AC" w14:textId="77777777" w:rsidR="00737D30" w:rsidRDefault="00737D30" w:rsidP="000C2A54">
            <w:pPr>
              <w:rPr>
                <w:b/>
                <w:sz w:val="20"/>
                <w:szCs w:val="20"/>
                <w:lang w:val="fr-FR"/>
              </w:rPr>
            </w:pPr>
          </w:p>
          <w:p w14:paraId="110746C8" w14:textId="27CB3753" w:rsidR="00737D30" w:rsidRDefault="00737D30" w:rsidP="000C2A54">
            <w:pPr>
              <w:rPr>
                <w:b/>
                <w:sz w:val="20"/>
                <w:szCs w:val="20"/>
                <w:lang w:val="fr-FR"/>
              </w:rPr>
            </w:pPr>
            <w:r>
              <w:rPr>
                <w:b/>
                <w:sz w:val="20"/>
                <w:szCs w:val="20"/>
                <w:lang w:val="fr-FR"/>
              </w:rPr>
              <w:t>1</w:t>
            </w:r>
            <w:r w:rsidR="007544D5">
              <w:rPr>
                <w:b/>
                <w:sz w:val="20"/>
                <w:szCs w:val="20"/>
                <w:lang w:val="fr-FR"/>
              </w:rPr>
              <w:t>3</w:t>
            </w:r>
          </w:p>
          <w:p w14:paraId="00BF92E7" w14:textId="71AFB851" w:rsidR="007544D5" w:rsidRPr="007544D5" w:rsidRDefault="007330CB" w:rsidP="007544D5">
            <w:pPr>
              <w:rPr>
                <w:b/>
                <w:bCs/>
                <w:sz w:val="20"/>
                <w:szCs w:val="20"/>
                <w:lang w:val="fr-FR"/>
              </w:rPr>
            </w:pPr>
            <w:r>
              <w:rPr>
                <w:b/>
                <w:bCs/>
                <w:sz w:val="20"/>
                <w:szCs w:val="20"/>
                <w:lang w:val="fr-FR"/>
              </w:rPr>
              <w:t xml:space="preserve"> </w:t>
            </w:r>
            <w:r w:rsidR="00EF4A8A">
              <w:rPr>
                <w:b/>
                <w:bCs/>
                <w:sz w:val="20"/>
                <w:szCs w:val="20"/>
                <w:lang w:val="fr-FR"/>
              </w:rPr>
              <w:t>7</w:t>
            </w:r>
          </w:p>
        </w:tc>
        <w:tc>
          <w:tcPr>
            <w:tcW w:w="1080" w:type="dxa"/>
          </w:tcPr>
          <w:p w14:paraId="50736848" w14:textId="77777777" w:rsidR="000C2A54" w:rsidRDefault="000C2A54" w:rsidP="000C2A54">
            <w:pPr>
              <w:jc w:val="right"/>
              <w:rPr>
                <w:sz w:val="20"/>
                <w:szCs w:val="20"/>
                <w:lang w:val="fr-FR"/>
              </w:rPr>
            </w:pPr>
          </w:p>
          <w:p w14:paraId="76746D1E" w14:textId="77777777" w:rsidR="00737D30" w:rsidRDefault="00737D30" w:rsidP="000C2A54">
            <w:pPr>
              <w:jc w:val="right"/>
              <w:rPr>
                <w:sz w:val="20"/>
                <w:szCs w:val="20"/>
                <w:lang w:val="fr-FR"/>
              </w:rPr>
            </w:pPr>
          </w:p>
          <w:p w14:paraId="6B8B10D5" w14:textId="77777777" w:rsidR="00737D30" w:rsidRPr="00B90FC7" w:rsidRDefault="00737D30" w:rsidP="00737D30">
            <w:pPr>
              <w:rPr>
                <w:sz w:val="20"/>
                <w:szCs w:val="20"/>
                <w:lang w:val="fr-FR"/>
              </w:rPr>
            </w:pPr>
          </w:p>
        </w:tc>
        <w:tc>
          <w:tcPr>
            <w:tcW w:w="1260" w:type="dxa"/>
            <w:tcBorders>
              <w:top w:val="single" w:sz="4" w:space="0" w:color="auto"/>
            </w:tcBorders>
          </w:tcPr>
          <w:p w14:paraId="51119BD0" w14:textId="77777777" w:rsidR="00A85ADF" w:rsidRDefault="00A85ADF" w:rsidP="000C2A54">
            <w:pPr>
              <w:jc w:val="right"/>
              <w:rPr>
                <w:sz w:val="20"/>
                <w:szCs w:val="20"/>
              </w:rPr>
            </w:pPr>
          </w:p>
          <w:p w14:paraId="2B934BB6" w14:textId="77777777" w:rsidR="00737D30" w:rsidRDefault="00737D30" w:rsidP="000C2A54">
            <w:pPr>
              <w:jc w:val="right"/>
              <w:rPr>
                <w:sz w:val="20"/>
                <w:szCs w:val="20"/>
              </w:rPr>
            </w:pPr>
          </w:p>
          <w:p w14:paraId="4CCC5417" w14:textId="77777777" w:rsidR="00737D30" w:rsidRDefault="00737D30" w:rsidP="000C2A54">
            <w:pPr>
              <w:jc w:val="right"/>
              <w:rPr>
                <w:sz w:val="20"/>
                <w:szCs w:val="20"/>
              </w:rPr>
            </w:pPr>
            <w:r>
              <w:rPr>
                <w:sz w:val="20"/>
                <w:szCs w:val="20"/>
              </w:rPr>
              <w:t>75,000</w:t>
            </w:r>
          </w:p>
          <w:p w14:paraId="55C2E16D" w14:textId="1A1C7F96" w:rsidR="003902AD" w:rsidRDefault="009F599C" w:rsidP="000C2A54">
            <w:pPr>
              <w:jc w:val="right"/>
              <w:rPr>
                <w:sz w:val="20"/>
                <w:szCs w:val="20"/>
              </w:rPr>
            </w:pPr>
            <w:r>
              <w:rPr>
                <w:sz w:val="20"/>
                <w:szCs w:val="20"/>
              </w:rPr>
              <w:t>523,693</w:t>
            </w:r>
          </w:p>
          <w:p w14:paraId="304F0218" w14:textId="06784949" w:rsidR="003902AD" w:rsidRDefault="009F599C" w:rsidP="003902AD">
            <w:pPr>
              <w:pBdr>
                <w:top w:val="single" w:sz="4" w:space="1" w:color="auto"/>
                <w:bottom w:val="single" w:sz="4" w:space="1" w:color="auto"/>
              </w:pBdr>
              <w:jc w:val="right"/>
              <w:rPr>
                <w:sz w:val="20"/>
                <w:szCs w:val="20"/>
              </w:rPr>
            </w:pPr>
            <w:r>
              <w:rPr>
                <w:sz w:val="20"/>
                <w:szCs w:val="20"/>
              </w:rPr>
              <w:t>598,693</w:t>
            </w:r>
          </w:p>
          <w:p w14:paraId="1D686B37" w14:textId="798B758C" w:rsidR="00F92B3B" w:rsidRPr="00184BE8" w:rsidRDefault="00F92B3B" w:rsidP="00580421">
            <w:pPr>
              <w:rPr>
                <w:sz w:val="20"/>
                <w:szCs w:val="20"/>
              </w:rPr>
            </w:pPr>
          </w:p>
        </w:tc>
        <w:tc>
          <w:tcPr>
            <w:tcW w:w="1083" w:type="dxa"/>
            <w:gridSpan w:val="2"/>
          </w:tcPr>
          <w:p w14:paraId="49E5E463" w14:textId="77777777" w:rsidR="000C2A54" w:rsidRPr="00B90FC7" w:rsidRDefault="000C2A54" w:rsidP="000C2A54">
            <w:pPr>
              <w:jc w:val="right"/>
              <w:rPr>
                <w:sz w:val="20"/>
                <w:szCs w:val="20"/>
              </w:rPr>
            </w:pPr>
          </w:p>
        </w:tc>
        <w:tc>
          <w:tcPr>
            <w:tcW w:w="1240" w:type="dxa"/>
            <w:tcBorders>
              <w:top w:val="single" w:sz="4" w:space="0" w:color="auto"/>
            </w:tcBorders>
          </w:tcPr>
          <w:p w14:paraId="137787C7" w14:textId="77777777" w:rsidR="000C2A54" w:rsidRDefault="000C2A54" w:rsidP="000C2A54">
            <w:pPr>
              <w:jc w:val="right"/>
              <w:rPr>
                <w:sz w:val="20"/>
                <w:szCs w:val="20"/>
              </w:rPr>
            </w:pPr>
          </w:p>
          <w:p w14:paraId="6BA0A0A7" w14:textId="77777777" w:rsidR="00737D30" w:rsidRDefault="00737D30" w:rsidP="000C2A54">
            <w:pPr>
              <w:jc w:val="right"/>
              <w:rPr>
                <w:sz w:val="20"/>
                <w:szCs w:val="20"/>
              </w:rPr>
            </w:pPr>
          </w:p>
          <w:p w14:paraId="0C400BD3" w14:textId="77777777" w:rsidR="00737D30" w:rsidRDefault="00E916F9" w:rsidP="000C2A54">
            <w:pPr>
              <w:jc w:val="right"/>
              <w:rPr>
                <w:sz w:val="20"/>
                <w:szCs w:val="20"/>
              </w:rPr>
            </w:pPr>
            <w:r>
              <w:rPr>
                <w:sz w:val="20"/>
                <w:szCs w:val="20"/>
              </w:rPr>
              <w:t>75,000</w:t>
            </w:r>
          </w:p>
          <w:p w14:paraId="10125986" w14:textId="04C44FB4" w:rsidR="003902AD" w:rsidRDefault="00846689" w:rsidP="000C2A54">
            <w:pPr>
              <w:jc w:val="right"/>
              <w:rPr>
                <w:sz w:val="20"/>
                <w:szCs w:val="20"/>
              </w:rPr>
            </w:pPr>
            <w:r>
              <w:rPr>
                <w:sz w:val="20"/>
                <w:szCs w:val="20"/>
              </w:rPr>
              <w:t>0</w:t>
            </w:r>
          </w:p>
          <w:p w14:paraId="67CBACF9" w14:textId="0487C9BA" w:rsidR="000C2A54" w:rsidRDefault="00E916F9" w:rsidP="00580421">
            <w:pPr>
              <w:pBdr>
                <w:top w:val="single" w:sz="4" w:space="1" w:color="auto"/>
                <w:bottom w:val="single" w:sz="4" w:space="1" w:color="auto"/>
              </w:pBdr>
              <w:jc w:val="right"/>
              <w:rPr>
                <w:sz w:val="20"/>
                <w:szCs w:val="20"/>
              </w:rPr>
            </w:pPr>
            <w:r>
              <w:rPr>
                <w:sz w:val="20"/>
                <w:szCs w:val="20"/>
              </w:rPr>
              <w:t>75,000</w:t>
            </w:r>
          </w:p>
          <w:p w14:paraId="5180AFF4" w14:textId="16E6EA8A" w:rsidR="00580421" w:rsidRPr="00580421" w:rsidRDefault="00580421" w:rsidP="00580421">
            <w:pPr>
              <w:rPr>
                <w:sz w:val="20"/>
                <w:szCs w:val="20"/>
              </w:rPr>
            </w:pPr>
          </w:p>
        </w:tc>
      </w:tr>
      <w:tr w:rsidR="000C2A54" w:rsidRPr="00287A60" w14:paraId="0B2E1849" w14:textId="77777777" w:rsidTr="00580421">
        <w:trPr>
          <w:jc w:val="center"/>
        </w:trPr>
        <w:tc>
          <w:tcPr>
            <w:tcW w:w="3441" w:type="dxa"/>
            <w:gridSpan w:val="2"/>
          </w:tcPr>
          <w:p w14:paraId="7C3986D2" w14:textId="77777777" w:rsidR="000C2A54" w:rsidRPr="00B90FC7" w:rsidRDefault="000C2A54" w:rsidP="000C2A54">
            <w:pPr>
              <w:rPr>
                <w:rFonts w:cs="Arial"/>
                <w:b/>
                <w:bCs/>
                <w:sz w:val="20"/>
                <w:szCs w:val="20"/>
              </w:rPr>
            </w:pPr>
          </w:p>
          <w:p w14:paraId="45F6158F" w14:textId="77777777" w:rsidR="000C2A54" w:rsidRPr="00B90FC7" w:rsidRDefault="000C2A54" w:rsidP="000C2A54">
            <w:pPr>
              <w:rPr>
                <w:b/>
                <w:sz w:val="20"/>
                <w:szCs w:val="20"/>
              </w:rPr>
            </w:pPr>
            <w:r w:rsidRPr="00B90FC7">
              <w:rPr>
                <w:rFonts w:cs="Arial"/>
                <w:b/>
                <w:bCs/>
                <w:sz w:val="20"/>
                <w:szCs w:val="20"/>
              </w:rPr>
              <w:t xml:space="preserve">Assets less </w:t>
            </w:r>
            <w:r w:rsidR="007B768A">
              <w:rPr>
                <w:rFonts w:cs="Arial"/>
                <w:b/>
                <w:bCs/>
                <w:sz w:val="20"/>
                <w:szCs w:val="20"/>
              </w:rPr>
              <w:t xml:space="preserve">total </w:t>
            </w:r>
            <w:r w:rsidRPr="00B90FC7">
              <w:rPr>
                <w:rFonts w:cs="Arial"/>
                <w:b/>
                <w:bCs/>
                <w:sz w:val="20"/>
                <w:szCs w:val="20"/>
              </w:rPr>
              <w:t>liabilities</w:t>
            </w:r>
          </w:p>
        </w:tc>
        <w:tc>
          <w:tcPr>
            <w:tcW w:w="900" w:type="dxa"/>
            <w:gridSpan w:val="3"/>
          </w:tcPr>
          <w:p w14:paraId="0CA5DEC0" w14:textId="77777777" w:rsidR="000C2A54" w:rsidRPr="00B90FC7" w:rsidRDefault="000C2A54" w:rsidP="000C2A54">
            <w:pPr>
              <w:rPr>
                <w:b/>
                <w:sz w:val="20"/>
                <w:szCs w:val="20"/>
              </w:rPr>
            </w:pPr>
          </w:p>
        </w:tc>
        <w:tc>
          <w:tcPr>
            <w:tcW w:w="1080" w:type="dxa"/>
          </w:tcPr>
          <w:p w14:paraId="525F3062" w14:textId="77777777" w:rsidR="000C2A54" w:rsidRPr="00B90FC7" w:rsidRDefault="000C2A54" w:rsidP="000C2A54">
            <w:pPr>
              <w:jc w:val="right"/>
              <w:rPr>
                <w:sz w:val="20"/>
                <w:szCs w:val="20"/>
              </w:rPr>
            </w:pPr>
          </w:p>
        </w:tc>
        <w:tc>
          <w:tcPr>
            <w:tcW w:w="1260" w:type="dxa"/>
            <w:tcBorders>
              <w:bottom w:val="double" w:sz="4" w:space="0" w:color="auto"/>
            </w:tcBorders>
          </w:tcPr>
          <w:p w14:paraId="28D00821" w14:textId="77777777" w:rsidR="00F92B3B" w:rsidRDefault="00F92B3B" w:rsidP="000C2A54">
            <w:pPr>
              <w:jc w:val="right"/>
              <w:rPr>
                <w:b/>
                <w:sz w:val="20"/>
                <w:szCs w:val="20"/>
              </w:rPr>
            </w:pPr>
          </w:p>
          <w:p w14:paraId="4FD49C60" w14:textId="47EC267B" w:rsidR="00E916F9" w:rsidRPr="007F4D84" w:rsidRDefault="00846689" w:rsidP="000C2A54">
            <w:pPr>
              <w:jc w:val="right"/>
              <w:rPr>
                <w:b/>
                <w:sz w:val="20"/>
                <w:szCs w:val="20"/>
              </w:rPr>
            </w:pPr>
            <w:r>
              <w:rPr>
                <w:b/>
                <w:sz w:val="20"/>
                <w:szCs w:val="20"/>
              </w:rPr>
              <w:t>69</w:t>
            </w:r>
            <w:r w:rsidR="009F599C">
              <w:rPr>
                <w:b/>
                <w:sz w:val="20"/>
                <w:szCs w:val="20"/>
              </w:rPr>
              <w:t>5,40</w:t>
            </w:r>
            <w:r w:rsidR="00A30F83">
              <w:rPr>
                <w:b/>
                <w:sz w:val="20"/>
                <w:szCs w:val="20"/>
              </w:rPr>
              <w:t>2</w:t>
            </w:r>
          </w:p>
        </w:tc>
        <w:tc>
          <w:tcPr>
            <w:tcW w:w="1083" w:type="dxa"/>
            <w:gridSpan w:val="2"/>
          </w:tcPr>
          <w:p w14:paraId="2A7FE62B" w14:textId="77777777" w:rsidR="000C2A54" w:rsidRPr="00B90FC7" w:rsidRDefault="000C2A54" w:rsidP="000C2A54">
            <w:pPr>
              <w:jc w:val="right"/>
              <w:rPr>
                <w:sz w:val="20"/>
                <w:szCs w:val="20"/>
              </w:rPr>
            </w:pPr>
          </w:p>
        </w:tc>
        <w:tc>
          <w:tcPr>
            <w:tcW w:w="1240" w:type="dxa"/>
            <w:tcBorders>
              <w:bottom w:val="double" w:sz="4" w:space="0" w:color="auto"/>
            </w:tcBorders>
          </w:tcPr>
          <w:p w14:paraId="07ADCA8E" w14:textId="77777777" w:rsidR="000C2A54" w:rsidRDefault="000C2A54" w:rsidP="000C2A54">
            <w:pPr>
              <w:jc w:val="right"/>
              <w:rPr>
                <w:b/>
                <w:sz w:val="20"/>
                <w:szCs w:val="20"/>
              </w:rPr>
            </w:pPr>
          </w:p>
          <w:p w14:paraId="31404F47" w14:textId="648A91E0" w:rsidR="00E916F9" w:rsidRPr="00B90FC7" w:rsidRDefault="00846689" w:rsidP="000C2A54">
            <w:pPr>
              <w:jc w:val="right"/>
              <w:rPr>
                <w:b/>
                <w:sz w:val="20"/>
                <w:szCs w:val="20"/>
              </w:rPr>
            </w:pPr>
            <w:r>
              <w:rPr>
                <w:b/>
                <w:sz w:val="20"/>
                <w:szCs w:val="20"/>
              </w:rPr>
              <w:t>849,053</w:t>
            </w:r>
          </w:p>
        </w:tc>
      </w:tr>
      <w:tr w:rsidR="000C2A54" w:rsidRPr="00287A60" w14:paraId="4DD60335" w14:textId="77777777" w:rsidTr="00A64226">
        <w:trPr>
          <w:trHeight w:val="741"/>
          <w:jc w:val="center"/>
        </w:trPr>
        <w:tc>
          <w:tcPr>
            <w:tcW w:w="3441" w:type="dxa"/>
            <w:gridSpan w:val="2"/>
          </w:tcPr>
          <w:p w14:paraId="0266528F" w14:textId="77777777" w:rsidR="000C2A54" w:rsidRPr="00B90FC7" w:rsidRDefault="000C2A54" w:rsidP="000C2A54">
            <w:pPr>
              <w:widowControl w:val="0"/>
              <w:tabs>
                <w:tab w:val="center" w:pos="3960"/>
                <w:tab w:val="right" w:pos="5670"/>
                <w:tab w:val="right" w:pos="6804"/>
                <w:tab w:val="right" w:pos="7938"/>
                <w:tab w:val="right" w:pos="9072"/>
              </w:tabs>
              <w:autoSpaceDE w:val="0"/>
              <w:autoSpaceDN w:val="0"/>
              <w:adjustRightInd w:val="0"/>
              <w:rPr>
                <w:rFonts w:cs="Arial"/>
                <w:b/>
                <w:sz w:val="20"/>
                <w:szCs w:val="20"/>
              </w:rPr>
            </w:pPr>
          </w:p>
          <w:p w14:paraId="2A79E79B" w14:textId="77777777" w:rsidR="000C2A54" w:rsidRPr="00B90FC7" w:rsidRDefault="007B768A" w:rsidP="000C2A54">
            <w:pPr>
              <w:widowControl w:val="0"/>
              <w:tabs>
                <w:tab w:val="center" w:pos="3960"/>
                <w:tab w:val="right" w:pos="5670"/>
                <w:tab w:val="right" w:pos="6804"/>
                <w:tab w:val="right" w:pos="7938"/>
                <w:tab w:val="right" w:pos="9072"/>
              </w:tabs>
              <w:autoSpaceDE w:val="0"/>
              <w:autoSpaceDN w:val="0"/>
              <w:adjustRightInd w:val="0"/>
              <w:rPr>
                <w:rFonts w:cs="Arial"/>
                <w:sz w:val="20"/>
                <w:szCs w:val="20"/>
              </w:rPr>
            </w:pPr>
            <w:r>
              <w:rPr>
                <w:rFonts w:cs="Arial"/>
                <w:b/>
                <w:sz w:val="20"/>
                <w:szCs w:val="20"/>
              </w:rPr>
              <w:t>Taxpayers’ e</w:t>
            </w:r>
            <w:r w:rsidR="000C2A54" w:rsidRPr="00B90FC7">
              <w:rPr>
                <w:rFonts w:cs="Arial"/>
                <w:b/>
                <w:sz w:val="20"/>
                <w:szCs w:val="20"/>
              </w:rPr>
              <w:t>quity</w:t>
            </w:r>
          </w:p>
        </w:tc>
        <w:tc>
          <w:tcPr>
            <w:tcW w:w="900" w:type="dxa"/>
            <w:gridSpan w:val="3"/>
          </w:tcPr>
          <w:p w14:paraId="21B6ECDF" w14:textId="77777777" w:rsidR="000C2A54" w:rsidRPr="00B90FC7" w:rsidRDefault="000C2A54" w:rsidP="000C2A54">
            <w:pPr>
              <w:rPr>
                <w:b/>
                <w:sz w:val="20"/>
                <w:szCs w:val="20"/>
              </w:rPr>
            </w:pPr>
          </w:p>
        </w:tc>
        <w:tc>
          <w:tcPr>
            <w:tcW w:w="1080" w:type="dxa"/>
          </w:tcPr>
          <w:p w14:paraId="01A9DD0A" w14:textId="77777777" w:rsidR="000C2A54" w:rsidRPr="00B90FC7" w:rsidRDefault="000C2A54" w:rsidP="000C2A54">
            <w:pPr>
              <w:rPr>
                <w:sz w:val="20"/>
                <w:szCs w:val="20"/>
              </w:rPr>
            </w:pPr>
          </w:p>
        </w:tc>
        <w:tc>
          <w:tcPr>
            <w:tcW w:w="1260" w:type="dxa"/>
            <w:tcBorders>
              <w:top w:val="double" w:sz="4" w:space="0" w:color="auto"/>
            </w:tcBorders>
          </w:tcPr>
          <w:p w14:paraId="6C917AAF" w14:textId="77777777" w:rsidR="000C2A54" w:rsidRPr="00B90FC7" w:rsidRDefault="000C2A54" w:rsidP="000C2A54">
            <w:pPr>
              <w:jc w:val="right"/>
              <w:rPr>
                <w:sz w:val="20"/>
                <w:szCs w:val="20"/>
              </w:rPr>
            </w:pPr>
          </w:p>
        </w:tc>
        <w:tc>
          <w:tcPr>
            <w:tcW w:w="1083" w:type="dxa"/>
            <w:gridSpan w:val="2"/>
          </w:tcPr>
          <w:p w14:paraId="241C724E" w14:textId="77777777" w:rsidR="000C2A54" w:rsidRPr="00B90FC7" w:rsidRDefault="000C2A54" w:rsidP="000C2A54">
            <w:pPr>
              <w:jc w:val="right"/>
              <w:rPr>
                <w:sz w:val="20"/>
                <w:szCs w:val="20"/>
              </w:rPr>
            </w:pPr>
          </w:p>
          <w:p w14:paraId="7259DA8C" w14:textId="77777777" w:rsidR="000C2A54" w:rsidRPr="00B90FC7" w:rsidRDefault="000C2A54" w:rsidP="000C2A54">
            <w:pPr>
              <w:rPr>
                <w:sz w:val="20"/>
                <w:szCs w:val="20"/>
              </w:rPr>
            </w:pPr>
          </w:p>
          <w:p w14:paraId="7C22203F" w14:textId="77777777" w:rsidR="000C2A54" w:rsidRPr="00B90FC7" w:rsidRDefault="000C2A54" w:rsidP="000C2A54">
            <w:pPr>
              <w:jc w:val="right"/>
              <w:rPr>
                <w:sz w:val="20"/>
                <w:szCs w:val="20"/>
              </w:rPr>
            </w:pPr>
          </w:p>
        </w:tc>
        <w:tc>
          <w:tcPr>
            <w:tcW w:w="1240" w:type="dxa"/>
            <w:tcBorders>
              <w:top w:val="double" w:sz="4" w:space="0" w:color="auto"/>
            </w:tcBorders>
          </w:tcPr>
          <w:p w14:paraId="443C0699" w14:textId="77777777" w:rsidR="000C2A54" w:rsidRPr="00B90FC7" w:rsidRDefault="000C2A54" w:rsidP="000C2A54">
            <w:pPr>
              <w:jc w:val="right"/>
              <w:rPr>
                <w:sz w:val="20"/>
                <w:szCs w:val="20"/>
              </w:rPr>
            </w:pPr>
          </w:p>
        </w:tc>
      </w:tr>
      <w:tr w:rsidR="000C2A54" w:rsidRPr="00287A60" w14:paraId="387DED1E" w14:textId="77777777" w:rsidTr="00A64226">
        <w:trPr>
          <w:jc w:val="center"/>
        </w:trPr>
        <w:tc>
          <w:tcPr>
            <w:tcW w:w="3441" w:type="dxa"/>
            <w:gridSpan w:val="2"/>
          </w:tcPr>
          <w:p w14:paraId="264C0F77" w14:textId="58E80586" w:rsidR="00146BCC" w:rsidRDefault="000C2A54" w:rsidP="000C2A54">
            <w:pPr>
              <w:rPr>
                <w:rFonts w:cs="Arial"/>
                <w:sz w:val="20"/>
                <w:szCs w:val="20"/>
              </w:rPr>
            </w:pPr>
            <w:r w:rsidRPr="00B90FC7">
              <w:rPr>
                <w:rFonts w:cs="Arial"/>
                <w:sz w:val="20"/>
                <w:szCs w:val="20"/>
              </w:rPr>
              <w:t>General</w:t>
            </w:r>
            <w:r w:rsidR="00146BCC">
              <w:rPr>
                <w:rFonts w:cs="Arial"/>
                <w:sz w:val="20"/>
                <w:szCs w:val="20"/>
              </w:rPr>
              <w:t xml:space="preserve"> Reserves</w:t>
            </w:r>
          </w:p>
          <w:p w14:paraId="3E4E4737" w14:textId="77777777" w:rsidR="00146BCC" w:rsidRDefault="00146BCC" w:rsidP="000C2A54">
            <w:pPr>
              <w:rPr>
                <w:rFonts w:cs="Arial"/>
                <w:sz w:val="20"/>
                <w:szCs w:val="20"/>
              </w:rPr>
            </w:pPr>
          </w:p>
          <w:p w14:paraId="2645EA1D" w14:textId="755DC475" w:rsidR="000C2A54" w:rsidRPr="00B90FC7" w:rsidRDefault="008855BA" w:rsidP="000C2A54">
            <w:pPr>
              <w:rPr>
                <w:b/>
                <w:sz w:val="20"/>
                <w:szCs w:val="20"/>
              </w:rPr>
            </w:pPr>
            <w:r>
              <w:rPr>
                <w:rFonts w:cs="Arial"/>
                <w:sz w:val="20"/>
                <w:szCs w:val="20"/>
              </w:rPr>
              <w:t>Revaluation R</w:t>
            </w:r>
            <w:r w:rsidR="000C2A54" w:rsidRPr="00B90FC7">
              <w:rPr>
                <w:rFonts w:cs="Arial"/>
                <w:sz w:val="20"/>
                <w:szCs w:val="20"/>
              </w:rPr>
              <w:t>eserve</w:t>
            </w:r>
            <w:r>
              <w:rPr>
                <w:rFonts w:cs="Arial"/>
                <w:sz w:val="20"/>
                <w:szCs w:val="20"/>
              </w:rPr>
              <w:t>s</w:t>
            </w:r>
          </w:p>
        </w:tc>
        <w:tc>
          <w:tcPr>
            <w:tcW w:w="900" w:type="dxa"/>
            <w:gridSpan w:val="3"/>
          </w:tcPr>
          <w:p w14:paraId="6333168D" w14:textId="77777777" w:rsidR="000C2A54" w:rsidRPr="00B90FC7" w:rsidRDefault="000C2A54" w:rsidP="000C2A54">
            <w:pPr>
              <w:rPr>
                <w:b/>
                <w:sz w:val="20"/>
                <w:szCs w:val="20"/>
              </w:rPr>
            </w:pPr>
          </w:p>
        </w:tc>
        <w:tc>
          <w:tcPr>
            <w:tcW w:w="1080" w:type="dxa"/>
          </w:tcPr>
          <w:p w14:paraId="39F50C05" w14:textId="77777777" w:rsidR="000C2A54" w:rsidRPr="00B90FC7" w:rsidRDefault="000C2A54" w:rsidP="000C2A54">
            <w:pPr>
              <w:jc w:val="right"/>
              <w:rPr>
                <w:sz w:val="20"/>
                <w:szCs w:val="20"/>
              </w:rPr>
            </w:pPr>
          </w:p>
        </w:tc>
        <w:tc>
          <w:tcPr>
            <w:tcW w:w="1260" w:type="dxa"/>
          </w:tcPr>
          <w:p w14:paraId="2992E058" w14:textId="5126322F" w:rsidR="000C2A54" w:rsidRDefault="00024A9C" w:rsidP="00600AD1">
            <w:pPr>
              <w:jc w:val="right"/>
              <w:rPr>
                <w:sz w:val="20"/>
                <w:szCs w:val="20"/>
              </w:rPr>
            </w:pPr>
            <w:r>
              <w:rPr>
                <w:sz w:val="20"/>
                <w:szCs w:val="20"/>
              </w:rPr>
              <w:t>624,</w:t>
            </w:r>
            <w:r w:rsidR="009F599C">
              <w:rPr>
                <w:sz w:val="20"/>
                <w:szCs w:val="20"/>
              </w:rPr>
              <w:t>79</w:t>
            </w:r>
            <w:r w:rsidR="00A30F83">
              <w:rPr>
                <w:sz w:val="20"/>
                <w:szCs w:val="20"/>
              </w:rPr>
              <w:t>6</w:t>
            </w:r>
          </w:p>
          <w:p w14:paraId="2DC60672" w14:textId="77777777" w:rsidR="00146BCC" w:rsidRDefault="00146BCC" w:rsidP="00600AD1">
            <w:pPr>
              <w:jc w:val="right"/>
              <w:rPr>
                <w:sz w:val="20"/>
                <w:szCs w:val="20"/>
              </w:rPr>
            </w:pPr>
          </w:p>
          <w:p w14:paraId="08DAEBC5" w14:textId="3A706DA3" w:rsidR="00146BCC" w:rsidRPr="00A64226" w:rsidRDefault="00024A9C" w:rsidP="00600AD1">
            <w:pPr>
              <w:jc w:val="right"/>
              <w:rPr>
                <w:sz w:val="20"/>
                <w:szCs w:val="20"/>
              </w:rPr>
            </w:pPr>
            <w:r>
              <w:rPr>
                <w:sz w:val="20"/>
                <w:szCs w:val="20"/>
              </w:rPr>
              <w:t>70,606</w:t>
            </w:r>
          </w:p>
        </w:tc>
        <w:tc>
          <w:tcPr>
            <w:tcW w:w="1083" w:type="dxa"/>
            <w:gridSpan w:val="2"/>
          </w:tcPr>
          <w:p w14:paraId="519390C6" w14:textId="77777777" w:rsidR="000C2A54" w:rsidRPr="00B90FC7" w:rsidRDefault="000C2A54" w:rsidP="000C2A54">
            <w:pPr>
              <w:jc w:val="right"/>
              <w:rPr>
                <w:sz w:val="20"/>
                <w:szCs w:val="20"/>
              </w:rPr>
            </w:pPr>
          </w:p>
        </w:tc>
        <w:tc>
          <w:tcPr>
            <w:tcW w:w="1240" w:type="dxa"/>
          </w:tcPr>
          <w:p w14:paraId="4B9D88FD" w14:textId="346583A9" w:rsidR="000C2A54" w:rsidRDefault="00846689" w:rsidP="000C2A54">
            <w:pPr>
              <w:jc w:val="right"/>
              <w:rPr>
                <w:sz w:val="20"/>
                <w:szCs w:val="20"/>
              </w:rPr>
            </w:pPr>
            <w:r>
              <w:rPr>
                <w:sz w:val="20"/>
                <w:szCs w:val="20"/>
              </w:rPr>
              <w:t>819,650</w:t>
            </w:r>
          </w:p>
          <w:p w14:paraId="05418241" w14:textId="77777777" w:rsidR="008C5FAB" w:rsidRDefault="008C5FAB" w:rsidP="000C2A54">
            <w:pPr>
              <w:jc w:val="right"/>
              <w:rPr>
                <w:sz w:val="20"/>
                <w:szCs w:val="20"/>
              </w:rPr>
            </w:pPr>
          </w:p>
          <w:p w14:paraId="2525DC37" w14:textId="495662BA" w:rsidR="008C5FAB" w:rsidRPr="00B90FC7" w:rsidRDefault="00846689" w:rsidP="000C2A54">
            <w:pPr>
              <w:jc w:val="right"/>
              <w:rPr>
                <w:sz w:val="20"/>
                <w:szCs w:val="20"/>
              </w:rPr>
            </w:pPr>
            <w:r>
              <w:rPr>
                <w:sz w:val="20"/>
                <w:szCs w:val="20"/>
              </w:rPr>
              <w:t>29,403</w:t>
            </w:r>
          </w:p>
        </w:tc>
      </w:tr>
      <w:tr w:rsidR="000C2A54" w:rsidRPr="00287A60" w14:paraId="4AD6B1F2" w14:textId="77777777" w:rsidTr="000C2A54">
        <w:trPr>
          <w:jc w:val="center"/>
        </w:trPr>
        <w:tc>
          <w:tcPr>
            <w:tcW w:w="3441" w:type="dxa"/>
            <w:gridSpan w:val="2"/>
          </w:tcPr>
          <w:p w14:paraId="51FE6825" w14:textId="77777777" w:rsidR="000C2A54" w:rsidRPr="00B90FC7" w:rsidRDefault="000C2A54" w:rsidP="000C2A54">
            <w:pPr>
              <w:rPr>
                <w:b/>
                <w:sz w:val="20"/>
                <w:szCs w:val="20"/>
              </w:rPr>
            </w:pPr>
          </w:p>
        </w:tc>
        <w:tc>
          <w:tcPr>
            <w:tcW w:w="900" w:type="dxa"/>
            <w:gridSpan w:val="3"/>
          </w:tcPr>
          <w:p w14:paraId="27EE41E3" w14:textId="77777777" w:rsidR="000C2A54" w:rsidRPr="00B90FC7" w:rsidRDefault="000C2A54" w:rsidP="000C2A54">
            <w:pPr>
              <w:rPr>
                <w:b/>
                <w:sz w:val="20"/>
                <w:szCs w:val="20"/>
              </w:rPr>
            </w:pPr>
          </w:p>
        </w:tc>
        <w:tc>
          <w:tcPr>
            <w:tcW w:w="1080" w:type="dxa"/>
          </w:tcPr>
          <w:p w14:paraId="7A627143" w14:textId="77777777" w:rsidR="000C2A54" w:rsidRPr="00B90FC7" w:rsidRDefault="000C2A54" w:rsidP="000C2A54">
            <w:pPr>
              <w:jc w:val="right"/>
              <w:rPr>
                <w:sz w:val="20"/>
                <w:szCs w:val="20"/>
              </w:rPr>
            </w:pPr>
          </w:p>
        </w:tc>
        <w:tc>
          <w:tcPr>
            <w:tcW w:w="1260" w:type="dxa"/>
            <w:tcBorders>
              <w:top w:val="single" w:sz="4" w:space="0" w:color="auto"/>
              <w:bottom w:val="double" w:sz="4" w:space="0" w:color="auto"/>
            </w:tcBorders>
          </w:tcPr>
          <w:p w14:paraId="2DA00257" w14:textId="77777777" w:rsidR="00F92B3B" w:rsidRDefault="00F92B3B" w:rsidP="001D3F77">
            <w:pPr>
              <w:jc w:val="right"/>
              <w:rPr>
                <w:b/>
                <w:sz w:val="20"/>
                <w:szCs w:val="20"/>
              </w:rPr>
            </w:pPr>
          </w:p>
          <w:p w14:paraId="6E8685C4" w14:textId="3C22B8EA" w:rsidR="00E916F9" w:rsidRPr="007F4D84" w:rsidRDefault="00024A9C" w:rsidP="001D3F77">
            <w:pPr>
              <w:jc w:val="right"/>
              <w:rPr>
                <w:b/>
                <w:sz w:val="20"/>
                <w:szCs w:val="20"/>
              </w:rPr>
            </w:pPr>
            <w:r>
              <w:rPr>
                <w:b/>
                <w:sz w:val="20"/>
                <w:szCs w:val="20"/>
              </w:rPr>
              <w:t>69</w:t>
            </w:r>
            <w:r w:rsidR="009F599C">
              <w:rPr>
                <w:b/>
                <w:sz w:val="20"/>
                <w:szCs w:val="20"/>
              </w:rPr>
              <w:t>5,40</w:t>
            </w:r>
            <w:r w:rsidR="00A30F83">
              <w:rPr>
                <w:b/>
                <w:sz w:val="20"/>
                <w:szCs w:val="20"/>
              </w:rPr>
              <w:t>2</w:t>
            </w:r>
          </w:p>
        </w:tc>
        <w:tc>
          <w:tcPr>
            <w:tcW w:w="1083" w:type="dxa"/>
            <w:gridSpan w:val="2"/>
          </w:tcPr>
          <w:p w14:paraId="39C698F4" w14:textId="77777777" w:rsidR="000C2A54" w:rsidRPr="00B90FC7" w:rsidRDefault="000C2A54" w:rsidP="000C2A54">
            <w:pPr>
              <w:jc w:val="right"/>
              <w:rPr>
                <w:sz w:val="20"/>
                <w:szCs w:val="20"/>
              </w:rPr>
            </w:pPr>
          </w:p>
        </w:tc>
        <w:tc>
          <w:tcPr>
            <w:tcW w:w="1240" w:type="dxa"/>
            <w:tcBorders>
              <w:top w:val="single" w:sz="4" w:space="0" w:color="auto"/>
              <w:bottom w:val="double" w:sz="4" w:space="0" w:color="auto"/>
            </w:tcBorders>
          </w:tcPr>
          <w:p w14:paraId="12E6A016" w14:textId="77777777" w:rsidR="000C2A54" w:rsidRDefault="000C2A54" w:rsidP="000C2A54">
            <w:pPr>
              <w:jc w:val="right"/>
              <w:rPr>
                <w:b/>
                <w:sz w:val="20"/>
                <w:szCs w:val="20"/>
              </w:rPr>
            </w:pPr>
          </w:p>
          <w:p w14:paraId="34981E7F" w14:textId="5E11514E" w:rsidR="00E916F9" w:rsidRPr="00B90FC7" w:rsidRDefault="00846689" w:rsidP="000C2A54">
            <w:pPr>
              <w:jc w:val="right"/>
              <w:rPr>
                <w:b/>
                <w:sz w:val="20"/>
                <w:szCs w:val="20"/>
              </w:rPr>
            </w:pPr>
            <w:r>
              <w:rPr>
                <w:b/>
                <w:sz w:val="20"/>
                <w:szCs w:val="20"/>
              </w:rPr>
              <w:t>849,053</w:t>
            </w:r>
          </w:p>
        </w:tc>
      </w:tr>
    </w:tbl>
    <w:p w14:paraId="5A3BE6BA" w14:textId="77777777" w:rsidR="00024A9C" w:rsidRDefault="00024A9C" w:rsidP="000C2A54">
      <w:pPr>
        <w:widowControl w:val="0"/>
        <w:tabs>
          <w:tab w:val="center" w:pos="6096"/>
          <w:tab w:val="right" w:pos="7797"/>
          <w:tab w:val="right" w:pos="9356"/>
        </w:tabs>
        <w:autoSpaceDE w:val="0"/>
        <w:autoSpaceDN w:val="0"/>
        <w:adjustRightInd w:val="0"/>
        <w:rPr>
          <w:sz w:val="22"/>
          <w:szCs w:val="22"/>
        </w:rPr>
      </w:pPr>
    </w:p>
    <w:p w14:paraId="1F077D1A" w14:textId="77777777" w:rsidR="00BF7ED8" w:rsidRDefault="00BF7ED8" w:rsidP="000C2A54">
      <w:pPr>
        <w:widowControl w:val="0"/>
        <w:tabs>
          <w:tab w:val="center" w:pos="6096"/>
          <w:tab w:val="right" w:pos="7797"/>
          <w:tab w:val="right" w:pos="9356"/>
        </w:tabs>
        <w:autoSpaceDE w:val="0"/>
        <w:autoSpaceDN w:val="0"/>
        <w:adjustRightInd w:val="0"/>
        <w:rPr>
          <w:sz w:val="22"/>
          <w:szCs w:val="22"/>
        </w:rPr>
      </w:pPr>
    </w:p>
    <w:p w14:paraId="1AC3864F" w14:textId="0DA571B2" w:rsidR="000C2A54" w:rsidRPr="00EB5423" w:rsidRDefault="000C2A54" w:rsidP="000C2A54">
      <w:pPr>
        <w:widowControl w:val="0"/>
        <w:tabs>
          <w:tab w:val="center" w:pos="6096"/>
          <w:tab w:val="right" w:pos="7797"/>
          <w:tab w:val="right" w:pos="9356"/>
        </w:tabs>
        <w:autoSpaceDE w:val="0"/>
        <w:autoSpaceDN w:val="0"/>
        <w:adjustRightInd w:val="0"/>
        <w:rPr>
          <w:sz w:val="22"/>
          <w:szCs w:val="22"/>
        </w:rPr>
      </w:pPr>
      <w:r w:rsidRPr="00EB5423">
        <w:rPr>
          <w:sz w:val="22"/>
          <w:szCs w:val="22"/>
        </w:rPr>
        <w:t xml:space="preserve">The notes on pages </w:t>
      </w:r>
      <w:r w:rsidR="00320CF6">
        <w:rPr>
          <w:sz w:val="22"/>
          <w:szCs w:val="22"/>
        </w:rPr>
        <w:t>66</w:t>
      </w:r>
      <w:r w:rsidR="000634E9" w:rsidRPr="00EB5423">
        <w:rPr>
          <w:sz w:val="22"/>
          <w:szCs w:val="22"/>
        </w:rPr>
        <w:t xml:space="preserve"> </w:t>
      </w:r>
      <w:r w:rsidRPr="00EB5423">
        <w:rPr>
          <w:sz w:val="22"/>
          <w:szCs w:val="22"/>
        </w:rPr>
        <w:t xml:space="preserve">to </w:t>
      </w:r>
      <w:r w:rsidR="00320CF6">
        <w:rPr>
          <w:sz w:val="22"/>
          <w:szCs w:val="22"/>
        </w:rPr>
        <w:t>84</w:t>
      </w:r>
      <w:r w:rsidR="000634E9" w:rsidRPr="00EB5423">
        <w:rPr>
          <w:sz w:val="22"/>
          <w:szCs w:val="22"/>
        </w:rPr>
        <w:t xml:space="preserve"> </w:t>
      </w:r>
      <w:r w:rsidRPr="00EB5423">
        <w:rPr>
          <w:sz w:val="22"/>
          <w:szCs w:val="22"/>
        </w:rPr>
        <w:t>form part of the financial statements.</w:t>
      </w:r>
    </w:p>
    <w:p w14:paraId="5A0457DE" w14:textId="77777777" w:rsidR="000C2A54" w:rsidRPr="00EB5423" w:rsidRDefault="000C2A54" w:rsidP="000C2A54">
      <w:pPr>
        <w:widowControl w:val="0"/>
        <w:tabs>
          <w:tab w:val="center" w:pos="3969"/>
          <w:tab w:val="center" w:pos="5245"/>
          <w:tab w:val="center" w:pos="6379"/>
          <w:tab w:val="center" w:pos="7513"/>
          <w:tab w:val="center" w:pos="8647"/>
        </w:tabs>
        <w:autoSpaceDE w:val="0"/>
        <w:autoSpaceDN w:val="0"/>
        <w:adjustRightInd w:val="0"/>
        <w:rPr>
          <w:sz w:val="22"/>
          <w:szCs w:val="22"/>
          <w:vertAlign w:val="superscript"/>
        </w:rPr>
      </w:pPr>
    </w:p>
    <w:p w14:paraId="73ABD150" w14:textId="781A6F07" w:rsidR="000C2A54" w:rsidRPr="00EB5423" w:rsidRDefault="000C2A54" w:rsidP="000C2A54">
      <w:pPr>
        <w:widowControl w:val="0"/>
        <w:tabs>
          <w:tab w:val="center" w:pos="3969"/>
          <w:tab w:val="center" w:pos="5245"/>
          <w:tab w:val="center" w:pos="6379"/>
          <w:tab w:val="center" w:pos="7513"/>
          <w:tab w:val="center" w:pos="8647"/>
        </w:tabs>
        <w:autoSpaceDE w:val="0"/>
        <w:autoSpaceDN w:val="0"/>
        <w:adjustRightInd w:val="0"/>
        <w:rPr>
          <w:sz w:val="22"/>
          <w:szCs w:val="22"/>
        </w:rPr>
      </w:pPr>
      <w:r w:rsidRPr="00EB5423">
        <w:rPr>
          <w:sz w:val="22"/>
          <w:szCs w:val="22"/>
        </w:rPr>
        <w:t xml:space="preserve">The financial statements on pages </w:t>
      </w:r>
      <w:r w:rsidR="00320CF6">
        <w:rPr>
          <w:sz w:val="22"/>
          <w:szCs w:val="22"/>
        </w:rPr>
        <w:t>62</w:t>
      </w:r>
      <w:r w:rsidR="000634E9" w:rsidRPr="00EB5423">
        <w:rPr>
          <w:sz w:val="22"/>
          <w:szCs w:val="22"/>
        </w:rPr>
        <w:t xml:space="preserve"> </w:t>
      </w:r>
      <w:r w:rsidRPr="00EB5423">
        <w:rPr>
          <w:sz w:val="22"/>
          <w:szCs w:val="22"/>
        </w:rPr>
        <w:t xml:space="preserve">to </w:t>
      </w:r>
      <w:r w:rsidR="00320CF6">
        <w:rPr>
          <w:sz w:val="22"/>
          <w:szCs w:val="22"/>
        </w:rPr>
        <w:t>84</w:t>
      </w:r>
      <w:r w:rsidR="00E916F9">
        <w:rPr>
          <w:sz w:val="22"/>
          <w:szCs w:val="22"/>
        </w:rPr>
        <w:t xml:space="preserve"> </w:t>
      </w:r>
      <w:r w:rsidRPr="00EB5423">
        <w:rPr>
          <w:sz w:val="22"/>
          <w:szCs w:val="22"/>
        </w:rPr>
        <w:t xml:space="preserve">were approved by the Commission on </w:t>
      </w:r>
      <w:r w:rsidR="0098738B">
        <w:rPr>
          <w:sz w:val="22"/>
          <w:szCs w:val="22"/>
        </w:rPr>
        <w:t>26</w:t>
      </w:r>
      <w:r w:rsidR="00612DE1">
        <w:rPr>
          <w:sz w:val="22"/>
          <w:szCs w:val="22"/>
        </w:rPr>
        <w:t xml:space="preserve"> </w:t>
      </w:r>
      <w:r w:rsidR="0098738B">
        <w:rPr>
          <w:sz w:val="22"/>
          <w:szCs w:val="22"/>
        </w:rPr>
        <w:t>June</w:t>
      </w:r>
      <w:r w:rsidR="00612DE1">
        <w:rPr>
          <w:sz w:val="22"/>
          <w:szCs w:val="22"/>
        </w:rPr>
        <w:t xml:space="preserve"> 20</w:t>
      </w:r>
      <w:r w:rsidR="0098738B">
        <w:rPr>
          <w:sz w:val="22"/>
          <w:szCs w:val="22"/>
        </w:rPr>
        <w:t>23</w:t>
      </w:r>
      <w:r w:rsidR="00CA3F82">
        <w:rPr>
          <w:sz w:val="22"/>
          <w:szCs w:val="22"/>
        </w:rPr>
        <w:t>.</w:t>
      </w:r>
    </w:p>
    <w:p w14:paraId="23BA62C1" w14:textId="77777777" w:rsidR="00632319" w:rsidRDefault="00DD7949" w:rsidP="000C2A54">
      <w:pPr>
        <w:widowControl w:val="0"/>
        <w:autoSpaceDE w:val="0"/>
        <w:autoSpaceDN w:val="0"/>
        <w:adjustRightInd w:val="0"/>
        <w:rPr>
          <w:b/>
          <w:sz w:val="22"/>
          <w:szCs w:val="22"/>
        </w:rPr>
      </w:pPr>
      <w:r>
        <w:rPr>
          <w:noProof/>
          <w:lang w:eastAsia="en-GB"/>
        </w:rPr>
        <w:drawing>
          <wp:inline distT="0" distB="0" distL="0" distR="0" wp14:anchorId="12AFF05E" wp14:editId="65BBEE9B">
            <wp:extent cx="1794699" cy="80486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7">
                      <a:extLst>
                        <a:ext uri="{28A0092B-C50C-407E-A947-70E740481C1C}">
                          <a14:useLocalDpi xmlns:a14="http://schemas.microsoft.com/office/drawing/2010/main" val="0"/>
                        </a:ext>
                      </a:extLst>
                    </a:blip>
                    <a:stretch>
                      <a:fillRect/>
                    </a:stretch>
                  </pic:blipFill>
                  <pic:spPr>
                    <a:xfrm>
                      <a:off x="0" y="0"/>
                      <a:ext cx="1809413" cy="811461"/>
                    </a:xfrm>
                    <a:prstGeom prst="rect">
                      <a:avLst/>
                    </a:prstGeom>
                  </pic:spPr>
                </pic:pic>
              </a:graphicData>
            </a:graphic>
          </wp:inline>
        </w:drawing>
      </w:r>
    </w:p>
    <w:p w14:paraId="40550240" w14:textId="74600C07" w:rsidR="000C2A54" w:rsidRPr="00632319" w:rsidRDefault="000C2A54" w:rsidP="000C2A54">
      <w:pPr>
        <w:widowControl w:val="0"/>
        <w:autoSpaceDE w:val="0"/>
        <w:autoSpaceDN w:val="0"/>
        <w:adjustRightInd w:val="0"/>
        <w:rPr>
          <w:noProof/>
          <w:lang w:eastAsia="en-GB"/>
        </w:rPr>
      </w:pPr>
      <w:r>
        <w:rPr>
          <w:b/>
          <w:sz w:val="22"/>
          <w:szCs w:val="22"/>
        </w:rPr>
        <w:t>Dr David Russell</w:t>
      </w:r>
    </w:p>
    <w:p w14:paraId="18442386" w14:textId="77777777" w:rsidR="000C2A54" w:rsidRPr="00EB5423" w:rsidRDefault="000C2A54" w:rsidP="000C2A54">
      <w:pPr>
        <w:widowControl w:val="0"/>
        <w:autoSpaceDE w:val="0"/>
        <w:autoSpaceDN w:val="0"/>
        <w:adjustRightInd w:val="0"/>
        <w:rPr>
          <w:b/>
          <w:sz w:val="22"/>
          <w:szCs w:val="22"/>
        </w:rPr>
      </w:pPr>
      <w:r w:rsidRPr="00EB5423">
        <w:rPr>
          <w:b/>
          <w:sz w:val="22"/>
          <w:szCs w:val="22"/>
        </w:rPr>
        <w:t>Accounting Officer</w:t>
      </w:r>
    </w:p>
    <w:p w14:paraId="09139018" w14:textId="77777777" w:rsidR="000C2A54" w:rsidRPr="00EB5423" w:rsidRDefault="000C2A54" w:rsidP="000C2A54">
      <w:pPr>
        <w:widowControl w:val="0"/>
        <w:autoSpaceDE w:val="0"/>
        <w:autoSpaceDN w:val="0"/>
        <w:adjustRightInd w:val="0"/>
        <w:rPr>
          <w:b/>
          <w:sz w:val="22"/>
          <w:szCs w:val="22"/>
        </w:rPr>
      </w:pPr>
    </w:p>
    <w:p w14:paraId="467B9239" w14:textId="5680A395" w:rsidR="00BF7ED8" w:rsidRDefault="000C2A54" w:rsidP="000C2A54">
      <w:pPr>
        <w:widowControl w:val="0"/>
        <w:tabs>
          <w:tab w:val="left" w:pos="851"/>
        </w:tabs>
        <w:autoSpaceDE w:val="0"/>
        <w:autoSpaceDN w:val="0"/>
        <w:adjustRightInd w:val="0"/>
        <w:rPr>
          <w:b/>
          <w:sz w:val="22"/>
          <w:szCs w:val="22"/>
        </w:rPr>
      </w:pPr>
      <w:r w:rsidRPr="00EB5423">
        <w:rPr>
          <w:b/>
          <w:sz w:val="22"/>
          <w:szCs w:val="22"/>
        </w:rPr>
        <w:t xml:space="preserve">Date:  </w:t>
      </w:r>
      <w:r w:rsidR="002F2F19">
        <w:rPr>
          <w:b/>
          <w:sz w:val="22"/>
          <w:szCs w:val="22"/>
        </w:rPr>
        <w:t>3</w:t>
      </w:r>
      <w:r w:rsidR="0049664F">
        <w:rPr>
          <w:b/>
          <w:sz w:val="22"/>
          <w:szCs w:val="22"/>
        </w:rPr>
        <w:t xml:space="preserve"> </w:t>
      </w:r>
      <w:r w:rsidR="002F2F19">
        <w:rPr>
          <w:b/>
          <w:sz w:val="22"/>
          <w:szCs w:val="22"/>
        </w:rPr>
        <w:t>July</w:t>
      </w:r>
      <w:r w:rsidR="00CD2ACA">
        <w:rPr>
          <w:b/>
          <w:sz w:val="22"/>
          <w:szCs w:val="22"/>
        </w:rPr>
        <w:t xml:space="preserve"> </w:t>
      </w:r>
      <w:r w:rsidR="00953497">
        <w:rPr>
          <w:b/>
          <w:sz w:val="22"/>
          <w:szCs w:val="22"/>
        </w:rPr>
        <w:t>20</w:t>
      </w:r>
      <w:r w:rsidR="007330CB">
        <w:rPr>
          <w:b/>
          <w:sz w:val="22"/>
          <w:szCs w:val="22"/>
        </w:rPr>
        <w:t>23</w:t>
      </w:r>
    </w:p>
    <w:p w14:paraId="5C056692" w14:textId="2C826FC5" w:rsidR="000C2A54" w:rsidRPr="00EB5423" w:rsidRDefault="008C73A2" w:rsidP="00024A9C">
      <w:pPr>
        <w:ind w:left="-567" w:right="-567"/>
        <w:rPr>
          <w:b/>
        </w:rPr>
      </w:pPr>
      <w:bookmarkStart w:id="22" w:name="StatementofCashFlows"/>
      <w:r>
        <w:rPr>
          <w:rFonts w:cs="Arial"/>
          <w:b/>
          <w:color w:val="77328A"/>
          <w:sz w:val="30"/>
          <w:szCs w:val="30"/>
        </w:rPr>
        <w:lastRenderedPageBreak/>
        <w:t>Statement of Cash Flows for the Year En</w:t>
      </w:r>
      <w:r w:rsidR="008D0E8C">
        <w:rPr>
          <w:rFonts w:cs="Arial"/>
          <w:b/>
          <w:color w:val="77328A"/>
          <w:sz w:val="30"/>
          <w:szCs w:val="30"/>
        </w:rPr>
        <w:t>ded 31 March 202</w:t>
      </w:r>
      <w:r w:rsidR="00024A9C">
        <w:rPr>
          <w:rFonts w:cs="Arial"/>
          <w:b/>
          <w:color w:val="77328A"/>
          <w:sz w:val="30"/>
          <w:szCs w:val="30"/>
        </w:rPr>
        <w:t>3</w:t>
      </w:r>
    </w:p>
    <w:bookmarkEnd w:id="22"/>
    <w:p w14:paraId="563CC535" w14:textId="77777777" w:rsidR="000C2A54" w:rsidRPr="00E04BAE" w:rsidRDefault="000C2A54" w:rsidP="000C2A54">
      <w:pPr>
        <w:ind w:left="-567" w:right="-567"/>
        <w:jc w:val="center"/>
        <w:rPr>
          <w:b/>
          <w:sz w:val="28"/>
          <w:szCs w:val="28"/>
        </w:rPr>
      </w:pPr>
    </w:p>
    <w:p w14:paraId="746657BF" w14:textId="2E48BE21" w:rsidR="000C2A54" w:rsidRPr="006C7E49" w:rsidRDefault="000C2A54" w:rsidP="000C2A54">
      <w:pPr>
        <w:widowControl w:val="0"/>
        <w:tabs>
          <w:tab w:val="center" w:pos="5670"/>
          <w:tab w:val="right" w:pos="7371"/>
          <w:tab w:val="right" w:pos="9071"/>
        </w:tabs>
        <w:autoSpaceDE w:val="0"/>
        <w:autoSpaceDN w:val="0"/>
        <w:adjustRightInd w:val="0"/>
        <w:ind w:firstLine="720"/>
        <w:rPr>
          <w:rFonts w:cs="Arial"/>
          <w:b/>
          <w:bCs/>
          <w:sz w:val="20"/>
          <w:szCs w:val="20"/>
        </w:rPr>
      </w:pPr>
      <w:r w:rsidRPr="002B4C5F">
        <w:rPr>
          <w:rFonts w:cs="Arial"/>
          <w:b/>
          <w:bCs/>
          <w:sz w:val="22"/>
          <w:szCs w:val="22"/>
        </w:rPr>
        <w:tab/>
      </w:r>
      <w:r w:rsidRPr="002B4C5F">
        <w:rPr>
          <w:rFonts w:cs="Arial"/>
          <w:b/>
          <w:bCs/>
          <w:sz w:val="22"/>
          <w:szCs w:val="22"/>
        </w:rPr>
        <w:tab/>
      </w:r>
      <w:r w:rsidR="00E916F9">
        <w:rPr>
          <w:rFonts w:cs="Arial"/>
          <w:b/>
          <w:bCs/>
          <w:sz w:val="20"/>
          <w:szCs w:val="20"/>
        </w:rPr>
        <w:t>20</w:t>
      </w:r>
      <w:r w:rsidR="003902AD">
        <w:rPr>
          <w:rFonts w:cs="Arial"/>
          <w:b/>
          <w:bCs/>
          <w:sz w:val="20"/>
          <w:szCs w:val="20"/>
        </w:rPr>
        <w:t>2</w:t>
      </w:r>
      <w:r w:rsidR="00024A9C">
        <w:rPr>
          <w:rFonts w:cs="Arial"/>
          <w:b/>
          <w:bCs/>
          <w:sz w:val="20"/>
          <w:szCs w:val="20"/>
        </w:rPr>
        <w:t>2</w:t>
      </w:r>
      <w:r w:rsidR="00E916F9">
        <w:rPr>
          <w:rFonts w:cs="Arial"/>
          <w:b/>
          <w:bCs/>
          <w:sz w:val="20"/>
          <w:szCs w:val="20"/>
        </w:rPr>
        <w:t>-2</w:t>
      </w:r>
      <w:r w:rsidR="00024A9C">
        <w:rPr>
          <w:rFonts w:cs="Arial"/>
          <w:b/>
          <w:bCs/>
          <w:sz w:val="20"/>
          <w:szCs w:val="20"/>
        </w:rPr>
        <w:t>3</w:t>
      </w:r>
      <w:r w:rsidRPr="006C7E49">
        <w:rPr>
          <w:rFonts w:cs="Arial"/>
          <w:b/>
          <w:bCs/>
          <w:sz w:val="20"/>
          <w:szCs w:val="20"/>
        </w:rPr>
        <w:tab/>
      </w:r>
      <w:r w:rsidR="00E916F9">
        <w:rPr>
          <w:rFonts w:cs="Arial"/>
          <w:b/>
          <w:bCs/>
          <w:sz w:val="20"/>
          <w:szCs w:val="20"/>
        </w:rPr>
        <w:t>20</w:t>
      </w:r>
      <w:r w:rsidR="003902AD">
        <w:rPr>
          <w:rFonts w:cs="Arial"/>
          <w:b/>
          <w:bCs/>
          <w:sz w:val="20"/>
          <w:szCs w:val="20"/>
        </w:rPr>
        <w:t>2</w:t>
      </w:r>
      <w:r w:rsidR="00024A9C">
        <w:rPr>
          <w:rFonts w:cs="Arial"/>
          <w:b/>
          <w:bCs/>
          <w:sz w:val="20"/>
          <w:szCs w:val="20"/>
        </w:rPr>
        <w:t>1</w:t>
      </w:r>
      <w:r w:rsidR="00E916F9">
        <w:rPr>
          <w:rFonts w:cs="Arial"/>
          <w:b/>
          <w:bCs/>
          <w:sz w:val="20"/>
          <w:szCs w:val="20"/>
        </w:rPr>
        <w:t>-2</w:t>
      </w:r>
      <w:r w:rsidR="00024A9C">
        <w:rPr>
          <w:rFonts w:cs="Arial"/>
          <w:b/>
          <w:bCs/>
          <w:sz w:val="20"/>
          <w:szCs w:val="20"/>
        </w:rPr>
        <w:t>2</w:t>
      </w:r>
      <w:r w:rsidRPr="006C7E49">
        <w:rPr>
          <w:rFonts w:cs="Arial"/>
          <w:b/>
          <w:bCs/>
          <w:sz w:val="20"/>
          <w:szCs w:val="20"/>
        </w:rPr>
        <w:t xml:space="preserve"> </w:t>
      </w:r>
    </w:p>
    <w:p w14:paraId="15411DE5" w14:textId="77777777" w:rsidR="000C2A54" w:rsidRPr="006C7E49" w:rsidRDefault="000C2A54" w:rsidP="000C2A54">
      <w:pPr>
        <w:widowControl w:val="0"/>
        <w:tabs>
          <w:tab w:val="center" w:pos="5670"/>
          <w:tab w:val="right" w:pos="7371"/>
          <w:tab w:val="right" w:pos="9071"/>
        </w:tabs>
        <w:autoSpaceDE w:val="0"/>
        <w:autoSpaceDN w:val="0"/>
        <w:adjustRightInd w:val="0"/>
        <w:ind w:left="4920" w:hanging="4920"/>
        <w:rPr>
          <w:rFonts w:cs="Arial"/>
          <w:b/>
          <w:bCs/>
          <w:sz w:val="20"/>
          <w:szCs w:val="20"/>
        </w:rPr>
      </w:pPr>
      <w:r w:rsidRPr="006C7E49">
        <w:rPr>
          <w:rFonts w:cs="Arial"/>
          <w:b/>
          <w:bCs/>
          <w:sz w:val="20"/>
          <w:szCs w:val="20"/>
        </w:rPr>
        <w:tab/>
      </w:r>
      <w:r w:rsidRPr="006C7E49">
        <w:rPr>
          <w:b/>
          <w:sz w:val="20"/>
          <w:szCs w:val="20"/>
        </w:rPr>
        <w:t>Notes</w:t>
      </w:r>
      <w:r w:rsidRPr="006C7E49">
        <w:rPr>
          <w:rFonts w:cs="Arial"/>
          <w:b/>
          <w:bCs/>
          <w:sz w:val="20"/>
          <w:szCs w:val="20"/>
        </w:rPr>
        <w:tab/>
      </w:r>
      <w:r w:rsidRPr="006C7E49">
        <w:rPr>
          <w:rFonts w:cs="Arial"/>
          <w:b/>
          <w:bCs/>
          <w:sz w:val="20"/>
          <w:szCs w:val="20"/>
        </w:rPr>
        <w:tab/>
        <w:t>£</w:t>
      </w:r>
      <w:r w:rsidRPr="006C7E49">
        <w:rPr>
          <w:rFonts w:cs="Arial"/>
          <w:b/>
          <w:bCs/>
          <w:sz w:val="20"/>
          <w:szCs w:val="20"/>
        </w:rPr>
        <w:tab/>
        <w:t>£</w:t>
      </w:r>
    </w:p>
    <w:p w14:paraId="7E24960E" w14:textId="77777777" w:rsidR="000C2A54" w:rsidRPr="006C7E49" w:rsidRDefault="000C2A54" w:rsidP="000C2A54">
      <w:pPr>
        <w:widowControl w:val="0"/>
        <w:tabs>
          <w:tab w:val="center" w:pos="5670"/>
          <w:tab w:val="right" w:pos="7371"/>
          <w:tab w:val="right" w:pos="9071"/>
        </w:tabs>
        <w:autoSpaceDE w:val="0"/>
        <w:autoSpaceDN w:val="0"/>
        <w:adjustRightInd w:val="0"/>
        <w:rPr>
          <w:rFonts w:cs="Arial"/>
          <w:b/>
          <w:bCs/>
          <w:sz w:val="20"/>
          <w:szCs w:val="20"/>
        </w:rPr>
      </w:pPr>
    </w:p>
    <w:p w14:paraId="5C9D9C4F" w14:textId="77777777" w:rsidR="006C7E49" w:rsidRDefault="000C2A54" w:rsidP="000C2A54">
      <w:pPr>
        <w:widowControl w:val="0"/>
        <w:tabs>
          <w:tab w:val="center" w:pos="5160"/>
          <w:tab w:val="right" w:pos="7371"/>
          <w:tab w:val="right" w:pos="9071"/>
        </w:tabs>
        <w:autoSpaceDE w:val="0"/>
        <w:autoSpaceDN w:val="0"/>
        <w:adjustRightInd w:val="0"/>
        <w:rPr>
          <w:rFonts w:cs="Arial"/>
          <w:b/>
          <w:bCs/>
          <w:sz w:val="20"/>
          <w:szCs w:val="20"/>
        </w:rPr>
      </w:pPr>
      <w:r w:rsidRPr="006C7E49">
        <w:rPr>
          <w:rFonts w:cs="Arial"/>
          <w:b/>
          <w:bCs/>
          <w:sz w:val="20"/>
          <w:szCs w:val="20"/>
        </w:rPr>
        <w:t xml:space="preserve">Cash flows from operating activities </w:t>
      </w:r>
    </w:p>
    <w:p w14:paraId="25825B0B" w14:textId="77777777" w:rsidR="007B768A" w:rsidRDefault="007B768A" w:rsidP="000C2A54">
      <w:pPr>
        <w:widowControl w:val="0"/>
        <w:tabs>
          <w:tab w:val="center" w:pos="5160"/>
          <w:tab w:val="right" w:pos="7371"/>
          <w:tab w:val="right" w:pos="9071"/>
        </w:tabs>
        <w:autoSpaceDE w:val="0"/>
        <w:autoSpaceDN w:val="0"/>
        <w:adjustRightInd w:val="0"/>
        <w:rPr>
          <w:rFonts w:cs="Arial"/>
          <w:b/>
          <w:bCs/>
          <w:sz w:val="20"/>
          <w:szCs w:val="20"/>
        </w:rPr>
      </w:pPr>
    </w:p>
    <w:p w14:paraId="14EB6E65" w14:textId="421CBE13" w:rsidR="007B768A" w:rsidRDefault="007B768A" w:rsidP="000C2A54">
      <w:pPr>
        <w:widowControl w:val="0"/>
        <w:tabs>
          <w:tab w:val="center" w:pos="5160"/>
          <w:tab w:val="right" w:pos="7371"/>
          <w:tab w:val="right" w:pos="9071"/>
        </w:tabs>
        <w:autoSpaceDE w:val="0"/>
        <w:autoSpaceDN w:val="0"/>
        <w:adjustRightInd w:val="0"/>
        <w:rPr>
          <w:rFonts w:cs="Arial"/>
          <w:bCs/>
          <w:sz w:val="20"/>
          <w:szCs w:val="20"/>
        </w:rPr>
      </w:pPr>
      <w:r>
        <w:rPr>
          <w:rFonts w:cs="Arial"/>
          <w:bCs/>
          <w:sz w:val="20"/>
          <w:szCs w:val="20"/>
        </w:rPr>
        <w:t>Net operating exp</w:t>
      </w:r>
      <w:r w:rsidR="00807E97">
        <w:rPr>
          <w:rFonts w:cs="Arial"/>
          <w:bCs/>
          <w:sz w:val="20"/>
          <w:szCs w:val="20"/>
        </w:rPr>
        <w:t xml:space="preserve">enditure </w:t>
      </w:r>
      <w:r w:rsidR="00807E97">
        <w:rPr>
          <w:rFonts w:cs="Arial"/>
          <w:bCs/>
          <w:sz w:val="20"/>
          <w:szCs w:val="20"/>
        </w:rPr>
        <w:tab/>
      </w:r>
      <w:r w:rsidR="00807E97">
        <w:rPr>
          <w:rFonts w:cs="Arial"/>
          <w:bCs/>
          <w:sz w:val="20"/>
          <w:szCs w:val="20"/>
        </w:rPr>
        <w:tab/>
      </w:r>
      <w:r w:rsidR="00ED27FA">
        <w:rPr>
          <w:rFonts w:cs="Arial"/>
          <w:bCs/>
          <w:sz w:val="20"/>
          <w:szCs w:val="20"/>
        </w:rPr>
        <w:t>(</w:t>
      </w:r>
      <w:r w:rsidR="00076A51">
        <w:rPr>
          <w:rFonts w:cs="Arial"/>
          <w:bCs/>
          <w:sz w:val="20"/>
          <w:szCs w:val="20"/>
        </w:rPr>
        <w:t>2,</w:t>
      </w:r>
      <w:r w:rsidR="00024A9C">
        <w:rPr>
          <w:rFonts w:cs="Arial"/>
          <w:bCs/>
          <w:sz w:val="20"/>
          <w:szCs w:val="20"/>
        </w:rPr>
        <w:t>47</w:t>
      </w:r>
      <w:r w:rsidR="009F599C">
        <w:rPr>
          <w:rFonts w:cs="Arial"/>
          <w:bCs/>
          <w:sz w:val="20"/>
          <w:szCs w:val="20"/>
        </w:rPr>
        <w:t>2,48</w:t>
      </w:r>
      <w:r w:rsidR="00A30F83">
        <w:rPr>
          <w:rFonts w:cs="Arial"/>
          <w:bCs/>
          <w:sz w:val="20"/>
          <w:szCs w:val="20"/>
        </w:rPr>
        <w:t>7</w:t>
      </w:r>
      <w:r w:rsidR="00ED27FA">
        <w:rPr>
          <w:rFonts w:cs="Arial"/>
          <w:bCs/>
          <w:sz w:val="20"/>
          <w:szCs w:val="20"/>
        </w:rPr>
        <w:t>)</w:t>
      </w:r>
      <w:r w:rsidRPr="006C7E49">
        <w:rPr>
          <w:rFonts w:cs="Arial"/>
          <w:bCs/>
          <w:sz w:val="20"/>
          <w:szCs w:val="20"/>
        </w:rPr>
        <w:tab/>
        <w:t>(</w:t>
      </w:r>
      <w:r w:rsidR="00024A9C">
        <w:rPr>
          <w:rFonts w:cs="Arial"/>
          <w:bCs/>
          <w:sz w:val="20"/>
          <w:szCs w:val="20"/>
        </w:rPr>
        <w:t>2,333,573</w:t>
      </w:r>
      <w:r w:rsidR="00E916F9">
        <w:rPr>
          <w:rFonts w:cs="Arial"/>
          <w:bCs/>
          <w:sz w:val="20"/>
          <w:szCs w:val="20"/>
        </w:rPr>
        <w:t>)</w:t>
      </w:r>
    </w:p>
    <w:p w14:paraId="26F6D16A" w14:textId="77777777" w:rsidR="000C2A54" w:rsidRPr="006C7E49" w:rsidRDefault="007B768A" w:rsidP="000C2A54">
      <w:pPr>
        <w:widowControl w:val="0"/>
        <w:tabs>
          <w:tab w:val="center" w:pos="5160"/>
          <w:tab w:val="right" w:pos="7371"/>
          <w:tab w:val="right" w:pos="9071"/>
        </w:tabs>
        <w:autoSpaceDE w:val="0"/>
        <w:autoSpaceDN w:val="0"/>
        <w:adjustRightInd w:val="0"/>
        <w:rPr>
          <w:rFonts w:cs="Arial"/>
          <w:bCs/>
          <w:sz w:val="20"/>
          <w:szCs w:val="20"/>
        </w:rPr>
      </w:pPr>
      <w:r>
        <w:rPr>
          <w:rFonts w:cs="Arial"/>
          <w:bCs/>
          <w:sz w:val="20"/>
          <w:szCs w:val="20"/>
        </w:rPr>
        <w:tab/>
      </w:r>
      <w:r w:rsidR="000C2A54" w:rsidRPr="006C7E49">
        <w:rPr>
          <w:rFonts w:cs="Arial"/>
          <w:bCs/>
          <w:sz w:val="20"/>
          <w:szCs w:val="20"/>
        </w:rPr>
        <w:tab/>
      </w:r>
    </w:p>
    <w:p w14:paraId="65CC963D" w14:textId="69EB5D0C" w:rsidR="000C2A54" w:rsidRPr="006C7E49" w:rsidRDefault="00FA67ED" w:rsidP="000C2A54">
      <w:pPr>
        <w:widowControl w:val="0"/>
        <w:tabs>
          <w:tab w:val="center" w:pos="5160"/>
          <w:tab w:val="right" w:pos="7371"/>
          <w:tab w:val="right" w:pos="9071"/>
        </w:tabs>
        <w:autoSpaceDE w:val="0"/>
        <w:autoSpaceDN w:val="0"/>
        <w:adjustRightInd w:val="0"/>
        <w:rPr>
          <w:rFonts w:cs="Arial"/>
          <w:bCs/>
          <w:sz w:val="20"/>
          <w:szCs w:val="20"/>
        </w:rPr>
      </w:pPr>
      <w:r>
        <w:rPr>
          <w:rFonts w:cs="Arial"/>
          <w:bCs/>
          <w:sz w:val="20"/>
          <w:szCs w:val="20"/>
        </w:rPr>
        <w:t>(</w:t>
      </w:r>
      <w:r w:rsidR="00713362">
        <w:rPr>
          <w:rFonts w:cs="Arial"/>
          <w:bCs/>
          <w:sz w:val="20"/>
          <w:szCs w:val="20"/>
        </w:rPr>
        <w:t>Increase</w:t>
      </w:r>
      <w:r>
        <w:rPr>
          <w:rFonts w:cs="Arial"/>
          <w:bCs/>
          <w:sz w:val="20"/>
          <w:szCs w:val="20"/>
        </w:rPr>
        <w:t>)</w:t>
      </w:r>
      <w:r w:rsidR="000C2A54" w:rsidRPr="006C7E49">
        <w:rPr>
          <w:rFonts w:cs="Arial"/>
          <w:bCs/>
          <w:sz w:val="20"/>
          <w:szCs w:val="20"/>
        </w:rPr>
        <w:t xml:space="preserve"> in trade and other </w:t>
      </w:r>
      <w:r w:rsidR="000C2A54" w:rsidRPr="006C7E49">
        <w:rPr>
          <w:rFonts w:cs="Arial"/>
          <w:bCs/>
          <w:sz w:val="20"/>
          <w:szCs w:val="20"/>
        </w:rPr>
        <w:tab/>
      </w:r>
    </w:p>
    <w:p w14:paraId="74AC8DFB" w14:textId="059737F7" w:rsidR="000C2A54" w:rsidRPr="006C7E49" w:rsidRDefault="000C2A54" w:rsidP="000C2A54">
      <w:pPr>
        <w:widowControl w:val="0"/>
        <w:tabs>
          <w:tab w:val="center" w:pos="5160"/>
          <w:tab w:val="right" w:pos="7371"/>
          <w:tab w:val="right" w:pos="9071"/>
        </w:tabs>
        <w:autoSpaceDE w:val="0"/>
        <w:autoSpaceDN w:val="0"/>
        <w:adjustRightInd w:val="0"/>
        <w:rPr>
          <w:rFonts w:cs="Arial"/>
          <w:bCs/>
          <w:sz w:val="20"/>
          <w:szCs w:val="20"/>
        </w:rPr>
      </w:pPr>
      <w:r w:rsidRPr="006C7E49">
        <w:rPr>
          <w:rFonts w:cs="Arial"/>
          <w:bCs/>
          <w:sz w:val="20"/>
          <w:szCs w:val="20"/>
        </w:rPr>
        <w:t>receivables</w:t>
      </w:r>
      <w:r w:rsidRPr="006C7E49">
        <w:rPr>
          <w:rFonts w:cs="Arial"/>
          <w:bCs/>
          <w:sz w:val="20"/>
          <w:szCs w:val="20"/>
        </w:rPr>
        <w:tab/>
      </w:r>
      <w:r w:rsidR="00FA67ED">
        <w:rPr>
          <w:rFonts w:cs="Arial"/>
          <w:b/>
          <w:bCs/>
          <w:sz w:val="20"/>
          <w:szCs w:val="20"/>
        </w:rPr>
        <w:t>10</w:t>
      </w:r>
      <w:r w:rsidRPr="006C7E49">
        <w:rPr>
          <w:rFonts w:cs="Arial"/>
          <w:bCs/>
          <w:sz w:val="20"/>
          <w:szCs w:val="20"/>
        </w:rPr>
        <w:tab/>
      </w:r>
      <w:r w:rsidR="00E916F9">
        <w:rPr>
          <w:rFonts w:cs="Arial"/>
          <w:bCs/>
          <w:sz w:val="20"/>
          <w:szCs w:val="20"/>
        </w:rPr>
        <w:t>(1</w:t>
      </w:r>
      <w:r w:rsidR="00024A9C">
        <w:rPr>
          <w:rFonts w:cs="Arial"/>
          <w:bCs/>
          <w:sz w:val="20"/>
          <w:szCs w:val="20"/>
        </w:rPr>
        <w:t>8</w:t>
      </w:r>
      <w:r w:rsidR="007973AC">
        <w:rPr>
          <w:rFonts w:cs="Arial"/>
          <w:bCs/>
          <w:sz w:val="20"/>
          <w:szCs w:val="20"/>
        </w:rPr>
        <w:t>)</w:t>
      </w:r>
      <w:r w:rsidR="00E916F9">
        <w:rPr>
          <w:rFonts w:cs="Arial"/>
          <w:bCs/>
          <w:sz w:val="20"/>
          <w:szCs w:val="20"/>
        </w:rPr>
        <w:tab/>
        <w:t>(</w:t>
      </w:r>
      <w:r w:rsidR="00024A9C">
        <w:rPr>
          <w:rFonts w:cs="Arial"/>
          <w:bCs/>
          <w:sz w:val="20"/>
          <w:szCs w:val="20"/>
        </w:rPr>
        <w:t>14,098</w:t>
      </w:r>
      <w:r w:rsidR="00713362">
        <w:rPr>
          <w:rFonts w:cs="Arial"/>
          <w:bCs/>
          <w:sz w:val="20"/>
          <w:szCs w:val="20"/>
        </w:rPr>
        <w:t>)</w:t>
      </w:r>
    </w:p>
    <w:p w14:paraId="1ACFBEA3" w14:textId="77777777" w:rsidR="00E633B4" w:rsidRPr="006C7E49" w:rsidRDefault="00E633B4" w:rsidP="000C2A54">
      <w:pPr>
        <w:widowControl w:val="0"/>
        <w:tabs>
          <w:tab w:val="center" w:pos="5160"/>
          <w:tab w:val="right" w:pos="7371"/>
          <w:tab w:val="right" w:pos="9071"/>
        </w:tabs>
        <w:autoSpaceDE w:val="0"/>
        <w:autoSpaceDN w:val="0"/>
        <w:adjustRightInd w:val="0"/>
        <w:rPr>
          <w:rFonts w:cs="Arial"/>
          <w:bCs/>
          <w:sz w:val="20"/>
          <w:szCs w:val="20"/>
        </w:rPr>
      </w:pPr>
    </w:p>
    <w:p w14:paraId="2ED12EC9" w14:textId="3577C2F2" w:rsidR="007D0485" w:rsidRDefault="007973AC" w:rsidP="000C2A54">
      <w:pPr>
        <w:widowControl w:val="0"/>
        <w:tabs>
          <w:tab w:val="center" w:pos="5160"/>
          <w:tab w:val="right" w:pos="7371"/>
          <w:tab w:val="right" w:pos="9071"/>
        </w:tabs>
        <w:autoSpaceDE w:val="0"/>
        <w:autoSpaceDN w:val="0"/>
        <w:adjustRightInd w:val="0"/>
        <w:rPr>
          <w:rFonts w:cs="Arial"/>
          <w:bCs/>
          <w:sz w:val="20"/>
          <w:szCs w:val="20"/>
        </w:rPr>
      </w:pPr>
      <w:r>
        <w:rPr>
          <w:rFonts w:cs="Arial"/>
          <w:bCs/>
          <w:sz w:val="20"/>
          <w:szCs w:val="20"/>
        </w:rPr>
        <w:t>Increase</w:t>
      </w:r>
      <w:r w:rsidR="00930D7D">
        <w:rPr>
          <w:rFonts w:cs="Arial"/>
          <w:bCs/>
          <w:sz w:val="20"/>
          <w:szCs w:val="20"/>
        </w:rPr>
        <w:t>/(Decrease)</w:t>
      </w:r>
      <w:r w:rsidR="000C2A54" w:rsidRPr="006C7E49">
        <w:rPr>
          <w:rFonts w:cs="Arial"/>
          <w:bCs/>
          <w:sz w:val="20"/>
          <w:szCs w:val="20"/>
        </w:rPr>
        <w:t xml:space="preserve"> in trade payables</w:t>
      </w:r>
      <w:r w:rsidR="000C2A54" w:rsidRPr="006C7E49">
        <w:rPr>
          <w:rFonts w:cs="Arial"/>
          <w:bCs/>
          <w:sz w:val="20"/>
          <w:szCs w:val="20"/>
        </w:rPr>
        <w:tab/>
      </w:r>
      <w:r w:rsidR="000C2A54" w:rsidRPr="006C7E49">
        <w:rPr>
          <w:rFonts w:cs="Arial"/>
          <w:b/>
          <w:bCs/>
          <w:sz w:val="20"/>
          <w:szCs w:val="20"/>
        </w:rPr>
        <w:t>1</w:t>
      </w:r>
      <w:r w:rsidR="00FA67ED">
        <w:rPr>
          <w:rFonts w:cs="Arial"/>
          <w:b/>
          <w:bCs/>
          <w:sz w:val="20"/>
          <w:szCs w:val="20"/>
        </w:rPr>
        <w:t>2</w:t>
      </w:r>
      <w:r w:rsidR="000C2A54" w:rsidRPr="006C7E49">
        <w:rPr>
          <w:rFonts w:cs="Arial"/>
          <w:bCs/>
          <w:sz w:val="20"/>
          <w:szCs w:val="20"/>
        </w:rPr>
        <w:tab/>
      </w:r>
      <w:r w:rsidR="00024A9C">
        <w:rPr>
          <w:rFonts w:cs="Arial"/>
          <w:bCs/>
          <w:sz w:val="20"/>
          <w:szCs w:val="20"/>
        </w:rPr>
        <w:t>106,038</w:t>
      </w:r>
      <w:r w:rsidR="000C2A54" w:rsidRPr="006C7E49">
        <w:rPr>
          <w:rFonts w:cs="Arial"/>
          <w:bCs/>
          <w:sz w:val="20"/>
          <w:szCs w:val="20"/>
        </w:rPr>
        <w:tab/>
      </w:r>
      <w:r w:rsidR="00024A9C">
        <w:rPr>
          <w:rFonts w:cs="Arial"/>
          <w:bCs/>
          <w:sz w:val="20"/>
          <w:szCs w:val="20"/>
        </w:rPr>
        <w:t>(59,085)</w:t>
      </w:r>
    </w:p>
    <w:p w14:paraId="7278369D" w14:textId="77777777" w:rsidR="00B479EA" w:rsidRPr="00B479EA" w:rsidRDefault="00B479EA" w:rsidP="000C2A54">
      <w:pPr>
        <w:widowControl w:val="0"/>
        <w:tabs>
          <w:tab w:val="center" w:pos="5160"/>
          <w:tab w:val="right" w:pos="7371"/>
          <w:tab w:val="right" w:pos="9071"/>
        </w:tabs>
        <w:autoSpaceDE w:val="0"/>
        <w:autoSpaceDN w:val="0"/>
        <w:adjustRightInd w:val="0"/>
        <w:rPr>
          <w:rFonts w:cs="Arial"/>
          <w:bCs/>
          <w:iCs/>
          <w:sz w:val="20"/>
          <w:szCs w:val="20"/>
        </w:rPr>
      </w:pPr>
    </w:p>
    <w:p w14:paraId="15D8FCC4" w14:textId="77777777" w:rsidR="007D0485" w:rsidRDefault="007B768A" w:rsidP="007D0485">
      <w:pPr>
        <w:widowControl w:val="0"/>
        <w:tabs>
          <w:tab w:val="center" w:pos="5160"/>
          <w:tab w:val="right" w:pos="7371"/>
          <w:tab w:val="right" w:pos="9072"/>
        </w:tabs>
        <w:autoSpaceDE w:val="0"/>
        <w:autoSpaceDN w:val="0"/>
        <w:adjustRightInd w:val="0"/>
        <w:rPr>
          <w:rFonts w:cs="Arial"/>
          <w:bCs/>
          <w:sz w:val="20"/>
          <w:szCs w:val="20"/>
        </w:rPr>
      </w:pPr>
      <w:r>
        <w:rPr>
          <w:rFonts w:cs="Arial"/>
          <w:bCs/>
          <w:sz w:val="20"/>
          <w:szCs w:val="20"/>
        </w:rPr>
        <w:t>Depreciation, a</w:t>
      </w:r>
      <w:r w:rsidR="007D0485">
        <w:rPr>
          <w:rFonts w:cs="Arial"/>
          <w:bCs/>
          <w:sz w:val="20"/>
          <w:szCs w:val="20"/>
        </w:rPr>
        <w:t xml:space="preserve">mortisation and </w:t>
      </w:r>
    </w:p>
    <w:p w14:paraId="4065B036" w14:textId="45A5C729" w:rsidR="007D0485" w:rsidRDefault="007B768A" w:rsidP="007D0485">
      <w:pPr>
        <w:widowControl w:val="0"/>
        <w:tabs>
          <w:tab w:val="center" w:pos="5160"/>
          <w:tab w:val="right" w:pos="7371"/>
          <w:tab w:val="right" w:pos="9072"/>
        </w:tabs>
        <w:autoSpaceDE w:val="0"/>
        <w:autoSpaceDN w:val="0"/>
        <w:adjustRightInd w:val="0"/>
        <w:rPr>
          <w:rFonts w:cs="Arial"/>
          <w:bCs/>
          <w:sz w:val="20"/>
          <w:szCs w:val="20"/>
        </w:rPr>
      </w:pPr>
      <w:r>
        <w:rPr>
          <w:rFonts w:cs="Arial"/>
          <w:bCs/>
          <w:sz w:val="20"/>
          <w:szCs w:val="20"/>
        </w:rPr>
        <w:t>i</w:t>
      </w:r>
      <w:r w:rsidR="007D0485">
        <w:rPr>
          <w:rFonts w:cs="Arial"/>
          <w:bCs/>
          <w:sz w:val="20"/>
          <w:szCs w:val="20"/>
        </w:rPr>
        <w:t>mpairment</w:t>
      </w:r>
      <w:r w:rsidR="007D0485">
        <w:rPr>
          <w:rFonts w:cs="Arial"/>
          <w:bCs/>
          <w:sz w:val="20"/>
          <w:szCs w:val="20"/>
        </w:rPr>
        <w:tab/>
      </w:r>
      <w:r w:rsidR="007D0485">
        <w:rPr>
          <w:rFonts w:cs="Arial"/>
          <w:b/>
          <w:bCs/>
          <w:sz w:val="20"/>
          <w:szCs w:val="20"/>
        </w:rPr>
        <w:t>4</w:t>
      </w:r>
      <w:r w:rsidR="007D0485">
        <w:rPr>
          <w:rFonts w:cs="Arial"/>
          <w:b/>
          <w:bCs/>
          <w:sz w:val="20"/>
          <w:szCs w:val="20"/>
        </w:rPr>
        <w:tab/>
      </w:r>
      <w:r w:rsidR="00024A9C">
        <w:rPr>
          <w:rFonts w:cs="Arial"/>
          <w:bCs/>
          <w:sz w:val="20"/>
          <w:szCs w:val="20"/>
        </w:rPr>
        <w:t>100,461</w:t>
      </w:r>
      <w:r w:rsidR="00E916F9">
        <w:rPr>
          <w:rFonts w:cs="Arial"/>
          <w:bCs/>
          <w:sz w:val="20"/>
          <w:szCs w:val="20"/>
        </w:rPr>
        <w:tab/>
      </w:r>
      <w:r w:rsidR="00024A9C">
        <w:rPr>
          <w:rFonts w:cs="Arial"/>
          <w:bCs/>
          <w:sz w:val="20"/>
          <w:szCs w:val="20"/>
        </w:rPr>
        <w:t>91,241</w:t>
      </w:r>
    </w:p>
    <w:p w14:paraId="1825ECA0" w14:textId="77777777" w:rsidR="00A90C64" w:rsidRDefault="00A90C64" w:rsidP="007D0485">
      <w:pPr>
        <w:widowControl w:val="0"/>
        <w:tabs>
          <w:tab w:val="center" w:pos="5160"/>
          <w:tab w:val="right" w:pos="7371"/>
          <w:tab w:val="right" w:pos="9072"/>
        </w:tabs>
        <w:autoSpaceDE w:val="0"/>
        <w:autoSpaceDN w:val="0"/>
        <w:adjustRightInd w:val="0"/>
        <w:rPr>
          <w:rFonts w:cs="Arial"/>
          <w:bCs/>
          <w:sz w:val="20"/>
          <w:szCs w:val="20"/>
        </w:rPr>
      </w:pPr>
    </w:p>
    <w:p w14:paraId="21E7B91A" w14:textId="486C69AF" w:rsidR="000C2A54" w:rsidRPr="006C7E49" w:rsidRDefault="00024A9C" w:rsidP="000C2A54">
      <w:pPr>
        <w:widowControl w:val="0"/>
        <w:tabs>
          <w:tab w:val="center" w:pos="5160"/>
          <w:tab w:val="right" w:pos="7371"/>
          <w:tab w:val="right" w:pos="9072"/>
        </w:tabs>
        <w:autoSpaceDE w:val="0"/>
        <w:autoSpaceDN w:val="0"/>
        <w:adjustRightInd w:val="0"/>
        <w:rPr>
          <w:rFonts w:cs="Arial"/>
          <w:bCs/>
          <w:sz w:val="20"/>
          <w:szCs w:val="20"/>
        </w:rPr>
      </w:pPr>
      <w:r>
        <w:rPr>
          <w:rFonts w:cs="Arial"/>
          <w:bCs/>
          <w:sz w:val="20"/>
          <w:szCs w:val="20"/>
        </w:rPr>
        <w:t>Depreciation on Right-of-Use Assets</w:t>
      </w:r>
      <w:r w:rsidR="000C2A54" w:rsidRPr="006C7E49">
        <w:rPr>
          <w:rFonts w:cs="Arial"/>
          <w:bCs/>
          <w:sz w:val="20"/>
          <w:szCs w:val="20"/>
        </w:rPr>
        <w:tab/>
      </w:r>
      <w:r w:rsidR="001515FF">
        <w:rPr>
          <w:rFonts w:cs="Arial"/>
          <w:b/>
          <w:bCs/>
          <w:sz w:val="20"/>
          <w:szCs w:val="20"/>
        </w:rPr>
        <w:t>4</w:t>
      </w:r>
      <w:r w:rsidR="000C2A54" w:rsidRPr="006C7E49">
        <w:rPr>
          <w:rFonts w:cs="Arial"/>
          <w:bCs/>
          <w:sz w:val="20"/>
          <w:szCs w:val="20"/>
        </w:rPr>
        <w:tab/>
      </w:r>
      <w:r w:rsidR="009F599C">
        <w:rPr>
          <w:rFonts w:cs="Arial"/>
          <w:bCs/>
          <w:sz w:val="20"/>
          <w:szCs w:val="20"/>
        </w:rPr>
        <w:t>75,431</w:t>
      </w:r>
      <w:r w:rsidR="000C2A54" w:rsidRPr="006C7E49">
        <w:rPr>
          <w:rFonts w:cs="Arial"/>
          <w:bCs/>
          <w:sz w:val="20"/>
          <w:szCs w:val="20"/>
        </w:rPr>
        <w:tab/>
      </w:r>
      <w:r w:rsidR="002D47AF">
        <w:rPr>
          <w:rFonts w:cs="Arial"/>
          <w:bCs/>
          <w:sz w:val="20"/>
          <w:szCs w:val="20"/>
        </w:rPr>
        <w:t>0</w:t>
      </w:r>
    </w:p>
    <w:p w14:paraId="51B4E333" w14:textId="77777777" w:rsidR="000C2A54" w:rsidRPr="006C7E49" w:rsidRDefault="000C2A54" w:rsidP="000C2A54">
      <w:pPr>
        <w:widowControl w:val="0"/>
        <w:tabs>
          <w:tab w:val="center" w:pos="5580"/>
          <w:tab w:val="right" w:pos="7371"/>
          <w:tab w:val="right" w:pos="9072"/>
        </w:tabs>
        <w:autoSpaceDE w:val="0"/>
        <w:autoSpaceDN w:val="0"/>
        <w:adjustRightInd w:val="0"/>
        <w:rPr>
          <w:sz w:val="20"/>
          <w:szCs w:val="20"/>
        </w:rPr>
      </w:pP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237D03AE" w14:textId="69820954" w:rsidR="000C2A54" w:rsidRPr="006C7E49" w:rsidRDefault="000C2A54" w:rsidP="000C2A54">
      <w:pPr>
        <w:widowControl w:val="0"/>
        <w:tabs>
          <w:tab w:val="center" w:pos="5160"/>
          <w:tab w:val="right" w:pos="7371"/>
          <w:tab w:val="right" w:pos="9071"/>
        </w:tabs>
        <w:autoSpaceDE w:val="0"/>
        <w:autoSpaceDN w:val="0"/>
        <w:adjustRightInd w:val="0"/>
        <w:rPr>
          <w:rFonts w:cs="Arial"/>
          <w:b/>
          <w:bCs/>
          <w:sz w:val="20"/>
          <w:szCs w:val="20"/>
        </w:rPr>
      </w:pPr>
      <w:r w:rsidRPr="006C7E49">
        <w:rPr>
          <w:rFonts w:cs="Arial"/>
          <w:b/>
          <w:bCs/>
          <w:sz w:val="20"/>
          <w:szCs w:val="20"/>
        </w:rPr>
        <w:t>Net cash outflow from operating activities</w:t>
      </w:r>
      <w:r w:rsidR="006C7E49">
        <w:rPr>
          <w:rFonts w:cs="Arial"/>
          <w:b/>
          <w:bCs/>
          <w:sz w:val="20"/>
          <w:szCs w:val="20"/>
        </w:rPr>
        <w:tab/>
      </w:r>
      <w:r w:rsidRPr="006C7E49">
        <w:rPr>
          <w:rFonts w:cs="Arial"/>
          <w:b/>
          <w:bCs/>
          <w:sz w:val="20"/>
          <w:szCs w:val="20"/>
        </w:rPr>
        <w:tab/>
      </w:r>
      <w:r w:rsidR="00713362">
        <w:rPr>
          <w:rFonts w:cs="Arial"/>
          <w:b/>
          <w:bCs/>
          <w:sz w:val="20"/>
          <w:szCs w:val="20"/>
        </w:rPr>
        <w:t>(</w:t>
      </w:r>
      <w:r w:rsidR="00E916F9">
        <w:rPr>
          <w:rFonts w:cs="Arial"/>
          <w:b/>
          <w:bCs/>
          <w:sz w:val="20"/>
          <w:szCs w:val="20"/>
        </w:rPr>
        <w:t>2,</w:t>
      </w:r>
      <w:r w:rsidR="00024A9C">
        <w:rPr>
          <w:rFonts w:cs="Arial"/>
          <w:b/>
          <w:bCs/>
          <w:sz w:val="20"/>
          <w:szCs w:val="20"/>
        </w:rPr>
        <w:t>1</w:t>
      </w:r>
      <w:r w:rsidR="009F599C">
        <w:rPr>
          <w:rFonts w:cs="Arial"/>
          <w:b/>
          <w:bCs/>
          <w:sz w:val="20"/>
          <w:szCs w:val="20"/>
        </w:rPr>
        <w:t>90,57</w:t>
      </w:r>
      <w:r w:rsidR="00A30F83">
        <w:rPr>
          <w:rFonts w:cs="Arial"/>
          <w:b/>
          <w:bCs/>
          <w:sz w:val="20"/>
          <w:szCs w:val="20"/>
        </w:rPr>
        <w:t>5</w:t>
      </w:r>
      <w:r w:rsidR="007973AC" w:rsidRPr="00B55299">
        <w:rPr>
          <w:rFonts w:cs="Arial"/>
          <w:b/>
          <w:bCs/>
          <w:sz w:val="20"/>
          <w:szCs w:val="20"/>
        </w:rPr>
        <w:t>)</w:t>
      </w:r>
      <w:r w:rsidRPr="006C7E49">
        <w:rPr>
          <w:rFonts w:cs="Arial"/>
          <w:b/>
          <w:bCs/>
          <w:sz w:val="20"/>
          <w:szCs w:val="20"/>
        </w:rPr>
        <w:tab/>
        <w:t>(</w:t>
      </w:r>
      <w:r w:rsidR="00024A9C">
        <w:rPr>
          <w:rFonts w:cs="Arial"/>
          <w:b/>
          <w:bCs/>
          <w:sz w:val="20"/>
          <w:szCs w:val="20"/>
        </w:rPr>
        <w:t>2,315,515</w:t>
      </w:r>
      <w:r w:rsidRPr="006C7E49">
        <w:rPr>
          <w:rFonts w:cs="Arial"/>
          <w:b/>
          <w:bCs/>
          <w:sz w:val="20"/>
          <w:szCs w:val="20"/>
        </w:rPr>
        <w:t>)</w:t>
      </w:r>
    </w:p>
    <w:p w14:paraId="0E02F01F" w14:textId="77777777" w:rsidR="000C2A54" w:rsidRPr="006C7E49" w:rsidRDefault="000C2A54" w:rsidP="000C2A54">
      <w:pPr>
        <w:widowControl w:val="0"/>
        <w:tabs>
          <w:tab w:val="center" w:pos="5580"/>
          <w:tab w:val="right" w:pos="7371"/>
          <w:tab w:val="right" w:pos="9072"/>
        </w:tabs>
        <w:autoSpaceDE w:val="0"/>
        <w:autoSpaceDN w:val="0"/>
        <w:adjustRightInd w:val="0"/>
        <w:rPr>
          <w:sz w:val="20"/>
          <w:szCs w:val="20"/>
        </w:rPr>
      </w:pP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21C29ACC" w14:textId="77777777" w:rsidR="000C2A54" w:rsidRPr="006C7E49" w:rsidRDefault="000C2A54" w:rsidP="000C2A54">
      <w:pPr>
        <w:widowControl w:val="0"/>
        <w:tabs>
          <w:tab w:val="center" w:pos="5670"/>
          <w:tab w:val="right" w:pos="7371"/>
          <w:tab w:val="right" w:pos="9071"/>
        </w:tabs>
        <w:autoSpaceDE w:val="0"/>
        <w:autoSpaceDN w:val="0"/>
        <w:adjustRightInd w:val="0"/>
        <w:rPr>
          <w:rFonts w:cs="Arial"/>
          <w:sz w:val="20"/>
          <w:szCs w:val="20"/>
        </w:rPr>
      </w:pPr>
    </w:p>
    <w:p w14:paraId="41B94D2A" w14:textId="77777777" w:rsidR="000C2A54" w:rsidRPr="006C7E49" w:rsidRDefault="007B768A" w:rsidP="000C2A54">
      <w:pPr>
        <w:widowControl w:val="0"/>
        <w:tabs>
          <w:tab w:val="center" w:pos="5160"/>
          <w:tab w:val="right" w:pos="7371"/>
          <w:tab w:val="right" w:pos="9071"/>
        </w:tabs>
        <w:autoSpaceDE w:val="0"/>
        <w:autoSpaceDN w:val="0"/>
        <w:adjustRightInd w:val="0"/>
        <w:rPr>
          <w:rFonts w:cs="Arial"/>
          <w:bCs/>
          <w:sz w:val="20"/>
          <w:szCs w:val="20"/>
        </w:rPr>
      </w:pPr>
      <w:r>
        <w:rPr>
          <w:rFonts w:cs="Arial"/>
          <w:b/>
          <w:bCs/>
          <w:sz w:val="20"/>
          <w:szCs w:val="20"/>
        </w:rPr>
        <w:t>Cash flows from investing</w:t>
      </w:r>
      <w:r w:rsidR="000C2A54" w:rsidRPr="006C7E49">
        <w:rPr>
          <w:rFonts w:cs="Arial"/>
          <w:b/>
          <w:bCs/>
          <w:sz w:val="20"/>
          <w:szCs w:val="20"/>
        </w:rPr>
        <w:t xml:space="preserve"> activities </w:t>
      </w:r>
      <w:r w:rsidR="000C2A54" w:rsidRPr="006C7E49">
        <w:rPr>
          <w:rFonts w:cs="Arial"/>
          <w:b/>
          <w:bCs/>
          <w:sz w:val="20"/>
          <w:szCs w:val="20"/>
        </w:rPr>
        <w:tab/>
      </w:r>
      <w:r w:rsidR="000C2A54" w:rsidRPr="006C7E49">
        <w:rPr>
          <w:rFonts w:cs="Arial"/>
          <w:b/>
          <w:bCs/>
          <w:sz w:val="20"/>
          <w:szCs w:val="20"/>
        </w:rPr>
        <w:tab/>
      </w:r>
    </w:p>
    <w:p w14:paraId="7CD221EA" w14:textId="07C401FD" w:rsidR="007B699D" w:rsidRDefault="000C2A54" w:rsidP="000C2A54">
      <w:pPr>
        <w:widowControl w:val="0"/>
        <w:tabs>
          <w:tab w:val="center" w:pos="5160"/>
          <w:tab w:val="right" w:pos="7371"/>
          <w:tab w:val="right" w:pos="9071"/>
        </w:tabs>
        <w:autoSpaceDE w:val="0"/>
        <w:autoSpaceDN w:val="0"/>
        <w:adjustRightInd w:val="0"/>
        <w:rPr>
          <w:rFonts w:cs="Arial"/>
          <w:bCs/>
          <w:sz w:val="20"/>
          <w:szCs w:val="20"/>
        </w:rPr>
      </w:pPr>
      <w:r w:rsidRPr="006C7E49">
        <w:rPr>
          <w:rFonts w:cs="Arial"/>
          <w:bCs/>
          <w:sz w:val="20"/>
          <w:szCs w:val="20"/>
        </w:rPr>
        <w:t>Purchase of property, plant and equipment</w:t>
      </w:r>
      <w:r w:rsidRPr="006C7E49">
        <w:rPr>
          <w:rFonts w:cs="Arial"/>
          <w:bCs/>
          <w:sz w:val="20"/>
          <w:szCs w:val="20"/>
        </w:rPr>
        <w:tab/>
      </w:r>
      <w:r w:rsidR="00D40995" w:rsidRPr="007D0485">
        <w:rPr>
          <w:rFonts w:cs="Arial"/>
          <w:b/>
          <w:bCs/>
          <w:sz w:val="20"/>
          <w:szCs w:val="20"/>
        </w:rPr>
        <w:t>6</w:t>
      </w:r>
      <w:r w:rsidRPr="006C7E49">
        <w:rPr>
          <w:rFonts w:cs="Arial"/>
          <w:bCs/>
          <w:sz w:val="20"/>
          <w:szCs w:val="20"/>
        </w:rPr>
        <w:tab/>
      </w:r>
      <w:r w:rsidR="00024A9C">
        <w:rPr>
          <w:rFonts w:cs="Arial"/>
          <w:bCs/>
          <w:sz w:val="20"/>
          <w:szCs w:val="20"/>
        </w:rPr>
        <w:t>0</w:t>
      </w:r>
      <w:r w:rsidRPr="006C7E49">
        <w:rPr>
          <w:rFonts w:cs="Arial"/>
          <w:bCs/>
          <w:sz w:val="20"/>
          <w:szCs w:val="20"/>
        </w:rPr>
        <w:tab/>
        <w:t>(</w:t>
      </w:r>
      <w:r w:rsidR="00024A9C">
        <w:rPr>
          <w:rFonts w:cs="Arial"/>
          <w:bCs/>
          <w:sz w:val="20"/>
          <w:szCs w:val="20"/>
        </w:rPr>
        <w:t>10,972</w:t>
      </w:r>
      <w:r w:rsidR="003061F1">
        <w:rPr>
          <w:rFonts w:cs="Arial"/>
          <w:bCs/>
          <w:sz w:val="20"/>
          <w:szCs w:val="20"/>
        </w:rPr>
        <w:t>)</w:t>
      </w:r>
    </w:p>
    <w:p w14:paraId="60B4BC00" w14:textId="77777777" w:rsidR="000C2A54" w:rsidRPr="006C7E49" w:rsidRDefault="000C2A54" w:rsidP="000C2A54">
      <w:pPr>
        <w:widowControl w:val="0"/>
        <w:tabs>
          <w:tab w:val="center" w:pos="5160"/>
          <w:tab w:val="center" w:pos="5580"/>
          <w:tab w:val="right" w:pos="7371"/>
          <w:tab w:val="right" w:pos="9072"/>
        </w:tabs>
        <w:autoSpaceDE w:val="0"/>
        <w:autoSpaceDN w:val="0"/>
        <w:adjustRightInd w:val="0"/>
        <w:rPr>
          <w:sz w:val="20"/>
          <w:szCs w:val="20"/>
        </w:rPr>
      </w:pPr>
      <w:r w:rsidRPr="006C7E49">
        <w:rPr>
          <w:rFonts w:cs="Arial"/>
          <w:sz w:val="20"/>
          <w:szCs w:val="20"/>
        </w:rPr>
        <w:tab/>
      </w: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109D344E" w14:textId="1013A34B" w:rsidR="000C2A54" w:rsidRPr="006C7E49" w:rsidRDefault="000C2A54" w:rsidP="000C2A54">
      <w:pPr>
        <w:widowControl w:val="0"/>
        <w:tabs>
          <w:tab w:val="center" w:pos="5160"/>
          <w:tab w:val="right" w:pos="7371"/>
          <w:tab w:val="right" w:pos="9071"/>
        </w:tabs>
        <w:autoSpaceDE w:val="0"/>
        <w:autoSpaceDN w:val="0"/>
        <w:adjustRightInd w:val="0"/>
        <w:rPr>
          <w:rFonts w:cs="Arial"/>
          <w:bCs/>
          <w:sz w:val="20"/>
          <w:szCs w:val="20"/>
        </w:rPr>
      </w:pPr>
      <w:r w:rsidRPr="006C7E49">
        <w:rPr>
          <w:rFonts w:cs="Arial"/>
          <w:b/>
          <w:bCs/>
          <w:sz w:val="20"/>
          <w:szCs w:val="20"/>
        </w:rPr>
        <w:t>Net cash outflow from investing activities</w:t>
      </w:r>
      <w:r w:rsidR="003061F1">
        <w:rPr>
          <w:rFonts w:cs="Arial"/>
          <w:b/>
          <w:bCs/>
          <w:sz w:val="20"/>
          <w:szCs w:val="20"/>
        </w:rPr>
        <w:tab/>
      </w:r>
      <w:r w:rsidRPr="006C7E49">
        <w:rPr>
          <w:rFonts w:cs="Arial"/>
          <w:bCs/>
          <w:sz w:val="20"/>
          <w:szCs w:val="20"/>
        </w:rPr>
        <w:tab/>
      </w:r>
      <w:r w:rsidR="00FA67ED">
        <w:rPr>
          <w:rFonts w:cs="Arial"/>
          <w:b/>
          <w:bCs/>
          <w:sz w:val="20"/>
          <w:szCs w:val="20"/>
        </w:rPr>
        <w:t>0</w:t>
      </w:r>
      <w:r w:rsidRPr="006C7E49">
        <w:rPr>
          <w:rFonts w:cs="Arial"/>
          <w:b/>
          <w:bCs/>
          <w:sz w:val="20"/>
          <w:szCs w:val="20"/>
        </w:rPr>
        <w:tab/>
        <w:t>(</w:t>
      </w:r>
      <w:r w:rsidR="00024A9C">
        <w:rPr>
          <w:rFonts w:cs="Arial"/>
          <w:b/>
          <w:bCs/>
          <w:sz w:val="20"/>
          <w:szCs w:val="20"/>
        </w:rPr>
        <w:t>10,972</w:t>
      </w:r>
      <w:r w:rsidRPr="006C7E49">
        <w:rPr>
          <w:rFonts w:cs="Arial"/>
          <w:b/>
          <w:bCs/>
          <w:sz w:val="20"/>
          <w:szCs w:val="20"/>
        </w:rPr>
        <w:t>)</w:t>
      </w:r>
    </w:p>
    <w:p w14:paraId="79EC41D0" w14:textId="77777777" w:rsidR="000C2A54" w:rsidRPr="006C7E49" w:rsidRDefault="000C2A54" w:rsidP="000C2A54">
      <w:pPr>
        <w:widowControl w:val="0"/>
        <w:tabs>
          <w:tab w:val="center" w:pos="5160"/>
          <w:tab w:val="center" w:pos="5580"/>
          <w:tab w:val="right" w:pos="7371"/>
          <w:tab w:val="right" w:pos="9072"/>
        </w:tabs>
        <w:autoSpaceDE w:val="0"/>
        <w:autoSpaceDN w:val="0"/>
        <w:adjustRightInd w:val="0"/>
        <w:rPr>
          <w:sz w:val="20"/>
          <w:szCs w:val="20"/>
        </w:rPr>
      </w:pPr>
      <w:r w:rsidRPr="006C7E49">
        <w:rPr>
          <w:rFonts w:cs="Arial"/>
          <w:sz w:val="20"/>
          <w:szCs w:val="20"/>
        </w:rPr>
        <w:tab/>
      </w: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77A5D294" w14:textId="77777777" w:rsidR="000C2A54" w:rsidRPr="006C7E49" w:rsidRDefault="000C2A54" w:rsidP="000C2A54">
      <w:pPr>
        <w:widowControl w:val="0"/>
        <w:tabs>
          <w:tab w:val="center" w:pos="5160"/>
          <w:tab w:val="right" w:pos="7371"/>
          <w:tab w:val="right" w:pos="9071"/>
        </w:tabs>
        <w:autoSpaceDE w:val="0"/>
        <w:autoSpaceDN w:val="0"/>
        <w:adjustRightInd w:val="0"/>
        <w:rPr>
          <w:rFonts w:cs="Arial"/>
          <w:b/>
          <w:bCs/>
          <w:sz w:val="20"/>
          <w:szCs w:val="20"/>
        </w:rPr>
      </w:pPr>
    </w:p>
    <w:p w14:paraId="2F8C6816" w14:textId="5C6C2CBE" w:rsidR="00C6005E" w:rsidRDefault="000C2A54" w:rsidP="000C2A54">
      <w:pPr>
        <w:widowControl w:val="0"/>
        <w:tabs>
          <w:tab w:val="center" w:pos="5160"/>
          <w:tab w:val="right" w:pos="7371"/>
          <w:tab w:val="right" w:pos="9072"/>
        </w:tabs>
        <w:autoSpaceDE w:val="0"/>
        <w:autoSpaceDN w:val="0"/>
        <w:adjustRightInd w:val="0"/>
        <w:rPr>
          <w:rFonts w:cs="Arial"/>
          <w:b/>
          <w:bCs/>
          <w:sz w:val="20"/>
          <w:szCs w:val="20"/>
        </w:rPr>
      </w:pPr>
      <w:r w:rsidRPr="006C7E49">
        <w:rPr>
          <w:rFonts w:cs="Arial"/>
          <w:b/>
          <w:bCs/>
          <w:sz w:val="20"/>
          <w:szCs w:val="20"/>
        </w:rPr>
        <w:t>Cash flow</w:t>
      </w:r>
      <w:r w:rsidR="002D47AF">
        <w:rPr>
          <w:rFonts w:cs="Arial"/>
          <w:b/>
          <w:bCs/>
          <w:sz w:val="20"/>
          <w:szCs w:val="20"/>
        </w:rPr>
        <w:t>s</w:t>
      </w:r>
      <w:r w:rsidRPr="006C7E49">
        <w:rPr>
          <w:rFonts w:cs="Arial"/>
          <w:b/>
          <w:bCs/>
          <w:sz w:val="20"/>
          <w:szCs w:val="20"/>
        </w:rPr>
        <w:t xml:space="preserve"> from financing activities</w:t>
      </w:r>
    </w:p>
    <w:p w14:paraId="05C7C141" w14:textId="40AA398B" w:rsidR="00963A97" w:rsidRDefault="00C6005E" w:rsidP="000C2A54">
      <w:pPr>
        <w:widowControl w:val="0"/>
        <w:tabs>
          <w:tab w:val="center" w:pos="5160"/>
          <w:tab w:val="right" w:pos="7371"/>
          <w:tab w:val="right" w:pos="9072"/>
        </w:tabs>
        <w:autoSpaceDE w:val="0"/>
        <w:autoSpaceDN w:val="0"/>
        <w:adjustRightInd w:val="0"/>
        <w:rPr>
          <w:rFonts w:cs="Arial"/>
          <w:bCs/>
          <w:sz w:val="20"/>
          <w:szCs w:val="20"/>
        </w:rPr>
      </w:pPr>
      <w:r>
        <w:rPr>
          <w:rFonts w:cs="Arial"/>
          <w:bCs/>
          <w:sz w:val="20"/>
          <w:szCs w:val="20"/>
        </w:rPr>
        <w:t>Funding from parent department</w:t>
      </w:r>
      <w:r w:rsidR="00963A97">
        <w:rPr>
          <w:rFonts w:cs="Arial"/>
          <w:bCs/>
          <w:sz w:val="20"/>
          <w:szCs w:val="20"/>
        </w:rPr>
        <w:tab/>
        <w:t xml:space="preserve">                                           2,281,39</w:t>
      </w:r>
      <w:r w:rsidR="002B1F41">
        <w:rPr>
          <w:rFonts w:cs="Arial"/>
          <w:bCs/>
          <w:sz w:val="20"/>
          <w:szCs w:val="20"/>
        </w:rPr>
        <w:t>1</w:t>
      </w:r>
      <w:r w:rsidR="00963A97">
        <w:rPr>
          <w:rFonts w:cs="Arial"/>
          <w:bCs/>
          <w:sz w:val="20"/>
          <w:szCs w:val="20"/>
        </w:rPr>
        <w:t xml:space="preserve">         2,527,887</w:t>
      </w:r>
    </w:p>
    <w:p w14:paraId="6038049A" w14:textId="2B647450" w:rsidR="002D47AF" w:rsidRDefault="002D47AF" w:rsidP="000C2A54">
      <w:pPr>
        <w:widowControl w:val="0"/>
        <w:tabs>
          <w:tab w:val="center" w:pos="5160"/>
          <w:tab w:val="right" w:pos="7371"/>
          <w:tab w:val="right" w:pos="9072"/>
        </w:tabs>
        <w:autoSpaceDE w:val="0"/>
        <w:autoSpaceDN w:val="0"/>
        <w:adjustRightInd w:val="0"/>
        <w:rPr>
          <w:rFonts w:cs="Arial"/>
          <w:bCs/>
          <w:sz w:val="20"/>
          <w:szCs w:val="20"/>
        </w:rPr>
      </w:pPr>
      <w:r>
        <w:rPr>
          <w:rFonts w:cs="Arial"/>
          <w:bCs/>
          <w:sz w:val="20"/>
          <w:szCs w:val="20"/>
        </w:rPr>
        <w:t>Interest Receivable</w:t>
      </w:r>
      <w:r>
        <w:rPr>
          <w:rFonts w:cs="Arial"/>
          <w:bCs/>
          <w:sz w:val="20"/>
          <w:szCs w:val="20"/>
        </w:rPr>
        <w:tab/>
      </w:r>
      <w:r>
        <w:rPr>
          <w:rFonts w:cs="Arial"/>
          <w:bCs/>
          <w:sz w:val="20"/>
          <w:szCs w:val="20"/>
        </w:rPr>
        <w:tab/>
        <w:t>3,810</w:t>
      </w:r>
      <w:r>
        <w:rPr>
          <w:rFonts w:cs="Arial"/>
          <w:bCs/>
          <w:sz w:val="20"/>
          <w:szCs w:val="20"/>
        </w:rPr>
        <w:tab/>
        <w:t>0</w:t>
      </w:r>
    </w:p>
    <w:p w14:paraId="3881D242" w14:textId="10B1130D" w:rsidR="000C2A54" w:rsidRDefault="00963A97" w:rsidP="000C2A54">
      <w:pPr>
        <w:widowControl w:val="0"/>
        <w:tabs>
          <w:tab w:val="center" w:pos="5160"/>
          <w:tab w:val="right" w:pos="7371"/>
          <w:tab w:val="right" w:pos="9072"/>
        </w:tabs>
        <w:autoSpaceDE w:val="0"/>
        <w:autoSpaceDN w:val="0"/>
        <w:adjustRightInd w:val="0"/>
        <w:rPr>
          <w:rFonts w:cs="Arial"/>
          <w:bCs/>
          <w:sz w:val="20"/>
          <w:szCs w:val="20"/>
        </w:rPr>
      </w:pPr>
      <w:r>
        <w:rPr>
          <w:rFonts w:cs="Arial"/>
          <w:sz w:val="20"/>
          <w:szCs w:val="20"/>
        </w:rPr>
        <w:t>Payments of lease liabilities</w:t>
      </w:r>
      <w:r w:rsidR="000C2A54" w:rsidRPr="006C7E49">
        <w:rPr>
          <w:rFonts w:cs="Arial"/>
          <w:b/>
          <w:bCs/>
          <w:sz w:val="20"/>
          <w:szCs w:val="20"/>
        </w:rPr>
        <w:tab/>
      </w:r>
      <w:r w:rsidR="000C2A54" w:rsidRPr="006C7E49">
        <w:rPr>
          <w:rFonts w:cs="Arial"/>
          <w:b/>
          <w:bCs/>
          <w:sz w:val="20"/>
          <w:szCs w:val="20"/>
        </w:rPr>
        <w:tab/>
      </w:r>
      <w:r w:rsidR="00FA67ED">
        <w:rPr>
          <w:rFonts w:cs="Arial"/>
          <w:bCs/>
          <w:sz w:val="20"/>
          <w:szCs w:val="20"/>
        </w:rPr>
        <w:t>(</w:t>
      </w:r>
      <w:r w:rsidR="009F599C">
        <w:rPr>
          <w:rFonts w:cs="Arial"/>
          <w:bCs/>
          <w:sz w:val="20"/>
          <w:szCs w:val="20"/>
        </w:rPr>
        <w:t>72,190</w:t>
      </w:r>
      <w:r w:rsidR="00FA67ED">
        <w:rPr>
          <w:rFonts w:cs="Arial"/>
          <w:bCs/>
          <w:sz w:val="20"/>
          <w:szCs w:val="20"/>
        </w:rPr>
        <w:t>)</w:t>
      </w:r>
      <w:r w:rsidR="000C2A54" w:rsidRPr="006C7E49">
        <w:rPr>
          <w:rFonts w:cs="Arial"/>
          <w:b/>
          <w:bCs/>
          <w:sz w:val="20"/>
          <w:szCs w:val="20"/>
        </w:rPr>
        <w:tab/>
      </w:r>
      <w:r>
        <w:rPr>
          <w:rFonts w:cs="Arial"/>
          <w:bCs/>
          <w:sz w:val="20"/>
          <w:szCs w:val="20"/>
        </w:rPr>
        <w:t>0</w:t>
      </w:r>
    </w:p>
    <w:p w14:paraId="342D3750" w14:textId="273DFDF1" w:rsidR="002D47AF" w:rsidRPr="006C7E49" w:rsidRDefault="002D47AF" w:rsidP="002D47AF">
      <w:pPr>
        <w:widowControl w:val="0"/>
        <w:tabs>
          <w:tab w:val="center" w:pos="5160"/>
          <w:tab w:val="right" w:pos="7371"/>
          <w:tab w:val="right" w:pos="9071"/>
        </w:tabs>
        <w:autoSpaceDE w:val="0"/>
        <w:autoSpaceDN w:val="0"/>
        <w:adjustRightInd w:val="0"/>
        <w:rPr>
          <w:rFonts w:cs="Arial"/>
          <w:bCs/>
          <w:sz w:val="20"/>
          <w:szCs w:val="20"/>
        </w:rPr>
      </w:pPr>
      <w:r>
        <w:rPr>
          <w:rFonts w:cs="Arial"/>
          <w:bCs/>
          <w:sz w:val="20"/>
          <w:szCs w:val="20"/>
        </w:rPr>
        <w:t>Finance expense on lease liabilities</w:t>
      </w:r>
      <w:r>
        <w:rPr>
          <w:rFonts w:cs="Arial"/>
          <w:bCs/>
          <w:sz w:val="20"/>
          <w:szCs w:val="20"/>
        </w:rPr>
        <w:tab/>
      </w:r>
      <w:r>
        <w:rPr>
          <w:rFonts w:cs="Arial"/>
          <w:bCs/>
          <w:sz w:val="20"/>
          <w:szCs w:val="20"/>
        </w:rPr>
        <w:tab/>
        <w:t>(</w:t>
      </w:r>
      <w:r w:rsidR="009F599C">
        <w:rPr>
          <w:rFonts w:cs="Arial"/>
          <w:bCs/>
          <w:sz w:val="20"/>
          <w:szCs w:val="20"/>
        </w:rPr>
        <w:t>7,568</w:t>
      </w:r>
      <w:r>
        <w:rPr>
          <w:rFonts w:cs="Arial"/>
          <w:bCs/>
          <w:sz w:val="20"/>
          <w:szCs w:val="20"/>
        </w:rPr>
        <w:t>)</w:t>
      </w:r>
      <w:r>
        <w:rPr>
          <w:rFonts w:cs="Arial"/>
          <w:bCs/>
          <w:sz w:val="20"/>
          <w:szCs w:val="20"/>
        </w:rPr>
        <w:tab/>
        <w:t>0</w:t>
      </w:r>
    </w:p>
    <w:p w14:paraId="676C05A4" w14:textId="5C63CBF0" w:rsidR="000C2A54" w:rsidRPr="00B90FC7" w:rsidRDefault="000C2A54" w:rsidP="000C2A54">
      <w:pPr>
        <w:widowControl w:val="0"/>
        <w:tabs>
          <w:tab w:val="center" w:pos="5160"/>
          <w:tab w:val="center" w:pos="5580"/>
          <w:tab w:val="right" w:pos="7371"/>
          <w:tab w:val="right" w:pos="9072"/>
        </w:tabs>
        <w:autoSpaceDE w:val="0"/>
        <w:autoSpaceDN w:val="0"/>
        <w:adjustRightInd w:val="0"/>
        <w:rPr>
          <w:sz w:val="22"/>
          <w:szCs w:val="22"/>
        </w:rPr>
      </w:pPr>
      <w:r w:rsidRPr="006C7E49">
        <w:rPr>
          <w:rFonts w:cs="Arial"/>
          <w:sz w:val="20"/>
          <w:szCs w:val="20"/>
        </w:rPr>
        <w:tab/>
      </w: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36215259" w14:textId="1CAFFAD5" w:rsidR="000C2A54" w:rsidRPr="006C7E49" w:rsidRDefault="000C2A54" w:rsidP="000C2A54">
      <w:pPr>
        <w:widowControl w:val="0"/>
        <w:tabs>
          <w:tab w:val="center" w:pos="5160"/>
          <w:tab w:val="right" w:pos="7371"/>
          <w:tab w:val="right" w:pos="9071"/>
        </w:tabs>
        <w:autoSpaceDE w:val="0"/>
        <w:autoSpaceDN w:val="0"/>
        <w:adjustRightInd w:val="0"/>
        <w:rPr>
          <w:rFonts w:cs="Arial"/>
          <w:b/>
          <w:bCs/>
          <w:sz w:val="20"/>
          <w:szCs w:val="20"/>
        </w:rPr>
      </w:pPr>
      <w:r w:rsidRPr="006C7E49">
        <w:rPr>
          <w:rFonts w:cs="Arial"/>
          <w:b/>
          <w:bCs/>
          <w:sz w:val="20"/>
          <w:szCs w:val="20"/>
        </w:rPr>
        <w:t xml:space="preserve">Net cash </w:t>
      </w:r>
      <w:r w:rsidR="00527708">
        <w:rPr>
          <w:rFonts w:cs="Arial"/>
          <w:b/>
          <w:bCs/>
          <w:sz w:val="20"/>
          <w:szCs w:val="20"/>
        </w:rPr>
        <w:t>inflow</w:t>
      </w:r>
      <w:r w:rsidR="00527708" w:rsidRPr="006C7E49">
        <w:rPr>
          <w:rFonts w:cs="Arial"/>
          <w:b/>
          <w:bCs/>
          <w:sz w:val="20"/>
          <w:szCs w:val="20"/>
        </w:rPr>
        <w:t xml:space="preserve"> </w:t>
      </w:r>
      <w:r w:rsidRPr="006C7E49">
        <w:rPr>
          <w:rFonts w:cs="Arial"/>
          <w:b/>
          <w:bCs/>
          <w:sz w:val="20"/>
          <w:szCs w:val="20"/>
        </w:rPr>
        <w:t>from financing activities</w:t>
      </w:r>
      <w:r w:rsidRPr="006C7E49">
        <w:rPr>
          <w:rFonts w:cs="Arial"/>
          <w:b/>
          <w:bCs/>
          <w:sz w:val="20"/>
          <w:szCs w:val="20"/>
        </w:rPr>
        <w:tab/>
      </w:r>
      <w:r w:rsidR="003061F1">
        <w:rPr>
          <w:rFonts w:cs="Arial"/>
          <w:b/>
          <w:bCs/>
          <w:sz w:val="20"/>
          <w:szCs w:val="20"/>
        </w:rPr>
        <w:tab/>
      </w:r>
      <w:r w:rsidR="00E916F9">
        <w:rPr>
          <w:rFonts w:cs="Arial"/>
          <w:b/>
          <w:bCs/>
          <w:sz w:val="20"/>
          <w:szCs w:val="20"/>
        </w:rPr>
        <w:t>2,</w:t>
      </w:r>
      <w:r w:rsidR="009F599C">
        <w:rPr>
          <w:rFonts w:cs="Arial"/>
          <w:b/>
          <w:bCs/>
          <w:sz w:val="20"/>
          <w:szCs w:val="20"/>
        </w:rPr>
        <w:t>205,443</w:t>
      </w:r>
      <w:r w:rsidRPr="006C7E49">
        <w:rPr>
          <w:rFonts w:cs="Arial"/>
          <w:b/>
          <w:bCs/>
          <w:sz w:val="20"/>
          <w:szCs w:val="20"/>
        </w:rPr>
        <w:tab/>
      </w:r>
      <w:r w:rsidR="00963A97">
        <w:rPr>
          <w:rFonts w:cs="Arial"/>
          <w:b/>
          <w:bCs/>
          <w:sz w:val="20"/>
          <w:szCs w:val="20"/>
        </w:rPr>
        <w:t>2,527,887</w:t>
      </w:r>
    </w:p>
    <w:p w14:paraId="3760FE25" w14:textId="77777777" w:rsidR="000C2A54" w:rsidRPr="006C7E49" w:rsidRDefault="000C2A54" w:rsidP="000C2A54">
      <w:pPr>
        <w:widowControl w:val="0"/>
        <w:tabs>
          <w:tab w:val="center" w:pos="5160"/>
          <w:tab w:val="center" w:pos="5580"/>
          <w:tab w:val="right" w:pos="7371"/>
          <w:tab w:val="right" w:pos="9072"/>
        </w:tabs>
        <w:autoSpaceDE w:val="0"/>
        <w:autoSpaceDN w:val="0"/>
        <w:adjustRightInd w:val="0"/>
        <w:rPr>
          <w:sz w:val="20"/>
          <w:szCs w:val="20"/>
        </w:rPr>
      </w:pPr>
      <w:r w:rsidRPr="006C7E49">
        <w:rPr>
          <w:rFonts w:cs="Arial"/>
          <w:sz w:val="20"/>
          <w:szCs w:val="20"/>
        </w:rPr>
        <w:tab/>
      </w: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1F0294CE" w14:textId="2A247791" w:rsidR="000C2A54" w:rsidRPr="006C7E49" w:rsidRDefault="000C2A54" w:rsidP="000C2A54">
      <w:pPr>
        <w:widowControl w:val="0"/>
        <w:tabs>
          <w:tab w:val="center" w:pos="5160"/>
          <w:tab w:val="center" w:pos="5670"/>
          <w:tab w:val="right" w:pos="7371"/>
          <w:tab w:val="right" w:pos="9071"/>
        </w:tabs>
        <w:autoSpaceDE w:val="0"/>
        <w:autoSpaceDN w:val="0"/>
        <w:adjustRightInd w:val="0"/>
        <w:rPr>
          <w:rFonts w:cs="Arial"/>
          <w:sz w:val="20"/>
          <w:szCs w:val="20"/>
        </w:rPr>
      </w:pPr>
      <w:r w:rsidRPr="006C7E49">
        <w:rPr>
          <w:rFonts w:cs="Arial"/>
          <w:b/>
          <w:bCs/>
          <w:sz w:val="20"/>
          <w:szCs w:val="20"/>
        </w:rPr>
        <w:t>Net</w:t>
      </w:r>
      <w:r w:rsidR="0029565E">
        <w:rPr>
          <w:rFonts w:cs="Arial"/>
          <w:b/>
          <w:bCs/>
          <w:sz w:val="20"/>
          <w:szCs w:val="20"/>
        </w:rPr>
        <w:t xml:space="preserve"> increase </w:t>
      </w:r>
      <w:r w:rsidRPr="006C7E49">
        <w:rPr>
          <w:rFonts w:cs="Arial"/>
          <w:b/>
          <w:bCs/>
          <w:sz w:val="20"/>
          <w:szCs w:val="20"/>
        </w:rPr>
        <w:t xml:space="preserve">in cash </w:t>
      </w:r>
      <w:r w:rsidRPr="006C7E49">
        <w:rPr>
          <w:rFonts w:cs="Arial"/>
          <w:b/>
          <w:bCs/>
          <w:sz w:val="20"/>
          <w:szCs w:val="20"/>
        </w:rPr>
        <w:br/>
        <w:t>and cash equivalents in the period</w:t>
      </w:r>
      <w:r w:rsidRPr="006C7E49">
        <w:rPr>
          <w:rFonts w:cs="Arial"/>
          <w:b/>
          <w:bCs/>
          <w:sz w:val="20"/>
          <w:szCs w:val="20"/>
        </w:rPr>
        <w:tab/>
        <w:t>1</w:t>
      </w:r>
      <w:r w:rsidR="00FA67ED">
        <w:rPr>
          <w:rFonts w:cs="Arial"/>
          <w:b/>
          <w:bCs/>
          <w:sz w:val="20"/>
          <w:szCs w:val="20"/>
        </w:rPr>
        <w:t>1</w:t>
      </w:r>
      <w:r w:rsidRPr="006C7E49">
        <w:rPr>
          <w:rFonts w:cs="Arial"/>
          <w:b/>
          <w:bCs/>
          <w:sz w:val="20"/>
          <w:szCs w:val="20"/>
        </w:rPr>
        <w:tab/>
      </w:r>
      <w:r w:rsidRPr="006C7E49">
        <w:rPr>
          <w:rFonts w:cs="Arial"/>
          <w:b/>
          <w:bCs/>
          <w:sz w:val="20"/>
          <w:szCs w:val="20"/>
        </w:rPr>
        <w:tab/>
      </w:r>
      <w:r w:rsidR="00963A97">
        <w:rPr>
          <w:rFonts w:cs="Arial"/>
          <w:b/>
          <w:bCs/>
          <w:sz w:val="20"/>
          <w:szCs w:val="20"/>
        </w:rPr>
        <w:t>14,86</w:t>
      </w:r>
      <w:r w:rsidR="002B1F41">
        <w:rPr>
          <w:rFonts w:cs="Arial"/>
          <w:b/>
          <w:bCs/>
          <w:sz w:val="20"/>
          <w:szCs w:val="20"/>
        </w:rPr>
        <w:t>8</w:t>
      </w:r>
      <w:r w:rsidRPr="006C7E49">
        <w:rPr>
          <w:rFonts w:cs="Arial"/>
          <w:b/>
          <w:bCs/>
          <w:sz w:val="20"/>
          <w:szCs w:val="20"/>
        </w:rPr>
        <w:tab/>
      </w:r>
      <w:r w:rsidR="00963A97">
        <w:rPr>
          <w:rFonts w:cs="Arial"/>
          <w:b/>
          <w:bCs/>
          <w:sz w:val="20"/>
          <w:szCs w:val="20"/>
        </w:rPr>
        <w:t>201,400</w:t>
      </w:r>
    </w:p>
    <w:p w14:paraId="411361A0" w14:textId="77777777" w:rsidR="000C2A54" w:rsidRPr="006C7E49" w:rsidRDefault="000C2A54" w:rsidP="000C2A54">
      <w:pPr>
        <w:widowControl w:val="0"/>
        <w:tabs>
          <w:tab w:val="center" w:pos="5160"/>
          <w:tab w:val="center" w:pos="5580"/>
          <w:tab w:val="right" w:pos="7371"/>
          <w:tab w:val="right" w:pos="9072"/>
        </w:tabs>
        <w:autoSpaceDE w:val="0"/>
        <w:autoSpaceDN w:val="0"/>
        <w:adjustRightInd w:val="0"/>
        <w:rPr>
          <w:sz w:val="20"/>
          <w:szCs w:val="20"/>
        </w:rPr>
      </w:pPr>
      <w:r w:rsidRPr="006C7E49">
        <w:rPr>
          <w:sz w:val="20"/>
          <w:szCs w:val="20"/>
        </w:rPr>
        <w:tab/>
      </w:r>
      <w:r w:rsidRPr="006C7E49">
        <w:rPr>
          <w:sz w:val="20"/>
          <w:szCs w:val="20"/>
        </w:rPr>
        <w:tab/>
      </w:r>
      <w:r w:rsidRPr="006C7E49">
        <w:rPr>
          <w:sz w:val="20"/>
          <w:szCs w:val="20"/>
        </w:rPr>
        <w:tab/>
      </w:r>
      <w:r w:rsidRPr="006C7E49">
        <w:rPr>
          <w:rFonts w:ascii="Arial" w:hAnsi="Arial"/>
          <w:sz w:val="20"/>
          <w:szCs w:val="20"/>
        </w:rPr>
        <w:t>═════════</w:t>
      </w:r>
      <w:r w:rsidRPr="006C7E49">
        <w:rPr>
          <w:sz w:val="20"/>
          <w:szCs w:val="20"/>
        </w:rPr>
        <w:tab/>
      </w:r>
      <w:r w:rsidRPr="006C7E49">
        <w:rPr>
          <w:rFonts w:ascii="Arial" w:hAnsi="Arial"/>
          <w:sz w:val="20"/>
          <w:szCs w:val="20"/>
        </w:rPr>
        <w:t>═════════</w:t>
      </w:r>
    </w:p>
    <w:p w14:paraId="1F951935" w14:textId="77777777" w:rsidR="000C2A54" w:rsidRPr="006C7E49" w:rsidRDefault="000C2A54" w:rsidP="000C2A54">
      <w:pPr>
        <w:widowControl w:val="0"/>
        <w:tabs>
          <w:tab w:val="center" w:pos="5160"/>
          <w:tab w:val="center" w:pos="5670"/>
          <w:tab w:val="right" w:pos="7371"/>
          <w:tab w:val="right" w:pos="9071"/>
        </w:tabs>
        <w:autoSpaceDE w:val="0"/>
        <w:autoSpaceDN w:val="0"/>
        <w:adjustRightInd w:val="0"/>
        <w:rPr>
          <w:rFonts w:cs="Arial"/>
          <w:b/>
          <w:bCs/>
          <w:sz w:val="20"/>
          <w:szCs w:val="20"/>
        </w:rPr>
      </w:pPr>
      <w:r w:rsidRPr="006C7E49">
        <w:rPr>
          <w:rFonts w:cs="Arial"/>
          <w:b/>
          <w:bCs/>
          <w:sz w:val="20"/>
          <w:szCs w:val="20"/>
        </w:rPr>
        <w:t xml:space="preserve">Cash and cash equivalents at the </w:t>
      </w:r>
    </w:p>
    <w:p w14:paraId="35F4D72D" w14:textId="74549D70" w:rsidR="000C2A54" w:rsidRPr="006C7E49" w:rsidRDefault="000C2A54" w:rsidP="000C2A54">
      <w:pPr>
        <w:widowControl w:val="0"/>
        <w:tabs>
          <w:tab w:val="center" w:pos="5160"/>
          <w:tab w:val="center" w:pos="5670"/>
          <w:tab w:val="right" w:pos="7371"/>
          <w:tab w:val="right" w:pos="9071"/>
        </w:tabs>
        <w:autoSpaceDE w:val="0"/>
        <w:autoSpaceDN w:val="0"/>
        <w:adjustRightInd w:val="0"/>
        <w:rPr>
          <w:rFonts w:cs="Arial"/>
          <w:b/>
          <w:bCs/>
          <w:sz w:val="20"/>
          <w:szCs w:val="20"/>
        </w:rPr>
      </w:pPr>
      <w:r w:rsidRPr="006C7E49">
        <w:rPr>
          <w:rFonts w:cs="Arial"/>
          <w:b/>
          <w:bCs/>
          <w:sz w:val="20"/>
          <w:szCs w:val="20"/>
        </w:rPr>
        <w:t>beginning of the period</w:t>
      </w:r>
      <w:r w:rsidRPr="006C7E49">
        <w:rPr>
          <w:rFonts w:cs="Arial"/>
          <w:b/>
          <w:bCs/>
          <w:sz w:val="20"/>
          <w:szCs w:val="20"/>
        </w:rPr>
        <w:tab/>
        <w:t>1</w:t>
      </w:r>
      <w:r w:rsidR="00FA67ED">
        <w:rPr>
          <w:rFonts w:cs="Arial"/>
          <w:b/>
          <w:bCs/>
          <w:sz w:val="20"/>
          <w:szCs w:val="20"/>
        </w:rPr>
        <w:t>1</w:t>
      </w:r>
      <w:r w:rsidRPr="006C7E49">
        <w:rPr>
          <w:rFonts w:cs="Arial"/>
          <w:b/>
          <w:bCs/>
          <w:sz w:val="20"/>
          <w:szCs w:val="20"/>
        </w:rPr>
        <w:tab/>
      </w:r>
      <w:r w:rsidRPr="006C7E49">
        <w:rPr>
          <w:rFonts w:cs="Arial"/>
          <w:b/>
          <w:bCs/>
          <w:sz w:val="20"/>
          <w:szCs w:val="20"/>
        </w:rPr>
        <w:tab/>
      </w:r>
      <w:r w:rsidR="00963A97">
        <w:rPr>
          <w:rFonts w:cs="Arial"/>
          <w:b/>
          <w:bCs/>
          <w:sz w:val="20"/>
          <w:szCs w:val="20"/>
        </w:rPr>
        <w:t>541,738</w:t>
      </w:r>
      <w:r w:rsidRPr="006C7E49">
        <w:rPr>
          <w:rFonts w:cs="Arial"/>
          <w:b/>
          <w:bCs/>
          <w:sz w:val="20"/>
          <w:szCs w:val="20"/>
        </w:rPr>
        <w:tab/>
      </w:r>
      <w:r w:rsidR="00963A97">
        <w:rPr>
          <w:rFonts w:cs="Arial"/>
          <w:b/>
          <w:bCs/>
          <w:sz w:val="20"/>
          <w:szCs w:val="20"/>
        </w:rPr>
        <w:t>340,338</w:t>
      </w:r>
    </w:p>
    <w:p w14:paraId="0CEFB9C9" w14:textId="77777777" w:rsidR="000C2A54" w:rsidRPr="006C7E49" w:rsidRDefault="000C2A54" w:rsidP="000C2A54">
      <w:pPr>
        <w:widowControl w:val="0"/>
        <w:tabs>
          <w:tab w:val="center" w:pos="5160"/>
          <w:tab w:val="center" w:pos="5580"/>
          <w:tab w:val="right" w:pos="7371"/>
          <w:tab w:val="right" w:pos="9072"/>
        </w:tabs>
        <w:autoSpaceDE w:val="0"/>
        <w:autoSpaceDN w:val="0"/>
        <w:adjustRightInd w:val="0"/>
        <w:rPr>
          <w:sz w:val="20"/>
          <w:szCs w:val="20"/>
        </w:rPr>
      </w:pPr>
      <w:r w:rsidRPr="006C7E49">
        <w:rPr>
          <w:rFonts w:cs="Arial"/>
          <w:sz w:val="20"/>
          <w:szCs w:val="20"/>
        </w:rPr>
        <w:tab/>
      </w: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63B6FEBA" w14:textId="09D6C1A9" w:rsidR="000C2A54" w:rsidRPr="006C7E49" w:rsidRDefault="000C2A54" w:rsidP="000C2A54">
      <w:pPr>
        <w:widowControl w:val="0"/>
        <w:tabs>
          <w:tab w:val="center" w:pos="5160"/>
          <w:tab w:val="center" w:pos="5670"/>
          <w:tab w:val="right" w:pos="7371"/>
          <w:tab w:val="right" w:pos="9071"/>
        </w:tabs>
        <w:autoSpaceDE w:val="0"/>
        <w:autoSpaceDN w:val="0"/>
        <w:adjustRightInd w:val="0"/>
        <w:rPr>
          <w:rFonts w:cs="Arial"/>
          <w:b/>
          <w:bCs/>
          <w:sz w:val="20"/>
          <w:szCs w:val="20"/>
        </w:rPr>
      </w:pPr>
      <w:r w:rsidRPr="006C7E49">
        <w:rPr>
          <w:rFonts w:cs="Arial"/>
          <w:b/>
          <w:bCs/>
          <w:sz w:val="20"/>
          <w:szCs w:val="20"/>
        </w:rPr>
        <w:t xml:space="preserve">Cash and cash equivalents at the </w:t>
      </w:r>
      <w:r w:rsidRPr="006C7E49">
        <w:rPr>
          <w:rFonts w:cs="Arial"/>
          <w:b/>
          <w:bCs/>
          <w:sz w:val="20"/>
          <w:szCs w:val="20"/>
        </w:rPr>
        <w:tab/>
        <w:t>1</w:t>
      </w:r>
      <w:r w:rsidR="00FA67ED">
        <w:rPr>
          <w:rFonts w:cs="Arial"/>
          <w:b/>
          <w:bCs/>
          <w:sz w:val="20"/>
          <w:szCs w:val="20"/>
        </w:rPr>
        <w:t>1</w:t>
      </w:r>
      <w:r w:rsidRPr="006C7E49">
        <w:rPr>
          <w:rFonts w:cs="Arial"/>
          <w:b/>
          <w:bCs/>
          <w:sz w:val="20"/>
          <w:szCs w:val="20"/>
        </w:rPr>
        <w:tab/>
      </w:r>
      <w:r w:rsidRPr="006C7E49">
        <w:rPr>
          <w:rFonts w:cs="Arial"/>
          <w:b/>
          <w:bCs/>
          <w:sz w:val="20"/>
          <w:szCs w:val="20"/>
        </w:rPr>
        <w:tab/>
      </w:r>
      <w:r w:rsidR="0029565E">
        <w:rPr>
          <w:rFonts w:cs="Arial"/>
          <w:b/>
          <w:bCs/>
          <w:sz w:val="20"/>
          <w:szCs w:val="20"/>
        </w:rPr>
        <w:t>5</w:t>
      </w:r>
      <w:r w:rsidR="00963A97">
        <w:rPr>
          <w:rFonts w:cs="Arial"/>
          <w:b/>
          <w:bCs/>
          <w:sz w:val="20"/>
          <w:szCs w:val="20"/>
        </w:rPr>
        <w:t>56,606</w:t>
      </w:r>
      <w:r w:rsidRPr="006C7E49">
        <w:rPr>
          <w:rFonts w:cs="Arial"/>
          <w:b/>
          <w:bCs/>
          <w:sz w:val="20"/>
          <w:szCs w:val="20"/>
        </w:rPr>
        <w:tab/>
      </w:r>
      <w:r w:rsidR="00963A97">
        <w:rPr>
          <w:rFonts w:cs="Arial"/>
          <w:b/>
          <w:bCs/>
          <w:sz w:val="20"/>
          <w:szCs w:val="20"/>
        </w:rPr>
        <w:t>541,738</w:t>
      </w:r>
    </w:p>
    <w:p w14:paraId="7E5713F0" w14:textId="77777777" w:rsidR="000C2A54" w:rsidRPr="006C7E49" w:rsidRDefault="000C2A54" w:rsidP="000C2A54">
      <w:pPr>
        <w:widowControl w:val="0"/>
        <w:tabs>
          <w:tab w:val="center" w:pos="5160"/>
          <w:tab w:val="center" w:pos="5670"/>
          <w:tab w:val="right" w:pos="7371"/>
          <w:tab w:val="right" w:pos="9071"/>
        </w:tabs>
        <w:autoSpaceDE w:val="0"/>
        <w:autoSpaceDN w:val="0"/>
        <w:adjustRightInd w:val="0"/>
        <w:rPr>
          <w:sz w:val="20"/>
          <w:szCs w:val="20"/>
        </w:rPr>
      </w:pPr>
      <w:r w:rsidRPr="006C7E49">
        <w:rPr>
          <w:rFonts w:cs="Arial"/>
          <w:b/>
          <w:bCs/>
          <w:sz w:val="20"/>
          <w:szCs w:val="20"/>
        </w:rPr>
        <w:t>end of the period</w:t>
      </w:r>
      <w:r w:rsidRPr="006C7E49">
        <w:rPr>
          <w:rFonts w:cs="Arial"/>
          <w:b/>
          <w:bCs/>
          <w:sz w:val="20"/>
          <w:szCs w:val="20"/>
        </w:rPr>
        <w:tab/>
      </w:r>
      <w:r w:rsidRPr="006C7E49">
        <w:rPr>
          <w:rFonts w:cs="Arial"/>
          <w:b/>
          <w:bCs/>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6DA4CD61" w14:textId="77777777" w:rsidR="000C2A54" w:rsidRPr="006C7E49" w:rsidRDefault="000C2A54" w:rsidP="000C2A54">
      <w:pPr>
        <w:widowControl w:val="0"/>
        <w:tabs>
          <w:tab w:val="center" w:pos="5160"/>
          <w:tab w:val="center" w:pos="5670"/>
          <w:tab w:val="right" w:pos="7371"/>
          <w:tab w:val="right" w:pos="9071"/>
        </w:tabs>
        <w:autoSpaceDE w:val="0"/>
        <w:autoSpaceDN w:val="0"/>
        <w:adjustRightInd w:val="0"/>
        <w:rPr>
          <w:rFonts w:cs="Arial"/>
          <w:b/>
          <w:bCs/>
          <w:sz w:val="20"/>
          <w:szCs w:val="20"/>
        </w:rPr>
      </w:pPr>
    </w:p>
    <w:p w14:paraId="6667F15B" w14:textId="77777777" w:rsidR="000C2A54" w:rsidRDefault="000C2A54" w:rsidP="000C2A54">
      <w:pPr>
        <w:widowControl w:val="0"/>
        <w:tabs>
          <w:tab w:val="center" w:pos="5670"/>
          <w:tab w:val="right" w:pos="7371"/>
          <w:tab w:val="right" w:pos="9071"/>
        </w:tabs>
        <w:autoSpaceDE w:val="0"/>
        <w:autoSpaceDN w:val="0"/>
        <w:adjustRightInd w:val="0"/>
        <w:rPr>
          <w:rFonts w:cs="Arial"/>
          <w:b/>
          <w:bCs/>
          <w:sz w:val="22"/>
          <w:szCs w:val="22"/>
        </w:rPr>
      </w:pPr>
    </w:p>
    <w:p w14:paraId="3CA31849" w14:textId="77777777" w:rsidR="000C2A54" w:rsidRDefault="000C2A54" w:rsidP="000C2A54">
      <w:pPr>
        <w:widowControl w:val="0"/>
        <w:autoSpaceDE w:val="0"/>
        <w:autoSpaceDN w:val="0"/>
        <w:adjustRightInd w:val="0"/>
        <w:rPr>
          <w:rFonts w:cs="Arial"/>
          <w:sz w:val="22"/>
          <w:szCs w:val="22"/>
        </w:rPr>
      </w:pPr>
    </w:p>
    <w:p w14:paraId="030FF5E7" w14:textId="77777777" w:rsidR="00FA67ED" w:rsidRDefault="00FA67ED" w:rsidP="000C2A54">
      <w:pPr>
        <w:widowControl w:val="0"/>
        <w:autoSpaceDE w:val="0"/>
        <w:autoSpaceDN w:val="0"/>
        <w:adjustRightInd w:val="0"/>
        <w:rPr>
          <w:rFonts w:cs="Arial"/>
          <w:sz w:val="22"/>
          <w:szCs w:val="22"/>
        </w:rPr>
      </w:pPr>
    </w:p>
    <w:p w14:paraId="4155F32C" w14:textId="77777777" w:rsidR="00FA67ED" w:rsidRDefault="00FA67ED" w:rsidP="000C2A54">
      <w:pPr>
        <w:widowControl w:val="0"/>
        <w:autoSpaceDE w:val="0"/>
        <w:autoSpaceDN w:val="0"/>
        <w:adjustRightInd w:val="0"/>
        <w:rPr>
          <w:rFonts w:cs="Arial"/>
          <w:sz w:val="22"/>
          <w:szCs w:val="22"/>
        </w:rPr>
      </w:pPr>
    </w:p>
    <w:p w14:paraId="22F04591" w14:textId="77777777" w:rsidR="00FA67ED" w:rsidRPr="00AC49A1" w:rsidRDefault="00FA67ED" w:rsidP="000C2A54">
      <w:pPr>
        <w:widowControl w:val="0"/>
        <w:autoSpaceDE w:val="0"/>
        <w:autoSpaceDN w:val="0"/>
        <w:adjustRightInd w:val="0"/>
        <w:rPr>
          <w:rFonts w:cs="Arial"/>
          <w:sz w:val="22"/>
          <w:szCs w:val="22"/>
        </w:rPr>
      </w:pPr>
    </w:p>
    <w:p w14:paraId="57E77565" w14:textId="39BBCF04" w:rsidR="000C2A54" w:rsidRPr="00EB5423" w:rsidRDefault="000C2A54" w:rsidP="000C2A54">
      <w:pPr>
        <w:widowControl w:val="0"/>
        <w:tabs>
          <w:tab w:val="center" w:pos="6096"/>
          <w:tab w:val="right" w:pos="7797"/>
          <w:tab w:val="right" w:pos="9356"/>
        </w:tabs>
        <w:autoSpaceDE w:val="0"/>
        <w:autoSpaceDN w:val="0"/>
        <w:adjustRightInd w:val="0"/>
        <w:rPr>
          <w:sz w:val="22"/>
          <w:szCs w:val="22"/>
        </w:rPr>
      </w:pPr>
      <w:r w:rsidRPr="00EB5423">
        <w:rPr>
          <w:sz w:val="22"/>
          <w:szCs w:val="22"/>
        </w:rPr>
        <w:t xml:space="preserve">The notes on pages </w:t>
      </w:r>
      <w:r w:rsidR="00320CF6">
        <w:rPr>
          <w:sz w:val="22"/>
          <w:szCs w:val="22"/>
        </w:rPr>
        <w:t>66</w:t>
      </w:r>
      <w:r w:rsidR="0081025D" w:rsidRPr="00EB5423">
        <w:rPr>
          <w:sz w:val="22"/>
          <w:szCs w:val="22"/>
        </w:rPr>
        <w:t xml:space="preserve"> </w:t>
      </w:r>
      <w:r w:rsidRPr="00EB5423">
        <w:rPr>
          <w:sz w:val="22"/>
          <w:szCs w:val="22"/>
        </w:rPr>
        <w:t xml:space="preserve">to </w:t>
      </w:r>
      <w:r w:rsidR="00320CF6">
        <w:rPr>
          <w:sz w:val="22"/>
          <w:szCs w:val="22"/>
        </w:rPr>
        <w:t>84</w:t>
      </w:r>
      <w:r w:rsidR="0081025D" w:rsidRPr="00EB5423">
        <w:rPr>
          <w:sz w:val="22"/>
          <w:szCs w:val="22"/>
        </w:rPr>
        <w:t xml:space="preserve"> </w:t>
      </w:r>
      <w:r w:rsidRPr="00EB5423">
        <w:rPr>
          <w:sz w:val="22"/>
          <w:szCs w:val="22"/>
        </w:rPr>
        <w:t>form part of the financial statements.</w:t>
      </w:r>
    </w:p>
    <w:p w14:paraId="658F8B77" w14:textId="74CA0C0F" w:rsidR="000C2A54" w:rsidRPr="00EB5423" w:rsidRDefault="00F130A1" w:rsidP="00417CAC">
      <w:pPr>
        <w:jc w:val="center"/>
        <w:rPr>
          <w:b/>
        </w:rPr>
      </w:pPr>
      <w:bookmarkStart w:id="23" w:name="StatementofChangesinEquity"/>
      <w:r>
        <w:rPr>
          <w:rFonts w:cs="Arial"/>
          <w:b/>
          <w:color w:val="77328A"/>
          <w:sz w:val="30"/>
          <w:szCs w:val="30"/>
        </w:rPr>
        <w:br w:type="page"/>
      </w:r>
      <w:r w:rsidR="008C73A2">
        <w:rPr>
          <w:rFonts w:cs="Arial"/>
          <w:b/>
          <w:color w:val="77328A"/>
          <w:sz w:val="30"/>
          <w:szCs w:val="30"/>
        </w:rPr>
        <w:lastRenderedPageBreak/>
        <w:t xml:space="preserve">Statement of Changes in </w:t>
      </w:r>
      <w:r w:rsidR="00FB15E6">
        <w:rPr>
          <w:rFonts w:cs="Arial"/>
          <w:b/>
          <w:color w:val="77328A"/>
          <w:sz w:val="30"/>
          <w:szCs w:val="30"/>
        </w:rPr>
        <w:t xml:space="preserve">Taxpayers’ </w:t>
      </w:r>
      <w:r w:rsidR="008C73A2">
        <w:rPr>
          <w:rFonts w:cs="Arial"/>
          <w:b/>
          <w:color w:val="77328A"/>
          <w:sz w:val="30"/>
          <w:szCs w:val="30"/>
        </w:rPr>
        <w:t>Equity</w:t>
      </w:r>
      <w:r w:rsidR="004E6BF5">
        <w:rPr>
          <w:rFonts w:cs="Arial"/>
          <w:b/>
          <w:color w:val="77328A"/>
          <w:sz w:val="30"/>
          <w:szCs w:val="30"/>
        </w:rPr>
        <w:t xml:space="preserve"> for the Year Ended 31 March 202</w:t>
      </w:r>
      <w:r w:rsidR="00963A97">
        <w:rPr>
          <w:rFonts w:cs="Arial"/>
          <w:b/>
          <w:color w:val="77328A"/>
          <w:sz w:val="30"/>
          <w:szCs w:val="30"/>
        </w:rPr>
        <w:t>3</w:t>
      </w:r>
    </w:p>
    <w:bookmarkEnd w:id="23"/>
    <w:p w14:paraId="4EE64406" w14:textId="77777777" w:rsidR="000C2A54" w:rsidRDefault="000C2A54" w:rsidP="000C2A54">
      <w:pPr>
        <w:widowControl w:val="0"/>
        <w:autoSpaceDE w:val="0"/>
        <w:autoSpaceDN w:val="0"/>
        <w:adjustRightInd w:val="0"/>
        <w:jc w:val="center"/>
        <w:rPr>
          <w:b/>
          <w:sz w:val="28"/>
        </w:rPr>
      </w:pPr>
    </w:p>
    <w:p w14:paraId="72CC7451" w14:textId="77777777" w:rsidR="000C2A54" w:rsidRDefault="000C2A54" w:rsidP="000C2A54">
      <w:pPr>
        <w:widowControl w:val="0"/>
        <w:autoSpaceDE w:val="0"/>
        <w:autoSpaceDN w:val="0"/>
        <w:adjustRightInd w:val="0"/>
        <w:jc w:val="center"/>
        <w:rPr>
          <w:b/>
          <w:sz w:val="28"/>
        </w:rPr>
      </w:pPr>
    </w:p>
    <w:tbl>
      <w:tblPr>
        <w:tblW w:w="9073" w:type="dxa"/>
        <w:tblLayout w:type="fixed"/>
        <w:tblLook w:val="01E0" w:firstRow="1" w:lastRow="1" w:firstColumn="1" w:lastColumn="1" w:noHBand="0" w:noVBand="0"/>
      </w:tblPr>
      <w:tblGrid>
        <w:gridCol w:w="2268"/>
        <w:gridCol w:w="2268"/>
        <w:gridCol w:w="2268"/>
        <w:gridCol w:w="2269"/>
      </w:tblGrid>
      <w:tr w:rsidR="002B787F" w:rsidRPr="002D3016" w14:paraId="6ADE0B11" w14:textId="77777777" w:rsidTr="00664A13">
        <w:tc>
          <w:tcPr>
            <w:tcW w:w="2268" w:type="dxa"/>
          </w:tcPr>
          <w:p w14:paraId="289734F9" w14:textId="77777777" w:rsidR="002B787F" w:rsidRPr="002D3016" w:rsidRDefault="002B787F" w:rsidP="006F26A2">
            <w:pPr>
              <w:widowControl w:val="0"/>
              <w:autoSpaceDE w:val="0"/>
              <w:autoSpaceDN w:val="0"/>
              <w:adjustRightInd w:val="0"/>
              <w:ind w:right="-855"/>
              <w:jc w:val="right"/>
              <w:rPr>
                <w:b/>
                <w:sz w:val="22"/>
                <w:szCs w:val="22"/>
              </w:rPr>
            </w:pPr>
          </w:p>
        </w:tc>
        <w:tc>
          <w:tcPr>
            <w:tcW w:w="2268" w:type="dxa"/>
          </w:tcPr>
          <w:p w14:paraId="4BD7FD83" w14:textId="1F7AF794" w:rsidR="002B787F" w:rsidRDefault="002B787F" w:rsidP="006F26A2">
            <w:pPr>
              <w:widowControl w:val="0"/>
              <w:autoSpaceDE w:val="0"/>
              <w:autoSpaceDN w:val="0"/>
              <w:adjustRightInd w:val="0"/>
              <w:jc w:val="right"/>
              <w:rPr>
                <w:b/>
                <w:sz w:val="20"/>
                <w:szCs w:val="20"/>
              </w:rPr>
            </w:pPr>
            <w:r>
              <w:rPr>
                <w:b/>
                <w:sz w:val="20"/>
                <w:szCs w:val="20"/>
              </w:rPr>
              <w:t>General Reserves</w:t>
            </w:r>
          </w:p>
          <w:p w14:paraId="5D40087E" w14:textId="77777777" w:rsidR="00612DE1" w:rsidRDefault="00612DE1" w:rsidP="006F26A2">
            <w:pPr>
              <w:widowControl w:val="0"/>
              <w:autoSpaceDE w:val="0"/>
              <w:autoSpaceDN w:val="0"/>
              <w:adjustRightInd w:val="0"/>
              <w:jc w:val="right"/>
              <w:rPr>
                <w:b/>
                <w:sz w:val="20"/>
                <w:szCs w:val="20"/>
              </w:rPr>
            </w:pPr>
          </w:p>
          <w:p w14:paraId="38256840" w14:textId="514B9FD8" w:rsidR="002B787F" w:rsidRDefault="002B787F" w:rsidP="006F26A2">
            <w:pPr>
              <w:widowControl w:val="0"/>
              <w:autoSpaceDE w:val="0"/>
              <w:autoSpaceDN w:val="0"/>
              <w:adjustRightInd w:val="0"/>
              <w:jc w:val="right"/>
              <w:rPr>
                <w:b/>
                <w:sz w:val="20"/>
                <w:szCs w:val="20"/>
              </w:rPr>
            </w:pPr>
            <w:r>
              <w:rPr>
                <w:b/>
                <w:sz w:val="20"/>
                <w:szCs w:val="20"/>
              </w:rPr>
              <w:t>£</w:t>
            </w:r>
          </w:p>
        </w:tc>
        <w:tc>
          <w:tcPr>
            <w:tcW w:w="2268" w:type="dxa"/>
          </w:tcPr>
          <w:p w14:paraId="63C3AE73" w14:textId="77777777" w:rsidR="002B787F" w:rsidRDefault="002B787F" w:rsidP="00612DE1">
            <w:pPr>
              <w:widowControl w:val="0"/>
              <w:autoSpaceDE w:val="0"/>
              <w:autoSpaceDN w:val="0"/>
              <w:adjustRightInd w:val="0"/>
              <w:ind w:right="597"/>
              <w:rPr>
                <w:b/>
                <w:sz w:val="20"/>
                <w:szCs w:val="20"/>
              </w:rPr>
            </w:pPr>
            <w:r>
              <w:rPr>
                <w:b/>
                <w:sz w:val="20"/>
                <w:szCs w:val="20"/>
              </w:rPr>
              <w:t>Revaluation Reserves</w:t>
            </w:r>
          </w:p>
          <w:p w14:paraId="04974176" w14:textId="124BB364" w:rsidR="007F35D2" w:rsidRDefault="007F35D2" w:rsidP="002B787F">
            <w:pPr>
              <w:widowControl w:val="0"/>
              <w:autoSpaceDE w:val="0"/>
              <w:autoSpaceDN w:val="0"/>
              <w:adjustRightInd w:val="0"/>
              <w:ind w:right="597"/>
              <w:jc w:val="right"/>
              <w:rPr>
                <w:b/>
                <w:sz w:val="20"/>
                <w:szCs w:val="20"/>
              </w:rPr>
            </w:pPr>
            <w:r>
              <w:rPr>
                <w:b/>
                <w:sz w:val="20"/>
                <w:szCs w:val="20"/>
              </w:rPr>
              <w:t>£</w:t>
            </w:r>
          </w:p>
        </w:tc>
        <w:tc>
          <w:tcPr>
            <w:tcW w:w="2269" w:type="dxa"/>
          </w:tcPr>
          <w:p w14:paraId="126EB5AB" w14:textId="7C92C09B" w:rsidR="002B787F" w:rsidRPr="003061F1" w:rsidRDefault="002B787F" w:rsidP="00612DE1">
            <w:pPr>
              <w:widowControl w:val="0"/>
              <w:autoSpaceDE w:val="0"/>
              <w:autoSpaceDN w:val="0"/>
              <w:adjustRightInd w:val="0"/>
              <w:ind w:left="-112" w:right="740"/>
              <w:jc w:val="center"/>
              <w:rPr>
                <w:b/>
                <w:sz w:val="20"/>
                <w:szCs w:val="20"/>
              </w:rPr>
            </w:pPr>
            <w:r>
              <w:rPr>
                <w:b/>
                <w:sz w:val="20"/>
                <w:szCs w:val="20"/>
              </w:rPr>
              <w:t>T</w:t>
            </w:r>
            <w:r w:rsidRPr="003061F1">
              <w:rPr>
                <w:b/>
                <w:sz w:val="20"/>
                <w:szCs w:val="20"/>
              </w:rPr>
              <w:t>otal</w:t>
            </w:r>
          </w:p>
          <w:p w14:paraId="3C3C1C17" w14:textId="77777777" w:rsidR="002B787F" w:rsidRDefault="002B787F" w:rsidP="00612DE1">
            <w:pPr>
              <w:widowControl w:val="0"/>
              <w:autoSpaceDE w:val="0"/>
              <w:autoSpaceDN w:val="0"/>
              <w:adjustRightInd w:val="0"/>
              <w:ind w:right="740"/>
              <w:jc w:val="right"/>
              <w:rPr>
                <w:b/>
                <w:sz w:val="20"/>
                <w:szCs w:val="20"/>
              </w:rPr>
            </w:pPr>
            <w:r w:rsidRPr="003061F1">
              <w:rPr>
                <w:b/>
                <w:sz w:val="20"/>
                <w:szCs w:val="20"/>
              </w:rPr>
              <w:t>Reserves</w:t>
            </w:r>
          </w:p>
          <w:p w14:paraId="690E7652" w14:textId="77777777" w:rsidR="002B787F" w:rsidRPr="003061F1" w:rsidRDefault="002B787F" w:rsidP="00612DE1">
            <w:pPr>
              <w:widowControl w:val="0"/>
              <w:autoSpaceDE w:val="0"/>
              <w:autoSpaceDN w:val="0"/>
              <w:adjustRightInd w:val="0"/>
              <w:ind w:right="740"/>
              <w:jc w:val="right"/>
              <w:rPr>
                <w:b/>
                <w:sz w:val="20"/>
                <w:szCs w:val="20"/>
              </w:rPr>
            </w:pPr>
            <w:r>
              <w:rPr>
                <w:b/>
                <w:sz w:val="20"/>
                <w:szCs w:val="20"/>
              </w:rPr>
              <w:t>£</w:t>
            </w:r>
          </w:p>
        </w:tc>
      </w:tr>
      <w:tr w:rsidR="002B787F" w:rsidRPr="00EB7EA1" w14:paraId="02BE9D14" w14:textId="77777777" w:rsidTr="00664A13">
        <w:tc>
          <w:tcPr>
            <w:tcW w:w="2268" w:type="dxa"/>
          </w:tcPr>
          <w:p w14:paraId="635B7EDD" w14:textId="77777777" w:rsidR="002B787F" w:rsidRPr="003061F1" w:rsidRDefault="002B787F" w:rsidP="006F26A2">
            <w:pPr>
              <w:widowControl w:val="0"/>
              <w:autoSpaceDE w:val="0"/>
              <w:autoSpaceDN w:val="0"/>
              <w:adjustRightInd w:val="0"/>
              <w:rPr>
                <w:b/>
                <w:sz w:val="20"/>
                <w:szCs w:val="20"/>
              </w:rPr>
            </w:pPr>
          </w:p>
          <w:p w14:paraId="481ECF82" w14:textId="05AE5A3A" w:rsidR="002B787F" w:rsidRPr="003061F1" w:rsidRDefault="002B787F" w:rsidP="006F26A2">
            <w:pPr>
              <w:widowControl w:val="0"/>
              <w:autoSpaceDE w:val="0"/>
              <w:autoSpaceDN w:val="0"/>
              <w:adjustRightInd w:val="0"/>
              <w:rPr>
                <w:b/>
                <w:sz w:val="20"/>
                <w:szCs w:val="20"/>
              </w:rPr>
            </w:pPr>
            <w:r>
              <w:rPr>
                <w:b/>
                <w:sz w:val="20"/>
                <w:szCs w:val="20"/>
              </w:rPr>
              <w:t>Balance at 31 March 202</w:t>
            </w:r>
            <w:r w:rsidR="00963A97">
              <w:rPr>
                <w:b/>
                <w:sz w:val="20"/>
                <w:szCs w:val="20"/>
              </w:rPr>
              <w:t>1</w:t>
            </w:r>
          </w:p>
          <w:p w14:paraId="610B854B" w14:textId="77777777" w:rsidR="002B787F" w:rsidRPr="003061F1" w:rsidRDefault="002B787F" w:rsidP="006F26A2">
            <w:pPr>
              <w:widowControl w:val="0"/>
              <w:autoSpaceDE w:val="0"/>
              <w:autoSpaceDN w:val="0"/>
              <w:adjustRightInd w:val="0"/>
              <w:rPr>
                <w:b/>
                <w:sz w:val="20"/>
                <w:szCs w:val="20"/>
              </w:rPr>
            </w:pPr>
          </w:p>
        </w:tc>
        <w:tc>
          <w:tcPr>
            <w:tcW w:w="2268" w:type="dxa"/>
          </w:tcPr>
          <w:p w14:paraId="12056AA3" w14:textId="77777777" w:rsidR="002B787F" w:rsidRDefault="002B787F" w:rsidP="006F26A2">
            <w:pPr>
              <w:widowControl w:val="0"/>
              <w:autoSpaceDE w:val="0"/>
              <w:autoSpaceDN w:val="0"/>
              <w:adjustRightInd w:val="0"/>
              <w:jc w:val="right"/>
              <w:rPr>
                <w:b/>
                <w:sz w:val="20"/>
                <w:szCs w:val="20"/>
              </w:rPr>
            </w:pPr>
          </w:p>
          <w:p w14:paraId="74D8A144" w14:textId="51EE4966" w:rsidR="002B787F" w:rsidRPr="003061F1" w:rsidRDefault="00963A97" w:rsidP="006F26A2">
            <w:pPr>
              <w:widowControl w:val="0"/>
              <w:autoSpaceDE w:val="0"/>
              <w:autoSpaceDN w:val="0"/>
              <w:adjustRightInd w:val="0"/>
              <w:jc w:val="right"/>
              <w:rPr>
                <w:b/>
                <w:sz w:val="20"/>
                <w:szCs w:val="20"/>
              </w:rPr>
            </w:pPr>
            <w:r>
              <w:rPr>
                <w:b/>
                <w:sz w:val="20"/>
                <w:szCs w:val="20"/>
              </w:rPr>
              <w:t>625,336</w:t>
            </w:r>
          </w:p>
        </w:tc>
        <w:tc>
          <w:tcPr>
            <w:tcW w:w="2268" w:type="dxa"/>
          </w:tcPr>
          <w:p w14:paraId="1187FE15" w14:textId="77777777" w:rsidR="002B787F" w:rsidRDefault="002B787F" w:rsidP="002B787F">
            <w:pPr>
              <w:widowControl w:val="0"/>
              <w:autoSpaceDE w:val="0"/>
              <w:autoSpaceDN w:val="0"/>
              <w:adjustRightInd w:val="0"/>
              <w:ind w:right="597"/>
              <w:jc w:val="right"/>
              <w:rPr>
                <w:b/>
                <w:sz w:val="20"/>
                <w:szCs w:val="20"/>
              </w:rPr>
            </w:pPr>
          </w:p>
          <w:p w14:paraId="317C5BEA" w14:textId="3514F891" w:rsidR="007F35D2" w:rsidRDefault="007F35D2" w:rsidP="002B787F">
            <w:pPr>
              <w:widowControl w:val="0"/>
              <w:autoSpaceDE w:val="0"/>
              <w:autoSpaceDN w:val="0"/>
              <w:adjustRightInd w:val="0"/>
              <w:ind w:right="597"/>
              <w:jc w:val="right"/>
              <w:rPr>
                <w:b/>
                <w:sz w:val="20"/>
                <w:szCs w:val="20"/>
              </w:rPr>
            </w:pPr>
            <w:r>
              <w:rPr>
                <w:b/>
                <w:sz w:val="20"/>
                <w:szCs w:val="20"/>
              </w:rPr>
              <w:t>0</w:t>
            </w:r>
          </w:p>
        </w:tc>
        <w:tc>
          <w:tcPr>
            <w:tcW w:w="2269" w:type="dxa"/>
          </w:tcPr>
          <w:p w14:paraId="35AF946E" w14:textId="25726AEA" w:rsidR="002B787F" w:rsidRDefault="002B787F" w:rsidP="00612DE1">
            <w:pPr>
              <w:widowControl w:val="0"/>
              <w:autoSpaceDE w:val="0"/>
              <w:autoSpaceDN w:val="0"/>
              <w:adjustRightInd w:val="0"/>
              <w:ind w:right="740"/>
              <w:jc w:val="right"/>
              <w:rPr>
                <w:b/>
                <w:sz w:val="20"/>
                <w:szCs w:val="20"/>
              </w:rPr>
            </w:pPr>
          </w:p>
          <w:p w14:paraId="2BDE1B00" w14:textId="180B16C1" w:rsidR="002B787F" w:rsidRPr="003061F1" w:rsidRDefault="00963A97" w:rsidP="00612DE1">
            <w:pPr>
              <w:widowControl w:val="0"/>
              <w:autoSpaceDE w:val="0"/>
              <w:autoSpaceDN w:val="0"/>
              <w:adjustRightInd w:val="0"/>
              <w:ind w:right="740"/>
              <w:jc w:val="right"/>
              <w:rPr>
                <w:b/>
                <w:sz w:val="20"/>
                <w:szCs w:val="20"/>
              </w:rPr>
            </w:pPr>
            <w:r>
              <w:rPr>
                <w:b/>
                <w:sz w:val="20"/>
                <w:szCs w:val="20"/>
              </w:rPr>
              <w:t>625,336</w:t>
            </w:r>
          </w:p>
        </w:tc>
      </w:tr>
      <w:tr w:rsidR="002B787F" w:rsidRPr="002D3016" w14:paraId="23D0A9A9" w14:textId="77777777" w:rsidTr="00664A13">
        <w:tc>
          <w:tcPr>
            <w:tcW w:w="2268" w:type="dxa"/>
          </w:tcPr>
          <w:p w14:paraId="659CC614" w14:textId="77777777" w:rsidR="002B787F" w:rsidRDefault="002B787F" w:rsidP="006F26A2">
            <w:pPr>
              <w:widowControl w:val="0"/>
              <w:autoSpaceDE w:val="0"/>
              <w:autoSpaceDN w:val="0"/>
              <w:adjustRightInd w:val="0"/>
              <w:rPr>
                <w:rFonts w:cs="Arial"/>
                <w:bCs/>
                <w:sz w:val="20"/>
                <w:szCs w:val="20"/>
              </w:rPr>
            </w:pPr>
            <w:r>
              <w:rPr>
                <w:rFonts w:cs="Arial"/>
                <w:bCs/>
                <w:sz w:val="20"/>
                <w:szCs w:val="20"/>
              </w:rPr>
              <w:t>Comprehensive net e</w:t>
            </w:r>
            <w:r w:rsidRPr="003061F1">
              <w:rPr>
                <w:rFonts w:cs="Arial"/>
                <w:bCs/>
                <w:sz w:val="20"/>
                <w:szCs w:val="20"/>
              </w:rPr>
              <w:t>xpenditure for the year</w:t>
            </w:r>
          </w:p>
          <w:p w14:paraId="4A67E7DA" w14:textId="77777777" w:rsidR="002B787F" w:rsidRDefault="002B787F" w:rsidP="006F26A2">
            <w:pPr>
              <w:widowControl w:val="0"/>
              <w:autoSpaceDE w:val="0"/>
              <w:autoSpaceDN w:val="0"/>
              <w:adjustRightInd w:val="0"/>
              <w:rPr>
                <w:rFonts w:cs="Arial"/>
                <w:bCs/>
                <w:sz w:val="20"/>
                <w:szCs w:val="20"/>
              </w:rPr>
            </w:pPr>
          </w:p>
          <w:p w14:paraId="06F75A9D" w14:textId="1214A035" w:rsidR="00963A97" w:rsidRDefault="00963A97" w:rsidP="006F26A2">
            <w:pPr>
              <w:widowControl w:val="0"/>
              <w:autoSpaceDE w:val="0"/>
              <w:autoSpaceDN w:val="0"/>
              <w:adjustRightInd w:val="0"/>
              <w:rPr>
                <w:rFonts w:cs="Arial"/>
                <w:bCs/>
                <w:sz w:val="20"/>
                <w:szCs w:val="20"/>
              </w:rPr>
            </w:pPr>
            <w:r>
              <w:rPr>
                <w:rFonts w:cs="Arial"/>
                <w:bCs/>
                <w:sz w:val="20"/>
                <w:szCs w:val="20"/>
              </w:rPr>
              <w:t>Net gain on revaluation of property</w:t>
            </w:r>
          </w:p>
          <w:p w14:paraId="0F3666F9" w14:textId="77777777" w:rsidR="002B787F" w:rsidRPr="003061F1" w:rsidRDefault="002B787F" w:rsidP="006F26A2">
            <w:pPr>
              <w:widowControl w:val="0"/>
              <w:autoSpaceDE w:val="0"/>
              <w:autoSpaceDN w:val="0"/>
              <w:adjustRightInd w:val="0"/>
              <w:rPr>
                <w:sz w:val="20"/>
                <w:szCs w:val="20"/>
              </w:rPr>
            </w:pPr>
          </w:p>
        </w:tc>
        <w:tc>
          <w:tcPr>
            <w:tcW w:w="2268" w:type="dxa"/>
          </w:tcPr>
          <w:p w14:paraId="35190A97" w14:textId="77777777" w:rsidR="002B787F" w:rsidRDefault="002B787F" w:rsidP="006F26A2">
            <w:pPr>
              <w:widowControl w:val="0"/>
              <w:autoSpaceDE w:val="0"/>
              <w:autoSpaceDN w:val="0"/>
              <w:adjustRightInd w:val="0"/>
              <w:jc w:val="right"/>
              <w:rPr>
                <w:sz w:val="20"/>
                <w:szCs w:val="20"/>
              </w:rPr>
            </w:pPr>
          </w:p>
          <w:p w14:paraId="30D539BF" w14:textId="77777777" w:rsidR="002B787F" w:rsidRDefault="002B787F" w:rsidP="0029565E">
            <w:pPr>
              <w:widowControl w:val="0"/>
              <w:autoSpaceDE w:val="0"/>
              <w:autoSpaceDN w:val="0"/>
              <w:adjustRightInd w:val="0"/>
              <w:jc w:val="right"/>
              <w:rPr>
                <w:sz w:val="20"/>
                <w:szCs w:val="20"/>
              </w:rPr>
            </w:pPr>
            <w:r>
              <w:rPr>
                <w:sz w:val="20"/>
                <w:szCs w:val="20"/>
              </w:rPr>
              <w:t>(</w:t>
            </w:r>
            <w:r w:rsidR="00963A97">
              <w:rPr>
                <w:sz w:val="20"/>
                <w:szCs w:val="20"/>
              </w:rPr>
              <w:t>2,333,573)</w:t>
            </w:r>
          </w:p>
          <w:p w14:paraId="697BC5AC" w14:textId="77777777" w:rsidR="006C5F48" w:rsidRDefault="006C5F48" w:rsidP="0029565E">
            <w:pPr>
              <w:widowControl w:val="0"/>
              <w:autoSpaceDE w:val="0"/>
              <w:autoSpaceDN w:val="0"/>
              <w:adjustRightInd w:val="0"/>
              <w:jc w:val="right"/>
              <w:rPr>
                <w:sz w:val="20"/>
                <w:szCs w:val="20"/>
              </w:rPr>
            </w:pPr>
          </w:p>
          <w:p w14:paraId="65B8DE32" w14:textId="77777777" w:rsidR="006C5F48" w:rsidRDefault="006C5F48" w:rsidP="0029565E">
            <w:pPr>
              <w:widowControl w:val="0"/>
              <w:autoSpaceDE w:val="0"/>
              <w:autoSpaceDN w:val="0"/>
              <w:adjustRightInd w:val="0"/>
              <w:jc w:val="right"/>
              <w:rPr>
                <w:sz w:val="20"/>
                <w:szCs w:val="20"/>
              </w:rPr>
            </w:pPr>
          </w:p>
          <w:p w14:paraId="1CB81C2C" w14:textId="003114EF" w:rsidR="006C5F48" w:rsidRPr="003061F1" w:rsidRDefault="006C5F48" w:rsidP="0029565E">
            <w:pPr>
              <w:widowControl w:val="0"/>
              <w:autoSpaceDE w:val="0"/>
              <w:autoSpaceDN w:val="0"/>
              <w:adjustRightInd w:val="0"/>
              <w:jc w:val="right"/>
              <w:rPr>
                <w:sz w:val="20"/>
                <w:szCs w:val="20"/>
              </w:rPr>
            </w:pPr>
            <w:r>
              <w:rPr>
                <w:sz w:val="20"/>
                <w:szCs w:val="20"/>
              </w:rPr>
              <w:t>0</w:t>
            </w:r>
          </w:p>
        </w:tc>
        <w:tc>
          <w:tcPr>
            <w:tcW w:w="2268" w:type="dxa"/>
          </w:tcPr>
          <w:p w14:paraId="3EFF75F9" w14:textId="77777777" w:rsidR="002B787F" w:rsidRDefault="002B787F" w:rsidP="002B787F">
            <w:pPr>
              <w:widowControl w:val="0"/>
              <w:autoSpaceDE w:val="0"/>
              <w:autoSpaceDN w:val="0"/>
              <w:adjustRightInd w:val="0"/>
              <w:ind w:right="597"/>
              <w:jc w:val="right"/>
              <w:rPr>
                <w:sz w:val="20"/>
                <w:szCs w:val="20"/>
              </w:rPr>
            </w:pPr>
          </w:p>
          <w:p w14:paraId="17A1E0CE" w14:textId="77777777" w:rsidR="007F35D2" w:rsidRDefault="007F35D2" w:rsidP="002B787F">
            <w:pPr>
              <w:widowControl w:val="0"/>
              <w:autoSpaceDE w:val="0"/>
              <w:autoSpaceDN w:val="0"/>
              <w:adjustRightInd w:val="0"/>
              <w:ind w:right="597"/>
              <w:jc w:val="right"/>
              <w:rPr>
                <w:sz w:val="20"/>
                <w:szCs w:val="20"/>
              </w:rPr>
            </w:pPr>
            <w:r>
              <w:rPr>
                <w:sz w:val="20"/>
                <w:szCs w:val="20"/>
              </w:rPr>
              <w:t>0</w:t>
            </w:r>
          </w:p>
          <w:p w14:paraId="23146D19" w14:textId="77777777" w:rsidR="00963A97" w:rsidRPr="00963A97" w:rsidRDefault="00963A97" w:rsidP="00963A97">
            <w:pPr>
              <w:rPr>
                <w:sz w:val="20"/>
                <w:szCs w:val="20"/>
              </w:rPr>
            </w:pPr>
          </w:p>
          <w:p w14:paraId="5561A969" w14:textId="77777777" w:rsidR="00963A97" w:rsidRPr="00963A97" w:rsidRDefault="00963A97" w:rsidP="00963A97">
            <w:pPr>
              <w:rPr>
                <w:sz w:val="20"/>
                <w:szCs w:val="20"/>
              </w:rPr>
            </w:pPr>
          </w:p>
          <w:p w14:paraId="1C565978" w14:textId="17A50435" w:rsidR="00963A97" w:rsidRPr="00963A97" w:rsidRDefault="00963A97" w:rsidP="00963A97">
            <w:pPr>
              <w:jc w:val="center"/>
              <w:rPr>
                <w:sz w:val="20"/>
                <w:szCs w:val="20"/>
              </w:rPr>
            </w:pPr>
            <w:r>
              <w:rPr>
                <w:sz w:val="20"/>
                <w:szCs w:val="20"/>
              </w:rPr>
              <w:t xml:space="preserve">  29,403</w:t>
            </w:r>
          </w:p>
        </w:tc>
        <w:tc>
          <w:tcPr>
            <w:tcW w:w="2269" w:type="dxa"/>
          </w:tcPr>
          <w:p w14:paraId="5E1D8B3D" w14:textId="7C211603" w:rsidR="002B787F" w:rsidRPr="003061F1" w:rsidRDefault="002B787F" w:rsidP="00612DE1">
            <w:pPr>
              <w:widowControl w:val="0"/>
              <w:autoSpaceDE w:val="0"/>
              <w:autoSpaceDN w:val="0"/>
              <w:adjustRightInd w:val="0"/>
              <w:ind w:right="740"/>
              <w:jc w:val="right"/>
              <w:rPr>
                <w:sz w:val="20"/>
                <w:szCs w:val="20"/>
              </w:rPr>
            </w:pPr>
          </w:p>
          <w:p w14:paraId="7FBC4B33" w14:textId="77777777" w:rsidR="002B787F" w:rsidRDefault="002B787F" w:rsidP="00612DE1">
            <w:pPr>
              <w:widowControl w:val="0"/>
              <w:autoSpaceDE w:val="0"/>
              <w:autoSpaceDN w:val="0"/>
              <w:adjustRightInd w:val="0"/>
              <w:ind w:right="740"/>
              <w:jc w:val="right"/>
              <w:rPr>
                <w:sz w:val="20"/>
                <w:szCs w:val="20"/>
              </w:rPr>
            </w:pPr>
            <w:r>
              <w:rPr>
                <w:sz w:val="20"/>
                <w:szCs w:val="20"/>
              </w:rPr>
              <w:t>(</w:t>
            </w:r>
            <w:r w:rsidR="00963A97">
              <w:rPr>
                <w:sz w:val="20"/>
                <w:szCs w:val="20"/>
              </w:rPr>
              <w:t>2,333,573</w:t>
            </w:r>
            <w:r>
              <w:rPr>
                <w:sz w:val="20"/>
                <w:szCs w:val="20"/>
              </w:rPr>
              <w:t>)</w:t>
            </w:r>
          </w:p>
          <w:p w14:paraId="45924A8B" w14:textId="77777777" w:rsidR="006C5F48" w:rsidRDefault="006C5F48" w:rsidP="00612DE1">
            <w:pPr>
              <w:widowControl w:val="0"/>
              <w:autoSpaceDE w:val="0"/>
              <w:autoSpaceDN w:val="0"/>
              <w:adjustRightInd w:val="0"/>
              <w:ind w:right="740"/>
              <w:jc w:val="right"/>
              <w:rPr>
                <w:sz w:val="20"/>
                <w:szCs w:val="20"/>
              </w:rPr>
            </w:pPr>
          </w:p>
          <w:p w14:paraId="4B211681" w14:textId="77777777" w:rsidR="006C5F48" w:rsidRDefault="006C5F48" w:rsidP="00612DE1">
            <w:pPr>
              <w:widowControl w:val="0"/>
              <w:autoSpaceDE w:val="0"/>
              <w:autoSpaceDN w:val="0"/>
              <w:adjustRightInd w:val="0"/>
              <w:ind w:right="740"/>
              <w:jc w:val="right"/>
              <w:rPr>
                <w:sz w:val="20"/>
                <w:szCs w:val="20"/>
              </w:rPr>
            </w:pPr>
          </w:p>
          <w:p w14:paraId="2E739966" w14:textId="72A270A8" w:rsidR="006C5F48" w:rsidRPr="003061F1" w:rsidRDefault="006C5F48" w:rsidP="00612DE1">
            <w:pPr>
              <w:widowControl w:val="0"/>
              <w:autoSpaceDE w:val="0"/>
              <w:autoSpaceDN w:val="0"/>
              <w:adjustRightInd w:val="0"/>
              <w:ind w:right="740"/>
              <w:jc w:val="right"/>
              <w:rPr>
                <w:sz w:val="20"/>
                <w:szCs w:val="20"/>
              </w:rPr>
            </w:pPr>
            <w:r>
              <w:rPr>
                <w:sz w:val="20"/>
                <w:szCs w:val="20"/>
              </w:rPr>
              <w:t>29,403</w:t>
            </w:r>
          </w:p>
        </w:tc>
      </w:tr>
      <w:tr w:rsidR="002B787F" w:rsidRPr="00756704" w14:paraId="5377BB8B" w14:textId="77777777" w:rsidTr="00664A13">
        <w:tc>
          <w:tcPr>
            <w:tcW w:w="2268" w:type="dxa"/>
          </w:tcPr>
          <w:p w14:paraId="17097670" w14:textId="77777777" w:rsidR="002B787F" w:rsidRPr="003061F1" w:rsidRDefault="002B787F" w:rsidP="006F26A2">
            <w:pPr>
              <w:widowControl w:val="0"/>
              <w:autoSpaceDE w:val="0"/>
              <w:autoSpaceDN w:val="0"/>
              <w:adjustRightInd w:val="0"/>
              <w:rPr>
                <w:sz w:val="20"/>
                <w:szCs w:val="20"/>
              </w:rPr>
            </w:pPr>
            <w:r w:rsidRPr="003061F1">
              <w:rPr>
                <w:sz w:val="20"/>
                <w:szCs w:val="20"/>
              </w:rPr>
              <w:t>Grant-in-aid from NIO</w:t>
            </w:r>
          </w:p>
        </w:tc>
        <w:tc>
          <w:tcPr>
            <w:tcW w:w="2268" w:type="dxa"/>
            <w:tcBorders>
              <w:bottom w:val="single" w:sz="4" w:space="0" w:color="auto"/>
            </w:tcBorders>
          </w:tcPr>
          <w:p w14:paraId="61116972" w14:textId="3CC1AE53" w:rsidR="002B787F" w:rsidRPr="003061F1" w:rsidRDefault="00963A97" w:rsidP="006F26A2">
            <w:pPr>
              <w:widowControl w:val="0"/>
              <w:autoSpaceDE w:val="0"/>
              <w:autoSpaceDN w:val="0"/>
              <w:adjustRightInd w:val="0"/>
              <w:jc w:val="right"/>
              <w:rPr>
                <w:sz w:val="20"/>
                <w:szCs w:val="20"/>
              </w:rPr>
            </w:pPr>
            <w:r>
              <w:rPr>
                <w:sz w:val="20"/>
                <w:szCs w:val="20"/>
              </w:rPr>
              <w:t>2,527,887</w:t>
            </w:r>
          </w:p>
        </w:tc>
        <w:tc>
          <w:tcPr>
            <w:tcW w:w="2268" w:type="dxa"/>
            <w:tcBorders>
              <w:bottom w:val="single" w:sz="4" w:space="0" w:color="auto"/>
            </w:tcBorders>
          </w:tcPr>
          <w:p w14:paraId="28DCC2CB" w14:textId="2616F030" w:rsidR="002B787F" w:rsidRDefault="009C3FBE" w:rsidP="002B787F">
            <w:pPr>
              <w:widowControl w:val="0"/>
              <w:autoSpaceDE w:val="0"/>
              <w:autoSpaceDN w:val="0"/>
              <w:adjustRightInd w:val="0"/>
              <w:ind w:right="597"/>
              <w:jc w:val="right"/>
              <w:rPr>
                <w:sz w:val="20"/>
                <w:szCs w:val="20"/>
              </w:rPr>
            </w:pPr>
            <w:r>
              <w:rPr>
                <w:sz w:val="20"/>
                <w:szCs w:val="20"/>
              </w:rPr>
              <w:t>0</w:t>
            </w:r>
          </w:p>
        </w:tc>
        <w:tc>
          <w:tcPr>
            <w:tcW w:w="2269" w:type="dxa"/>
            <w:tcBorders>
              <w:bottom w:val="single" w:sz="4" w:space="0" w:color="auto"/>
            </w:tcBorders>
          </w:tcPr>
          <w:p w14:paraId="7407348B" w14:textId="3C64640C" w:rsidR="002B787F" w:rsidRPr="003061F1" w:rsidRDefault="00963A97" w:rsidP="00612DE1">
            <w:pPr>
              <w:widowControl w:val="0"/>
              <w:autoSpaceDE w:val="0"/>
              <w:autoSpaceDN w:val="0"/>
              <w:adjustRightInd w:val="0"/>
              <w:ind w:right="740"/>
              <w:jc w:val="right"/>
              <w:rPr>
                <w:sz w:val="20"/>
                <w:szCs w:val="20"/>
              </w:rPr>
            </w:pPr>
            <w:r>
              <w:rPr>
                <w:sz w:val="20"/>
                <w:szCs w:val="20"/>
              </w:rPr>
              <w:t>2,527,887</w:t>
            </w:r>
          </w:p>
        </w:tc>
      </w:tr>
      <w:tr w:rsidR="002B787F" w:rsidRPr="00756704" w14:paraId="4BF64C86" w14:textId="77777777" w:rsidTr="00664A13">
        <w:tc>
          <w:tcPr>
            <w:tcW w:w="2268" w:type="dxa"/>
          </w:tcPr>
          <w:p w14:paraId="3362B7DC" w14:textId="77777777" w:rsidR="002B787F" w:rsidRPr="003061F1" w:rsidRDefault="002B787F" w:rsidP="006F26A2">
            <w:pPr>
              <w:widowControl w:val="0"/>
              <w:autoSpaceDE w:val="0"/>
              <w:autoSpaceDN w:val="0"/>
              <w:adjustRightInd w:val="0"/>
              <w:rPr>
                <w:b/>
                <w:sz w:val="20"/>
                <w:szCs w:val="20"/>
              </w:rPr>
            </w:pPr>
          </w:p>
          <w:p w14:paraId="6D345021" w14:textId="428B92DC" w:rsidR="002B787F" w:rsidRPr="003061F1" w:rsidRDefault="002B787F" w:rsidP="006F26A2">
            <w:pPr>
              <w:widowControl w:val="0"/>
              <w:autoSpaceDE w:val="0"/>
              <w:autoSpaceDN w:val="0"/>
              <w:adjustRightInd w:val="0"/>
              <w:rPr>
                <w:b/>
                <w:sz w:val="20"/>
                <w:szCs w:val="20"/>
              </w:rPr>
            </w:pPr>
            <w:r>
              <w:rPr>
                <w:b/>
                <w:sz w:val="20"/>
                <w:szCs w:val="20"/>
              </w:rPr>
              <w:t>Balance at 31 March 202</w:t>
            </w:r>
            <w:r w:rsidR="00963A97">
              <w:rPr>
                <w:b/>
                <w:sz w:val="20"/>
                <w:szCs w:val="20"/>
              </w:rPr>
              <w:t>2</w:t>
            </w:r>
          </w:p>
        </w:tc>
        <w:tc>
          <w:tcPr>
            <w:tcW w:w="2268" w:type="dxa"/>
            <w:tcBorders>
              <w:top w:val="single" w:sz="4" w:space="0" w:color="auto"/>
              <w:bottom w:val="single" w:sz="4" w:space="0" w:color="auto"/>
            </w:tcBorders>
          </w:tcPr>
          <w:p w14:paraId="0AF300B2" w14:textId="77777777" w:rsidR="002B787F" w:rsidRDefault="002B787F" w:rsidP="006F26A2">
            <w:pPr>
              <w:widowControl w:val="0"/>
              <w:autoSpaceDE w:val="0"/>
              <w:autoSpaceDN w:val="0"/>
              <w:adjustRightInd w:val="0"/>
              <w:jc w:val="right"/>
              <w:rPr>
                <w:b/>
                <w:sz w:val="20"/>
                <w:szCs w:val="20"/>
              </w:rPr>
            </w:pPr>
          </w:p>
          <w:p w14:paraId="276E6623" w14:textId="7E5FE002" w:rsidR="002B787F" w:rsidRPr="003061F1" w:rsidRDefault="00963A97" w:rsidP="0029565E">
            <w:pPr>
              <w:widowControl w:val="0"/>
              <w:autoSpaceDE w:val="0"/>
              <w:autoSpaceDN w:val="0"/>
              <w:adjustRightInd w:val="0"/>
              <w:jc w:val="right"/>
              <w:rPr>
                <w:b/>
                <w:sz w:val="20"/>
                <w:szCs w:val="20"/>
              </w:rPr>
            </w:pPr>
            <w:r>
              <w:rPr>
                <w:b/>
                <w:sz w:val="20"/>
                <w:szCs w:val="20"/>
              </w:rPr>
              <w:t>819,650</w:t>
            </w:r>
          </w:p>
        </w:tc>
        <w:tc>
          <w:tcPr>
            <w:tcW w:w="2268" w:type="dxa"/>
            <w:tcBorders>
              <w:top w:val="single" w:sz="4" w:space="0" w:color="auto"/>
              <w:bottom w:val="single" w:sz="4" w:space="0" w:color="auto"/>
            </w:tcBorders>
          </w:tcPr>
          <w:p w14:paraId="19DF5A15" w14:textId="77777777" w:rsidR="002B787F" w:rsidRDefault="002B787F" w:rsidP="002B787F">
            <w:pPr>
              <w:widowControl w:val="0"/>
              <w:autoSpaceDE w:val="0"/>
              <w:autoSpaceDN w:val="0"/>
              <w:adjustRightInd w:val="0"/>
              <w:ind w:right="597"/>
              <w:jc w:val="right"/>
              <w:rPr>
                <w:b/>
                <w:sz w:val="20"/>
                <w:szCs w:val="20"/>
              </w:rPr>
            </w:pPr>
          </w:p>
          <w:p w14:paraId="2FBC85CF" w14:textId="0AEA7A07" w:rsidR="009C3FBE" w:rsidRDefault="00963A97" w:rsidP="002B787F">
            <w:pPr>
              <w:widowControl w:val="0"/>
              <w:autoSpaceDE w:val="0"/>
              <w:autoSpaceDN w:val="0"/>
              <w:adjustRightInd w:val="0"/>
              <w:ind w:right="597"/>
              <w:jc w:val="right"/>
              <w:rPr>
                <w:b/>
                <w:sz w:val="20"/>
                <w:szCs w:val="20"/>
              </w:rPr>
            </w:pPr>
            <w:r>
              <w:rPr>
                <w:b/>
                <w:sz w:val="20"/>
                <w:szCs w:val="20"/>
              </w:rPr>
              <w:t>29,403</w:t>
            </w:r>
          </w:p>
        </w:tc>
        <w:tc>
          <w:tcPr>
            <w:tcW w:w="2269" w:type="dxa"/>
            <w:tcBorders>
              <w:top w:val="single" w:sz="4" w:space="0" w:color="auto"/>
              <w:bottom w:val="single" w:sz="4" w:space="0" w:color="auto"/>
            </w:tcBorders>
          </w:tcPr>
          <w:p w14:paraId="51510C67" w14:textId="4019902B" w:rsidR="002B787F" w:rsidRDefault="002B787F" w:rsidP="00612DE1">
            <w:pPr>
              <w:widowControl w:val="0"/>
              <w:autoSpaceDE w:val="0"/>
              <w:autoSpaceDN w:val="0"/>
              <w:adjustRightInd w:val="0"/>
              <w:ind w:right="740"/>
              <w:jc w:val="right"/>
              <w:rPr>
                <w:b/>
                <w:sz w:val="20"/>
                <w:szCs w:val="20"/>
              </w:rPr>
            </w:pPr>
          </w:p>
          <w:p w14:paraId="2D55B465" w14:textId="35F55B6E" w:rsidR="002B787F" w:rsidRPr="003061F1" w:rsidRDefault="00963A97" w:rsidP="00612DE1">
            <w:pPr>
              <w:widowControl w:val="0"/>
              <w:autoSpaceDE w:val="0"/>
              <w:autoSpaceDN w:val="0"/>
              <w:adjustRightInd w:val="0"/>
              <w:ind w:right="740"/>
              <w:jc w:val="right"/>
              <w:rPr>
                <w:b/>
                <w:sz w:val="20"/>
                <w:szCs w:val="20"/>
              </w:rPr>
            </w:pPr>
            <w:r>
              <w:rPr>
                <w:b/>
                <w:sz w:val="20"/>
                <w:szCs w:val="20"/>
              </w:rPr>
              <w:t>849,053</w:t>
            </w:r>
          </w:p>
        </w:tc>
      </w:tr>
      <w:tr w:rsidR="002B787F" w:rsidRPr="00756704" w14:paraId="708F3634" w14:textId="77777777" w:rsidTr="00664A13">
        <w:tc>
          <w:tcPr>
            <w:tcW w:w="2268" w:type="dxa"/>
          </w:tcPr>
          <w:p w14:paraId="42E2959C" w14:textId="77777777" w:rsidR="002B787F" w:rsidRPr="003061F1" w:rsidRDefault="002B787F" w:rsidP="006F26A2">
            <w:pPr>
              <w:widowControl w:val="0"/>
              <w:autoSpaceDE w:val="0"/>
              <w:autoSpaceDN w:val="0"/>
              <w:adjustRightInd w:val="0"/>
              <w:rPr>
                <w:sz w:val="20"/>
                <w:szCs w:val="20"/>
              </w:rPr>
            </w:pPr>
          </w:p>
        </w:tc>
        <w:tc>
          <w:tcPr>
            <w:tcW w:w="2268" w:type="dxa"/>
          </w:tcPr>
          <w:p w14:paraId="09924EDA" w14:textId="77777777" w:rsidR="002B787F" w:rsidRPr="003061F1" w:rsidRDefault="002B787F" w:rsidP="006F26A2">
            <w:pPr>
              <w:widowControl w:val="0"/>
              <w:autoSpaceDE w:val="0"/>
              <w:autoSpaceDN w:val="0"/>
              <w:adjustRightInd w:val="0"/>
              <w:jc w:val="right"/>
              <w:rPr>
                <w:sz w:val="20"/>
                <w:szCs w:val="20"/>
              </w:rPr>
            </w:pPr>
          </w:p>
        </w:tc>
        <w:tc>
          <w:tcPr>
            <w:tcW w:w="2268" w:type="dxa"/>
          </w:tcPr>
          <w:p w14:paraId="3A089265" w14:textId="77777777" w:rsidR="002B787F" w:rsidRPr="003061F1" w:rsidRDefault="002B787F" w:rsidP="002B787F">
            <w:pPr>
              <w:widowControl w:val="0"/>
              <w:autoSpaceDE w:val="0"/>
              <w:autoSpaceDN w:val="0"/>
              <w:adjustRightInd w:val="0"/>
              <w:ind w:right="597"/>
              <w:jc w:val="right"/>
              <w:rPr>
                <w:sz w:val="20"/>
                <w:szCs w:val="20"/>
              </w:rPr>
            </w:pPr>
          </w:p>
        </w:tc>
        <w:tc>
          <w:tcPr>
            <w:tcW w:w="2269" w:type="dxa"/>
          </w:tcPr>
          <w:p w14:paraId="4CE7B81E" w14:textId="0F6BEA4F" w:rsidR="002B787F" w:rsidRPr="003061F1" w:rsidRDefault="002B787F" w:rsidP="00612DE1">
            <w:pPr>
              <w:widowControl w:val="0"/>
              <w:autoSpaceDE w:val="0"/>
              <w:autoSpaceDN w:val="0"/>
              <w:adjustRightInd w:val="0"/>
              <w:ind w:right="740"/>
              <w:jc w:val="right"/>
              <w:rPr>
                <w:sz w:val="20"/>
                <w:szCs w:val="20"/>
              </w:rPr>
            </w:pPr>
          </w:p>
        </w:tc>
      </w:tr>
      <w:tr w:rsidR="002B787F" w:rsidRPr="00756704" w14:paraId="221AF7FA" w14:textId="77777777" w:rsidTr="00664A13">
        <w:tc>
          <w:tcPr>
            <w:tcW w:w="2268" w:type="dxa"/>
          </w:tcPr>
          <w:p w14:paraId="411F6AE4" w14:textId="4D70F3EF" w:rsidR="002B787F" w:rsidRPr="003061F1" w:rsidRDefault="002B787F" w:rsidP="006F26A2">
            <w:pPr>
              <w:widowControl w:val="0"/>
              <w:autoSpaceDE w:val="0"/>
              <w:autoSpaceDN w:val="0"/>
              <w:adjustRightInd w:val="0"/>
              <w:rPr>
                <w:b/>
                <w:sz w:val="20"/>
                <w:szCs w:val="20"/>
              </w:rPr>
            </w:pPr>
            <w:r w:rsidRPr="003061F1">
              <w:rPr>
                <w:b/>
                <w:sz w:val="20"/>
                <w:szCs w:val="20"/>
              </w:rPr>
              <w:t xml:space="preserve">Changes in taxpayers’ equity for </w:t>
            </w:r>
            <w:r>
              <w:rPr>
                <w:b/>
                <w:sz w:val="20"/>
                <w:szCs w:val="20"/>
              </w:rPr>
              <w:t>202</w:t>
            </w:r>
            <w:r w:rsidR="00963A97">
              <w:rPr>
                <w:b/>
                <w:sz w:val="20"/>
                <w:szCs w:val="20"/>
              </w:rPr>
              <w:t>2</w:t>
            </w:r>
            <w:r>
              <w:rPr>
                <w:b/>
                <w:sz w:val="20"/>
                <w:szCs w:val="20"/>
              </w:rPr>
              <w:t>-2</w:t>
            </w:r>
            <w:r w:rsidR="00963A97">
              <w:rPr>
                <w:b/>
                <w:sz w:val="20"/>
                <w:szCs w:val="20"/>
              </w:rPr>
              <w:t>3</w:t>
            </w:r>
          </w:p>
        </w:tc>
        <w:tc>
          <w:tcPr>
            <w:tcW w:w="2268" w:type="dxa"/>
          </w:tcPr>
          <w:p w14:paraId="6D548C5C" w14:textId="77777777" w:rsidR="002B787F" w:rsidRPr="003061F1" w:rsidRDefault="002B787F" w:rsidP="006F26A2">
            <w:pPr>
              <w:widowControl w:val="0"/>
              <w:autoSpaceDE w:val="0"/>
              <w:autoSpaceDN w:val="0"/>
              <w:adjustRightInd w:val="0"/>
              <w:jc w:val="right"/>
              <w:rPr>
                <w:sz w:val="20"/>
                <w:szCs w:val="20"/>
              </w:rPr>
            </w:pPr>
          </w:p>
        </w:tc>
        <w:tc>
          <w:tcPr>
            <w:tcW w:w="2268" w:type="dxa"/>
          </w:tcPr>
          <w:p w14:paraId="6BFAAE23" w14:textId="77777777" w:rsidR="002B787F" w:rsidRPr="003061F1" w:rsidRDefault="002B787F" w:rsidP="002B787F">
            <w:pPr>
              <w:widowControl w:val="0"/>
              <w:autoSpaceDE w:val="0"/>
              <w:autoSpaceDN w:val="0"/>
              <w:adjustRightInd w:val="0"/>
              <w:ind w:right="597"/>
              <w:jc w:val="right"/>
              <w:rPr>
                <w:sz w:val="20"/>
                <w:szCs w:val="20"/>
              </w:rPr>
            </w:pPr>
          </w:p>
        </w:tc>
        <w:tc>
          <w:tcPr>
            <w:tcW w:w="2269" w:type="dxa"/>
          </w:tcPr>
          <w:p w14:paraId="5F9995F6" w14:textId="5CB0214F" w:rsidR="002B787F" w:rsidRPr="003061F1" w:rsidRDefault="002B787F" w:rsidP="00612DE1">
            <w:pPr>
              <w:widowControl w:val="0"/>
              <w:autoSpaceDE w:val="0"/>
              <w:autoSpaceDN w:val="0"/>
              <w:adjustRightInd w:val="0"/>
              <w:ind w:right="740"/>
              <w:jc w:val="right"/>
              <w:rPr>
                <w:sz w:val="20"/>
                <w:szCs w:val="20"/>
              </w:rPr>
            </w:pPr>
          </w:p>
        </w:tc>
      </w:tr>
      <w:tr w:rsidR="002B787F" w:rsidRPr="002D3016" w14:paraId="77F4CA9C" w14:textId="77777777" w:rsidTr="00664A13">
        <w:tc>
          <w:tcPr>
            <w:tcW w:w="2268" w:type="dxa"/>
          </w:tcPr>
          <w:p w14:paraId="7FA80417" w14:textId="77777777" w:rsidR="002B787F" w:rsidRPr="003061F1" w:rsidRDefault="002B787F" w:rsidP="006F26A2">
            <w:pPr>
              <w:widowControl w:val="0"/>
              <w:autoSpaceDE w:val="0"/>
              <w:autoSpaceDN w:val="0"/>
              <w:adjustRightInd w:val="0"/>
              <w:rPr>
                <w:sz w:val="20"/>
                <w:szCs w:val="20"/>
              </w:rPr>
            </w:pPr>
          </w:p>
          <w:p w14:paraId="6BB1D120" w14:textId="77777777" w:rsidR="002B787F" w:rsidRDefault="002B787F" w:rsidP="006F26A2">
            <w:pPr>
              <w:widowControl w:val="0"/>
              <w:autoSpaceDE w:val="0"/>
              <w:autoSpaceDN w:val="0"/>
              <w:adjustRightInd w:val="0"/>
              <w:rPr>
                <w:rFonts w:cs="Arial"/>
                <w:bCs/>
                <w:sz w:val="20"/>
                <w:szCs w:val="20"/>
              </w:rPr>
            </w:pPr>
            <w:r>
              <w:rPr>
                <w:rFonts w:cs="Arial"/>
                <w:bCs/>
                <w:sz w:val="20"/>
                <w:szCs w:val="20"/>
              </w:rPr>
              <w:t>Comprehensive net e</w:t>
            </w:r>
            <w:r w:rsidRPr="003061F1">
              <w:rPr>
                <w:rFonts w:cs="Arial"/>
                <w:bCs/>
                <w:sz w:val="20"/>
                <w:szCs w:val="20"/>
              </w:rPr>
              <w:t>xpenditure for the year</w:t>
            </w:r>
          </w:p>
          <w:p w14:paraId="1FB0B2AF" w14:textId="77777777" w:rsidR="002B787F" w:rsidRDefault="002B787F" w:rsidP="006F26A2">
            <w:pPr>
              <w:widowControl w:val="0"/>
              <w:autoSpaceDE w:val="0"/>
              <w:autoSpaceDN w:val="0"/>
              <w:adjustRightInd w:val="0"/>
              <w:rPr>
                <w:rFonts w:cs="Arial"/>
                <w:bCs/>
                <w:sz w:val="20"/>
                <w:szCs w:val="20"/>
              </w:rPr>
            </w:pPr>
          </w:p>
          <w:p w14:paraId="58C3B95E" w14:textId="77777777" w:rsidR="002B787F" w:rsidRPr="0091473F" w:rsidRDefault="002B787F" w:rsidP="006F26A2">
            <w:pPr>
              <w:widowControl w:val="0"/>
              <w:autoSpaceDE w:val="0"/>
              <w:autoSpaceDN w:val="0"/>
              <w:adjustRightInd w:val="0"/>
              <w:rPr>
                <w:rFonts w:cs="Arial"/>
                <w:bCs/>
                <w:sz w:val="20"/>
                <w:szCs w:val="20"/>
              </w:rPr>
            </w:pPr>
            <w:r>
              <w:rPr>
                <w:rFonts w:cs="Arial"/>
                <w:bCs/>
                <w:sz w:val="20"/>
                <w:szCs w:val="20"/>
              </w:rPr>
              <w:t>Net gain on revaluation of property</w:t>
            </w:r>
          </w:p>
        </w:tc>
        <w:tc>
          <w:tcPr>
            <w:tcW w:w="2268" w:type="dxa"/>
          </w:tcPr>
          <w:p w14:paraId="67AB2429" w14:textId="77777777" w:rsidR="002B787F" w:rsidRDefault="002B787F" w:rsidP="006F26A2">
            <w:pPr>
              <w:widowControl w:val="0"/>
              <w:autoSpaceDE w:val="0"/>
              <w:autoSpaceDN w:val="0"/>
              <w:adjustRightInd w:val="0"/>
              <w:jc w:val="right"/>
              <w:rPr>
                <w:sz w:val="20"/>
                <w:szCs w:val="20"/>
              </w:rPr>
            </w:pPr>
          </w:p>
          <w:p w14:paraId="2B973102" w14:textId="77777777" w:rsidR="002B787F" w:rsidRDefault="002B787F" w:rsidP="006F26A2">
            <w:pPr>
              <w:widowControl w:val="0"/>
              <w:autoSpaceDE w:val="0"/>
              <w:autoSpaceDN w:val="0"/>
              <w:adjustRightInd w:val="0"/>
              <w:jc w:val="right"/>
              <w:rPr>
                <w:sz w:val="20"/>
                <w:szCs w:val="20"/>
              </w:rPr>
            </w:pPr>
          </w:p>
          <w:p w14:paraId="623FD3B8" w14:textId="3C96FE23" w:rsidR="002B787F" w:rsidRDefault="002B787F" w:rsidP="00686C36">
            <w:pPr>
              <w:widowControl w:val="0"/>
              <w:autoSpaceDE w:val="0"/>
              <w:autoSpaceDN w:val="0"/>
              <w:adjustRightInd w:val="0"/>
              <w:jc w:val="right"/>
              <w:rPr>
                <w:sz w:val="20"/>
                <w:szCs w:val="20"/>
              </w:rPr>
            </w:pPr>
            <w:r>
              <w:rPr>
                <w:sz w:val="20"/>
                <w:szCs w:val="20"/>
              </w:rPr>
              <w:t>(</w:t>
            </w:r>
            <w:r w:rsidR="009C3FBE">
              <w:rPr>
                <w:sz w:val="20"/>
                <w:szCs w:val="20"/>
              </w:rPr>
              <w:t>2,</w:t>
            </w:r>
            <w:r w:rsidR="00963A97">
              <w:rPr>
                <w:sz w:val="20"/>
                <w:szCs w:val="20"/>
              </w:rPr>
              <w:t>476,</w:t>
            </w:r>
            <w:r w:rsidR="009F599C">
              <w:rPr>
                <w:sz w:val="20"/>
                <w:szCs w:val="20"/>
              </w:rPr>
              <w:t>24</w:t>
            </w:r>
            <w:r w:rsidR="00A30F83">
              <w:rPr>
                <w:sz w:val="20"/>
                <w:szCs w:val="20"/>
              </w:rPr>
              <w:t>5</w:t>
            </w:r>
            <w:r>
              <w:rPr>
                <w:sz w:val="20"/>
                <w:szCs w:val="20"/>
              </w:rPr>
              <w:t>)</w:t>
            </w:r>
          </w:p>
          <w:p w14:paraId="45AA2A50" w14:textId="77777777" w:rsidR="002B787F" w:rsidRDefault="002B787F" w:rsidP="00686C36">
            <w:pPr>
              <w:widowControl w:val="0"/>
              <w:autoSpaceDE w:val="0"/>
              <w:autoSpaceDN w:val="0"/>
              <w:adjustRightInd w:val="0"/>
              <w:jc w:val="right"/>
              <w:rPr>
                <w:sz w:val="20"/>
                <w:szCs w:val="20"/>
              </w:rPr>
            </w:pPr>
          </w:p>
          <w:p w14:paraId="63F53CDE" w14:textId="1489122E" w:rsidR="002B787F" w:rsidRDefault="002B787F" w:rsidP="00686C36">
            <w:pPr>
              <w:widowControl w:val="0"/>
              <w:autoSpaceDE w:val="0"/>
              <w:autoSpaceDN w:val="0"/>
              <w:adjustRightInd w:val="0"/>
              <w:jc w:val="right"/>
              <w:rPr>
                <w:sz w:val="20"/>
                <w:szCs w:val="20"/>
              </w:rPr>
            </w:pPr>
          </w:p>
          <w:p w14:paraId="2C260B31" w14:textId="338FCA83" w:rsidR="001F6483" w:rsidRDefault="001F6483" w:rsidP="00686C36">
            <w:pPr>
              <w:widowControl w:val="0"/>
              <w:autoSpaceDE w:val="0"/>
              <w:autoSpaceDN w:val="0"/>
              <w:adjustRightInd w:val="0"/>
              <w:jc w:val="right"/>
              <w:rPr>
                <w:sz w:val="20"/>
                <w:szCs w:val="20"/>
              </w:rPr>
            </w:pPr>
            <w:r>
              <w:rPr>
                <w:sz w:val="20"/>
                <w:szCs w:val="20"/>
              </w:rPr>
              <w:t>0</w:t>
            </w:r>
          </w:p>
        </w:tc>
        <w:tc>
          <w:tcPr>
            <w:tcW w:w="2268" w:type="dxa"/>
          </w:tcPr>
          <w:p w14:paraId="43C347B5" w14:textId="77777777" w:rsidR="002B787F" w:rsidRDefault="002B787F" w:rsidP="002B787F">
            <w:pPr>
              <w:widowControl w:val="0"/>
              <w:autoSpaceDE w:val="0"/>
              <w:autoSpaceDN w:val="0"/>
              <w:adjustRightInd w:val="0"/>
              <w:ind w:right="597"/>
              <w:jc w:val="right"/>
              <w:rPr>
                <w:sz w:val="20"/>
                <w:szCs w:val="20"/>
              </w:rPr>
            </w:pPr>
          </w:p>
          <w:p w14:paraId="3EEF7473" w14:textId="77777777" w:rsidR="009C3FBE" w:rsidRDefault="009C3FBE" w:rsidP="002B787F">
            <w:pPr>
              <w:widowControl w:val="0"/>
              <w:autoSpaceDE w:val="0"/>
              <w:autoSpaceDN w:val="0"/>
              <w:adjustRightInd w:val="0"/>
              <w:ind w:right="597"/>
              <w:jc w:val="right"/>
              <w:rPr>
                <w:sz w:val="20"/>
                <w:szCs w:val="20"/>
              </w:rPr>
            </w:pPr>
          </w:p>
          <w:p w14:paraId="7C18C313" w14:textId="77777777" w:rsidR="009C3FBE" w:rsidRDefault="009C3FBE" w:rsidP="002B787F">
            <w:pPr>
              <w:widowControl w:val="0"/>
              <w:autoSpaceDE w:val="0"/>
              <w:autoSpaceDN w:val="0"/>
              <w:adjustRightInd w:val="0"/>
              <w:ind w:right="597"/>
              <w:jc w:val="right"/>
              <w:rPr>
                <w:sz w:val="20"/>
                <w:szCs w:val="20"/>
              </w:rPr>
            </w:pPr>
            <w:r>
              <w:rPr>
                <w:sz w:val="20"/>
                <w:szCs w:val="20"/>
              </w:rPr>
              <w:t>0</w:t>
            </w:r>
          </w:p>
          <w:p w14:paraId="265C2746" w14:textId="77777777" w:rsidR="001F6483" w:rsidRDefault="001F6483" w:rsidP="002B787F">
            <w:pPr>
              <w:widowControl w:val="0"/>
              <w:autoSpaceDE w:val="0"/>
              <w:autoSpaceDN w:val="0"/>
              <w:adjustRightInd w:val="0"/>
              <w:ind w:right="597"/>
              <w:jc w:val="right"/>
              <w:rPr>
                <w:sz w:val="20"/>
                <w:szCs w:val="20"/>
              </w:rPr>
            </w:pPr>
          </w:p>
          <w:p w14:paraId="4EDCBCA8" w14:textId="77777777" w:rsidR="001F6483" w:rsidRDefault="001F6483" w:rsidP="002B787F">
            <w:pPr>
              <w:widowControl w:val="0"/>
              <w:autoSpaceDE w:val="0"/>
              <w:autoSpaceDN w:val="0"/>
              <w:adjustRightInd w:val="0"/>
              <w:ind w:right="597"/>
              <w:jc w:val="right"/>
              <w:rPr>
                <w:sz w:val="20"/>
                <w:szCs w:val="20"/>
              </w:rPr>
            </w:pPr>
          </w:p>
          <w:p w14:paraId="796E8EC4" w14:textId="7247408C" w:rsidR="001F6483" w:rsidRDefault="002B1F41" w:rsidP="002B787F">
            <w:pPr>
              <w:widowControl w:val="0"/>
              <w:autoSpaceDE w:val="0"/>
              <w:autoSpaceDN w:val="0"/>
              <w:adjustRightInd w:val="0"/>
              <w:ind w:right="597"/>
              <w:jc w:val="right"/>
              <w:rPr>
                <w:sz w:val="20"/>
                <w:szCs w:val="20"/>
              </w:rPr>
            </w:pPr>
            <w:r>
              <w:rPr>
                <w:sz w:val="20"/>
                <w:szCs w:val="20"/>
              </w:rPr>
              <w:t>41,203</w:t>
            </w:r>
          </w:p>
          <w:p w14:paraId="32941FEB" w14:textId="77777777" w:rsidR="0063323D" w:rsidRDefault="0063323D" w:rsidP="002B787F">
            <w:pPr>
              <w:widowControl w:val="0"/>
              <w:autoSpaceDE w:val="0"/>
              <w:autoSpaceDN w:val="0"/>
              <w:adjustRightInd w:val="0"/>
              <w:ind w:right="597"/>
              <w:jc w:val="right"/>
              <w:rPr>
                <w:sz w:val="20"/>
                <w:szCs w:val="20"/>
              </w:rPr>
            </w:pPr>
          </w:p>
          <w:p w14:paraId="1BA21119" w14:textId="5BAB9E90" w:rsidR="0063323D" w:rsidRDefault="0063323D" w:rsidP="0063323D">
            <w:pPr>
              <w:widowControl w:val="0"/>
              <w:autoSpaceDE w:val="0"/>
              <w:autoSpaceDN w:val="0"/>
              <w:adjustRightInd w:val="0"/>
              <w:ind w:right="597"/>
              <w:rPr>
                <w:sz w:val="20"/>
                <w:szCs w:val="20"/>
              </w:rPr>
            </w:pPr>
          </w:p>
        </w:tc>
        <w:tc>
          <w:tcPr>
            <w:tcW w:w="2269" w:type="dxa"/>
          </w:tcPr>
          <w:p w14:paraId="4A881F42" w14:textId="64CCB0A8" w:rsidR="002B787F" w:rsidRDefault="002B787F" w:rsidP="00612DE1">
            <w:pPr>
              <w:widowControl w:val="0"/>
              <w:autoSpaceDE w:val="0"/>
              <w:autoSpaceDN w:val="0"/>
              <w:adjustRightInd w:val="0"/>
              <w:ind w:right="740"/>
              <w:jc w:val="right"/>
              <w:rPr>
                <w:sz w:val="20"/>
                <w:szCs w:val="20"/>
              </w:rPr>
            </w:pPr>
          </w:p>
          <w:p w14:paraId="6323F340" w14:textId="77777777" w:rsidR="002B787F" w:rsidRDefault="002B787F" w:rsidP="00612DE1">
            <w:pPr>
              <w:widowControl w:val="0"/>
              <w:autoSpaceDE w:val="0"/>
              <w:autoSpaceDN w:val="0"/>
              <w:adjustRightInd w:val="0"/>
              <w:ind w:right="740"/>
              <w:jc w:val="right"/>
              <w:rPr>
                <w:sz w:val="20"/>
                <w:szCs w:val="20"/>
              </w:rPr>
            </w:pPr>
          </w:p>
          <w:p w14:paraId="7537DB01" w14:textId="01FAAB7A" w:rsidR="002B787F" w:rsidRDefault="002B787F" w:rsidP="00612DE1">
            <w:pPr>
              <w:widowControl w:val="0"/>
              <w:autoSpaceDE w:val="0"/>
              <w:autoSpaceDN w:val="0"/>
              <w:adjustRightInd w:val="0"/>
              <w:ind w:right="740"/>
              <w:jc w:val="right"/>
              <w:rPr>
                <w:sz w:val="20"/>
                <w:szCs w:val="20"/>
              </w:rPr>
            </w:pPr>
            <w:r>
              <w:rPr>
                <w:sz w:val="20"/>
                <w:szCs w:val="20"/>
              </w:rPr>
              <w:t>(</w:t>
            </w:r>
            <w:r w:rsidR="009C3FBE">
              <w:rPr>
                <w:sz w:val="20"/>
                <w:szCs w:val="20"/>
              </w:rPr>
              <w:t>2,</w:t>
            </w:r>
            <w:r w:rsidR="002B1F41">
              <w:rPr>
                <w:sz w:val="20"/>
                <w:szCs w:val="20"/>
              </w:rPr>
              <w:t>476,</w:t>
            </w:r>
            <w:r w:rsidR="009F599C">
              <w:rPr>
                <w:sz w:val="20"/>
                <w:szCs w:val="20"/>
              </w:rPr>
              <w:t>24</w:t>
            </w:r>
            <w:r w:rsidR="00A30F83">
              <w:rPr>
                <w:sz w:val="20"/>
                <w:szCs w:val="20"/>
              </w:rPr>
              <w:t>5</w:t>
            </w:r>
            <w:r>
              <w:rPr>
                <w:sz w:val="20"/>
                <w:szCs w:val="20"/>
              </w:rPr>
              <w:t>)</w:t>
            </w:r>
          </w:p>
          <w:p w14:paraId="7AD99FC2" w14:textId="77777777" w:rsidR="002B787F" w:rsidRDefault="002B787F" w:rsidP="00612DE1">
            <w:pPr>
              <w:widowControl w:val="0"/>
              <w:autoSpaceDE w:val="0"/>
              <w:autoSpaceDN w:val="0"/>
              <w:adjustRightInd w:val="0"/>
              <w:ind w:right="740"/>
              <w:jc w:val="right"/>
              <w:rPr>
                <w:sz w:val="20"/>
                <w:szCs w:val="20"/>
              </w:rPr>
            </w:pPr>
          </w:p>
          <w:p w14:paraId="66BB6902" w14:textId="77777777" w:rsidR="001F6483" w:rsidRDefault="001F6483" w:rsidP="00612DE1">
            <w:pPr>
              <w:widowControl w:val="0"/>
              <w:autoSpaceDE w:val="0"/>
              <w:autoSpaceDN w:val="0"/>
              <w:adjustRightInd w:val="0"/>
              <w:ind w:right="740"/>
              <w:jc w:val="right"/>
              <w:rPr>
                <w:sz w:val="20"/>
                <w:szCs w:val="20"/>
              </w:rPr>
            </w:pPr>
          </w:p>
          <w:p w14:paraId="09D2D2FC" w14:textId="50C8E160" w:rsidR="002B787F" w:rsidRPr="003061F1" w:rsidRDefault="002B1F41" w:rsidP="00612DE1">
            <w:pPr>
              <w:widowControl w:val="0"/>
              <w:autoSpaceDE w:val="0"/>
              <w:autoSpaceDN w:val="0"/>
              <w:adjustRightInd w:val="0"/>
              <w:ind w:right="740"/>
              <w:jc w:val="right"/>
              <w:rPr>
                <w:sz w:val="20"/>
                <w:szCs w:val="20"/>
              </w:rPr>
            </w:pPr>
            <w:r>
              <w:rPr>
                <w:sz w:val="20"/>
                <w:szCs w:val="20"/>
              </w:rPr>
              <w:t>41,203</w:t>
            </w:r>
          </w:p>
        </w:tc>
      </w:tr>
      <w:tr w:rsidR="002B787F" w:rsidRPr="002D3016" w14:paraId="3F16E32A" w14:textId="77777777" w:rsidTr="00664A13">
        <w:tc>
          <w:tcPr>
            <w:tcW w:w="2268" w:type="dxa"/>
          </w:tcPr>
          <w:p w14:paraId="050DC44D" w14:textId="77777777" w:rsidR="002B787F" w:rsidRPr="003061F1" w:rsidRDefault="002B787F" w:rsidP="006F26A2">
            <w:pPr>
              <w:widowControl w:val="0"/>
              <w:autoSpaceDE w:val="0"/>
              <w:autoSpaceDN w:val="0"/>
              <w:adjustRightInd w:val="0"/>
              <w:rPr>
                <w:sz w:val="20"/>
                <w:szCs w:val="20"/>
              </w:rPr>
            </w:pPr>
          </w:p>
          <w:p w14:paraId="7C307ABC" w14:textId="77777777" w:rsidR="002B787F" w:rsidRPr="003061F1" w:rsidRDefault="002B787F" w:rsidP="006F26A2">
            <w:pPr>
              <w:widowControl w:val="0"/>
              <w:autoSpaceDE w:val="0"/>
              <w:autoSpaceDN w:val="0"/>
              <w:adjustRightInd w:val="0"/>
              <w:rPr>
                <w:sz w:val="20"/>
                <w:szCs w:val="20"/>
              </w:rPr>
            </w:pPr>
            <w:r w:rsidRPr="003061F1">
              <w:rPr>
                <w:sz w:val="20"/>
                <w:szCs w:val="20"/>
              </w:rPr>
              <w:t>Grant-in-aid from NIO</w:t>
            </w:r>
          </w:p>
        </w:tc>
        <w:tc>
          <w:tcPr>
            <w:tcW w:w="2268" w:type="dxa"/>
            <w:tcBorders>
              <w:bottom w:val="single" w:sz="4" w:space="0" w:color="auto"/>
            </w:tcBorders>
          </w:tcPr>
          <w:p w14:paraId="6AE18A69" w14:textId="77777777" w:rsidR="002B787F" w:rsidRDefault="002B787F" w:rsidP="006F26A2">
            <w:pPr>
              <w:widowControl w:val="0"/>
              <w:autoSpaceDE w:val="0"/>
              <w:autoSpaceDN w:val="0"/>
              <w:adjustRightInd w:val="0"/>
              <w:jc w:val="right"/>
              <w:rPr>
                <w:sz w:val="20"/>
                <w:szCs w:val="20"/>
              </w:rPr>
            </w:pPr>
          </w:p>
          <w:p w14:paraId="6987D1C2" w14:textId="533D22E3" w:rsidR="002B787F" w:rsidRDefault="002B787F" w:rsidP="006F26A2">
            <w:pPr>
              <w:widowControl w:val="0"/>
              <w:autoSpaceDE w:val="0"/>
              <w:autoSpaceDN w:val="0"/>
              <w:adjustRightInd w:val="0"/>
              <w:jc w:val="right"/>
              <w:rPr>
                <w:sz w:val="20"/>
                <w:szCs w:val="20"/>
              </w:rPr>
            </w:pPr>
            <w:r>
              <w:rPr>
                <w:sz w:val="20"/>
                <w:szCs w:val="20"/>
              </w:rPr>
              <w:t>2,</w:t>
            </w:r>
            <w:r w:rsidR="002B1F41">
              <w:rPr>
                <w:sz w:val="20"/>
                <w:szCs w:val="20"/>
              </w:rPr>
              <w:t>281,391</w:t>
            </w:r>
          </w:p>
        </w:tc>
        <w:tc>
          <w:tcPr>
            <w:tcW w:w="2268" w:type="dxa"/>
            <w:tcBorders>
              <w:bottom w:val="single" w:sz="4" w:space="0" w:color="auto"/>
            </w:tcBorders>
          </w:tcPr>
          <w:p w14:paraId="048FD369" w14:textId="77777777" w:rsidR="002B787F" w:rsidRDefault="002B787F" w:rsidP="002B787F">
            <w:pPr>
              <w:widowControl w:val="0"/>
              <w:autoSpaceDE w:val="0"/>
              <w:autoSpaceDN w:val="0"/>
              <w:adjustRightInd w:val="0"/>
              <w:ind w:right="597"/>
              <w:rPr>
                <w:sz w:val="20"/>
                <w:szCs w:val="20"/>
              </w:rPr>
            </w:pPr>
          </w:p>
          <w:p w14:paraId="1D29070F" w14:textId="403D2812" w:rsidR="0063323D" w:rsidRDefault="0063323D" w:rsidP="0063323D">
            <w:pPr>
              <w:widowControl w:val="0"/>
              <w:autoSpaceDE w:val="0"/>
              <w:autoSpaceDN w:val="0"/>
              <w:adjustRightInd w:val="0"/>
              <w:ind w:right="597"/>
              <w:jc w:val="right"/>
              <w:rPr>
                <w:sz w:val="20"/>
                <w:szCs w:val="20"/>
              </w:rPr>
            </w:pPr>
            <w:r>
              <w:rPr>
                <w:sz w:val="20"/>
                <w:szCs w:val="20"/>
              </w:rPr>
              <w:t>0</w:t>
            </w:r>
          </w:p>
        </w:tc>
        <w:tc>
          <w:tcPr>
            <w:tcW w:w="2269" w:type="dxa"/>
            <w:tcBorders>
              <w:bottom w:val="single" w:sz="4" w:space="0" w:color="auto"/>
            </w:tcBorders>
          </w:tcPr>
          <w:p w14:paraId="1A86E3CF" w14:textId="5957ECEC" w:rsidR="002B787F" w:rsidRDefault="002B787F" w:rsidP="0029565E">
            <w:pPr>
              <w:widowControl w:val="0"/>
              <w:autoSpaceDE w:val="0"/>
              <w:autoSpaceDN w:val="0"/>
              <w:adjustRightInd w:val="0"/>
              <w:rPr>
                <w:sz w:val="20"/>
                <w:szCs w:val="20"/>
              </w:rPr>
            </w:pPr>
          </w:p>
          <w:p w14:paraId="63DE8D7D" w14:textId="6BB9B036" w:rsidR="002B787F" w:rsidRDefault="002B787F" w:rsidP="00612DE1">
            <w:pPr>
              <w:widowControl w:val="0"/>
              <w:autoSpaceDE w:val="0"/>
              <w:autoSpaceDN w:val="0"/>
              <w:adjustRightInd w:val="0"/>
              <w:ind w:right="740"/>
              <w:jc w:val="right"/>
              <w:rPr>
                <w:sz w:val="20"/>
                <w:szCs w:val="20"/>
              </w:rPr>
            </w:pPr>
            <w:r>
              <w:rPr>
                <w:sz w:val="20"/>
                <w:szCs w:val="20"/>
              </w:rPr>
              <w:t>2,</w:t>
            </w:r>
            <w:r w:rsidR="002B1F41">
              <w:rPr>
                <w:sz w:val="20"/>
                <w:szCs w:val="20"/>
              </w:rPr>
              <w:t>281,391</w:t>
            </w:r>
          </w:p>
          <w:p w14:paraId="43DE37FE" w14:textId="66B90AC1" w:rsidR="0063323D" w:rsidRPr="003061F1" w:rsidRDefault="0063323D" w:rsidP="006F26A2">
            <w:pPr>
              <w:widowControl w:val="0"/>
              <w:autoSpaceDE w:val="0"/>
              <w:autoSpaceDN w:val="0"/>
              <w:adjustRightInd w:val="0"/>
              <w:jc w:val="right"/>
              <w:rPr>
                <w:sz w:val="20"/>
                <w:szCs w:val="20"/>
              </w:rPr>
            </w:pPr>
          </w:p>
        </w:tc>
      </w:tr>
      <w:tr w:rsidR="002B787F" w:rsidRPr="002D3016" w14:paraId="320E3327" w14:textId="77777777" w:rsidTr="00664A13">
        <w:tc>
          <w:tcPr>
            <w:tcW w:w="2268" w:type="dxa"/>
          </w:tcPr>
          <w:p w14:paraId="6C159E91" w14:textId="77777777" w:rsidR="002B787F" w:rsidRPr="003061F1" w:rsidRDefault="002B787F" w:rsidP="006F26A2">
            <w:pPr>
              <w:widowControl w:val="0"/>
              <w:autoSpaceDE w:val="0"/>
              <w:autoSpaceDN w:val="0"/>
              <w:adjustRightInd w:val="0"/>
              <w:rPr>
                <w:b/>
                <w:sz w:val="20"/>
                <w:szCs w:val="20"/>
              </w:rPr>
            </w:pPr>
          </w:p>
          <w:p w14:paraId="1471187D" w14:textId="752CD97D" w:rsidR="002B787F" w:rsidRPr="003061F1" w:rsidRDefault="002B787F" w:rsidP="006F26A2">
            <w:pPr>
              <w:widowControl w:val="0"/>
              <w:autoSpaceDE w:val="0"/>
              <w:autoSpaceDN w:val="0"/>
              <w:adjustRightInd w:val="0"/>
              <w:rPr>
                <w:b/>
                <w:sz w:val="20"/>
                <w:szCs w:val="20"/>
              </w:rPr>
            </w:pPr>
            <w:r>
              <w:rPr>
                <w:b/>
                <w:sz w:val="20"/>
                <w:szCs w:val="20"/>
              </w:rPr>
              <w:t>Balance at 31 March 202</w:t>
            </w:r>
            <w:r w:rsidR="00D72F50">
              <w:rPr>
                <w:b/>
                <w:sz w:val="20"/>
                <w:szCs w:val="20"/>
              </w:rPr>
              <w:t>3</w:t>
            </w:r>
          </w:p>
        </w:tc>
        <w:tc>
          <w:tcPr>
            <w:tcW w:w="2268" w:type="dxa"/>
            <w:tcBorders>
              <w:top w:val="single" w:sz="4" w:space="0" w:color="auto"/>
              <w:bottom w:val="single" w:sz="4" w:space="0" w:color="auto"/>
            </w:tcBorders>
          </w:tcPr>
          <w:p w14:paraId="47B1F40B" w14:textId="77777777" w:rsidR="00541F20" w:rsidRDefault="00541F20" w:rsidP="006F26A2">
            <w:pPr>
              <w:widowControl w:val="0"/>
              <w:autoSpaceDE w:val="0"/>
              <w:autoSpaceDN w:val="0"/>
              <w:adjustRightInd w:val="0"/>
              <w:jc w:val="right"/>
              <w:rPr>
                <w:b/>
                <w:sz w:val="20"/>
                <w:szCs w:val="20"/>
              </w:rPr>
            </w:pPr>
          </w:p>
          <w:p w14:paraId="50ADD9BB" w14:textId="52F364EF" w:rsidR="00541F20" w:rsidRDefault="002B1F41" w:rsidP="006F26A2">
            <w:pPr>
              <w:widowControl w:val="0"/>
              <w:autoSpaceDE w:val="0"/>
              <w:autoSpaceDN w:val="0"/>
              <w:adjustRightInd w:val="0"/>
              <w:jc w:val="right"/>
              <w:rPr>
                <w:b/>
                <w:sz w:val="20"/>
                <w:szCs w:val="20"/>
              </w:rPr>
            </w:pPr>
            <w:r>
              <w:rPr>
                <w:b/>
                <w:sz w:val="20"/>
                <w:szCs w:val="20"/>
              </w:rPr>
              <w:t>624,</w:t>
            </w:r>
            <w:r w:rsidR="009F599C">
              <w:rPr>
                <w:b/>
                <w:sz w:val="20"/>
                <w:szCs w:val="20"/>
              </w:rPr>
              <w:t>79</w:t>
            </w:r>
            <w:r w:rsidR="00A30F83">
              <w:rPr>
                <w:b/>
                <w:sz w:val="20"/>
                <w:szCs w:val="20"/>
              </w:rPr>
              <w:t>6</w:t>
            </w:r>
          </w:p>
          <w:p w14:paraId="160106A7" w14:textId="1C577E55" w:rsidR="002B787F" w:rsidRDefault="002B787F" w:rsidP="006F26A2">
            <w:pPr>
              <w:widowControl w:val="0"/>
              <w:autoSpaceDE w:val="0"/>
              <w:autoSpaceDN w:val="0"/>
              <w:adjustRightInd w:val="0"/>
              <w:jc w:val="right"/>
              <w:rPr>
                <w:b/>
                <w:sz w:val="20"/>
                <w:szCs w:val="20"/>
              </w:rPr>
            </w:pPr>
          </w:p>
        </w:tc>
        <w:tc>
          <w:tcPr>
            <w:tcW w:w="2268" w:type="dxa"/>
            <w:tcBorders>
              <w:top w:val="single" w:sz="4" w:space="0" w:color="auto"/>
              <w:bottom w:val="single" w:sz="4" w:space="0" w:color="auto"/>
            </w:tcBorders>
          </w:tcPr>
          <w:p w14:paraId="1FA47950" w14:textId="77777777" w:rsidR="002B787F" w:rsidRDefault="002B787F" w:rsidP="002B787F">
            <w:pPr>
              <w:widowControl w:val="0"/>
              <w:autoSpaceDE w:val="0"/>
              <w:autoSpaceDN w:val="0"/>
              <w:adjustRightInd w:val="0"/>
              <w:ind w:right="597"/>
              <w:jc w:val="right"/>
              <w:rPr>
                <w:b/>
                <w:sz w:val="20"/>
                <w:szCs w:val="20"/>
              </w:rPr>
            </w:pPr>
          </w:p>
          <w:p w14:paraId="27FE0AA6" w14:textId="7EEFBE10" w:rsidR="00541F20" w:rsidRDefault="002B1F41" w:rsidP="002B787F">
            <w:pPr>
              <w:widowControl w:val="0"/>
              <w:autoSpaceDE w:val="0"/>
              <w:autoSpaceDN w:val="0"/>
              <w:adjustRightInd w:val="0"/>
              <w:ind w:right="597"/>
              <w:jc w:val="right"/>
              <w:rPr>
                <w:b/>
                <w:sz w:val="20"/>
                <w:szCs w:val="20"/>
              </w:rPr>
            </w:pPr>
            <w:r>
              <w:rPr>
                <w:b/>
                <w:sz w:val="20"/>
                <w:szCs w:val="20"/>
              </w:rPr>
              <w:t>70,606</w:t>
            </w:r>
          </w:p>
        </w:tc>
        <w:tc>
          <w:tcPr>
            <w:tcW w:w="2269" w:type="dxa"/>
            <w:tcBorders>
              <w:top w:val="single" w:sz="4" w:space="0" w:color="auto"/>
              <w:bottom w:val="single" w:sz="4" w:space="0" w:color="auto"/>
            </w:tcBorders>
          </w:tcPr>
          <w:p w14:paraId="42A368D6" w14:textId="66D9BCBA" w:rsidR="00541F20" w:rsidRDefault="00541F20" w:rsidP="006F26A2">
            <w:pPr>
              <w:widowControl w:val="0"/>
              <w:autoSpaceDE w:val="0"/>
              <w:autoSpaceDN w:val="0"/>
              <w:adjustRightInd w:val="0"/>
              <w:jc w:val="right"/>
              <w:rPr>
                <w:b/>
                <w:sz w:val="20"/>
                <w:szCs w:val="20"/>
              </w:rPr>
            </w:pPr>
          </w:p>
          <w:p w14:paraId="4A2A22B5" w14:textId="7DBD7A2E" w:rsidR="00541F20" w:rsidRDefault="002B1F41" w:rsidP="00612DE1">
            <w:pPr>
              <w:widowControl w:val="0"/>
              <w:autoSpaceDE w:val="0"/>
              <w:autoSpaceDN w:val="0"/>
              <w:adjustRightInd w:val="0"/>
              <w:ind w:right="740"/>
              <w:jc w:val="right"/>
              <w:rPr>
                <w:b/>
                <w:sz w:val="20"/>
                <w:szCs w:val="20"/>
              </w:rPr>
            </w:pPr>
            <w:r>
              <w:rPr>
                <w:b/>
                <w:sz w:val="20"/>
                <w:szCs w:val="20"/>
              </w:rPr>
              <w:t>69</w:t>
            </w:r>
            <w:r w:rsidR="009F599C">
              <w:rPr>
                <w:b/>
                <w:sz w:val="20"/>
                <w:szCs w:val="20"/>
              </w:rPr>
              <w:t>5,40</w:t>
            </w:r>
            <w:r w:rsidR="00A30F83">
              <w:rPr>
                <w:b/>
                <w:sz w:val="20"/>
                <w:szCs w:val="20"/>
              </w:rPr>
              <w:t>2</w:t>
            </w:r>
          </w:p>
          <w:p w14:paraId="1678C444" w14:textId="6396468A" w:rsidR="002B787F" w:rsidRPr="003061F1" w:rsidRDefault="002B787F" w:rsidP="006F26A2">
            <w:pPr>
              <w:widowControl w:val="0"/>
              <w:autoSpaceDE w:val="0"/>
              <w:autoSpaceDN w:val="0"/>
              <w:adjustRightInd w:val="0"/>
              <w:jc w:val="right"/>
              <w:rPr>
                <w:b/>
                <w:sz w:val="20"/>
                <w:szCs w:val="20"/>
              </w:rPr>
            </w:pPr>
          </w:p>
        </w:tc>
      </w:tr>
    </w:tbl>
    <w:p w14:paraId="65CD3FD3" w14:textId="77777777" w:rsidR="000C2A54" w:rsidRDefault="000C2A54" w:rsidP="000C2A54">
      <w:pPr>
        <w:widowControl w:val="0"/>
        <w:autoSpaceDE w:val="0"/>
        <w:autoSpaceDN w:val="0"/>
        <w:adjustRightInd w:val="0"/>
        <w:jc w:val="center"/>
        <w:rPr>
          <w:b/>
          <w:sz w:val="22"/>
          <w:szCs w:val="22"/>
        </w:rPr>
      </w:pPr>
    </w:p>
    <w:p w14:paraId="0E1667A2" w14:textId="77777777" w:rsidR="000C2A54" w:rsidRDefault="000C2A54" w:rsidP="000C2A54">
      <w:pPr>
        <w:widowControl w:val="0"/>
        <w:autoSpaceDE w:val="0"/>
        <w:autoSpaceDN w:val="0"/>
        <w:adjustRightInd w:val="0"/>
        <w:jc w:val="center"/>
        <w:rPr>
          <w:b/>
          <w:sz w:val="22"/>
          <w:szCs w:val="22"/>
        </w:rPr>
      </w:pPr>
    </w:p>
    <w:p w14:paraId="0C926D7F" w14:textId="55B6596C" w:rsidR="000C2A54" w:rsidRPr="00EB5423" w:rsidRDefault="000C2A54" w:rsidP="000C2A54">
      <w:pPr>
        <w:widowControl w:val="0"/>
        <w:tabs>
          <w:tab w:val="center" w:pos="6096"/>
          <w:tab w:val="right" w:pos="7797"/>
          <w:tab w:val="right" w:pos="9356"/>
        </w:tabs>
        <w:autoSpaceDE w:val="0"/>
        <w:autoSpaceDN w:val="0"/>
        <w:adjustRightInd w:val="0"/>
        <w:rPr>
          <w:sz w:val="22"/>
          <w:szCs w:val="22"/>
        </w:rPr>
      </w:pPr>
      <w:r w:rsidRPr="00EB5423">
        <w:rPr>
          <w:sz w:val="22"/>
          <w:szCs w:val="22"/>
        </w:rPr>
        <w:t>T</w:t>
      </w:r>
      <w:r w:rsidR="0029565E">
        <w:rPr>
          <w:sz w:val="22"/>
          <w:szCs w:val="22"/>
        </w:rPr>
        <w:t xml:space="preserve">he notes on pages </w:t>
      </w:r>
      <w:r w:rsidR="00320CF6">
        <w:rPr>
          <w:sz w:val="22"/>
          <w:szCs w:val="22"/>
        </w:rPr>
        <w:t>66</w:t>
      </w:r>
      <w:r w:rsidR="000143A4" w:rsidRPr="00EB5423">
        <w:rPr>
          <w:sz w:val="22"/>
          <w:szCs w:val="22"/>
        </w:rPr>
        <w:t xml:space="preserve"> </w:t>
      </w:r>
      <w:r w:rsidRPr="00EB5423">
        <w:rPr>
          <w:sz w:val="22"/>
          <w:szCs w:val="22"/>
        </w:rPr>
        <w:t xml:space="preserve">to </w:t>
      </w:r>
      <w:r w:rsidR="00320CF6">
        <w:rPr>
          <w:sz w:val="22"/>
          <w:szCs w:val="22"/>
        </w:rPr>
        <w:t>84</w:t>
      </w:r>
      <w:r w:rsidR="000143A4" w:rsidRPr="00EB5423">
        <w:rPr>
          <w:sz w:val="22"/>
          <w:szCs w:val="22"/>
        </w:rPr>
        <w:t xml:space="preserve"> </w:t>
      </w:r>
      <w:r w:rsidRPr="00EB5423">
        <w:rPr>
          <w:sz w:val="22"/>
          <w:szCs w:val="22"/>
        </w:rPr>
        <w:t>form part of the financial statements.</w:t>
      </w:r>
    </w:p>
    <w:p w14:paraId="687F6B17" w14:textId="77777777" w:rsidR="000C2A54" w:rsidRPr="00756704" w:rsidRDefault="000C2A54" w:rsidP="000C2A54">
      <w:pPr>
        <w:widowControl w:val="0"/>
        <w:autoSpaceDE w:val="0"/>
        <w:autoSpaceDN w:val="0"/>
        <w:adjustRightInd w:val="0"/>
        <w:jc w:val="center"/>
        <w:rPr>
          <w:b/>
          <w:sz w:val="22"/>
          <w:szCs w:val="22"/>
        </w:rPr>
      </w:pPr>
    </w:p>
    <w:p w14:paraId="7B3C35E8" w14:textId="77777777" w:rsidR="008C73A2" w:rsidRDefault="000C2A54" w:rsidP="008C73A2">
      <w:pPr>
        <w:widowControl w:val="0"/>
        <w:autoSpaceDE w:val="0"/>
        <w:autoSpaceDN w:val="0"/>
        <w:adjustRightInd w:val="0"/>
        <w:jc w:val="center"/>
        <w:rPr>
          <w:rFonts w:cs="Arial"/>
          <w:b/>
          <w:color w:val="77328A"/>
          <w:sz w:val="30"/>
          <w:szCs w:val="30"/>
        </w:rPr>
      </w:pPr>
      <w:r>
        <w:rPr>
          <w:b/>
          <w:sz w:val="28"/>
          <w:szCs w:val="28"/>
        </w:rPr>
        <w:br w:type="page"/>
      </w:r>
    </w:p>
    <w:p w14:paraId="4FECFC57" w14:textId="77777777" w:rsidR="008C73A2" w:rsidRDefault="008C73A2" w:rsidP="000C2A54">
      <w:pPr>
        <w:widowControl w:val="0"/>
        <w:autoSpaceDE w:val="0"/>
        <w:autoSpaceDN w:val="0"/>
        <w:adjustRightInd w:val="0"/>
        <w:jc w:val="center"/>
        <w:rPr>
          <w:rFonts w:cs="Arial"/>
          <w:b/>
          <w:color w:val="77328A"/>
          <w:sz w:val="30"/>
          <w:szCs w:val="30"/>
        </w:rPr>
      </w:pPr>
      <w:r>
        <w:rPr>
          <w:rFonts w:cs="Arial"/>
          <w:b/>
          <w:color w:val="77328A"/>
          <w:sz w:val="30"/>
          <w:szCs w:val="30"/>
        </w:rPr>
        <w:lastRenderedPageBreak/>
        <w:t xml:space="preserve"> Notes to the Financial Statements </w:t>
      </w:r>
    </w:p>
    <w:p w14:paraId="51998792" w14:textId="0AD5531C" w:rsidR="000C2A54" w:rsidRPr="003B42D9" w:rsidRDefault="004E6BF5" w:rsidP="000C2A54">
      <w:pPr>
        <w:widowControl w:val="0"/>
        <w:autoSpaceDE w:val="0"/>
        <w:autoSpaceDN w:val="0"/>
        <w:adjustRightInd w:val="0"/>
        <w:jc w:val="center"/>
        <w:rPr>
          <w:b/>
        </w:rPr>
      </w:pPr>
      <w:r>
        <w:rPr>
          <w:rFonts w:cs="Arial"/>
          <w:b/>
          <w:color w:val="77328A"/>
          <w:sz w:val="30"/>
          <w:szCs w:val="30"/>
        </w:rPr>
        <w:t>for the Year Ended 31 March 202</w:t>
      </w:r>
      <w:r w:rsidR="002B1F41">
        <w:rPr>
          <w:rFonts w:cs="Arial"/>
          <w:b/>
          <w:color w:val="77328A"/>
          <w:sz w:val="30"/>
          <w:szCs w:val="30"/>
        </w:rPr>
        <w:t>3</w:t>
      </w:r>
    </w:p>
    <w:p w14:paraId="09F2D072" w14:textId="77777777" w:rsidR="000C2A54" w:rsidRPr="003B42D9" w:rsidRDefault="000C2A54" w:rsidP="000C2A54">
      <w:pPr>
        <w:rPr>
          <w:b/>
        </w:rPr>
      </w:pPr>
    </w:p>
    <w:p w14:paraId="4333682D" w14:textId="77777777" w:rsidR="000C2A54" w:rsidRPr="004E6BF5" w:rsidRDefault="000C2A54" w:rsidP="000C2A54">
      <w:pPr>
        <w:widowControl w:val="0"/>
        <w:autoSpaceDE w:val="0"/>
        <w:autoSpaceDN w:val="0"/>
        <w:adjustRightInd w:val="0"/>
        <w:ind w:left="567" w:hanging="567"/>
        <w:rPr>
          <w:b/>
          <w:color w:val="FF0000"/>
        </w:rPr>
      </w:pPr>
      <w:r>
        <w:rPr>
          <w:b/>
        </w:rPr>
        <w:t>1</w:t>
      </w:r>
      <w:r w:rsidRPr="003B42D9">
        <w:rPr>
          <w:b/>
        </w:rPr>
        <w:t>.</w:t>
      </w:r>
      <w:r w:rsidRPr="003B42D9">
        <w:rPr>
          <w:b/>
        </w:rPr>
        <w:tab/>
        <w:t xml:space="preserve">Statement of accounting policies </w:t>
      </w:r>
    </w:p>
    <w:p w14:paraId="26305A1F" w14:textId="77777777" w:rsidR="000C2A54" w:rsidRPr="003B42D9" w:rsidRDefault="000C2A54" w:rsidP="000C2A54">
      <w:pPr>
        <w:widowControl w:val="0"/>
        <w:tabs>
          <w:tab w:val="left" w:pos="567"/>
        </w:tabs>
        <w:autoSpaceDE w:val="0"/>
        <w:autoSpaceDN w:val="0"/>
        <w:adjustRightInd w:val="0"/>
        <w:ind w:left="567" w:hanging="567"/>
        <w:rPr>
          <w:b/>
        </w:rPr>
      </w:pPr>
    </w:p>
    <w:p w14:paraId="27FE0D96" w14:textId="73540C18" w:rsidR="000C2A54" w:rsidRPr="003B42D9" w:rsidRDefault="000C2A54" w:rsidP="000C2A54">
      <w:pPr>
        <w:pStyle w:val="BodyTextIndent3"/>
        <w:tabs>
          <w:tab w:val="left" w:pos="567"/>
        </w:tabs>
        <w:spacing w:after="0"/>
        <w:ind w:left="567" w:hanging="567"/>
        <w:rPr>
          <w:sz w:val="24"/>
          <w:szCs w:val="24"/>
        </w:rPr>
      </w:pPr>
      <w:r w:rsidRPr="003B42D9">
        <w:rPr>
          <w:sz w:val="24"/>
          <w:szCs w:val="24"/>
        </w:rPr>
        <w:tab/>
      </w:r>
      <w:r w:rsidR="00FA67ED">
        <w:rPr>
          <w:sz w:val="24"/>
          <w:szCs w:val="24"/>
        </w:rPr>
        <w:t xml:space="preserve">The Secretary of State for Northern Ireland has directed the Human Rights Commission for Northern Ireland to prepare accounts under the Northern Ireland Act 1998.  </w:t>
      </w:r>
      <w:r w:rsidRPr="003B42D9">
        <w:rPr>
          <w:sz w:val="24"/>
          <w:szCs w:val="24"/>
        </w:rPr>
        <w:t xml:space="preserve">The financial statements have been prepared in accordance with the Government Financial Reporting Manual (FReM) for </w:t>
      </w:r>
      <w:r w:rsidR="0091473F">
        <w:rPr>
          <w:sz w:val="24"/>
          <w:szCs w:val="24"/>
        </w:rPr>
        <w:t>202</w:t>
      </w:r>
      <w:r w:rsidR="002B1F41">
        <w:rPr>
          <w:sz w:val="24"/>
          <w:szCs w:val="24"/>
        </w:rPr>
        <w:t>2</w:t>
      </w:r>
      <w:r w:rsidR="0029565E">
        <w:rPr>
          <w:sz w:val="24"/>
          <w:szCs w:val="24"/>
        </w:rPr>
        <w:t>-2</w:t>
      </w:r>
      <w:r w:rsidR="002B1F41">
        <w:rPr>
          <w:sz w:val="24"/>
          <w:szCs w:val="24"/>
        </w:rPr>
        <w:t>3</w:t>
      </w:r>
      <w:r w:rsidRPr="003B42D9">
        <w:rPr>
          <w:sz w:val="24"/>
          <w:szCs w:val="24"/>
        </w:rPr>
        <w:t>, issued by HM Treasury.  The accounting policies contained in the FReM apply International Financial Reporting Standards (IFRS), as adapted or interpreted for the public sector context.  Where the FReM permits a choice of accounting policy, the accounting policy which is judged to be most appropriate to the particular circumstances of the Northern Ireland Human Rights Commission for the purpose of giving a true and fair view has been selected.  The particular policies adopted by the Northern Ireland Human Rights Commission for the</w:t>
      </w:r>
      <w:r w:rsidR="003F76DD">
        <w:rPr>
          <w:sz w:val="24"/>
          <w:szCs w:val="24"/>
        </w:rPr>
        <w:t xml:space="preserve"> year ending </w:t>
      </w:r>
      <w:r w:rsidR="0029565E">
        <w:rPr>
          <w:sz w:val="24"/>
          <w:szCs w:val="24"/>
        </w:rPr>
        <w:t>31 March 202</w:t>
      </w:r>
      <w:r w:rsidR="00157E0F">
        <w:rPr>
          <w:sz w:val="24"/>
          <w:szCs w:val="24"/>
        </w:rPr>
        <w:t>3</w:t>
      </w:r>
      <w:r w:rsidRPr="003B42D9">
        <w:rPr>
          <w:sz w:val="24"/>
          <w:szCs w:val="24"/>
        </w:rPr>
        <w:t xml:space="preserve"> are described below. They have been applied consistently in dealing with items that are considered material to the accounts.</w:t>
      </w:r>
    </w:p>
    <w:p w14:paraId="585C016B" w14:textId="77777777" w:rsidR="000C2A54" w:rsidRPr="003B42D9" w:rsidRDefault="000C2A54" w:rsidP="000C2A54">
      <w:pPr>
        <w:pStyle w:val="BodyTextIndent3"/>
        <w:tabs>
          <w:tab w:val="left" w:pos="567"/>
        </w:tabs>
        <w:spacing w:after="0"/>
        <w:ind w:left="567" w:hanging="567"/>
        <w:rPr>
          <w:sz w:val="24"/>
          <w:szCs w:val="24"/>
        </w:rPr>
      </w:pPr>
    </w:p>
    <w:p w14:paraId="5CAF3C1D" w14:textId="77777777" w:rsidR="000C2A54" w:rsidRPr="003B42D9" w:rsidRDefault="000C2A54" w:rsidP="000C2A54">
      <w:pPr>
        <w:widowControl w:val="0"/>
        <w:tabs>
          <w:tab w:val="left" w:pos="720"/>
        </w:tabs>
        <w:autoSpaceDE w:val="0"/>
        <w:autoSpaceDN w:val="0"/>
        <w:adjustRightInd w:val="0"/>
        <w:ind w:left="1418" w:hanging="851"/>
        <w:rPr>
          <w:b/>
        </w:rPr>
      </w:pPr>
      <w:r w:rsidRPr="003B42D9">
        <w:rPr>
          <w:b/>
        </w:rPr>
        <w:t>1.1</w:t>
      </w:r>
      <w:r w:rsidRPr="003B42D9">
        <w:rPr>
          <w:b/>
        </w:rPr>
        <w:tab/>
        <w:t>Accounting convention</w:t>
      </w:r>
    </w:p>
    <w:p w14:paraId="49A200FF" w14:textId="77777777" w:rsidR="000C2A54" w:rsidRPr="003B42D9" w:rsidRDefault="000C2A54" w:rsidP="000C2A54">
      <w:pPr>
        <w:pStyle w:val="BodyTextIndent3"/>
        <w:tabs>
          <w:tab w:val="left" w:pos="720"/>
        </w:tabs>
        <w:spacing w:after="0"/>
        <w:ind w:left="567"/>
        <w:rPr>
          <w:sz w:val="24"/>
          <w:szCs w:val="24"/>
        </w:rPr>
      </w:pPr>
    </w:p>
    <w:p w14:paraId="670D1605" w14:textId="77777777" w:rsidR="000C2A54" w:rsidRPr="003B42D9" w:rsidRDefault="000C2A54" w:rsidP="000C2A54">
      <w:pPr>
        <w:pStyle w:val="BodyTextIndent3"/>
        <w:tabs>
          <w:tab w:val="left" w:pos="720"/>
        </w:tabs>
        <w:spacing w:after="0"/>
        <w:ind w:left="1418"/>
        <w:rPr>
          <w:sz w:val="24"/>
          <w:szCs w:val="24"/>
        </w:rPr>
      </w:pPr>
      <w:r w:rsidRPr="003B42D9">
        <w:rPr>
          <w:sz w:val="24"/>
          <w:szCs w:val="24"/>
        </w:rPr>
        <w:t>The financial statements have been prepared in accordance with the historical cost convention, modified to account for the revaluation of property, plant and equipment.</w:t>
      </w:r>
    </w:p>
    <w:p w14:paraId="7C12A06B" w14:textId="77777777" w:rsidR="000C2A54" w:rsidRPr="003B42D9" w:rsidRDefault="000C2A54" w:rsidP="000C2A54">
      <w:pPr>
        <w:pStyle w:val="BodyTextIndent3"/>
        <w:tabs>
          <w:tab w:val="left" w:pos="720"/>
        </w:tabs>
        <w:spacing w:after="0"/>
        <w:ind w:left="1418"/>
        <w:rPr>
          <w:sz w:val="24"/>
          <w:szCs w:val="24"/>
        </w:rPr>
      </w:pPr>
    </w:p>
    <w:p w14:paraId="71A12A92" w14:textId="77777777" w:rsidR="000C2A54" w:rsidRPr="003B42D9" w:rsidRDefault="000C2A54" w:rsidP="000C2A54">
      <w:pPr>
        <w:pStyle w:val="BodyTextIndent3"/>
        <w:tabs>
          <w:tab w:val="left" w:pos="720"/>
        </w:tabs>
        <w:spacing w:after="0"/>
        <w:ind w:left="1418"/>
        <w:rPr>
          <w:sz w:val="24"/>
          <w:szCs w:val="24"/>
        </w:rPr>
      </w:pPr>
      <w:r w:rsidRPr="003B42D9">
        <w:rPr>
          <w:sz w:val="24"/>
          <w:szCs w:val="24"/>
        </w:rPr>
        <w:t>The accounts comply with the accounting standards issued or adopted by the Accounting Standards Board, FReM and accounting and disclosure requirements issued by HM Treasury and are in Sterling.</w:t>
      </w:r>
    </w:p>
    <w:p w14:paraId="4EEB0D10" w14:textId="77777777" w:rsidR="000C2A54" w:rsidRPr="003B42D9" w:rsidRDefault="000C2A54" w:rsidP="000C2A54">
      <w:pPr>
        <w:widowControl w:val="0"/>
        <w:tabs>
          <w:tab w:val="left" w:pos="567"/>
        </w:tabs>
        <w:autoSpaceDE w:val="0"/>
        <w:autoSpaceDN w:val="0"/>
        <w:adjustRightInd w:val="0"/>
      </w:pPr>
    </w:p>
    <w:p w14:paraId="2A60F98D" w14:textId="77777777" w:rsidR="000C2A54" w:rsidRPr="003B42D9" w:rsidRDefault="000C2A54" w:rsidP="000C2A54">
      <w:pPr>
        <w:widowControl w:val="0"/>
        <w:autoSpaceDE w:val="0"/>
        <w:autoSpaceDN w:val="0"/>
        <w:adjustRightInd w:val="0"/>
        <w:ind w:left="1418" w:hanging="851"/>
        <w:rPr>
          <w:b/>
        </w:rPr>
      </w:pPr>
      <w:r w:rsidRPr="003B42D9">
        <w:rPr>
          <w:b/>
        </w:rPr>
        <w:t>1.2</w:t>
      </w:r>
      <w:r w:rsidRPr="003B42D9">
        <w:rPr>
          <w:b/>
        </w:rPr>
        <w:tab/>
        <w:t>Critical accounting estimates and key judgements</w:t>
      </w:r>
    </w:p>
    <w:p w14:paraId="65526EC9" w14:textId="77777777" w:rsidR="000C2A54" w:rsidRPr="003B42D9" w:rsidRDefault="000C2A54" w:rsidP="000C2A54">
      <w:pPr>
        <w:tabs>
          <w:tab w:val="left" w:pos="567"/>
        </w:tabs>
        <w:autoSpaceDE w:val="0"/>
        <w:autoSpaceDN w:val="0"/>
        <w:adjustRightInd w:val="0"/>
        <w:jc w:val="both"/>
        <w:rPr>
          <w:rFonts w:ascii="Arial" w:hAnsi="Arial" w:cs="Arial"/>
        </w:rPr>
      </w:pPr>
    </w:p>
    <w:p w14:paraId="267109AF" w14:textId="77777777" w:rsidR="000C2A54" w:rsidRPr="003B42D9" w:rsidRDefault="000C2A54" w:rsidP="000C2A54">
      <w:pPr>
        <w:tabs>
          <w:tab w:val="left" w:pos="720"/>
        </w:tabs>
        <w:ind w:left="1418"/>
      </w:pPr>
      <w:r w:rsidRPr="003B42D9">
        <w:t>The preparation of financial statements in conformity with IFRS requires the use of accounting estimates and assumptions.  It also requires the Commission to exercise judgement in the process of applying the accounting policies.  We continually evaluate our estimates, assumptions and judgements based on available information and experience.  As the use of estimates is inherent in financial reporting, actual results could differ from these estimates.  The estimates and assumptions which have the most significant risk of causing a material adjustment to the carrying amounts of assets and liabilities are discussed below.</w:t>
      </w:r>
    </w:p>
    <w:p w14:paraId="598D514B" w14:textId="77777777" w:rsidR="000C2A54" w:rsidRPr="003B42D9" w:rsidRDefault="000C2A54" w:rsidP="000C2A54">
      <w:pPr>
        <w:ind w:left="567" w:firstLine="567"/>
        <w:rPr>
          <w:b/>
        </w:rPr>
      </w:pPr>
    </w:p>
    <w:p w14:paraId="1D749878" w14:textId="77777777" w:rsidR="000C2A54" w:rsidRPr="003B42D9" w:rsidRDefault="000C2A54" w:rsidP="000C2A54">
      <w:pPr>
        <w:tabs>
          <w:tab w:val="left" w:pos="1985"/>
        </w:tabs>
        <w:ind w:left="1418"/>
        <w:rPr>
          <w:b/>
        </w:rPr>
      </w:pPr>
      <w:r w:rsidRPr="003B42D9">
        <w:rPr>
          <w:b/>
        </w:rPr>
        <w:lastRenderedPageBreak/>
        <w:t>(i)</w:t>
      </w:r>
      <w:r w:rsidRPr="003B42D9">
        <w:rPr>
          <w:b/>
        </w:rPr>
        <w:tab/>
        <w:t xml:space="preserve">Depreciation of property, plant, equipment and </w:t>
      </w:r>
      <w:r w:rsidRPr="003B42D9">
        <w:rPr>
          <w:b/>
        </w:rPr>
        <w:tab/>
        <w:t>intangibles</w:t>
      </w:r>
    </w:p>
    <w:p w14:paraId="3D3496AB" w14:textId="77777777" w:rsidR="00AE1441" w:rsidRDefault="000C2A54" w:rsidP="000C2A54">
      <w:pPr>
        <w:ind w:left="1985"/>
      </w:pPr>
      <w:r w:rsidRPr="003B42D9">
        <w:t xml:space="preserve">Depreciation is provided in the accounts so as to write-down the respective assets to their residual values over their expected useful lives and as such the selection of the estimated useful lives and the expected residual values of the assets requires the use of estimates and judgements.  Details of the estimated useful lives are as shown in Note 1.7 and Note </w:t>
      </w:r>
      <w:r w:rsidR="008860A2">
        <w:t>1.9</w:t>
      </w:r>
      <w:r w:rsidRPr="003B42D9">
        <w:t>.</w:t>
      </w:r>
    </w:p>
    <w:p w14:paraId="17DD6862" w14:textId="77777777" w:rsidR="00AE1441" w:rsidRDefault="00AE1441" w:rsidP="000C2A54">
      <w:pPr>
        <w:ind w:left="1985"/>
      </w:pPr>
    </w:p>
    <w:p w14:paraId="462E124B" w14:textId="08A8ABD7" w:rsidR="00AE1441" w:rsidRPr="003B42D9" w:rsidRDefault="00AE1441" w:rsidP="00AE1441">
      <w:pPr>
        <w:ind w:left="1985" w:hanging="567"/>
        <w:rPr>
          <w:b/>
        </w:rPr>
      </w:pPr>
      <w:r w:rsidRPr="003B42D9">
        <w:rPr>
          <w:b/>
        </w:rPr>
        <w:t>(ii)</w:t>
      </w:r>
      <w:r w:rsidRPr="003B42D9">
        <w:rPr>
          <w:b/>
        </w:rPr>
        <w:tab/>
      </w:r>
      <w:r>
        <w:rPr>
          <w:b/>
        </w:rPr>
        <w:t>Leases</w:t>
      </w:r>
    </w:p>
    <w:p w14:paraId="1D09EE7D" w14:textId="64FBBB99" w:rsidR="000C2A54" w:rsidRPr="00AE1441" w:rsidRDefault="00AE1441" w:rsidP="00AE1441">
      <w:pPr>
        <w:ind w:left="1985"/>
      </w:pPr>
      <w:r>
        <w:t>Property leases assessed for IFRS16 Right-of-Use assets are valued using a cost model which has been used as a proxy for current value as the underlying assets value of the short lease is unlikely to fluctuate significantly.</w:t>
      </w:r>
      <w:r w:rsidR="000C2A54" w:rsidRPr="003B42D9">
        <w:br/>
      </w:r>
    </w:p>
    <w:p w14:paraId="210F0269" w14:textId="0A7F9E41" w:rsidR="000C2A54" w:rsidRPr="003B42D9" w:rsidRDefault="000C2A54" w:rsidP="000C2A54">
      <w:pPr>
        <w:ind w:left="1985" w:hanging="567"/>
        <w:rPr>
          <w:b/>
        </w:rPr>
      </w:pPr>
      <w:r w:rsidRPr="003B42D9">
        <w:rPr>
          <w:b/>
        </w:rPr>
        <w:t>(ii</w:t>
      </w:r>
      <w:r w:rsidR="003B6BEC">
        <w:rPr>
          <w:b/>
        </w:rPr>
        <w:t>i</w:t>
      </w:r>
      <w:r w:rsidRPr="003B42D9">
        <w:rPr>
          <w:b/>
        </w:rPr>
        <w:t>)</w:t>
      </w:r>
      <w:r w:rsidRPr="003B42D9">
        <w:rPr>
          <w:b/>
        </w:rPr>
        <w:tab/>
        <w:t>Impairment of property, plant and equipment</w:t>
      </w:r>
    </w:p>
    <w:p w14:paraId="57DC372E" w14:textId="77777777" w:rsidR="000C2A54" w:rsidRPr="003B42D9" w:rsidRDefault="000C2A54" w:rsidP="000C2A54">
      <w:pPr>
        <w:ind w:left="1985"/>
      </w:pPr>
      <w:r w:rsidRPr="003B42D9">
        <w:t>Where there is an indication that the carrying value of items of property, plant and equipment may have been impaired through events or changes in circumstances, a review will be undertaken of the recoverable amount of that asset.</w:t>
      </w:r>
    </w:p>
    <w:p w14:paraId="363DD307" w14:textId="77777777" w:rsidR="000C2A54" w:rsidRPr="003B42D9" w:rsidRDefault="000C2A54" w:rsidP="000C2A54"/>
    <w:p w14:paraId="7CD57BEC" w14:textId="268E4C87" w:rsidR="000C2A54" w:rsidRPr="003B42D9" w:rsidRDefault="000C2A54" w:rsidP="000C2A54">
      <w:pPr>
        <w:rPr>
          <w:b/>
        </w:rPr>
      </w:pPr>
      <w:r w:rsidRPr="003B42D9">
        <w:tab/>
      </w:r>
      <w:r w:rsidRPr="003B42D9">
        <w:tab/>
      </w:r>
      <w:r w:rsidRPr="003B42D9">
        <w:rPr>
          <w:b/>
        </w:rPr>
        <w:t>(i</w:t>
      </w:r>
      <w:r w:rsidR="003B6BEC">
        <w:rPr>
          <w:b/>
        </w:rPr>
        <w:t>v</w:t>
      </w:r>
      <w:r w:rsidRPr="003B42D9">
        <w:rPr>
          <w:b/>
        </w:rPr>
        <w:t>) Provisions</w:t>
      </w:r>
    </w:p>
    <w:p w14:paraId="24FFF869" w14:textId="77777777" w:rsidR="000C2A54" w:rsidRPr="003B42D9" w:rsidRDefault="000C2A54" w:rsidP="000C2A54">
      <w:pPr>
        <w:tabs>
          <w:tab w:val="left" w:pos="1276"/>
          <w:tab w:val="left" w:pos="1985"/>
        </w:tabs>
        <w:ind w:left="1985" w:hanging="1985"/>
      </w:pPr>
      <w:r w:rsidRPr="003B42D9">
        <w:rPr>
          <w:b/>
        </w:rPr>
        <w:tab/>
      </w:r>
      <w:r w:rsidRPr="003B42D9">
        <w:rPr>
          <w:b/>
        </w:rPr>
        <w:tab/>
      </w:r>
      <w:r w:rsidRPr="003B42D9">
        <w:t xml:space="preserve">The Commission provides for legal or constructive </w:t>
      </w:r>
      <w:r w:rsidR="00176472" w:rsidRPr="003B42D9">
        <w:t>obligations, which</w:t>
      </w:r>
      <w:r w:rsidRPr="003B42D9">
        <w:t xml:space="preserve"> are of uncertain timing or amount at the reporting date on the basis of the best estimate of the expenditure required to settle the obligation.</w:t>
      </w:r>
    </w:p>
    <w:p w14:paraId="0AE98860" w14:textId="77777777" w:rsidR="000C2A54" w:rsidRPr="003B42D9" w:rsidRDefault="000C2A54" w:rsidP="000C2A54">
      <w:pPr>
        <w:tabs>
          <w:tab w:val="left" w:pos="1276"/>
          <w:tab w:val="left" w:pos="1985"/>
        </w:tabs>
      </w:pPr>
    </w:p>
    <w:p w14:paraId="3C216F24" w14:textId="6F87B029" w:rsidR="000C2A54" w:rsidRPr="003B42D9" w:rsidRDefault="000C2A54" w:rsidP="000C2A54">
      <w:pPr>
        <w:widowControl w:val="0"/>
        <w:autoSpaceDE w:val="0"/>
        <w:autoSpaceDN w:val="0"/>
        <w:adjustRightInd w:val="0"/>
        <w:ind w:left="1418" w:hanging="851"/>
        <w:rPr>
          <w:b/>
        </w:rPr>
      </w:pPr>
      <w:r w:rsidRPr="003B42D9">
        <w:rPr>
          <w:b/>
        </w:rPr>
        <w:t>1.3</w:t>
      </w:r>
      <w:r w:rsidRPr="003B42D9">
        <w:rPr>
          <w:b/>
        </w:rPr>
        <w:tab/>
        <w:t xml:space="preserve">Accounting standards, interpretations and amendments to published standards adopted in the year ended </w:t>
      </w:r>
      <w:r w:rsidR="0029565E">
        <w:rPr>
          <w:b/>
        </w:rPr>
        <w:t>31 March 202</w:t>
      </w:r>
      <w:r w:rsidR="00275EFE">
        <w:rPr>
          <w:b/>
        </w:rPr>
        <w:t>3</w:t>
      </w:r>
    </w:p>
    <w:p w14:paraId="69B18E9E" w14:textId="77777777" w:rsidR="000C2A54" w:rsidRPr="003B42D9" w:rsidRDefault="000C2A54" w:rsidP="000C2A54">
      <w:pPr>
        <w:tabs>
          <w:tab w:val="left" w:pos="567"/>
        </w:tabs>
        <w:ind w:left="540"/>
        <w:jc w:val="both"/>
        <w:rPr>
          <w:rFonts w:ascii="Arial" w:hAnsi="Arial" w:cs="Arial"/>
        </w:rPr>
      </w:pPr>
    </w:p>
    <w:p w14:paraId="5BB93BBB" w14:textId="36E81342" w:rsidR="002D6006" w:rsidRDefault="000C2A54" w:rsidP="002D6006">
      <w:pPr>
        <w:tabs>
          <w:tab w:val="left" w:pos="567"/>
        </w:tabs>
        <w:ind w:left="1418"/>
      </w:pPr>
      <w:r w:rsidRPr="003B42D9">
        <w:t xml:space="preserve">The Commission has reviewed the standards, interpretations and amendments to the International Financial Reporting Standards (IFRS) included in the </w:t>
      </w:r>
      <w:r w:rsidR="0091473F">
        <w:t>202</w:t>
      </w:r>
      <w:r w:rsidR="00135D0B">
        <w:t>2</w:t>
      </w:r>
      <w:r w:rsidR="0029565E">
        <w:t>-2</w:t>
      </w:r>
      <w:r w:rsidR="00135D0B">
        <w:t>3</w:t>
      </w:r>
      <w:r w:rsidRPr="003B42D9">
        <w:t xml:space="preserve"> Government Financial Reporting Manual (FReM) and which are relevant to its operations.  </w:t>
      </w:r>
    </w:p>
    <w:p w14:paraId="5253CA93" w14:textId="77777777" w:rsidR="005B1A34" w:rsidRDefault="005B1A34" w:rsidP="002D6006">
      <w:pPr>
        <w:tabs>
          <w:tab w:val="left" w:pos="567"/>
        </w:tabs>
        <w:ind w:left="1418"/>
      </w:pPr>
    </w:p>
    <w:p w14:paraId="07ED9B6D" w14:textId="77777777" w:rsidR="00D948A4" w:rsidRDefault="005B1A34" w:rsidP="005B1A34">
      <w:pPr>
        <w:tabs>
          <w:tab w:val="left" w:pos="567"/>
        </w:tabs>
        <w:ind w:left="1440" w:hanging="1440"/>
      </w:pPr>
      <w:r>
        <w:tab/>
      </w:r>
      <w:r>
        <w:tab/>
      </w:r>
      <w:r w:rsidRPr="00FC4406">
        <w:rPr>
          <w:b/>
          <w:bCs/>
        </w:rPr>
        <w:t>IFRS 16</w:t>
      </w:r>
      <w:r>
        <w:t xml:space="preserve"> – Leases replaces IAS 17 Leases and related interpretations and had an effective date of 1 January 2019.  The new standard provides a single lessee accounting model, requiring lessees to recognise assets and liabilities for all leases unless the lease term is 12 months or less or the underlying asset has a low value.  Lessors continue to classify leases as operating or finance, with IFRS 16’s approach to lessor accounting substantially unchanged from its predecessor, IAS 17.  The new standard was due to be applied </w:t>
      </w:r>
      <w:r>
        <w:lastRenderedPageBreak/>
        <w:t>from 1 April 2019, however,</w:t>
      </w:r>
      <w:r w:rsidR="00DC0FA7">
        <w:t xml:space="preserve"> for bodies applying the Government Financial Reporting Manual (FReM), HM Treasury have agreed with</w:t>
      </w:r>
      <w:r>
        <w:t xml:space="preserve"> the Financial Reporting Advisory Board </w:t>
      </w:r>
      <w:r w:rsidR="00DC0FA7">
        <w:t xml:space="preserve">(FRAB) to defer the implementation of IFRS16 until 1 April 2022.  The Commission is impacted by the </w:t>
      </w:r>
      <w:r w:rsidR="00D948A4">
        <w:t>implementation in relation to the Alfred House lease.</w:t>
      </w:r>
    </w:p>
    <w:p w14:paraId="3E3175E6" w14:textId="77777777" w:rsidR="00731E65" w:rsidRDefault="00731E65" w:rsidP="005B1A34">
      <w:pPr>
        <w:tabs>
          <w:tab w:val="left" w:pos="567"/>
        </w:tabs>
        <w:ind w:left="1440" w:hanging="1440"/>
      </w:pPr>
    </w:p>
    <w:p w14:paraId="22889563" w14:textId="4DA055DB" w:rsidR="00731E65" w:rsidRDefault="00731E65" w:rsidP="005B1A34">
      <w:pPr>
        <w:tabs>
          <w:tab w:val="left" w:pos="567"/>
        </w:tabs>
        <w:ind w:left="1440" w:hanging="1440"/>
      </w:pPr>
      <w:r>
        <w:tab/>
      </w:r>
      <w:r>
        <w:tab/>
        <w:t>In respect of lessees, IFRS16 removes the distinction between operating and finance leases and introduces a single accounting model that requires a lessee to recognise (right-of-use) assets and lease liabilities.</w:t>
      </w:r>
    </w:p>
    <w:p w14:paraId="0E76704F" w14:textId="77777777" w:rsidR="00731E65" w:rsidRDefault="00731E65" w:rsidP="005B1A34">
      <w:pPr>
        <w:tabs>
          <w:tab w:val="left" w:pos="567"/>
        </w:tabs>
        <w:ind w:left="1440" w:hanging="1440"/>
      </w:pPr>
    </w:p>
    <w:p w14:paraId="767D5B9B" w14:textId="0B7DBB00" w:rsidR="00731E65" w:rsidRDefault="00731E65" w:rsidP="005B1A34">
      <w:pPr>
        <w:tabs>
          <w:tab w:val="left" w:pos="567"/>
        </w:tabs>
        <w:ind w:left="1440" w:hanging="1440"/>
      </w:pPr>
      <w:r>
        <w:tab/>
      </w:r>
      <w:r>
        <w:tab/>
        <w:t>The definition of a lease has been updated under IFRS16, there is more emphasis on being able to control the use of the asset identified in a contract.  There are new requirements for variable lease payments such as RPI/CPI uplifts; and there is an accounting policy choice allowable to separate non-lease components.</w:t>
      </w:r>
    </w:p>
    <w:p w14:paraId="68E196C6" w14:textId="77777777" w:rsidR="00731E65" w:rsidRDefault="00731E65" w:rsidP="005B1A34">
      <w:pPr>
        <w:tabs>
          <w:tab w:val="left" w:pos="567"/>
        </w:tabs>
        <w:ind w:left="1440" w:hanging="1440"/>
      </w:pPr>
    </w:p>
    <w:p w14:paraId="19B50172" w14:textId="6AAAE866" w:rsidR="00731E65" w:rsidRDefault="00731E65" w:rsidP="005B1A34">
      <w:pPr>
        <w:tabs>
          <w:tab w:val="left" w:pos="567"/>
        </w:tabs>
        <w:ind w:left="1440" w:hanging="1440"/>
        <w:rPr>
          <w:b/>
          <w:bCs/>
        </w:rPr>
      </w:pPr>
      <w:r>
        <w:tab/>
      </w:r>
      <w:r>
        <w:tab/>
      </w:r>
      <w:r>
        <w:rPr>
          <w:b/>
          <w:bCs/>
        </w:rPr>
        <w:t>Implementation and Assumptions</w:t>
      </w:r>
    </w:p>
    <w:p w14:paraId="2ED3C5EA" w14:textId="77777777" w:rsidR="00731E65" w:rsidRDefault="00731E65" w:rsidP="005B1A34">
      <w:pPr>
        <w:tabs>
          <w:tab w:val="left" w:pos="567"/>
        </w:tabs>
        <w:ind w:left="1440" w:hanging="1440"/>
        <w:rPr>
          <w:b/>
          <w:bCs/>
        </w:rPr>
      </w:pPr>
    </w:p>
    <w:p w14:paraId="3F984839" w14:textId="03481A77" w:rsidR="00731E65" w:rsidRDefault="00731E65" w:rsidP="005B1A34">
      <w:pPr>
        <w:tabs>
          <w:tab w:val="left" w:pos="567"/>
        </w:tabs>
        <w:ind w:left="1440" w:hanging="1440"/>
      </w:pPr>
      <w:r>
        <w:tab/>
      </w:r>
      <w:r>
        <w:tab/>
        <w:t>The Commission has applied IFRS16 using the modified retrospective approach and therefore the comparative information has not been restated and continues to be reported under IAS17 and IFRIC4.  The cumulative effect of adopting IFRS16 is included as an adjustment to equity at the beginning</w:t>
      </w:r>
      <w:r w:rsidR="00E860AD">
        <w:t xml:space="preserve"> of the current period.</w:t>
      </w:r>
    </w:p>
    <w:p w14:paraId="521CD8CE" w14:textId="77777777" w:rsidR="00E860AD" w:rsidRDefault="00E860AD" w:rsidP="005B1A34">
      <w:pPr>
        <w:tabs>
          <w:tab w:val="left" w:pos="567"/>
        </w:tabs>
        <w:ind w:left="1440" w:hanging="1440"/>
      </w:pPr>
    </w:p>
    <w:p w14:paraId="5114BD30" w14:textId="2C48EAC5" w:rsidR="00E860AD" w:rsidRDefault="00E860AD" w:rsidP="005B1A34">
      <w:pPr>
        <w:tabs>
          <w:tab w:val="left" w:pos="567"/>
        </w:tabs>
        <w:ind w:left="1440" w:hanging="1440"/>
      </w:pPr>
      <w:r>
        <w:tab/>
      </w:r>
      <w:r>
        <w:tab/>
        <w:t>IAS17 operating leases are included within our statement of financial position as a lease liability and right-of-use asset for the first time with changes made through the general fund as a cumulative catch up adjustment.  The calculation of the lease liability and right-of-use assets are included below.</w:t>
      </w:r>
    </w:p>
    <w:p w14:paraId="00F5774A" w14:textId="77777777" w:rsidR="00E860AD" w:rsidRDefault="00E860AD" w:rsidP="005B1A34">
      <w:pPr>
        <w:tabs>
          <w:tab w:val="left" w:pos="567"/>
        </w:tabs>
        <w:ind w:left="1440" w:hanging="1440"/>
      </w:pPr>
    </w:p>
    <w:p w14:paraId="3E10CFE6" w14:textId="5DE2A89B" w:rsidR="00E860AD" w:rsidRDefault="00E860AD" w:rsidP="005B1A34">
      <w:pPr>
        <w:tabs>
          <w:tab w:val="left" w:pos="567"/>
        </w:tabs>
        <w:ind w:left="1440" w:hanging="1440"/>
      </w:pPr>
      <w:r>
        <w:tab/>
      </w:r>
      <w:r>
        <w:tab/>
        <w:t>The option to reassess whether a contract is, or contains, a lease at the date of initial application has not been used, the Commission has used the practical expedient detailed in IFRS16 (C3).1.</w:t>
      </w:r>
    </w:p>
    <w:p w14:paraId="102D10EA" w14:textId="77777777" w:rsidR="00E860AD" w:rsidRDefault="00E860AD" w:rsidP="005B1A34">
      <w:pPr>
        <w:tabs>
          <w:tab w:val="left" w:pos="567"/>
        </w:tabs>
        <w:ind w:left="1440" w:hanging="1440"/>
      </w:pPr>
    </w:p>
    <w:p w14:paraId="22876167" w14:textId="398EADB7" w:rsidR="00E860AD" w:rsidRDefault="00E860AD" w:rsidP="005B1A34">
      <w:pPr>
        <w:tabs>
          <w:tab w:val="left" w:pos="567"/>
        </w:tabs>
        <w:ind w:left="1440" w:hanging="1440"/>
      </w:pPr>
      <w:r>
        <w:tab/>
      </w:r>
      <w:r>
        <w:tab/>
        <w:t xml:space="preserve">On transition any differences between the discounted lease liability and the right-of-use asset are included through cumulative catch up.  Any differences between lease liability and right-of-use asset </w:t>
      </w:r>
      <w:r w:rsidR="00280D8F">
        <w:t>for new leases after implementation of IFRS16 are recorded in income on the SoCNE.</w:t>
      </w:r>
    </w:p>
    <w:p w14:paraId="11021C6A" w14:textId="77777777" w:rsidR="00280D8F" w:rsidRDefault="00280D8F" w:rsidP="005B1A34">
      <w:pPr>
        <w:tabs>
          <w:tab w:val="left" w:pos="567"/>
        </w:tabs>
        <w:ind w:left="1440" w:hanging="1440"/>
      </w:pPr>
    </w:p>
    <w:p w14:paraId="026DD68C" w14:textId="74E37646" w:rsidR="00280D8F" w:rsidRDefault="00280D8F" w:rsidP="005B1A34">
      <w:pPr>
        <w:tabs>
          <w:tab w:val="left" w:pos="567"/>
        </w:tabs>
        <w:ind w:left="1440" w:hanging="1440"/>
      </w:pPr>
      <w:r>
        <w:tab/>
      </w:r>
      <w:r>
        <w:tab/>
        <w:t>The Commission has elected not to recognise right-of-use assets and lease liabilities for the following leases:</w:t>
      </w:r>
    </w:p>
    <w:p w14:paraId="7468B622" w14:textId="77777777" w:rsidR="00280D8F" w:rsidRDefault="00280D8F" w:rsidP="005B1A34">
      <w:pPr>
        <w:tabs>
          <w:tab w:val="left" w:pos="567"/>
        </w:tabs>
        <w:ind w:left="1440" w:hanging="1440"/>
      </w:pPr>
    </w:p>
    <w:p w14:paraId="6C15B50E" w14:textId="3EEAF7EB" w:rsidR="00280D8F" w:rsidRDefault="00280D8F" w:rsidP="00280D8F">
      <w:pPr>
        <w:pStyle w:val="ListParagraph"/>
        <w:numPr>
          <w:ilvl w:val="2"/>
          <w:numId w:val="25"/>
        </w:numPr>
        <w:tabs>
          <w:tab w:val="left" w:pos="567"/>
        </w:tabs>
      </w:pPr>
      <w:r>
        <w:lastRenderedPageBreak/>
        <w:t>Intangible assets;</w:t>
      </w:r>
    </w:p>
    <w:p w14:paraId="1A0CCE7C" w14:textId="4448CB33" w:rsidR="00280D8F" w:rsidRDefault="00280D8F" w:rsidP="00280D8F">
      <w:pPr>
        <w:pStyle w:val="ListParagraph"/>
        <w:numPr>
          <w:ilvl w:val="2"/>
          <w:numId w:val="25"/>
        </w:numPr>
        <w:tabs>
          <w:tab w:val="left" w:pos="567"/>
        </w:tabs>
      </w:pPr>
      <w:r>
        <w:t>Non-lease components of contracts where applicable;</w:t>
      </w:r>
    </w:p>
    <w:p w14:paraId="3D8BB91D" w14:textId="554F0557" w:rsidR="00280D8F" w:rsidRDefault="00280D8F" w:rsidP="00280D8F">
      <w:pPr>
        <w:pStyle w:val="ListParagraph"/>
        <w:numPr>
          <w:ilvl w:val="2"/>
          <w:numId w:val="25"/>
        </w:numPr>
        <w:tabs>
          <w:tab w:val="left" w:pos="567"/>
        </w:tabs>
      </w:pPr>
      <w:r>
        <w:t xml:space="preserve">Low value assets (less than £1,000); and </w:t>
      </w:r>
    </w:p>
    <w:p w14:paraId="3A91D458" w14:textId="1DAE4988" w:rsidR="00280D8F" w:rsidRDefault="00280D8F" w:rsidP="00280D8F">
      <w:pPr>
        <w:pStyle w:val="ListParagraph"/>
        <w:numPr>
          <w:ilvl w:val="2"/>
          <w:numId w:val="25"/>
        </w:numPr>
        <w:tabs>
          <w:tab w:val="left" w:pos="567"/>
        </w:tabs>
      </w:pPr>
      <w:r>
        <w:t>Leases with a lease term of 12 months or less.</w:t>
      </w:r>
    </w:p>
    <w:p w14:paraId="07CF7673" w14:textId="77777777" w:rsidR="00280D8F" w:rsidRDefault="00280D8F" w:rsidP="00280D8F">
      <w:pPr>
        <w:tabs>
          <w:tab w:val="left" w:pos="567"/>
        </w:tabs>
      </w:pPr>
    </w:p>
    <w:p w14:paraId="7A6EF160" w14:textId="7C0C04E6" w:rsidR="00280D8F" w:rsidRDefault="00280D8F" w:rsidP="00280D8F">
      <w:pPr>
        <w:tabs>
          <w:tab w:val="left" w:pos="567"/>
        </w:tabs>
        <w:rPr>
          <w:b/>
          <w:bCs/>
        </w:rPr>
      </w:pPr>
      <w:r>
        <w:tab/>
      </w:r>
      <w:r>
        <w:tab/>
      </w:r>
      <w:r>
        <w:tab/>
      </w:r>
      <w:r>
        <w:rPr>
          <w:b/>
          <w:bCs/>
        </w:rPr>
        <w:t>Previous Treatment</w:t>
      </w:r>
    </w:p>
    <w:p w14:paraId="607259E2" w14:textId="77777777" w:rsidR="00280D8F" w:rsidRDefault="00280D8F" w:rsidP="00280D8F">
      <w:pPr>
        <w:tabs>
          <w:tab w:val="left" w:pos="567"/>
        </w:tabs>
        <w:rPr>
          <w:b/>
          <w:bCs/>
        </w:rPr>
      </w:pPr>
    </w:p>
    <w:p w14:paraId="205E08D8" w14:textId="0CDD242D" w:rsidR="00280D8F" w:rsidRDefault="00280D8F" w:rsidP="00280D8F">
      <w:pPr>
        <w:tabs>
          <w:tab w:val="left" w:pos="567"/>
        </w:tabs>
        <w:ind w:left="1440"/>
      </w:pPr>
      <w:r>
        <w:t xml:space="preserve">In the comparative period, as a lessee the Commission classified leases that transfer substantially all the risks and rewards of ownership as finance leases.  </w:t>
      </w:r>
    </w:p>
    <w:p w14:paraId="0EE40E0F" w14:textId="77777777" w:rsidR="00280D8F" w:rsidRDefault="00280D8F" w:rsidP="00280D8F">
      <w:pPr>
        <w:tabs>
          <w:tab w:val="left" w:pos="567"/>
        </w:tabs>
        <w:ind w:left="1440"/>
      </w:pPr>
    </w:p>
    <w:p w14:paraId="39532203" w14:textId="79988AA9" w:rsidR="00280D8F" w:rsidRDefault="00280D8F" w:rsidP="00280D8F">
      <w:pPr>
        <w:tabs>
          <w:tab w:val="left" w:pos="567"/>
        </w:tabs>
        <w:ind w:left="1440"/>
      </w:pPr>
      <w:r>
        <w:t>Assets previously held as operating leases were not recognised in the Commissions statement of financial position.  Payments were recognised on a straight line basis over the term of the lease.  Lease incentives were recognised as an integral part of the total lease expense, over the term of the lease.</w:t>
      </w:r>
    </w:p>
    <w:p w14:paraId="720EF8E6" w14:textId="77777777" w:rsidR="00280D8F" w:rsidRDefault="00280D8F" w:rsidP="00280D8F">
      <w:pPr>
        <w:tabs>
          <w:tab w:val="left" w:pos="567"/>
        </w:tabs>
        <w:ind w:left="1440"/>
      </w:pPr>
    </w:p>
    <w:p w14:paraId="4CCDD218" w14:textId="03F9B187" w:rsidR="00280D8F" w:rsidRDefault="00280D8F" w:rsidP="00280D8F">
      <w:pPr>
        <w:tabs>
          <w:tab w:val="left" w:pos="567"/>
        </w:tabs>
        <w:ind w:left="1440"/>
        <w:rPr>
          <w:b/>
          <w:bCs/>
        </w:rPr>
      </w:pPr>
      <w:r>
        <w:rPr>
          <w:b/>
          <w:bCs/>
        </w:rPr>
        <w:t>Policy applicable from 1 April 2022</w:t>
      </w:r>
    </w:p>
    <w:p w14:paraId="69133906" w14:textId="77777777" w:rsidR="00280D8F" w:rsidRDefault="00280D8F" w:rsidP="00280D8F">
      <w:pPr>
        <w:tabs>
          <w:tab w:val="left" w:pos="567"/>
        </w:tabs>
        <w:ind w:left="1440"/>
        <w:rPr>
          <w:b/>
          <w:bCs/>
        </w:rPr>
      </w:pPr>
    </w:p>
    <w:p w14:paraId="09707EE6" w14:textId="6D4E8A89" w:rsidR="00280D8F" w:rsidRDefault="00280D8F" w:rsidP="00280D8F">
      <w:pPr>
        <w:tabs>
          <w:tab w:val="left" w:pos="567"/>
        </w:tabs>
        <w:ind w:left="1440"/>
      </w:pPr>
      <w:r>
        <w:t>At inception of a contract, the Commission assess whether a contract is, or contains, a lease.  A contract is, or contains a lease if the contract conveys the right to control the use of an identified asset for a period of time.</w:t>
      </w:r>
    </w:p>
    <w:p w14:paraId="7A6CCD94" w14:textId="77777777" w:rsidR="00280D8F" w:rsidRDefault="00280D8F" w:rsidP="00280D8F">
      <w:pPr>
        <w:tabs>
          <w:tab w:val="left" w:pos="567"/>
        </w:tabs>
        <w:ind w:left="1440"/>
      </w:pPr>
    </w:p>
    <w:p w14:paraId="5404054C" w14:textId="68480DDC" w:rsidR="00280D8F" w:rsidRDefault="00280D8F" w:rsidP="00280D8F">
      <w:pPr>
        <w:tabs>
          <w:tab w:val="left" w:pos="567"/>
        </w:tabs>
        <w:ind w:left="1440"/>
      </w:pPr>
      <w:r>
        <w:t>This includes assets for which there is no consideration.  To assess whether a contract conveys the right to control the use of an identified asset, the Commission assesses whether:</w:t>
      </w:r>
    </w:p>
    <w:p w14:paraId="6A1AE540" w14:textId="77777777" w:rsidR="00280D8F" w:rsidRDefault="00280D8F" w:rsidP="00280D8F">
      <w:pPr>
        <w:tabs>
          <w:tab w:val="left" w:pos="567"/>
        </w:tabs>
        <w:ind w:left="1440"/>
      </w:pPr>
    </w:p>
    <w:p w14:paraId="28D46BFF" w14:textId="2E51B1DE" w:rsidR="00280D8F" w:rsidRDefault="00280D8F" w:rsidP="00280D8F">
      <w:pPr>
        <w:pStyle w:val="ListParagraph"/>
        <w:numPr>
          <w:ilvl w:val="0"/>
          <w:numId w:val="39"/>
        </w:numPr>
        <w:tabs>
          <w:tab w:val="left" w:pos="567"/>
        </w:tabs>
      </w:pPr>
      <w:r>
        <w:t>The contract involves the use of an identified asset;</w:t>
      </w:r>
    </w:p>
    <w:p w14:paraId="66E35AE0" w14:textId="127B406D" w:rsidR="00280D8F" w:rsidRDefault="00280D8F" w:rsidP="00280D8F">
      <w:pPr>
        <w:pStyle w:val="ListParagraph"/>
        <w:numPr>
          <w:ilvl w:val="0"/>
          <w:numId w:val="39"/>
        </w:numPr>
        <w:tabs>
          <w:tab w:val="left" w:pos="567"/>
        </w:tabs>
      </w:pPr>
      <w:r>
        <w:t xml:space="preserve">The Commission has the right to obtain substantially all of the economic benefit from the use of the asset throughout the period of use; and </w:t>
      </w:r>
    </w:p>
    <w:p w14:paraId="57845B6E" w14:textId="7A08AA32" w:rsidR="00280D8F" w:rsidRDefault="00280D8F" w:rsidP="00280D8F">
      <w:pPr>
        <w:pStyle w:val="ListParagraph"/>
        <w:numPr>
          <w:ilvl w:val="0"/>
          <w:numId w:val="39"/>
        </w:numPr>
        <w:tabs>
          <w:tab w:val="left" w:pos="567"/>
        </w:tabs>
      </w:pPr>
      <w:r>
        <w:t xml:space="preserve">The Commission has the right </w:t>
      </w:r>
      <w:r w:rsidR="00102EAF">
        <w:t>to direct the use of the asset.</w:t>
      </w:r>
    </w:p>
    <w:p w14:paraId="5A4D6599" w14:textId="77777777" w:rsidR="00102EAF" w:rsidRDefault="00102EAF" w:rsidP="00102EAF">
      <w:pPr>
        <w:tabs>
          <w:tab w:val="left" w:pos="567"/>
        </w:tabs>
      </w:pPr>
    </w:p>
    <w:p w14:paraId="2ABC9CC4" w14:textId="0B298F9A" w:rsidR="00102EAF" w:rsidRDefault="00102EAF" w:rsidP="00102EAF">
      <w:pPr>
        <w:tabs>
          <w:tab w:val="left" w:pos="567"/>
        </w:tabs>
        <w:ind w:left="1440"/>
      </w:pPr>
      <w:r>
        <w:t>The policy is applied to contracts entered into, or changed, on or after 1 April 2022.</w:t>
      </w:r>
    </w:p>
    <w:p w14:paraId="67C7EAB9" w14:textId="77777777" w:rsidR="00102EAF" w:rsidRDefault="00102EAF" w:rsidP="00102EAF">
      <w:pPr>
        <w:tabs>
          <w:tab w:val="left" w:pos="567"/>
        </w:tabs>
        <w:ind w:left="1440"/>
      </w:pPr>
    </w:p>
    <w:p w14:paraId="211E584E" w14:textId="58679801" w:rsidR="00102EAF" w:rsidRDefault="00102EAF" w:rsidP="00102EAF">
      <w:pPr>
        <w:tabs>
          <w:tab w:val="left" w:pos="567"/>
        </w:tabs>
        <w:ind w:left="1440"/>
      </w:pPr>
      <w:r>
        <w:t>At inception or on reassessment of a contract that contains a lease component, the Commission allocates the consideration in the contract to each lease component on the basis of the relative standalone prices.</w:t>
      </w:r>
    </w:p>
    <w:p w14:paraId="54E4D2A5" w14:textId="77777777" w:rsidR="00102EAF" w:rsidRDefault="00102EAF" w:rsidP="00102EAF">
      <w:pPr>
        <w:tabs>
          <w:tab w:val="left" w:pos="567"/>
        </w:tabs>
        <w:ind w:left="1440"/>
      </w:pPr>
    </w:p>
    <w:p w14:paraId="20292BFE" w14:textId="1D77EB02" w:rsidR="00102EAF" w:rsidRDefault="00102EAF" w:rsidP="00102EAF">
      <w:pPr>
        <w:tabs>
          <w:tab w:val="left" w:pos="567"/>
        </w:tabs>
        <w:ind w:left="1440"/>
      </w:pPr>
      <w:r>
        <w:t xml:space="preserve">The Commission assess whether it is reasonably certain to exercise break options or extension options as the lease commencement date.  The Commission reassesses this if </w:t>
      </w:r>
      <w:r>
        <w:lastRenderedPageBreak/>
        <w:t>there are significant events or changes in circumstances that were anticipated.</w:t>
      </w:r>
    </w:p>
    <w:p w14:paraId="2757C90E" w14:textId="77777777" w:rsidR="00102EAF" w:rsidRDefault="00102EAF" w:rsidP="00102EAF">
      <w:pPr>
        <w:tabs>
          <w:tab w:val="left" w:pos="567"/>
        </w:tabs>
        <w:ind w:left="1440"/>
      </w:pPr>
    </w:p>
    <w:p w14:paraId="79C51E4F" w14:textId="0709BABE" w:rsidR="00102EAF" w:rsidRDefault="00102EAF" w:rsidP="00102EAF">
      <w:pPr>
        <w:tabs>
          <w:tab w:val="left" w:pos="567"/>
        </w:tabs>
        <w:ind w:left="1440"/>
        <w:rPr>
          <w:b/>
          <w:bCs/>
        </w:rPr>
      </w:pPr>
      <w:r>
        <w:rPr>
          <w:b/>
          <w:bCs/>
        </w:rPr>
        <w:t>As a lessee</w:t>
      </w:r>
    </w:p>
    <w:p w14:paraId="75705BA2" w14:textId="77777777" w:rsidR="00102EAF" w:rsidRDefault="00102EAF" w:rsidP="00102EAF">
      <w:pPr>
        <w:tabs>
          <w:tab w:val="left" w:pos="567"/>
        </w:tabs>
        <w:ind w:left="1440"/>
        <w:rPr>
          <w:b/>
          <w:bCs/>
        </w:rPr>
      </w:pPr>
    </w:p>
    <w:p w14:paraId="0BC20094" w14:textId="488AFC97" w:rsidR="00102EAF" w:rsidRDefault="00102EAF" w:rsidP="00102EAF">
      <w:pPr>
        <w:tabs>
          <w:tab w:val="left" w:pos="567"/>
        </w:tabs>
        <w:ind w:left="1440"/>
        <w:rPr>
          <w:b/>
          <w:bCs/>
        </w:rPr>
      </w:pPr>
      <w:r>
        <w:rPr>
          <w:b/>
          <w:bCs/>
        </w:rPr>
        <w:t>Right-of-Use assets</w:t>
      </w:r>
    </w:p>
    <w:p w14:paraId="72C6DD6D" w14:textId="77777777" w:rsidR="00102EAF" w:rsidRDefault="00102EAF" w:rsidP="00102EAF">
      <w:pPr>
        <w:tabs>
          <w:tab w:val="left" w:pos="567"/>
        </w:tabs>
        <w:ind w:left="1440"/>
        <w:rPr>
          <w:b/>
          <w:bCs/>
        </w:rPr>
      </w:pPr>
    </w:p>
    <w:p w14:paraId="0034AF2D" w14:textId="514EA8D6" w:rsidR="00102EAF" w:rsidRDefault="00102EAF" w:rsidP="00102EAF">
      <w:pPr>
        <w:tabs>
          <w:tab w:val="left" w:pos="567"/>
        </w:tabs>
        <w:ind w:left="1440"/>
      </w:pPr>
      <w:r>
        <w:t>The Commission recognises a right-of-use asset and lease liability at the commencement date.  The right-of-use asset is initially measured at cost, which comprises the initial amount of the lease liability adjusted for initial direct costs, prepayments or incentives, and costs related to restoration at the end of the lease.</w:t>
      </w:r>
    </w:p>
    <w:p w14:paraId="093527E1" w14:textId="77777777" w:rsidR="00102EAF" w:rsidRDefault="00102EAF" w:rsidP="00102EAF">
      <w:pPr>
        <w:tabs>
          <w:tab w:val="left" w:pos="567"/>
        </w:tabs>
        <w:ind w:left="1440"/>
      </w:pPr>
    </w:p>
    <w:p w14:paraId="00A79A9B" w14:textId="2FF1B3EB" w:rsidR="00102EAF" w:rsidRDefault="00102EAF" w:rsidP="00102EAF">
      <w:pPr>
        <w:tabs>
          <w:tab w:val="left" w:pos="567"/>
        </w:tabs>
        <w:ind w:left="1440"/>
      </w:pPr>
      <w:r>
        <w:t>The right-of-use assets are subsequently measured at either fair value or current value in existing use in line with property, plant and equipment assets.  The cost measurement model in IFRS16 is used as an appropriate proxy for current value in existing use or fair value for the majority of leases (consistent with the principles for subsequent measurement of property, plant and equipment)</w:t>
      </w:r>
      <w:r w:rsidR="002D27A0">
        <w:t xml:space="preserve"> except for those which meet one of the following:</w:t>
      </w:r>
    </w:p>
    <w:p w14:paraId="28741E6D" w14:textId="77777777" w:rsidR="002D27A0" w:rsidRDefault="002D27A0" w:rsidP="00102EAF">
      <w:pPr>
        <w:tabs>
          <w:tab w:val="left" w:pos="567"/>
        </w:tabs>
        <w:ind w:left="1440"/>
      </w:pPr>
    </w:p>
    <w:p w14:paraId="05D3E8D8" w14:textId="31E986E7" w:rsidR="002D27A0" w:rsidRDefault="002D27A0" w:rsidP="002D27A0">
      <w:pPr>
        <w:pStyle w:val="ListParagraph"/>
        <w:numPr>
          <w:ilvl w:val="0"/>
          <w:numId w:val="40"/>
        </w:numPr>
        <w:tabs>
          <w:tab w:val="left" w:pos="567"/>
        </w:tabs>
      </w:pPr>
      <w:r>
        <w:t>A longer-term lease that has no provisions to update lease payments for market conditions or if there is a significant period of time between those updates; and;</w:t>
      </w:r>
    </w:p>
    <w:p w14:paraId="6F1273DB" w14:textId="544E2175" w:rsidR="002D27A0" w:rsidRDefault="002D27A0" w:rsidP="002D27A0">
      <w:pPr>
        <w:pStyle w:val="ListParagraph"/>
        <w:numPr>
          <w:ilvl w:val="0"/>
          <w:numId w:val="40"/>
        </w:numPr>
        <w:tabs>
          <w:tab w:val="left" w:pos="567"/>
        </w:tabs>
      </w:pPr>
      <w:r>
        <w:t>The fair value or current value in existing use of the underlying asset is likely to fluctuate significantly due to changes in market prices.</w:t>
      </w:r>
    </w:p>
    <w:p w14:paraId="15B112E4" w14:textId="77777777" w:rsidR="002D27A0" w:rsidRDefault="002D27A0" w:rsidP="002D27A0">
      <w:pPr>
        <w:tabs>
          <w:tab w:val="left" w:pos="567"/>
        </w:tabs>
      </w:pPr>
    </w:p>
    <w:p w14:paraId="5BC1C5A8" w14:textId="42DC1364" w:rsidR="002D27A0" w:rsidRDefault="002D27A0" w:rsidP="002D27A0">
      <w:pPr>
        <w:tabs>
          <w:tab w:val="left" w:pos="567"/>
        </w:tabs>
        <w:ind w:left="1440"/>
      </w:pPr>
      <w:r>
        <w:t>The right-of-use assets are depreciated using the straight line method from the commencement date to the earlier of the end of the useful life of the right-of-use asset or the end of the lease term.  The estimated useful lives of the right-of-use assets are determined on the same basis of those of property, plant and equipment.</w:t>
      </w:r>
    </w:p>
    <w:p w14:paraId="6BFFB2C0" w14:textId="77777777" w:rsidR="002D27A0" w:rsidRDefault="002D27A0" w:rsidP="002D27A0">
      <w:pPr>
        <w:tabs>
          <w:tab w:val="left" w:pos="567"/>
        </w:tabs>
        <w:ind w:left="1440"/>
      </w:pPr>
    </w:p>
    <w:p w14:paraId="265E707B" w14:textId="5E411D62" w:rsidR="002D27A0" w:rsidRDefault="002D27A0" w:rsidP="002D27A0">
      <w:pPr>
        <w:tabs>
          <w:tab w:val="left" w:pos="567"/>
        </w:tabs>
        <w:ind w:left="1440"/>
      </w:pPr>
      <w:r>
        <w:t>The Commission applies IAS36 Impairment of Assets to determine whether the right-of-use asset is impaired and to account for any impairment loss identified.</w:t>
      </w:r>
    </w:p>
    <w:p w14:paraId="4B2326E0" w14:textId="77777777" w:rsidR="002D27A0" w:rsidRDefault="002D27A0" w:rsidP="002D27A0">
      <w:pPr>
        <w:tabs>
          <w:tab w:val="left" w:pos="567"/>
        </w:tabs>
        <w:ind w:left="1440"/>
      </w:pPr>
    </w:p>
    <w:p w14:paraId="5713E1B6" w14:textId="277E07CD" w:rsidR="002D27A0" w:rsidRDefault="002D27A0" w:rsidP="002D27A0">
      <w:pPr>
        <w:tabs>
          <w:tab w:val="left" w:pos="567"/>
        </w:tabs>
        <w:ind w:left="1440"/>
        <w:rPr>
          <w:b/>
          <w:bCs/>
        </w:rPr>
      </w:pPr>
      <w:r>
        <w:rPr>
          <w:b/>
          <w:bCs/>
        </w:rPr>
        <w:t>Lease liabilities</w:t>
      </w:r>
    </w:p>
    <w:p w14:paraId="76C753DD" w14:textId="77777777" w:rsidR="002D27A0" w:rsidRDefault="002D27A0" w:rsidP="002D27A0">
      <w:pPr>
        <w:tabs>
          <w:tab w:val="left" w:pos="567"/>
        </w:tabs>
        <w:ind w:left="1440"/>
        <w:rPr>
          <w:b/>
          <w:bCs/>
        </w:rPr>
      </w:pPr>
    </w:p>
    <w:p w14:paraId="22C2432D" w14:textId="3C2D524C" w:rsidR="002D27A0" w:rsidRDefault="002D27A0" w:rsidP="000960B2">
      <w:pPr>
        <w:tabs>
          <w:tab w:val="left" w:pos="567"/>
        </w:tabs>
        <w:ind w:left="1440"/>
      </w:pPr>
      <w:r>
        <w:t>The lease liability is initially measured at the present value of the lease payments that are not paid at the commencement date, discounted using the interest rate implicit in the lease, or if that cannot be readily determined, the rate provided by HMT.</w:t>
      </w:r>
    </w:p>
    <w:p w14:paraId="072296C7" w14:textId="5B92E107" w:rsidR="002D27A0" w:rsidRDefault="002D27A0" w:rsidP="002D27A0">
      <w:pPr>
        <w:tabs>
          <w:tab w:val="left" w:pos="567"/>
        </w:tabs>
        <w:ind w:left="1440"/>
      </w:pPr>
      <w:r>
        <w:lastRenderedPageBreak/>
        <w:t xml:space="preserve">The lease payment is measured at amortised cost using the effective interest method.  It is remeasured when there is a change in future lease payments arising from a change in the index or rate, if there is a change in the Commission’s estimates of the amount expected to be payable under residual </w:t>
      </w:r>
      <w:r w:rsidR="00267DFA">
        <w:t>value guarantee, or if the Commission changes its assessment of whether it will exercise a purchase, extension or termination option.</w:t>
      </w:r>
    </w:p>
    <w:p w14:paraId="2BC61FA0" w14:textId="77777777" w:rsidR="00010ACD" w:rsidRDefault="00010ACD" w:rsidP="002D27A0">
      <w:pPr>
        <w:tabs>
          <w:tab w:val="left" w:pos="567"/>
        </w:tabs>
        <w:ind w:left="1440"/>
      </w:pPr>
    </w:p>
    <w:p w14:paraId="07A060B1" w14:textId="5B84E93F" w:rsidR="00010ACD" w:rsidRDefault="00010ACD" w:rsidP="002D27A0">
      <w:pPr>
        <w:tabs>
          <w:tab w:val="left" w:pos="567"/>
        </w:tabs>
        <w:ind w:left="1440"/>
      </w:pPr>
      <w:r>
        <w:t>Lease payments included in the measurement of the lease liability comprises of the following:</w:t>
      </w:r>
    </w:p>
    <w:p w14:paraId="35B375F4" w14:textId="77777777" w:rsidR="00010ACD" w:rsidRDefault="00010ACD" w:rsidP="002D27A0">
      <w:pPr>
        <w:tabs>
          <w:tab w:val="left" w:pos="567"/>
        </w:tabs>
        <w:ind w:left="1440"/>
      </w:pPr>
    </w:p>
    <w:p w14:paraId="0108EA57" w14:textId="3E10E934" w:rsidR="00010ACD" w:rsidRDefault="00010ACD" w:rsidP="00010ACD">
      <w:pPr>
        <w:pStyle w:val="ListParagraph"/>
        <w:numPr>
          <w:ilvl w:val="0"/>
          <w:numId w:val="41"/>
        </w:numPr>
        <w:tabs>
          <w:tab w:val="left" w:pos="567"/>
        </w:tabs>
      </w:pPr>
      <w:r>
        <w:t>Fixed payments, including in-substance fixed payments;</w:t>
      </w:r>
    </w:p>
    <w:p w14:paraId="25B2C344" w14:textId="66A79628" w:rsidR="00010ACD" w:rsidRDefault="00010ACD" w:rsidP="00010ACD">
      <w:pPr>
        <w:pStyle w:val="ListParagraph"/>
        <w:numPr>
          <w:ilvl w:val="0"/>
          <w:numId w:val="41"/>
        </w:numPr>
        <w:tabs>
          <w:tab w:val="left" w:pos="567"/>
        </w:tabs>
      </w:pPr>
      <w:r>
        <w:t>Variable lease payments that depend on an index or a rate, initially measured using the index rate as at the commencement date;</w:t>
      </w:r>
    </w:p>
    <w:p w14:paraId="26E39495" w14:textId="03569A3D" w:rsidR="00010ACD" w:rsidRDefault="00010ACD" w:rsidP="00010ACD">
      <w:pPr>
        <w:pStyle w:val="ListParagraph"/>
        <w:numPr>
          <w:ilvl w:val="0"/>
          <w:numId w:val="41"/>
        </w:numPr>
        <w:tabs>
          <w:tab w:val="left" w:pos="567"/>
        </w:tabs>
      </w:pPr>
      <w:r>
        <w:t>Amounts expected to be payable under a residual value guarantee;</w:t>
      </w:r>
    </w:p>
    <w:p w14:paraId="10129D53" w14:textId="09DDD679" w:rsidR="00010ACD" w:rsidRDefault="00010ACD" w:rsidP="00010ACD">
      <w:pPr>
        <w:pStyle w:val="ListParagraph"/>
        <w:numPr>
          <w:ilvl w:val="0"/>
          <w:numId w:val="41"/>
        </w:numPr>
        <w:tabs>
          <w:tab w:val="left" w:pos="567"/>
        </w:tabs>
      </w:pPr>
      <w:r>
        <w:t>The exercise price under a purchase option that the Commission is reasonably certain to exercise, lease payments in an optional renewal period if the Commission is reasonably certain to exercise an extension option, and penalties for early termination of a lease unless the Commission is reasonably certain not to terminate early.</w:t>
      </w:r>
    </w:p>
    <w:p w14:paraId="4BD19D0B" w14:textId="77777777" w:rsidR="005379A7" w:rsidRDefault="005379A7" w:rsidP="005379A7">
      <w:pPr>
        <w:tabs>
          <w:tab w:val="left" w:pos="567"/>
        </w:tabs>
      </w:pPr>
    </w:p>
    <w:p w14:paraId="0860A8E4" w14:textId="2EBE9FEF" w:rsidR="005379A7" w:rsidRDefault="005379A7" w:rsidP="005379A7">
      <w:pPr>
        <w:tabs>
          <w:tab w:val="left" w:pos="567"/>
        </w:tabs>
        <w:ind w:left="1440"/>
      </w:pPr>
      <w:r>
        <w:t>When the lease liability is remeasured a corresponding adjustment</w:t>
      </w:r>
      <w:r>
        <w:tab/>
        <w:t>is made to the right-of-use asset or recorded in the SoCNE if the carrying amount of the right-of-use asset is zero.</w:t>
      </w:r>
    </w:p>
    <w:p w14:paraId="36ADC1CC" w14:textId="77777777" w:rsidR="005379A7" w:rsidRDefault="005379A7" w:rsidP="005379A7">
      <w:pPr>
        <w:tabs>
          <w:tab w:val="left" w:pos="567"/>
        </w:tabs>
        <w:ind w:left="1440"/>
      </w:pPr>
    </w:p>
    <w:p w14:paraId="32FE02BD" w14:textId="77777777" w:rsidR="001E2AA0" w:rsidRDefault="001E2AA0" w:rsidP="005379A7">
      <w:pPr>
        <w:tabs>
          <w:tab w:val="left" w:pos="567"/>
        </w:tabs>
        <w:ind w:left="1440"/>
      </w:pPr>
    </w:p>
    <w:p w14:paraId="2324FE15" w14:textId="77777777" w:rsidR="001E2AA0" w:rsidRDefault="001E2AA0" w:rsidP="005379A7">
      <w:pPr>
        <w:tabs>
          <w:tab w:val="left" w:pos="567"/>
        </w:tabs>
        <w:ind w:left="1440"/>
      </w:pPr>
    </w:p>
    <w:p w14:paraId="34C23329" w14:textId="77777777" w:rsidR="001E2AA0" w:rsidRDefault="001E2AA0" w:rsidP="005379A7">
      <w:pPr>
        <w:tabs>
          <w:tab w:val="left" w:pos="567"/>
        </w:tabs>
        <w:ind w:left="1440"/>
      </w:pPr>
    </w:p>
    <w:p w14:paraId="1B743404" w14:textId="77777777" w:rsidR="001E2AA0" w:rsidRDefault="001E2AA0" w:rsidP="005379A7">
      <w:pPr>
        <w:tabs>
          <w:tab w:val="left" w:pos="567"/>
        </w:tabs>
        <w:ind w:left="1440"/>
      </w:pPr>
    </w:p>
    <w:p w14:paraId="0DF3805E" w14:textId="77777777" w:rsidR="001E2AA0" w:rsidRDefault="001E2AA0" w:rsidP="005379A7">
      <w:pPr>
        <w:tabs>
          <w:tab w:val="left" w:pos="567"/>
        </w:tabs>
        <w:ind w:left="1440"/>
      </w:pPr>
    </w:p>
    <w:p w14:paraId="289EA2B4" w14:textId="77777777" w:rsidR="001E2AA0" w:rsidRDefault="001E2AA0" w:rsidP="005379A7">
      <w:pPr>
        <w:tabs>
          <w:tab w:val="left" w:pos="567"/>
        </w:tabs>
        <w:ind w:left="1440"/>
      </w:pPr>
    </w:p>
    <w:p w14:paraId="3DE1D1D4" w14:textId="77777777" w:rsidR="001E2AA0" w:rsidRDefault="001E2AA0" w:rsidP="005379A7">
      <w:pPr>
        <w:tabs>
          <w:tab w:val="left" w:pos="567"/>
        </w:tabs>
        <w:ind w:left="1440"/>
      </w:pPr>
    </w:p>
    <w:p w14:paraId="544C1AEE" w14:textId="77777777" w:rsidR="001E2AA0" w:rsidRDefault="001E2AA0" w:rsidP="005379A7">
      <w:pPr>
        <w:tabs>
          <w:tab w:val="left" w:pos="567"/>
        </w:tabs>
        <w:ind w:left="1440"/>
      </w:pPr>
    </w:p>
    <w:p w14:paraId="772B3825" w14:textId="77777777" w:rsidR="001E2AA0" w:rsidRDefault="001E2AA0" w:rsidP="005379A7">
      <w:pPr>
        <w:tabs>
          <w:tab w:val="left" w:pos="567"/>
        </w:tabs>
        <w:ind w:left="1440"/>
      </w:pPr>
    </w:p>
    <w:p w14:paraId="73BF579E" w14:textId="77777777" w:rsidR="001E2AA0" w:rsidRDefault="001E2AA0" w:rsidP="005379A7">
      <w:pPr>
        <w:tabs>
          <w:tab w:val="left" w:pos="567"/>
        </w:tabs>
        <w:ind w:left="1440"/>
      </w:pPr>
    </w:p>
    <w:p w14:paraId="75C93734" w14:textId="77777777" w:rsidR="001E2AA0" w:rsidRDefault="001E2AA0" w:rsidP="005379A7">
      <w:pPr>
        <w:tabs>
          <w:tab w:val="left" w:pos="567"/>
        </w:tabs>
        <w:ind w:left="1440"/>
      </w:pPr>
    </w:p>
    <w:p w14:paraId="1A73EBBD" w14:textId="77777777" w:rsidR="001E2AA0" w:rsidRDefault="001E2AA0" w:rsidP="005379A7">
      <w:pPr>
        <w:tabs>
          <w:tab w:val="left" w:pos="567"/>
        </w:tabs>
        <w:ind w:left="1440"/>
      </w:pPr>
    </w:p>
    <w:p w14:paraId="427EB1ED" w14:textId="77777777" w:rsidR="001E2AA0" w:rsidRDefault="001E2AA0" w:rsidP="005379A7">
      <w:pPr>
        <w:tabs>
          <w:tab w:val="left" w:pos="567"/>
        </w:tabs>
        <w:ind w:left="1440"/>
      </w:pPr>
    </w:p>
    <w:p w14:paraId="74386791" w14:textId="77777777" w:rsidR="001E2AA0" w:rsidRDefault="001E2AA0" w:rsidP="005379A7">
      <w:pPr>
        <w:tabs>
          <w:tab w:val="left" w:pos="567"/>
        </w:tabs>
        <w:ind w:left="1440"/>
      </w:pPr>
    </w:p>
    <w:p w14:paraId="5ACA8559" w14:textId="77777777" w:rsidR="001E2AA0" w:rsidRDefault="001E2AA0" w:rsidP="005379A7">
      <w:pPr>
        <w:tabs>
          <w:tab w:val="left" w:pos="567"/>
        </w:tabs>
        <w:ind w:left="1440"/>
      </w:pPr>
    </w:p>
    <w:p w14:paraId="6006D9DA" w14:textId="77777777" w:rsidR="001E2AA0" w:rsidRDefault="001E2AA0" w:rsidP="005379A7">
      <w:pPr>
        <w:tabs>
          <w:tab w:val="left" w:pos="567"/>
        </w:tabs>
        <w:ind w:left="1440"/>
      </w:pPr>
    </w:p>
    <w:p w14:paraId="70A366BB" w14:textId="77777777" w:rsidR="000960B2" w:rsidRDefault="000960B2" w:rsidP="005379A7">
      <w:pPr>
        <w:tabs>
          <w:tab w:val="left" w:pos="567"/>
        </w:tabs>
        <w:ind w:left="1440"/>
        <w:rPr>
          <w:b/>
          <w:bCs/>
        </w:rPr>
      </w:pPr>
    </w:p>
    <w:p w14:paraId="1C927431" w14:textId="31BB11B7" w:rsidR="005379A7" w:rsidRDefault="005379A7" w:rsidP="005379A7">
      <w:pPr>
        <w:tabs>
          <w:tab w:val="left" w:pos="567"/>
        </w:tabs>
        <w:ind w:left="1440"/>
        <w:rPr>
          <w:b/>
          <w:bCs/>
        </w:rPr>
      </w:pPr>
      <w:r>
        <w:rPr>
          <w:b/>
          <w:bCs/>
        </w:rPr>
        <w:lastRenderedPageBreak/>
        <w:t>Impact on financial statements</w:t>
      </w:r>
      <w:r w:rsidR="000B0A57">
        <w:rPr>
          <w:b/>
          <w:bCs/>
        </w:rPr>
        <w:t xml:space="preserve"> as at 1 April 2022</w:t>
      </w:r>
    </w:p>
    <w:p w14:paraId="311A62D3" w14:textId="77777777" w:rsidR="0081246C" w:rsidRDefault="0081246C" w:rsidP="005379A7">
      <w:pPr>
        <w:tabs>
          <w:tab w:val="left" w:pos="567"/>
        </w:tabs>
        <w:ind w:left="1440"/>
        <w:rPr>
          <w:b/>
          <w:bCs/>
        </w:rPr>
      </w:pPr>
    </w:p>
    <w:p w14:paraId="37BB5961" w14:textId="2B24E5AD" w:rsidR="0081246C" w:rsidRDefault="0081246C" w:rsidP="005379A7">
      <w:pPr>
        <w:tabs>
          <w:tab w:val="left" w:pos="567"/>
        </w:tabs>
        <w:ind w:left="1440"/>
      </w:pPr>
      <w:r>
        <w:t>On transition to IFRS16, the Commission recognised an additional £</w:t>
      </w:r>
      <w:r w:rsidR="00DC5D9A">
        <w:t>595,883</w:t>
      </w:r>
      <w:r>
        <w:t xml:space="preserve"> of right-of-use assets and £</w:t>
      </w:r>
      <w:r w:rsidR="00DC5D9A">
        <w:t>595,883</w:t>
      </w:r>
      <w:r>
        <w:t xml:space="preserve"> of lease liabilities.  When measuring lease liabilities, the Commission discounted lease payments using a rate of 1.27%.</w:t>
      </w:r>
    </w:p>
    <w:p w14:paraId="11A03702" w14:textId="77777777" w:rsidR="0081246C" w:rsidRDefault="0081246C" w:rsidP="005379A7">
      <w:pPr>
        <w:tabs>
          <w:tab w:val="left" w:pos="567"/>
        </w:tabs>
        <w:ind w:left="1440"/>
      </w:pPr>
    </w:p>
    <w:tbl>
      <w:tblPr>
        <w:tblStyle w:val="TableGrid"/>
        <w:tblW w:w="0" w:type="auto"/>
        <w:tblInd w:w="1440" w:type="dxa"/>
        <w:tblLook w:val="04A0" w:firstRow="1" w:lastRow="0" w:firstColumn="1" w:lastColumn="0" w:noHBand="0" w:noVBand="1"/>
      </w:tblPr>
      <w:tblGrid>
        <w:gridCol w:w="5926"/>
        <w:gridCol w:w="1695"/>
      </w:tblGrid>
      <w:tr w:rsidR="0081246C" w14:paraId="5BD5B857" w14:textId="77777777" w:rsidTr="008E0680">
        <w:tc>
          <w:tcPr>
            <w:tcW w:w="5926" w:type="dxa"/>
          </w:tcPr>
          <w:p w14:paraId="75434966" w14:textId="77777777" w:rsidR="0081246C" w:rsidRDefault="0081246C" w:rsidP="005379A7">
            <w:pPr>
              <w:tabs>
                <w:tab w:val="left" w:pos="567"/>
              </w:tabs>
            </w:pPr>
          </w:p>
        </w:tc>
        <w:tc>
          <w:tcPr>
            <w:tcW w:w="1695" w:type="dxa"/>
          </w:tcPr>
          <w:p w14:paraId="3163C6FD" w14:textId="62CA4E60" w:rsidR="0081246C" w:rsidRDefault="008E0680" w:rsidP="008E0680">
            <w:pPr>
              <w:tabs>
                <w:tab w:val="left" w:pos="567"/>
              </w:tabs>
              <w:jc w:val="center"/>
            </w:pPr>
            <w:r>
              <w:t>£</w:t>
            </w:r>
          </w:p>
        </w:tc>
      </w:tr>
      <w:tr w:rsidR="0081246C" w14:paraId="37B34632" w14:textId="77777777" w:rsidTr="008E0680">
        <w:tc>
          <w:tcPr>
            <w:tcW w:w="5926" w:type="dxa"/>
          </w:tcPr>
          <w:p w14:paraId="310DD90B" w14:textId="01865C09" w:rsidR="0081246C" w:rsidRDefault="008E0680" w:rsidP="005379A7">
            <w:pPr>
              <w:tabs>
                <w:tab w:val="left" w:pos="567"/>
              </w:tabs>
            </w:pPr>
            <w:r>
              <w:t>Operating lease commitment at 31 March 2022</w:t>
            </w:r>
            <w:r w:rsidR="009F599C">
              <w:t xml:space="preserve"> (excluding VAT)</w:t>
            </w:r>
          </w:p>
        </w:tc>
        <w:tc>
          <w:tcPr>
            <w:tcW w:w="1695" w:type="dxa"/>
          </w:tcPr>
          <w:p w14:paraId="56C5B435" w14:textId="77777777" w:rsidR="008E0680" w:rsidRDefault="008E0680" w:rsidP="008E0680">
            <w:pPr>
              <w:tabs>
                <w:tab w:val="left" w:pos="567"/>
              </w:tabs>
              <w:jc w:val="center"/>
            </w:pPr>
          </w:p>
          <w:p w14:paraId="7B4C4300" w14:textId="18C38D1C" w:rsidR="0081246C" w:rsidRDefault="009F599C" w:rsidP="008E0680">
            <w:pPr>
              <w:tabs>
                <w:tab w:val="left" w:pos="567"/>
              </w:tabs>
              <w:jc w:val="center"/>
            </w:pPr>
            <w:r>
              <w:t>630,224</w:t>
            </w:r>
          </w:p>
        </w:tc>
      </w:tr>
      <w:tr w:rsidR="0081246C" w14:paraId="6BFF71BC" w14:textId="77777777" w:rsidTr="008E0680">
        <w:tc>
          <w:tcPr>
            <w:tcW w:w="5926" w:type="dxa"/>
          </w:tcPr>
          <w:p w14:paraId="7398B4EB" w14:textId="54AC6581" w:rsidR="0081246C" w:rsidRDefault="005A76B1" w:rsidP="005379A7">
            <w:pPr>
              <w:tabs>
                <w:tab w:val="left" w:pos="567"/>
              </w:tabs>
            </w:pPr>
            <w:r>
              <w:t xml:space="preserve">Effect of ‘discounted using discount rate’ </w:t>
            </w:r>
          </w:p>
        </w:tc>
        <w:tc>
          <w:tcPr>
            <w:tcW w:w="1695" w:type="dxa"/>
          </w:tcPr>
          <w:p w14:paraId="44618386" w14:textId="38DC20BE" w:rsidR="0081246C" w:rsidRDefault="005A76B1" w:rsidP="008E0680">
            <w:pPr>
              <w:tabs>
                <w:tab w:val="left" w:pos="567"/>
              </w:tabs>
              <w:jc w:val="center"/>
            </w:pPr>
            <w:r>
              <w:t>(</w:t>
            </w:r>
            <w:r w:rsidR="009402EF">
              <w:t>34,341</w:t>
            </w:r>
            <w:r>
              <w:t>)</w:t>
            </w:r>
          </w:p>
        </w:tc>
      </w:tr>
      <w:tr w:rsidR="0081246C" w14:paraId="746CC968" w14:textId="77777777" w:rsidTr="008E0680">
        <w:tc>
          <w:tcPr>
            <w:tcW w:w="5926" w:type="dxa"/>
          </w:tcPr>
          <w:p w14:paraId="41BB3321" w14:textId="52FF875D" w:rsidR="0081246C" w:rsidRDefault="008E0680" w:rsidP="005379A7">
            <w:pPr>
              <w:tabs>
                <w:tab w:val="left" w:pos="567"/>
              </w:tabs>
            </w:pPr>
            <w:r>
              <w:t>Finance Lease liabilities at 31 March 2022</w:t>
            </w:r>
          </w:p>
        </w:tc>
        <w:tc>
          <w:tcPr>
            <w:tcW w:w="1695" w:type="dxa"/>
          </w:tcPr>
          <w:p w14:paraId="45A56050" w14:textId="7A497C24" w:rsidR="0081246C" w:rsidRDefault="008E0680" w:rsidP="008E0680">
            <w:pPr>
              <w:tabs>
                <w:tab w:val="left" w:pos="567"/>
              </w:tabs>
              <w:jc w:val="center"/>
            </w:pPr>
            <w:r>
              <w:t>-</w:t>
            </w:r>
          </w:p>
        </w:tc>
      </w:tr>
      <w:tr w:rsidR="0081246C" w14:paraId="4E3A8811" w14:textId="77777777" w:rsidTr="008E0680">
        <w:tc>
          <w:tcPr>
            <w:tcW w:w="5926" w:type="dxa"/>
          </w:tcPr>
          <w:p w14:paraId="0C778DA6" w14:textId="50DD91D9" w:rsidR="0081246C" w:rsidRDefault="008E0680" w:rsidP="005379A7">
            <w:pPr>
              <w:tabs>
                <w:tab w:val="left" w:pos="567"/>
              </w:tabs>
            </w:pPr>
            <w:r>
              <w:t>Exemptions for:</w:t>
            </w:r>
          </w:p>
        </w:tc>
        <w:tc>
          <w:tcPr>
            <w:tcW w:w="1695" w:type="dxa"/>
          </w:tcPr>
          <w:p w14:paraId="6181DE50" w14:textId="77777777" w:rsidR="0081246C" w:rsidRDefault="0081246C" w:rsidP="005379A7">
            <w:pPr>
              <w:tabs>
                <w:tab w:val="left" w:pos="567"/>
              </w:tabs>
            </w:pPr>
          </w:p>
        </w:tc>
      </w:tr>
      <w:tr w:rsidR="0081246C" w14:paraId="40B5D253" w14:textId="77777777" w:rsidTr="008E0680">
        <w:tc>
          <w:tcPr>
            <w:tcW w:w="5926" w:type="dxa"/>
          </w:tcPr>
          <w:p w14:paraId="3682C852" w14:textId="483FA5AF" w:rsidR="0081246C" w:rsidRDefault="008E0680" w:rsidP="005379A7">
            <w:pPr>
              <w:tabs>
                <w:tab w:val="left" w:pos="567"/>
              </w:tabs>
            </w:pPr>
            <w:r>
              <w:t>Short term leases</w:t>
            </w:r>
          </w:p>
        </w:tc>
        <w:tc>
          <w:tcPr>
            <w:tcW w:w="1695" w:type="dxa"/>
          </w:tcPr>
          <w:p w14:paraId="524BCAF4" w14:textId="2ABB54FF" w:rsidR="0081246C" w:rsidRDefault="008E0680" w:rsidP="008E0680">
            <w:pPr>
              <w:tabs>
                <w:tab w:val="left" w:pos="567"/>
              </w:tabs>
              <w:jc w:val="center"/>
            </w:pPr>
            <w:r>
              <w:t>-</w:t>
            </w:r>
          </w:p>
        </w:tc>
      </w:tr>
      <w:tr w:rsidR="0081246C" w14:paraId="701BC1D1" w14:textId="77777777" w:rsidTr="008E0680">
        <w:tc>
          <w:tcPr>
            <w:tcW w:w="5926" w:type="dxa"/>
          </w:tcPr>
          <w:p w14:paraId="1A529245" w14:textId="7FF18DF4" w:rsidR="0081246C" w:rsidRDefault="008E0680" w:rsidP="005379A7">
            <w:pPr>
              <w:tabs>
                <w:tab w:val="left" w:pos="567"/>
              </w:tabs>
            </w:pPr>
            <w:r>
              <w:t>Leases of low value assets</w:t>
            </w:r>
          </w:p>
        </w:tc>
        <w:tc>
          <w:tcPr>
            <w:tcW w:w="1695" w:type="dxa"/>
          </w:tcPr>
          <w:p w14:paraId="6CC22BEB" w14:textId="14DEE486" w:rsidR="0081246C" w:rsidRDefault="008E0680" w:rsidP="008E0680">
            <w:pPr>
              <w:tabs>
                <w:tab w:val="left" w:pos="567"/>
              </w:tabs>
              <w:jc w:val="center"/>
            </w:pPr>
            <w:r>
              <w:t>-</w:t>
            </w:r>
          </w:p>
        </w:tc>
      </w:tr>
      <w:tr w:rsidR="0081246C" w14:paraId="50813008" w14:textId="77777777" w:rsidTr="008E0680">
        <w:tc>
          <w:tcPr>
            <w:tcW w:w="5926" w:type="dxa"/>
          </w:tcPr>
          <w:p w14:paraId="73E75B0B" w14:textId="336CFB55" w:rsidR="0081246C" w:rsidRDefault="008E0680" w:rsidP="005379A7">
            <w:pPr>
              <w:tabs>
                <w:tab w:val="left" w:pos="567"/>
              </w:tabs>
            </w:pPr>
            <w:r>
              <w:t>Extension and termination options reasonably certain to be exercised</w:t>
            </w:r>
          </w:p>
        </w:tc>
        <w:tc>
          <w:tcPr>
            <w:tcW w:w="1695" w:type="dxa"/>
          </w:tcPr>
          <w:p w14:paraId="0D9CB966" w14:textId="3060D96F" w:rsidR="0081246C" w:rsidRDefault="008E0680" w:rsidP="008E0680">
            <w:pPr>
              <w:tabs>
                <w:tab w:val="left" w:pos="567"/>
              </w:tabs>
              <w:jc w:val="center"/>
            </w:pPr>
            <w:r>
              <w:t>-</w:t>
            </w:r>
          </w:p>
        </w:tc>
      </w:tr>
      <w:tr w:rsidR="0081246C" w14:paraId="48872F33" w14:textId="77777777" w:rsidTr="008E0680">
        <w:tc>
          <w:tcPr>
            <w:tcW w:w="5926" w:type="dxa"/>
          </w:tcPr>
          <w:p w14:paraId="071C82AB" w14:textId="05C5071F" w:rsidR="0081246C" w:rsidRDefault="008E0680" w:rsidP="005379A7">
            <w:pPr>
              <w:tabs>
                <w:tab w:val="left" w:pos="567"/>
              </w:tabs>
            </w:pPr>
            <w:r>
              <w:t>Variable lease payments based on an index or a rate</w:t>
            </w:r>
          </w:p>
        </w:tc>
        <w:tc>
          <w:tcPr>
            <w:tcW w:w="1695" w:type="dxa"/>
          </w:tcPr>
          <w:p w14:paraId="6BCD92D7" w14:textId="0E399A96" w:rsidR="0081246C" w:rsidRDefault="008E0680" w:rsidP="008E0680">
            <w:pPr>
              <w:tabs>
                <w:tab w:val="left" w:pos="567"/>
              </w:tabs>
              <w:jc w:val="center"/>
            </w:pPr>
            <w:r>
              <w:t>-</w:t>
            </w:r>
          </w:p>
        </w:tc>
      </w:tr>
      <w:tr w:rsidR="0081246C" w14:paraId="7EB85B6F" w14:textId="77777777" w:rsidTr="008E0680">
        <w:tc>
          <w:tcPr>
            <w:tcW w:w="5926" w:type="dxa"/>
          </w:tcPr>
          <w:p w14:paraId="052AA35A" w14:textId="64A2DE29" w:rsidR="0081246C" w:rsidRDefault="008E0680" w:rsidP="005379A7">
            <w:pPr>
              <w:tabs>
                <w:tab w:val="left" w:pos="567"/>
              </w:tabs>
            </w:pPr>
            <w:r>
              <w:t>Residual value guarantees</w:t>
            </w:r>
          </w:p>
        </w:tc>
        <w:tc>
          <w:tcPr>
            <w:tcW w:w="1695" w:type="dxa"/>
          </w:tcPr>
          <w:p w14:paraId="4FC975C8" w14:textId="67FDBEAA" w:rsidR="0081246C" w:rsidRDefault="008E0680" w:rsidP="008E0680">
            <w:pPr>
              <w:tabs>
                <w:tab w:val="left" w:pos="567"/>
              </w:tabs>
              <w:jc w:val="center"/>
            </w:pPr>
            <w:r>
              <w:t>-</w:t>
            </w:r>
          </w:p>
        </w:tc>
      </w:tr>
      <w:tr w:rsidR="008E0680" w:rsidRPr="008E0680" w14:paraId="1C9BF2FE" w14:textId="77777777" w:rsidTr="008E0680">
        <w:tc>
          <w:tcPr>
            <w:tcW w:w="5926" w:type="dxa"/>
          </w:tcPr>
          <w:p w14:paraId="69D30281" w14:textId="58350475" w:rsidR="008E0680" w:rsidRPr="008E0680" w:rsidRDefault="008E0680" w:rsidP="005379A7">
            <w:pPr>
              <w:tabs>
                <w:tab w:val="left" w:pos="567"/>
              </w:tabs>
              <w:rPr>
                <w:b/>
                <w:bCs/>
                <w:vertAlign w:val="superscript"/>
              </w:rPr>
            </w:pPr>
            <w:r w:rsidRPr="008E0680">
              <w:rPr>
                <w:b/>
                <w:bCs/>
              </w:rPr>
              <w:t>Lease liabilities recognised at 1 April 2022</w:t>
            </w:r>
            <w:r>
              <w:rPr>
                <w:b/>
                <w:bCs/>
                <w:vertAlign w:val="superscript"/>
              </w:rPr>
              <w:t>*</w:t>
            </w:r>
          </w:p>
        </w:tc>
        <w:tc>
          <w:tcPr>
            <w:tcW w:w="1695" w:type="dxa"/>
          </w:tcPr>
          <w:p w14:paraId="5F13FB48" w14:textId="3DB4F236" w:rsidR="008E0680" w:rsidRPr="008E0680" w:rsidRDefault="009402EF" w:rsidP="008E0680">
            <w:pPr>
              <w:tabs>
                <w:tab w:val="left" w:pos="567"/>
              </w:tabs>
              <w:jc w:val="center"/>
              <w:rPr>
                <w:b/>
                <w:bCs/>
              </w:rPr>
            </w:pPr>
            <w:r>
              <w:rPr>
                <w:b/>
                <w:bCs/>
              </w:rPr>
              <w:t>595,883</w:t>
            </w:r>
          </w:p>
        </w:tc>
      </w:tr>
    </w:tbl>
    <w:p w14:paraId="61F17A29" w14:textId="77777777" w:rsidR="0081246C" w:rsidRPr="0081246C" w:rsidRDefault="0081246C" w:rsidP="005379A7">
      <w:pPr>
        <w:tabs>
          <w:tab w:val="left" w:pos="567"/>
        </w:tabs>
        <w:ind w:left="1440"/>
      </w:pPr>
    </w:p>
    <w:p w14:paraId="70835D8A" w14:textId="3F5384D3" w:rsidR="005B1A34" w:rsidRDefault="008E0680" w:rsidP="005B1A34">
      <w:pPr>
        <w:tabs>
          <w:tab w:val="left" w:pos="567"/>
        </w:tabs>
      </w:pPr>
      <w:r>
        <w:tab/>
      </w:r>
      <w:r>
        <w:tab/>
      </w:r>
      <w:r>
        <w:tab/>
        <w:t>*Finance lease liabilities at 1 April 2022 relates to:</w:t>
      </w:r>
    </w:p>
    <w:p w14:paraId="135871FE" w14:textId="45DA9FAB" w:rsidR="008E0680" w:rsidRDefault="008E0680" w:rsidP="008E0680">
      <w:pPr>
        <w:pStyle w:val="ListParagraph"/>
        <w:numPr>
          <w:ilvl w:val="0"/>
          <w:numId w:val="42"/>
        </w:numPr>
        <w:tabs>
          <w:tab w:val="left" w:pos="567"/>
        </w:tabs>
      </w:pPr>
      <w:r>
        <w:t>£</w:t>
      </w:r>
      <w:r w:rsidR="009402EF">
        <w:t>593,068</w:t>
      </w:r>
      <w:r>
        <w:t xml:space="preserve"> relates to the lease on Alfred Street offices</w:t>
      </w:r>
    </w:p>
    <w:p w14:paraId="5D53892C" w14:textId="110260B7" w:rsidR="008E0680" w:rsidRDefault="008E0680" w:rsidP="008E0680">
      <w:pPr>
        <w:pStyle w:val="ListParagraph"/>
        <w:numPr>
          <w:ilvl w:val="0"/>
          <w:numId w:val="42"/>
        </w:numPr>
        <w:tabs>
          <w:tab w:val="left" w:pos="567"/>
        </w:tabs>
      </w:pPr>
      <w:r>
        <w:t>£</w:t>
      </w:r>
      <w:r w:rsidR="009402EF">
        <w:t>2,815</w:t>
      </w:r>
      <w:r>
        <w:t xml:space="preserve"> relates to a photocopier located at Alfred Street offices</w:t>
      </w:r>
    </w:p>
    <w:p w14:paraId="4952903F" w14:textId="77777777" w:rsidR="008E0680" w:rsidRDefault="008E0680" w:rsidP="008E0680">
      <w:pPr>
        <w:tabs>
          <w:tab w:val="left" w:pos="567"/>
        </w:tabs>
      </w:pPr>
    </w:p>
    <w:p w14:paraId="6240A8EB" w14:textId="02608700" w:rsidR="008E0680" w:rsidRDefault="008E0680" w:rsidP="00FC4406">
      <w:pPr>
        <w:tabs>
          <w:tab w:val="left" w:pos="567"/>
        </w:tabs>
        <w:ind w:left="1418"/>
      </w:pPr>
      <w:r>
        <w:tab/>
        <w:t>The effect of ‘discounted using discount rates</w:t>
      </w:r>
      <w:r w:rsidR="00FC4406">
        <w:t>’ is £</w:t>
      </w:r>
      <w:r w:rsidR="009402EF">
        <w:t>34,341</w:t>
      </w:r>
      <w:r w:rsidR="00FC4406">
        <w:t>, being the difference between restated operating lease commitments £</w:t>
      </w:r>
      <w:r w:rsidR="009402EF">
        <w:t>630,224</w:t>
      </w:r>
      <w:r w:rsidR="00FC4406">
        <w:t xml:space="preserve"> and the total lease liability of </w:t>
      </w:r>
      <w:r w:rsidR="009402EF">
        <w:t>£595,883</w:t>
      </w:r>
      <w:r w:rsidR="00FC4406">
        <w:t xml:space="preserve">. </w:t>
      </w:r>
      <w:r>
        <w:t xml:space="preserve"> </w:t>
      </w:r>
    </w:p>
    <w:p w14:paraId="6C356A32" w14:textId="77777777" w:rsidR="000C2A54" w:rsidRPr="003B42D9" w:rsidRDefault="000C2A54" w:rsidP="00FC4406">
      <w:pPr>
        <w:tabs>
          <w:tab w:val="left" w:pos="567"/>
        </w:tabs>
        <w:jc w:val="both"/>
        <w:rPr>
          <w:rFonts w:ascii="Arial" w:hAnsi="Arial" w:cs="Arial"/>
        </w:rPr>
      </w:pPr>
    </w:p>
    <w:p w14:paraId="5837E444" w14:textId="77777777" w:rsidR="000C2A54" w:rsidRPr="003B42D9" w:rsidRDefault="000C2A54" w:rsidP="000C2A54">
      <w:pPr>
        <w:widowControl w:val="0"/>
        <w:autoSpaceDE w:val="0"/>
        <w:autoSpaceDN w:val="0"/>
        <w:adjustRightInd w:val="0"/>
        <w:ind w:left="1418" w:hanging="851"/>
        <w:rPr>
          <w:b/>
        </w:rPr>
      </w:pPr>
      <w:r w:rsidRPr="003B42D9">
        <w:rPr>
          <w:b/>
        </w:rPr>
        <w:t>1.4</w:t>
      </w:r>
      <w:r w:rsidRPr="003B42D9">
        <w:rPr>
          <w:b/>
        </w:rPr>
        <w:tab/>
        <w:t>Accounting standards, interpretations and amendments to published standards not yet effective</w:t>
      </w:r>
    </w:p>
    <w:p w14:paraId="733CF851" w14:textId="77777777" w:rsidR="000C2A54" w:rsidRPr="003B42D9" w:rsidRDefault="000C2A54" w:rsidP="000C2A54">
      <w:pPr>
        <w:tabs>
          <w:tab w:val="left" w:pos="567"/>
        </w:tabs>
        <w:jc w:val="both"/>
        <w:rPr>
          <w:rFonts w:ascii="Arial" w:hAnsi="Arial" w:cs="Arial"/>
        </w:rPr>
      </w:pPr>
    </w:p>
    <w:p w14:paraId="050F1FAF" w14:textId="77777777" w:rsidR="000C2A54" w:rsidRDefault="000C2A54" w:rsidP="000C2A54">
      <w:pPr>
        <w:tabs>
          <w:tab w:val="left" w:pos="567"/>
        </w:tabs>
        <w:ind w:left="1418"/>
      </w:pPr>
      <w:r w:rsidRPr="003B42D9">
        <w:t xml:space="preserve">The Commission has not adopted any Standards or Interpretations from the IFRS in advance of the required implementation dates.  </w:t>
      </w:r>
      <w:r w:rsidR="00BA4EC9">
        <w:t>The following</w:t>
      </w:r>
      <w:r w:rsidRPr="003B42D9">
        <w:t xml:space="preserve"> standards or interpretations </w:t>
      </w:r>
      <w:r w:rsidR="003A70E7">
        <w:t>were</w:t>
      </w:r>
      <w:r w:rsidRPr="003B42D9">
        <w:t xml:space="preserve"> issued by the International Accounting Standards </w:t>
      </w:r>
      <w:r w:rsidR="00BA4EC9">
        <w:t>Board but have not been adopted:</w:t>
      </w:r>
    </w:p>
    <w:p w14:paraId="386948BD" w14:textId="65AE72AA" w:rsidR="00275EFE" w:rsidRDefault="00275EFE" w:rsidP="00275EFE">
      <w:pPr>
        <w:tabs>
          <w:tab w:val="left" w:pos="567"/>
        </w:tabs>
      </w:pPr>
    </w:p>
    <w:p w14:paraId="0CF8372C" w14:textId="2CF80C2B" w:rsidR="002D6006" w:rsidRPr="003B42D9" w:rsidRDefault="002D6006" w:rsidP="00782F24">
      <w:pPr>
        <w:tabs>
          <w:tab w:val="left" w:pos="567"/>
        </w:tabs>
        <w:ind w:left="1440" w:hanging="1440"/>
      </w:pPr>
      <w:r>
        <w:tab/>
      </w:r>
      <w:r>
        <w:tab/>
        <w:t>IFRS 17 – Insurance contracts</w:t>
      </w:r>
      <w:r w:rsidR="00BF268E">
        <w:t xml:space="preserve"> supersedes IFRS 4 Insurance contracts and related interpretations.  This new standard was due to be applied from 1 January 202</w:t>
      </w:r>
      <w:r w:rsidR="00DD765C">
        <w:t>3 but the IASB has deferred the effective date until 1 April 2025</w:t>
      </w:r>
      <w:r w:rsidR="00BF268E">
        <w:t xml:space="preserve">.  </w:t>
      </w:r>
    </w:p>
    <w:p w14:paraId="29694C9B" w14:textId="77777777" w:rsidR="000C2A54" w:rsidRPr="003B42D9" w:rsidRDefault="000C2A54" w:rsidP="000C2A54">
      <w:pPr>
        <w:tabs>
          <w:tab w:val="left" w:pos="567"/>
        </w:tabs>
        <w:jc w:val="both"/>
        <w:rPr>
          <w:rFonts w:ascii="Arial" w:hAnsi="Arial" w:cs="Arial"/>
        </w:rPr>
      </w:pPr>
    </w:p>
    <w:p w14:paraId="47ACA3EF" w14:textId="77777777" w:rsidR="000C2A54" w:rsidRPr="003B42D9" w:rsidRDefault="000C2A54" w:rsidP="000C2A54">
      <w:pPr>
        <w:widowControl w:val="0"/>
        <w:autoSpaceDE w:val="0"/>
        <w:autoSpaceDN w:val="0"/>
        <w:adjustRightInd w:val="0"/>
        <w:ind w:left="1418" w:hanging="851"/>
        <w:rPr>
          <w:b/>
        </w:rPr>
      </w:pPr>
      <w:r w:rsidRPr="003B42D9">
        <w:rPr>
          <w:b/>
        </w:rPr>
        <w:lastRenderedPageBreak/>
        <w:t>1.5</w:t>
      </w:r>
      <w:r w:rsidRPr="003B42D9">
        <w:rPr>
          <w:b/>
        </w:rPr>
        <w:tab/>
        <w:t>Income</w:t>
      </w:r>
    </w:p>
    <w:p w14:paraId="4519E88F" w14:textId="77777777" w:rsidR="000C2A54" w:rsidRPr="003B42D9" w:rsidRDefault="000C2A54" w:rsidP="000C2A54">
      <w:pPr>
        <w:tabs>
          <w:tab w:val="left" w:pos="3372"/>
        </w:tabs>
        <w:rPr>
          <w:lang w:val="en-IE"/>
        </w:rPr>
      </w:pPr>
    </w:p>
    <w:p w14:paraId="0DFB7C89" w14:textId="77777777" w:rsidR="00624C8B" w:rsidRDefault="00624C8B" w:rsidP="000C2A54">
      <w:pPr>
        <w:widowControl w:val="0"/>
        <w:autoSpaceDE w:val="0"/>
        <w:autoSpaceDN w:val="0"/>
        <w:adjustRightInd w:val="0"/>
        <w:ind w:left="1440" w:hanging="22"/>
      </w:pPr>
      <w:r>
        <w:t xml:space="preserve">At </w:t>
      </w:r>
      <w:r w:rsidR="00176472">
        <w:t>times,</w:t>
      </w:r>
      <w:r>
        <w:t xml:space="preserve"> the Commission receives income from sources other than the NIO, for specific projects.  The Commission will seek to recover any associated costs for the project in line with the contract.</w:t>
      </w:r>
    </w:p>
    <w:p w14:paraId="03E54B4C" w14:textId="77777777" w:rsidR="006952B5" w:rsidRDefault="006952B5" w:rsidP="0029565E">
      <w:pPr>
        <w:tabs>
          <w:tab w:val="left" w:pos="567"/>
        </w:tabs>
      </w:pPr>
    </w:p>
    <w:p w14:paraId="5D6F966C" w14:textId="77777777" w:rsidR="00275EFE" w:rsidRDefault="006952B5" w:rsidP="006952B5">
      <w:pPr>
        <w:widowControl w:val="0"/>
        <w:autoSpaceDE w:val="0"/>
        <w:autoSpaceDN w:val="0"/>
        <w:adjustRightInd w:val="0"/>
        <w:ind w:left="1440" w:hanging="22"/>
      </w:pPr>
      <w:r>
        <w:tab/>
        <w:t xml:space="preserve">In line with its accounting policy, the Commission </w:t>
      </w:r>
      <w:r w:rsidR="0091473F">
        <w:t>applies</w:t>
      </w:r>
      <w:r>
        <w:t xml:space="preserve"> the requirements of IFRS 15 to income earned from other sources.</w:t>
      </w:r>
    </w:p>
    <w:p w14:paraId="7091046D" w14:textId="77777777" w:rsidR="00275EFE" w:rsidRDefault="00275EFE" w:rsidP="006952B5">
      <w:pPr>
        <w:widowControl w:val="0"/>
        <w:autoSpaceDE w:val="0"/>
        <w:autoSpaceDN w:val="0"/>
        <w:adjustRightInd w:val="0"/>
        <w:ind w:left="1440" w:hanging="22"/>
      </w:pPr>
    </w:p>
    <w:p w14:paraId="07CC91D5" w14:textId="358548E2" w:rsidR="00275EFE" w:rsidRDefault="00275EFE" w:rsidP="006952B5">
      <w:pPr>
        <w:widowControl w:val="0"/>
        <w:autoSpaceDE w:val="0"/>
        <w:autoSpaceDN w:val="0"/>
        <w:adjustRightInd w:val="0"/>
        <w:ind w:left="1440" w:hanging="22"/>
      </w:pPr>
      <w:bookmarkStart w:id="24" w:name="_Hlk136441331"/>
      <w:r>
        <w:t xml:space="preserve">The Commission received £7,702 </w:t>
      </w:r>
      <w:r w:rsidR="00D72F50">
        <w:t xml:space="preserve">as a </w:t>
      </w:r>
      <w:r>
        <w:t xml:space="preserve">contribution from </w:t>
      </w:r>
      <w:r w:rsidR="009A2C81">
        <w:t>T</w:t>
      </w:r>
      <w:r>
        <w:t xml:space="preserve">he </w:t>
      </w:r>
      <w:r w:rsidR="009A2C81">
        <w:t>Equality Human Rights and Delivering Social Change Unit of The Executive Office</w:t>
      </w:r>
      <w:r>
        <w:t xml:space="preserve"> </w:t>
      </w:r>
      <w:r w:rsidR="009A2C81">
        <w:t>for the review and update of the Northern Ireland Civil Service website resource guide.</w:t>
      </w:r>
    </w:p>
    <w:bookmarkEnd w:id="24"/>
    <w:p w14:paraId="504E566F" w14:textId="18F32589" w:rsidR="000C2A54" w:rsidRDefault="000C2A54" w:rsidP="002D47AF">
      <w:pPr>
        <w:tabs>
          <w:tab w:val="left" w:pos="567"/>
        </w:tabs>
      </w:pPr>
    </w:p>
    <w:p w14:paraId="6856C2C7" w14:textId="77777777" w:rsidR="000C2A54" w:rsidRPr="003B42D9" w:rsidRDefault="000C2A54" w:rsidP="000C2A54">
      <w:pPr>
        <w:widowControl w:val="0"/>
        <w:autoSpaceDE w:val="0"/>
        <w:autoSpaceDN w:val="0"/>
        <w:adjustRightInd w:val="0"/>
        <w:ind w:left="567"/>
        <w:rPr>
          <w:b/>
        </w:rPr>
      </w:pPr>
      <w:r w:rsidRPr="003B42D9">
        <w:rPr>
          <w:b/>
        </w:rPr>
        <w:t>1.6</w:t>
      </w:r>
      <w:r w:rsidRPr="003B42D9">
        <w:rPr>
          <w:b/>
        </w:rPr>
        <w:tab/>
        <w:t>Grant-in-aid</w:t>
      </w:r>
    </w:p>
    <w:p w14:paraId="637B400E" w14:textId="77777777" w:rsidR="000C2A54" w:rsidRPr="003B42D9" w:rsidRDefault="000C2A54" w:rsidP="000C2A54">
      <w:pPr>
        <w:widowControl w:val="0"/>
        <w:autoSpaceDE w:val="0"/>
        <w:autoSpaceDN w:val="0"/>
        <w:adjustRightInd w:val="0"/>
        <w:ind w:firstLine="567"/>
        <w:rPr>
          <w:b/>
        </w:rPr>
      </w:pPr>
    </w:p>
    <w:p w14:paraId="60B9D1AC" w14:textId="42F78BE3" w:rsidR="004E20B2" w:rsidRDefault="000C2A54" w:rsidP="004E20B2">
      <w:pPr>
        <w:widowControl w:val="0"/>
        <w:autoSpaceDE w:val="0"/>
        <w:autoSpaceDN w:val="0"/>
        <w:adjustRightInd w:val="0"/>
        <w:ind w:left="1440" w:hanging="873"/>
      </w:pPr>
      <w:r w:rsidRPr="003B42D9">
        <w:rPr>
          <w:b/>
        </w:rPr>
        <w:tab/>
      </w:r>
      <w:r w:rsidRPr="003B42D9">
        <w:t xml:space="preserve">Grant in aid is credited directly to the General Reserve as it is regarded as contributions from a controlling </w:t>
      </w:r>
      <w:r w:rsidR="00176472" w:rsidRPr="003B42D9">
        <w:t>party, which</w:t>
      </w:r>
      <w:r w:rsidRPr="003B42D9">
        <w:t xml:space="preserve"> gives rise to a financial interest in the residual interest in the Commission.</w:t>
      </w:r>
    </w:p>
    <w:p w14:paraId="3C87DA10" w14:textId="77777777" w:rsidR="004E20B2" w:rsidRDefault="004E20B2" w:rsidP="004E20B2">
      <w:pPr>
        <w:widowControl w:val="0"/>
        <w:autoSpaceDE w:val="0"/>
        <w:autoSpaceDN w:val="0"/>
        <w:adjustRightInd w:val="0"/>
        <w:ind w:left="1440" w:hanging="873"/>
      </w:pPr>
    </w:p>
    <w:p w14:paraId="5ED93420" w14:textId="77777777" w:rsidR="000C2A54" w:rsidRPr="003B42D9" w:rsidRDefault="000C2A54" w:rsidP="004E20B2">
      <w:pPr>
        <w:widowControl w:val="0"/>
        <w:autoSpaceDE w:val="0"/>
        <w:autoSpaceDN w:val="0"/>
        <w:adjustRightInd w:val="0"/>
        <w:ind w:left="1440" w:hanging="873"/>
        <w:rPr>
          <w:b/>
        </w:rPr>
      </w:pPr>
      <w:r w:rsidRPr="003B42D9">
        <w:rPr>
          <w:b/>
        </w:rPr>
        <w:t>1.7</w:t>
      </w:r>
      <w:r w:rsidRPr="003B42D9">
        <w:rPr>
          <w:b/>
        </w:rPr>
        <w:tab/>
        <w:t>Property, plant and equipment and depreciation</w:t>
      </w:r>
    </w:p>
    <w:p w14:paraId="4DB1A82F" w14:textId="77777777" w:rsidR="000C2A54" w:rsidRPr="003B42D9" w:rsidRDefault="000C2A54" w:rsidP="000C2A54">
      <w:pPr>
        <w:tabs>
          <w:tab w:val="left" w:pos="567"/>
        </w:tabs>
        <w:autoSpaceDE w:val="0"/>
        <w:autoSpaceDN w:val="0"/>
        <w:adjustRightInd w:val="0"/>
        <w:ind w:left="567"/>
      </w:pPr>
    </w:p>
    <w:p w14:paraId="338DF6E1" w14:textId="77777777" w:rsidR="000C2A54" w:rsidRPr="003B42D9" w:rsidRDefault="000C2A54" w:rsidP="000C2A54">
      <w:pPr>
        <w:tabs>
          <w:tab w:val="left" w:pos="709"/>
        </w:tabs>
        <w:autoSpaceDE w:val="0"/>
        <w:autoSpaceDN w:val="0"/>
        <w:adjustRightInd w:val="0"/>
        <w:ind w:left="1418"/>
      </w:pPr>
      <w:r w:rsidRPr="003B42D9">
        <w:t xml:space="preserve">Property plant and equipment comprises leasehold improvements to </w:t>
      </w:r>
      <w:r w:rsidR="007B2D55">
        <w:t>Alfred Street</w:t>
      </w:r>
      <w:r w:rsidRPr="003B42D9">
        <w:t>, fixtures and fittings and information technology equipment at fair value.</w:t>
      </w:r>
    </w:p>
    <w:p w14:paraId="6844ED7A" w14:textId="77777777" w:rsidR="000C2A54" w:rsidRPr="003B42D9" w:rsidRDefault="000C2A54" w:rsidP="000C2A54">
      <w:pPr>
        <w:tabs>
          <w:tab w:val="left" w:pos="709"/>
        </w:tabs>
        <w:autoSpaceDE w:val="0"/>
        <w:autoSpaceDN w:val="0"/>
        <w:adjustRightInd w:val="0"/>
        <w:ind w:left="1418"/>
      </w:pPr>
    </w:p>
    <w:p w14:paraId="3757560F" w14:textId="77777777" w:rsidR="000C2A54" w:rsidRPr="003B42D9" w:rsidRDefault="000C2A54" w:rsidP="000C2A54">
      <w:pPr>
        <w:tabs>
          <w:tab w:val="left" w:pos="709"/>
        </w:tabs>
        <w:autoSpaceDE w:val="0"/>
        <w:autoSpaceDN w:val="0"/>
        <w:adjustRightInd w:val="0"/>
        <w:ind w:left="1418"/>
      </w:pPr>
      <w:r w:rsidRPr="003B42D9">
        <w:t xml:space="preserve">Items of property, plant and equipment are capitalised if they are intended for use on a continuous basis and their individual original purchase cost is £1,000 or more.  Items with an individual cost of less than £1,000 but, when taken together, represent a significant investment will be grouped.  </w:t>
      </w:r>
    </w:p>
    <w:p w14:paraId="2C8D5724" w14:textId="77777777" w:rsidR="000C2A54" w:rsidRPr="003B42D9" w:rsidRDefault="000C2A54" w:rsidP="000C2A54">
      <w:pPr>
        <w:tabs>
          <w:tab w:val="left" w:pos="709"/>
        </w:tabs>
        <w:autoSpaceDE w:val="0"/>
        <w:autoSpaceDN w:val="0"/>
        <w:adjustRightInd w:val="0"/>
        <w:ind w:left="1560"/>
      </w:pPr>
    </w:p>
    <w:p w14:paraId="4554C3D0" w14:textId="39595762" w:rsidR="000C2A54" w:rsidRPr="003B42D9" w:rsidRDefault="000C2A54" w:rsidP="000C2A54">
      <w:pPr>
        <w:tabs>
          <w:tab w:val="left" w:pos="709"/>
        </w:tabs>
        <w:autoSpaceDE w:val="0"/>
        <w:autoSpaceDN w:val="0"/>
        <w:adjustRightInd w:val="0"/>
        <w:ind w:left="1418"/>
      </w:pPr>
      <w:r w:rsidRPr="003B42D9">
        <w:t xml:space="preserve">Leasehold improvement expenditure has been capitalised and is restated at current </w:t>
      </w:r>
      <w:r w:rsidR="00660836">
        <w:t>value</w:t>
      </w:r>
      <w:r w:rsidR="00660836" w:rsidRPr="003B42D9">
        <w:t xml:space="preserve"> </w:t>
      </w:r>
      <w:r w:rsidRPr="003B42D9">
        <w:t>using professional valuations.  Valuations are carried out annually using indices compiled by the Office for National Statistics, and normally every third year by professional external valuers employed by the Land and Property Services (Valuations) in accordance with the Appraisal and Valuation Manual prepared and published by the Royal Institution of Chartered Surveyors, as at 31 March</w:t>
      </w:r>
      <w:r w:rsidR="008D53CC">
        <w:t xml:space="preserve"> 202</w:t>
      </w:r>
      <w:r w:rsidR="00555648">
        <w:t>3</w:t>
      </w:r>
      <w:r w:rsidRPr="003B42D9">
        <w:t xml:space="preserve">.  </w:t>
      </w:r>
      <w:r>
        <w:t>T</w:t>
      </w:r>
      <w:r w:rsidRPr="003B42D9">
        <w:t xml:space="preserve">he current lease was negotiated </w:t>
      </w:r>
      <w:r>
        <w:t xml:space="preserve">in </w:t>
      </w:r>
      <w:r w:rsidR="0091473F">
        <w:t>March 2020</w:t>
      </w:r>
      <w:r>
        <w:t xml:space="preserve"> and </w:t>
      </w:r>
      <w:r w:rsidR="0091473F">
        <w:t>i</w:t>
      </w:r>
      <w:r w:rsidR="00E82515">
        <w:t>s</w:t>
      </w:r>
      <w:r>
        <w:t xml:space="preserve"> </w:t>
      </w:r>
      <w:r w:rsidRPr="003B42D9">
        <w:t xml:space="preserve">for a period of </w:t>
      </w:r>
      <w:r w:rsidR="0091473F">
        <w:t>ten</w:t>
      </w:r>
      <w:r w:rsidRPr="003B42D9">
        <w:t xml:space="preserve"> years</w:t>
      </w:r>
      <w:r>
        <w:t xml:space="preserve"> </w:t>
      </w:r>
      <w:r w:rsidR="00C6005E">
        <w:t xml:space="preserve">until </w:t>
      </w:r>
      <w:r w:rsidR="0091473F">
        <w:t>18 March 2030 with a break clause after five years</w:t>
      </w:r>
      <w:r>
        <w:t>.</w:t>
      </w:r>
      <w:r w:rsidRPr="003B42D9">
        <w:t xml:space="preserve">  </w:t>
      </w:r>
    </w:p>
    <w:p w14:paraId="5FE8E431" w14:textId="77777777" w:rsidR="000C2A54" w:rsidRDefault="000C2A54" w:rsidP="000C2A54">
      <w:pPr>
        <w:tabs>
          <w:tab w:val="left" w:pos="709"/>
        </w:tabs>
        <w:autoSpaceDE w:val="0"/>
        <w:autoSpaceDN w:val="0"/>
        <w:adjustRightInd w:val="0"/>
        <w:ind w:left="1560"/>
      </w:pPr>
    </w:p>
    <w:p w14:paraId="01A981DD" w14:textId="77777777" w:rsidR="001E2AA0" w:rsidRDefault="001E2AA0" w:rsidP="000C2A54">
      <w:pPr>
        <w:tabs>
          <w:tab w:val="left" w:pos="709"/>
        </w:tabs>
        <w:autoSpaceDE w:val="0"/>
        <w:autoSpaceDN w:val="0"/>
        <w:adjustRightInd w:val="0"/>
        <w:ind w:left="1560"/>
      </w:pPr>
    </w:p>
    <w:p w14:paraId="7ACECD80" w14:textId="77777777" w:rsidR="001E2AA0" w:rsidRPr="003B42D9" w:rsidRDefault="001E2AA0" w:rsidP="000C2A54">
      <w:pPr>
        <w:tabs>
          <w:tab w:val="left" w:pos="709"/>
        </w:tabs>
        <w:autoSpaceDE w:val="0"/>
        <w:autoSpaceDN w:val="0"/>
        <w:adjustRightInd w:val="0"/>
        <w:ind w:left="1560"/>
      </w:pPr>
    </w:p>
    <w:p w14:paraId="04871FA5" w14:textId="77777777" w:rsidR="000C2A54" w:rsidRPr="003B42D9" w:rsidRDefault="000C2A54" w:rsidP="000C2A54">
      <w:pPr>
        <w:tabs>
          <w:tab w:val="left" w:pos="709"/>
        </w:tabs>
        <w:autoSpaceDE w:val="0"/>
        <w:autoSpaceDN w:val="0"/>
        <w:adjustRightInd w:val="0"/>
        <w:ind w:left="1418"/>
      </w:pPr>
      <w:r w:rsidRPr="003B42D9">
        <w:lastRenderedPageBreak/>
        <w:t>Any surplus/loss on revaluation is treated as follows:</w:t>
      </w:r>
    </w:p>
    <w:p w14:paraId="4ED5A960" w14:textId="77777777" w:rsidR="000C2A54" w:rsidRPr="003B42D9" w:rsidRDefault="000C2A54" w:rsidP="000C2A54">
      <w:pPr>
        <w:tabs>
          <w:tab w:val="left" w:pos="709"/>
        </w:tabs>
        <w:autoSpaceDE w:val="0"/>
        <w:autoSpaceDN w:val="0"/>
        <w:adjustRightInd w:val="0"/>
        <w:ind w:left="1560"/>
      </w:pPr>
    </w:p>
    <w:p w14:paraId="75CF96B2" w14:textId="77777777" w:rsidR="000C2A54" w:rsidRPr="003B42D9" w:rsidRDefault="000C2A54" w:rsidP="00310B25">
      <w:pPr>
        <w:pStyle w:val="ListParagraph"/>
        <w:numPr>
          <w:ilvl w:val="0"/>
          <w:numId w:val="7"/>
        </w:numPr>
        <w:autoSpaceDE w:val="0"/>
        <w:autoSpaceDN w:val="0"/>
        <w:adjustRightInd w:val="0"/>
        <w:ind w:left="1701" w:hanging="283"/>
      </w:pPr>
      <w:r w:rsidRPr="003B42D9">
        <w:t xml:space="preserve">Unrealised surplus arising from revaluation of property, plant and equipment is credited to the Revaluation Reserve unless it reverses a revaluation decrease of the same asset previously charged to the </w:t>
      </w:r>
      <w:r w:rsidRPr="003B42D9">
        <w:rPr>
          <w:rFonts w:cs="Arial"/>
        </w:rPr>
        <w:t>Statement of Comprehensive Net Expenditure</w:t>
      </w:r>
      <w:r w:rsidRPr="003B42D9">
        <w:t>;</w:t>
      </w:r>
    </w:p>
    <w:p w14:paraId="37D52E2A" w14:textId="77777777" w:rsidR="000C2A54" w:rsidRPr="003B42D9" w:rsidRDefault="000C2A54" w:rsidP="000C2A54">
      <w:pPr>
        <w:autoSpaceDE w:val="0"/>
        <w:autoSpaceDN w:val="0"/>
        <w:adjustRightInd w:val="0"/>
        <w:ind w:left="1701" w:hanging="283"/>
      </w:pPr>
    </w:p>
    <w:p w14:paraId="0858D2B5" w14:textId="767E1A4B" w:rsidR="000C2A54" w:rsidRDefault="000C2A54" w:rsidP="00310B25">
      <w:pPr>
        <w:pStyle w:val="ListParagraph"/>
        <w:numPr>
          <w:ilvl w:val="0"/>
          <w:numId w:val="7"/>
        </w:numPr>
        <w:autoSpaceDE w:val="0"/>
        <w:autoSpaceDN w:val="0"/>
        <w:adjustRightInd w:val="0"/>
        <w:ind w:left="1701" w:hanging="283"/>
      </w:pPr>
      <w:r w:rsidRPr="003B42D9">
        <w:t xml:space="preserve">Losses arising from the revaluation of property, plant and equipment are debited to the Revaluation Reserve to the extent that gains were recorded previously, and otherwise to the </w:t>
      </w:r>
      <w:r w:rsidRPr="003B42D9">
        <w:rPr>
          <w:rFonts w:cs="Arial"/>
        </w:rPr>
        <w:t>Statement of Comprehensive Net Expenditure</w:t>
      </w:r>
      <w:r w:rsidRPr="003B42D9">
        <w:t>.</w:t>
      </w:r>
    </w:p>
    <w:p w14:paraId="13A78688" w14:textId="77777777" w:rsidR="00975D2D" w:rsidRDefault="00975D2D" w:rsidP="00975D2D">
      <w:pPr>
        <w:pStyle w:val="ListParagraph"/>
      </w:pPr>
    </w:p>
    <w:p w14:paraId="3ABD461D" w14:textId="77777777" w:rsidR="00975D2D" w:rsidRPr="003B42D9" w:rsidRDefault="00975D2D" w:rsidP="00975D2D">
      <w:pPr>
        <w:autoSpaceDE w:val="0"/>
        <w:autoSpaceDN w:val="0"/>
        <w:adjustRightInd w:val="0"/>
        <w:ind w:left="1418"/>
      </w:pPr>
      <w:r w:rsidRPr="003B42D9">
        <w:t>All property, plant and equipment are reviewed annually as part of an inventory check against the Commission’s asset register.</w:t>
      </w:r>
    </w:p>
    <w:p w14:paraId="0A37AC37" w14:textId="77777777" w:rsidR="00975D2D" w:rsidRPr="003B42D9" w:rsidRDefault="00975D2D" w:rsidP="00975D2D">
      <w:pPr>
        <w:autoSpaceDE w:val="0"/>
        <w:autoSpaceDN w:val="0"/>
        <w:adjustRightInd w:val="0"/>
        <w:ind w:left="1418"/>
      </w:pPr>
    </w:p>
    <w:p w14:paraId="14D6801E" w14:textId="77777777" w:rsidR="00975D2D" w:rsidRPr="003B42D9" w:rsidRDefault="00975D2D" w:rsidP="00975D2D">
      <w:pPr>
        <w:autoSpaceDE w:val="0"/>
        <w:autoSpaceDN w:val="0"/>
        <w:adjustRightInd w:val="0"/>
        <w:ind w:left="1418"/>
      </w:pPr>
      <w:r w:rsidRPr="003B42D9">
        <w:t>All other property, plant and equipment is valued on the basis of historical cost less depreciation as an approximation of fair value due to short life or low value of the individual assets.</w:t>
      </w:r>
    </w:p>
    <w:p w14:paraId="03FDB2FA" w14:textId="77777777" w:rsidR="00975D2D" w:rsidRPr="003B42D9" w:rsidRDefault="00975D2D" w:rsidP="00975D2D">
      <w:pPr>
        <w:autoSpaceDE w:val="0"/>
        <w:autoSpaceDN w:val="0"/>
        <w:adjustRightInd w:val="0"/>
        <w:ind w:left="1418"/>
      </w:pPr>
    </w:p>
    <w:p w14:paraId="36C7DD83" w14:textId="77777777" w:rsidR="00975D2D" w:rsidRPr="003B42D9" w:rsidRDefault="00975D2D" w:rsidP="00975D2D">
      <w:pPr>
        <w:autoSpaceDE w:val="0"/>
        <w:autoSpaceDN w:val="0"/>
        <w:adjustRightInd w:val="0"/>
        <w:ind w:left="1418"/>
      </w:pPr>
      <w:r w:rsidRPr="003B42D9">
        <w:t>Depreciation is provided on a straight-line basis at rates calculated to write</w:t>
      </w:r>
      <w:r w:rsidRPr="003B42D9">
        <w:rPr>
          <w:rFonts w:cs="Arial"/>
        </w:rPr>
        <w:t>-</w:t>
      </w:r>
      <w:r w:rsidRPr="003B42D9">
        <w:t>off the cost less estimated residual value of each asset over its expected useful life.  The estimated useful lives for depreciation purposes are:</w:t>
      </w:r>
    </w:p>
    <w:p w14:paraId="2C89C960" w14:textId="77777777" w:rsidR="00975D2D" w:rsidRPr="003B42D9" w:rsidRDefault="00975D2D" w:rsidP="00975D2D">
      <w:pPr>
        <w:widowControl w:val="0"/>
        <w:tabs>
          <w:tab w:val="left" w:pos="5670"/>
        </w:tabs>
        <w:autoSpaceDE w:val="0"/>
        <w:autoSpaceDN w:val="0"/>
        <w:adjustRightInd w:val="0"/>
        <w:ind w:firstLine="720"/>
      </w:pPr>
    </w:p>
    <w:p w14:paraId="3CFF3919" w14:textId="77777777" w:rsidR="00975D2D" w:rsidRPr="003B42D9" w:rsidRDefault="00975D2D" w:rsidP="00975D2D">
      <w:pPr>
        <w:widowControl w:val="0"/>
        <w:tabs>
          <w:tab w:val="left" w:pos="5670"/>
        </w:tabs>
        <w:autoSpaceDE w:val="0"/>
        <w:autoSpaceDN w:val="0"/>
        <w:adjustRightInd w:val="0"/>
        <w:ind w:firstLine="1418"/>
      </w:pPr>
      <w:r w:rsidRPr="003B42D9">
        <w:t>Leasehold improvements:</w:t>
      </w:r>
      <w:r w:rsidRPr="003B42D9">
        <w:tab/>
        <w:t xml:space="preserve">10 years (or the life of the </w:t>
      </w:r>
    </w:p>
    <w:p w14:paraId="263E4A07" w14:textId="77777777" w:rsidR="00975D2D" w:rsidRPr="003B42D9" w:rsidRDefault="00975D2D" w:rsidP="00975D2D">
      <w:pPr>
        <w:widowControl w:val="0"/>
        <w:tabs>
          <w:tab w:val="left" w:pos="5670"/>
        </w:tabs>
        <w:autoSpaceDE w:val="0"/>
        <w:autoSpaceDN w:val="0"/>
        <w:adjustRightInd w:val="0"/>
        <w:ind w:left="1418"/>
      </w:pPr>
      <w:r w:rsidRPr="003B42D9">
        <w:tab/>
        <w:t>lease, whichever is least)</w:t>
      </w:r>
    </w:p>
    <w:p w14:paraId="3EAAAF22" w14:textId="77777777" w:rsidR="00975D2D" w:rsidRPr="003B42D9" w:rsidRDefault="00975D2D" w:rsidP="00975D2D">
      <w:pPr>
        <w:widowControl w:val="0"/>
        <w:tabs>
          <w:tab w:val="left" w:pos="5670"/>
        </w:tabs>
        <w:autoSpaceDE w:val="0"/>
        <w:autoSpaceDN w:val="0"/>
        <w:adjustRightInd w:val="0"/>
        <w:ind w:left="1418"/>
      </w:pPr>
      <w:r w:rsidRPr="003B42D9">
        <w:t>Computer equipment:</w:t>
      </w:r>
      <w:r w:rsidRPr="003B42D9">
        <w:tab/>
        <w:t>3 years</w:t>
      </w:r>
    </w:p>
    <w:p w14:paraId="43870238" w14:textId="5A17E988" w:rsidR="00DE1D34" w:rsidRDefault="00975D2D" w:rsidP="00DE1D34">
      <w:pPr>
        <w:widowControl w:val="0"/>
        <w:tabs>
          <w:tab w:val="left" w:pos="5670"/>
        </w:tabs>
        <w:autoSpaceDE w:val="0"/>
        <w:autoSpaceDN w:val="0"/>
        <w:adjustRightInd w:val="0"/>
        <w:ind w:left="1418"/>
      </w:pPr>
      <w:r w:rsidRPr="003B42D9">
        <w:t>Fixtures, fittings and equipment:</w:t>
      </w:r>
      <w:r w:rsidRPr="003B42D9">
        <w:tab/>
        <w:t>5 years</w:t>
      </w:r>
    </w:p>
    <w:p w14:paraId="01A76CA6" w14:textId="77777777" w:rsidR="00DE1D34" w:rsidRDefault="00DE1D34" w:rsidP="00FD0AA4">
      <w:pPr>
        <w:widowControl w:val="0"/>
        <w:tabs>
          <w:tab w:val="left" w:pos="5670"/>
        </w:tabs>
        <w:autoSpaceDE w:val="0"/>
        <w:autoSpaceDN w:val="0"/>
        <w:adjustRightInd w:val="0"/>
      </w:pPr>
    </w:p>
    <w:p w14:paraId="323FBF30" w14:textId="56946C1C" w:rsidR="00DE1D34" w:rsidRPr="00E5476D" w:rsidRDefault="00DE1D34" w:rsidP="00DE1D34">
      <w:pPr>
        <w:tabs>
          <w:tab w:val="left" w:pos="709"/>
        </w:tabs>
        <w:autoSpaceDE w:val="0"/>
        <w:autoSpaceDN w:val="0"/>
        <w:adjustRightInd w:val="0"/>
        <w:ind w:left="1440" w:hanging="1440"/>
        <w:rPr>
          <w:b/>
          <w:bCs/>
        </w:rPr>
      </w:pPr>
      <w:r>
        <w:rPr>
          <w:b/>
          <w:bCs/>
        </w:rPr>
        <w:tab/>
        <w:t>1.8</w:t>
      </w:r>
      <w:r>
        <w:rPr>
          <w:b/>
          <w:bCs/>
        </w:rPr>
        <w:tab/>
      </w:r>
      <w:r w:rsidR="006A0939">
        <w:rPr>
          <w:b/>
          <w:bCs/>
        </w:rPr>
        <w:t>Leases</w:t>
      </w:r>
    </w:p>
    <w:p w14:paraId="52965A15" w14:textId="77777777" w:rsidR="00DE1D34" w:rsidRDefault="00DE1D34" w:rsidP="00DE1D34">
      <w:pPr>
        <w:autoSpaceDE w:val="0"/>
        <w:autoSpaceDN w:val="0"/>
        <w:adjustRightInd w:val="0"/>
      </w:pPr>
    </w:p>
    <w:p w14:paraId="6D0ABE51" w14:textId="17045CD8" w:rsidR="00DE1D34" w:rsidRDefault="00DE1D34" w:rsidP="00DE1D34">
      <w:pPr>
        <w:autoSpaceDE w:val="0"/>
        <w:autoSpaceDN w:val="0"/>
        <w:adjustRightInd w:val="0"/>
        <w:ind w:left="1418"/>
      </w:pPr>
      <w:r>
        <w:t>Right-of-use assets within the Commission comprise the lease of premises at Alfred Street and the lease of a photocopier.</w:t>
      </w:r>
    </w:p>
    <w:p w14:paraId="1BA52DCB" w14:textId="77777777" w:rsidR="00DE1D34" w:rsidRDefault="00DE1D34" w:rsidP="00DE1D34">
      <w:pPr>
        <w:autoSpaceDE w:val="0"/>
        <w:autoSpaceDN w:val="0"/>
        <w:adjustRightInd w:val="0"/>
        <w:ind w:left="1418"/>
      </w:pPr>
    </w:p>
    <w:p w14:paraId="5EC3ABED" w14:textId="7CA312FB" w:rsidR="00975D2D" w:rsidRPr="003B42D9" w:rsidRDefault="00DE1D34" w:rsidP="00F04493">
      <w:pPr>
        <w:tabs>
          <w:tab w:val="left" w:pos="567"/>
        </w:tabs>
        <w:ind w:left="1440" w:hanging="1440"/>
      </w:pPr>
      <w:r>
        <w:tab/>
      </w:r>
      <w:r>
        <w:tab/>
        <w:t xml:space="preserve">IFRS 16 – Leases replaces IAS 17 Leases and related interpretations and had an effective date of 1 January 2019.  The new standard provides a single lessee accounting model, requiring lessees to recognise assets and liabilities for all leases unless the lease term is 12 months or less or the underlying asset has a low value.  Lessors continue to classify leases as operating or finance, with IFRS 16’s approach to lessor accounting substantially unchanged from its predecessor, IAS 17.  </w:t>
      </w:r>
      <w:r w:rsidR="00D948A4">
        <w:t xml:space="preserve">The new standard was due to be applied from 1 April 2019, however, for bodies applying the Government Financial Reporting Manual (FReM), HM Treasury have agreed with the Financial Reporting Advisory Board </w:t>
      </w:r>
      <w:r w:rsidR="00D948A4">
        <w:lastRenderedPageBreak/>
        <w:t>(FRAB) to defer the implementation of IFRS16 until 1 April 2022.  The Commission is impacted by the implementation in relation to the Alfred House lease.</w:t>
      </w:r>
    </w:p>
    <w:p w14:paraId="77F06225" w14:textId="77777777" w:rsidR="00E5476D" w:rsidRDefault="00E5476D" w:rsidP="005A3BB2">
      <w:pPr>
        <w:autoSpaceDE w:val="0"/>
        <w:autoSpaceDN w:val="0"/>
        <w:adjustRightInd w:val="0"/>
      </w:pPr>
    </w:p>
    <w:p w14:paraId="3A4FEFCB" w14:textId="7257AF36" w:rsidR="00E5476D" w:rsidRPr="00E5476D" w:rsidRDefault="00B07E4A" w:rsidP="00E5476D">
      <w:pPr>
        <w:tabs>
          <w:tab w:val="left" w:pos="709"/>
        </w:tabs>
        <w:autoSpaceDE w:val="0"/>
        <w:autoSpaceDN w:val="0"/>
        <w:adjustRightInd w:val="0"/>
        <w:ind w:left="1440" w:hanging="1440"/>
        <w:rPr>
          <w:b/>
          <w:bCs/>
        </w:rPr>
      </w:pPr>
      <w:r>
        <w:rPr>
          <w:b/>
          <w:bCs/>
        </w:rPr>
        <w:tab/>
      </w:r>
      <w:r w:rsidR="00E5476D">
        <w:rPr>
          <w:b/>
          <w:bCs/>
        </w:rPr>
        <w:t>1.</w:t>
      </w:r>
      <w:r w:rsidR="00D13D4A">
        <w:rPr>
          <w:b/>
          <w:bCs/>
        </w:rPr>
        <w:t>9</w:t>
      </w:r>
      <w:r w:rsidR="00E5476D">
        <w:rPr>
          <w:b/>
          <w:bCs/>
        </w:rPr>
        <w:tab/>
        <w:t>IAS 37 – Provision</w:t>
      </w:r>
      <w:r w:rsidR="006A0939">
        <w:rPr>
          <w:b/>
          <w:bCs/>
        </w:rPr>
        <w:t>s</w:t>
      </w:r>
      <w:r w:rsidR="00E5476D">
        <w:rPr>
          <w:b/>
          <w:bCs/>
        </w:rPr>
        <w:t>, Contingent Liabilities and Contingent Assets</w:t>
      </w:r>
      <w:r w:rsidR="00E5476D">
        <w:rPr>
          <w:b/>
          <w:bCs/>
        </w:rPr>
        <w:tab/>
      </w:r>
    </w:p>
    <w:p w14:paraId="4CBB496C" w14:textId="77777777" w:rsidR="005A3BB2" w:rsidRDefault="005A3BB2" w:rsidP="005A3BB2">
      <w:pPr>
        <w:autoSpaceDE w:val="0"/>
        <w:autoSpaceDN w:val="0"/>
        <w:adjustRightInd w:val="0"/>
      </w:pPr>
    </w:p>
    <w:p w14:paraId="3332B4C0" w14:textId="7A03B017" w:rsidR="00800E11" w:rsidRDefault="00E5476D" w:rsidP="000C2A54">
      <w:pPr>
        <w:autoSpaceDE w:val="0"/>
        <w:autoSpaceDN w:val="0"/>
        <w:adjustRightInd w:val="0"/>
        <w:ind w:left="1418"/>
      </w:pPr>
      <w:r>
        <w:t>U</w:t>
      </w:r>
      <w:r w:rsidR="004A2CEE">
        <w:t>nder IAS 37.14</w:t>
      </w:r>
      <w:r w:rsidR="005F2697">
        <w:t>, a provision shall be recognised when:</w:t>
      </w:r>
    </w:p>
    <w:p w14:paraId="3B4CF461" w14:textId="77777777" w:rsidR="005F2697" w:rsidRDefault="005F2697" w:rsidP="000C2A54">
      <w:pPr>
        <w:autoSpaceDE w:val="0"/>
        <w:autoSpaceDN w:val="0"/>
        <w:adjustRightInd w:val="0"/>
        <w:ind w:left="1418"/>
      </w:pPr>
    </w:p>
    <w:p w14:paraId="124803C9" w14:textId="77777777" w:rsidR="005F2697" w:rsidRDefault="005F2697" w:rsidP="00310B25">
      <w:pPr>
        <w:pStyle w:val="ListParagraph"/>
        <w:numPr>
          <w:ilvl w:val="0"/>
          <w:numId w:val="15"/>
        </w:numPr>
        <w:autoSpaceDE w:val="0"/>
        <w:autoSpaceDN w:val="0"/>
        <w:adjustRightInd w:val="0"/>
      </w:pPr>
      <w:r>
        <w:t>“An entity has a present obligation (legal or constructive) as a result of a past event;</w:t>
      </w:r>
    </w:p>
    <w:p w14:paraId="6FC5E1A0" w14:textId="77777777" w:rsidR="005F2697" w:rsidRDefault="005F2697" w:rsidP="00310B25">
      <w:pPr>
        <w:pStyle w:val="ListParagraph"/>
        <w:numPr>
          <w:ilvl w:val="0"/>
          <w:numId w:val="15"/>
        </w:numPr>
        <w:autoSpaceDE w:val="0"/>
        <w:autoSpaceDN w:val="0"/>
        <w:adjustRightInd w:val="0"/>
      </w:pPr>
      <w:r>
        <w:t>It is probably that an outflow of resources embodying economic benefits will be required to settle the obligation; and</w:t>
      </w:r>
    </w:p>
    <w:p w14:paraId="156DAC64" w14:textId="77777777" w:rsidR="005F2697" w:rsidRDefault="005F2697" w:rsidP="00310B25">
      <w:pPr>
        <w:pStyle w:val="ListParagraph"/>
        <w:numPr>
          <w:ilvl w:val="0"/>
          <w:numId w:val="15"/>
        </w:numPr>
        <w:autoSpaceDE w:val="0"/>
        <w:autoSpaceDN w:val="0"/>
        <w:adjustRightInd w:val="0"/>
      </w:pPr>
      <w:r>
        <w:t>A reliable estimate can be made of the amount of the obligation.</w:t>
      </w:r>
      <w:r w:rsidR="00582180">
        <w:t>”</w:t>
      </w:r>
    </w:p>
    <w:p w14:paraId="2B7B3625" w14:textId="77777777" w:rsidR="00582180" w:rsidRDefault="00582180" w:rsidP="00582180">
      <w:pPr>
        <w:autoSpaceDE w:val="0"/>
        <w:autoSpaceDN w:val="0"/>
        <w:adjustRightInd w:val="0"/>
      </w:pPr>
    </w:p>
    <w:p w14:paraId="30D8FDA9" w14:textId="7DE11BDA" w:rsidR="00582180" w:rsidRDefault="00582180" w:rsidP="007C6B78">
      <w:pPr>
        <w:autoSpaceDE w:val="0"/>
        <w:autoSpaceDN w:val="0"/>
        <w:adjustRightInd w:val="0"/>
        <w:ind w:left="1440" w:hanging="720"/>
      </w:pPr>
      <w:r>
        <w:tab/>
      </w:r>
      <w:r w:rsidR="00B97B1A">
        <w:t>As the</w:t>
      </w:r>
      <w:r w:rsidR="007C72AC">
        <w:t xml:space="preserve"> Commission’s lease contains a clause under which</w:t>
      </w:r>
      <w:r w:rsidR="005B3DFB">
        <w:t>,</w:t>
      </w:r>
      <w:r w:rsidR="007C72AC">
        <w:t xml:space="preserve"> </w:t>
      </w:r>
      <w:r w:rsidR="00DB1FF2">
        <w:t>at the expiration of the lease</w:t>
      </w:r>
      <w:r w:rsidR="005B3DFB">
        <w:t xml:space="preserve">, </w:t>
      </w:r>
      <w:r w:rsidR="00C97C03">
        <w:t xml:space="preserve">there is </w:t>
      </w:r>
      <w:r w:rsidR="00827E4A">
        <w:t>an obligation to repair the property</w:t>
      </w:r>
      <w:r w:rsidR="00362EF7">
        <w:t xml:space="preserve"> and return it to the lessor in a specified condition</w:t>
      </w:r>
      <w:r w:rsidR="00B97B1A">
        <w:t xml:space="preserve">, a provision for dilapidation costs </w:t>
      </w:r>
      <w:r w:rsidR="00C97C03">
        <w:t>is recognised in the accounts</w:t>
      </w:r>
      <w:r w:rsidR="00DC73A1">
        <w:t xml:space="preserve">.  </w:t>
      </w:r>
      <w:r w:rsidR="00D65D83">
        <w:t xml:space="preserve"> </w:t>
      </w:r>
    </w:p>
    <w:p w14:paraId="0F881C88" w14:textId="77777777" w:rsidR="007C6B78" w:rsidRDefault="007C6B78" w:rsidP="00582180">
      <w:pPr>
        <w:autoSpaceDE w:val="0"/>
        <w:autoSpaceDN w:val="0"/>
        <w:adjustRightInd w:val="0"/>
        <w:ind w:left="720"/>
      </w:pPr>
    </w:p>
    <w:p w14:paraId="73BB429A" w14:textId="77777777" w:rsidR="007C6B78" w:rsidRDefault="009D020C" w:rsidP="007543BD">
      <w:pPr>
        <w:autoSpaceDE w:val="0"/>
        <w:autoSpaceDN w:val="0"/>
        <w:adjustRightInd w:val="0"/>
        <w:ind w:left="1440" w:hanging="720"/>
      </w:pPr>
      <w:r>
        <w:tab/>
      </w:r>
      <w:r w:rsidR="00E01AB0">
        <w:t xml:space="preserve">The provision for dilapidation costs </w:t>
      </w:r>
      <w:r w:rsidR="00AE3711">
        <w:t>is based on a reliable estimate of the amount that would need to be paid to discharge the obligation</w:t>
      </w:r>
      <w:r w:rsidR="009B55BB">
        <w:t xml:space="preserve"> </w:t>
      </w:r>
      <w:r w:rsidR="00851138">
        <w:t>at the end of the lease</w:t>
      </w:r>
      <w:r w:rsidR="005A5724">
        <w:t>.</w:t>
      </w:r>
      <w:r w:rsidR="00E01AB0">
        <w:t xml:space="preserve"> </w:t>
      </w:r>
    </w:p>
    <w:p w14:paraId="2C0DC46E" w14:textId="77777777" w:rsidR="000C2A54" w:rsidRDefault="000C2A54" w:rsidP="00FD0AA4">
      <w:pPr>
        <w:widowControl w:val="0"/>
        <w:tabs>
          <w:tab w:val="left" w:pos="5670"/>
        </w:tabs>
        <w:autoSpaceDE w:val="0"/>
        <w:autoSpaceDN w:val="0"/>
        <w:adjustRightInd w:val="0"/>
        <w:rPr>
          <w:sz w:val="22"/>
          <w:szCs w:val="22"/>
        </w:rPr>
      </w:pPr>
    </w:p>
    <w:p w14:paraId="27356A2F" w14:textId="3E24408C" w:rsidR="000C2A54" w:rsidRPr="00F97E5F" w:rsidRDefault="00B07E4A" w:rsidP="000C2A54">
      <w:pPr>
        <w:widowControl w:val="0"/>
        <w:autoSpaceDE w:val="0"/>
        <w:autoSpaceDN w:val="0"/>
        <w:adjustRightInd w:val="0"/>
        <w:ind w:left="1418" w:hanging="851"/>
        <w:rPr>
          <w:rFonts w:cs="Arial"/>
          <w:b/>
          <w:bCs/>
        </w:rPr>
      </w:pPr>
      <w:r>
        <w:rPr>
          <w:rFonts w:cs="Arial"/>
          <w:b/>
          <w:bCs/>
        </w:rPr>
        <w:t>1.</w:t>
      </w:r>
      <w:r w:rsidR="00D13D4A">
        <w:rPr>
          <w:rFonts w:cs="Arial"/>
          <w:b/>
          <w:bCs/>
        </w:rPr>
        <w:t>10</w:t>
      </w:r>
      <w:r w:rsidR="000C2A54" w:rsidRPr="00F97E5F">
        <w:rPr>
          <w:rFonts w:cs="Arial"/>
          <w:b/>
          <w:bCs/>
        </w:rPr>
        <w:tab/>
        <w:t>Intangible Assets</w:t>
      </w:r>
    </w:p>
    <w:p w14:paraId="473745B8" w14:textId="77777777" w:rsidR="00C6005E" w:rsidRDefault="00C6005E" w:rsidP="000C2A54">
      <w:pPr>
        <w:widowControl w:val="0"/>
        <w:autoSpaceDE w:val="0"/>
        <w:autoSpaceDN w:val="0"/>
        <w:adjustRightInd w:val="0"/>
        <w:ind w:left="1418"/>
        <w:rPr>
          <w:rFonts w:cs="Arial"/>
          <w:bCs/>
        </w:rPr>
      </w:pPr>
    </w:p>
    <w:p w14:paraId="2E7A89F9" w14:textId="28BE3182" w:rsidR="000C2A54" w:rsidRDefault="00AB5030" w:rsidP="000C2A54">
      <w:pPr>
        <w:widowControl w:val="0"/>
        <w:autoSpaceDE w:val="0"/>
        <w:autoSpaceDN w:val="0"/>
        <w:adjustRightInd w:val="0"/>
        <w:ind w:left="1418"/>
        <w:rPr>
          <w:rFonts w:cs="Arial"/>
          <w:bCs/>
        </w:rPr>
      </w:pPr>
      <w:r>
        <w:rPr>
          <w:rFonts w:cs="Arial"/>
          <w:bCs/>
        </w:rPr>
        <w:t xml:space="preserve">The Commission follows the </w:t>
      </w:r>
      <w:r w:rsidR="008667F0">
        <w:rPr>
          <w:rFonts w:cs="Arial"/>
          <w:bCs/>
        </w:rPr>
        <w:t>criteria set out within IAS 38 when recognising an asset as intangible.</w:t>
      </w:r>
    </w:p>
    <w:p w14:paraId="237E1F12" w14:textId="3CB0C1C6" w:rsidR="003E37ED" w:rsidRDefault="003E37ED" w:rsidP="000C2A54">
      <w:pPr>
        <w:widowControl w:val="0"/>
        <w:autoSpaceDE w:val="0"/>
        <w:autoSpaceDN w:val="0"/>
        <w:adjustRightInd w:val="0"/>
        <w:ind w:left="1418"/>
        <w:rPr>
          <w:rFonts w:cs="Arial"/>
          <w:bCs/>
        </w:rPr>
      </w:pPr>
    </w:p>
    <w:p w14:paraId="40D72DC7" w14:textId="2BC21E17" w:rsidR="00220BC8" w:rsidRDefault="00F43768" w:rsidP="000C2A54">
      <w:pPr>
        <w:widowControl w:val="0"/>
        <w:autoSpaceDE w:val="0"/>
        <w:autoSpaceDN w:val="0"/>
        <w:adjustRightInd w:val="0"/>
        <w:ind w:left="1418"/>
        <w:rPr>
          <w:rFonts w:cs="Arial"/>
          <w:bCs/>
        </w:rPr>
      </w:pPr>
      <w:r>
        <w:rPr>
          <w:rFonts w:cs="Arial"/>
          <w:bCs/>
        </w:rPr>
        <w:t>Software licen</w:t>
      </w:r>
      <w:r w:rsidR="00D72F50">
        <w:rPr>
          <w:rFonts w:cs="Arial"/>
          <w:bCs/>
        </w:rPr>
        <w:t>c</w:t>
      </w:r>
      <w:r>
        <w:rPr>
          <w:rFonts w:cs="Arial"/>
          <w:bCs/>
        </w:rPr>
        <w:t>es are amortised over 2 years</w:t>
      </w:r>
      <w:r w:rsidR="00220BC8">
        <w:rPr>
          <w:rFonts w:cs="Arial"/>
          <w:bCs/>
        </w:rPr>
        <w:t xml:space="preserve"> (or the life of the license)</w:t>
      </w:r>
      <w:r w:rsidR="00234EB0">
        <w:rPr>
          <w:rFonts w:cs="Arial"/>
          <w:bCs/>
        </w:rPr>
        <w:t>.</w:t>
      </w:r>
    </w:p>
    <w:p w14:paraId="26098940" w14:textId="77777777" w:rsidR="00220BC8" w:rsidRDefault="00220BC8" w:rsidP="000C2A54">
      <w:pPr>
        <w:widowControl w:val="0"/>
        <w:autoSpaceDE w:val="0"/>
        <w:autoSpaceDN w:val="0"/>
        <w:adjustRightInd w:val="0"/>
        <w:ind w:left="1418"/>
        <w:rPr>
          <w:rFonts w:cs="Arial"/>
          <w:bCs/>
        </w:rPr>
      </w:pPr>
    </w:p>
    <w:p w14:paraId="64068ADD" w14:textId="73449EA7" w:rsidR="003E37ED" w:rsidRPr="00F97E5F" w:rsidRDefault="003E37ED" w:rsidP="000C2A54">
      <w:pPr>
        <w:widowControl w:val="0"/>
        <w:autoSpaceDE w:val="0"/>
        <w:autoSpaceDN w:val="0"/>
        <w:adjustRightInd w:val="0"/>
        <w:ind w:left="1418"/>
        <w:rPr>
          <w:rFonts w:cs="Arial"/>
          <w:bCs/>
        </w:rPr>
      </w:pPr>
      <w:r>
        <w:rPr>
          <w:rFonts w:cs="Arial"/>
          <w:bCs/>
        </w:rPr>
        <w:t>Intangible assets are amortised over 5 years (or the life of the asset).</w:t>
      </w:r>
    </w:p>
    <w:p w14:paraId="1683B0AD" w14:textId="77777777" w:rsidR="001E5939" w:rsidRPr="00F97E5F" w:rsidRDefault="001E5939" w:rsidP="000C2A54">
      <w:pPr>
        <w:widowControl w:val="0"/>
        <w:tabs>
          <w:tab w:val="left" w:pos="567"/>
        </w:tabs>
        <w:autoSpaceDE w:val="0"/>
        <w:autoSpaceDN w:val="0"/>
        <w:adjustRightInd w:val="0"/>
        <w:rPr>
          <w:b/>
        </w:rPr>
      </w:pPr>
    </w:p>
    <w:p w14:paraId="551D97AA" w14:textId="33688C93" w:rsidR="000C2A54" w:rsidRPr="00F97E5F" w:rsidRDefault="00B07E4A" w:rsidP="000C2A54">
      <w:pPr>
        <w:widowControl w:val="0"/>
        <w:autoSpaceDE w:val="0"/>
        <w:autoSpaceDN w:val="0"/>
        <w:adjustRightInd w:val="0"/>
        <w:ind w:left="1418" w:hanging="851"/>
        <w:rPr>
          <w:b/>
        </w:rPr>
      </w:pPr>
      <w:r>
        <w:rPr>
          <w:b/>
        </w:rPr>
        <w:t>1.1</w:t>
      </w:r>
      <w:r w:rsidR="00F04493">
        <w:rPr>
          <w:b/>
        </w:rPr>
        <w:t>1</w:t>
      </w:r>
      <w:r w:rsidR="000C2A54" w:rsidRPr="00F97E5F">
        <w:rPr>
          <w:b/>
        </w:rPr>
        <w:tab/>
        <w:t>Pensions</w:t>
      </w:r>
    </w:p>
    <w:p w14:paraId="6B504526" w14:textId="77777777" w:rsidR="000C2A54" w:rsidRPr="00F97E5F" w:rsidRDefault="000C2A54" w:rsidP="000C2A54">
      <w:pPr>
        <w:widowControl w:val="0"/>
        <w:tabs>
          <w:tab w:val="left" w:pos="567"/>
        </w:tabs>
        <w:autoSpaceDE w:val="0"/>
        <w:autoSpaceDN w:val="0"/>
        <w:adjustRightInd w:val="0"/>
        <w:ind w:left="567"/>
      </w:pPr>
    </w:p>
    <w:p w14:paraId="1E187DE6" w14:textId="0165FB9C" w:rsidR="00AE02A9" w:rsidRDefault="000C2A54" w:rsidP="000C2A54">
      <w:pPr>
        <w:widowControl w:val="0"/>
        <w:autoSpaceDE w:val="0"/>
        <w:autoSpaceDN w:val="0"/>
        <w:adjustRightInd w:val="0"/>
        <w:ind w:left="1418"/>
      </w:pPr>
      <w:r w:rsidRPr="00F97E5F">
        <w:t>Past and present employees are covered by the provisions of the Principal Civil Service Pension Schemes (PCSPS</w:t>
      </w:r>
      <w:r w:rsidR="00176472" w:rsidRPr="00F97E5F">
        <w:t>), which</w:t>
      </w:r>
      <w:r w:rsidRPr="00F97E5F">
        <w:t xml:space="preserve"> are described in </w:t>
      </w:r>
      <w:r>
        <w:t>the Remuneration and Staff Report</w:t>
      </w:r>
      <w:r w:rsidRPr="00F97E5F">
        <w:t xml:space="preserve">.  The defined benefit schemes </w:t>
      </w:r>
      <w:r w:rsidR="00AE02A9">
        <w:t>are</w:t>
      </w:r>
      <w:r w:rsidRPr="00F97E5F">
        <w:t xml:space="preserve"> unfunded</w:t>
      </w:r>
      <w:r w:rsidR="00AE02A9">
        <w:t xml:space="preserve"> and contributory</w:t>
      </w:r>
      <w:r w:rsidRPr="00F97E5F">
        <w:t xml:space="preserve">.  </w:t>
      </w:r>
    </w:p>
    <w:p w14:paraId="6A9B1E40" w14:textId="77777777" w:rsidR="00AE02A9" w:rsidRDefault="00AE02A9" w:rsidP="000C2A54">
      <w:pPr>
        <w:widowControl w:val="0"/>
        <w:autoSpaceDE w:val="0"/>
        <w:autoSpaceDN w:val="0"/>
        <w:adjustRightInd w:val="0"/>
        <w:ind w:left="1418"/>
      </w:pPr>
    </w:p>
    <w:p w14:paraId="3421992B" w14:textId="0B1E4549" w:rsidR="000C2A54" w:rsidRPr="001E2AA0" w:rsidRDefault="00AF0D48" w:rsidP="001E2AA0">
      <w:pPr>
        <w:widowControl w:val="0"/>
        <w:autoSpaceDE w:val="0"/>
        <w:autoSpaceDN w:val="0"/>
        <w:adjustRightInd w:val="0"/>
        <w:ind w:left="1418"/>
      </w:pPr>
      <w:r>
        <w:t>In line with FReM’s adaptation of IAS 19, the Commission accounts for the PCSPS as if it were a defined contribution scheme</w:t>
      </w:r>
      <w:r w:rsidR="000C2A54" w:rsidRPr="00F97E5F">
        <w:t>.  In respect of the defined contribution schemes, the Commission recognises the contributions payable for the year.</w:t>
      </w:r>
    </w:p>
    <w:p w14:paraId="07FDD97F" w14:textId="13C6CAA9" w:rsidR="000C2A54" w:rsidRPr="00F97E5F" w:rsidRDefault="00B07E4A" w:rsidP="000C2A54">
      <w:pPr>
        <w:widowControl w:val="0"/>
        <w:autoSpaceDE w:val="0"/>
        <w:autoSpaceDN w:val="0"/>
        <w:adjustRightInd w:val="0"/>
        <w:ind w:left="1418" w:hanging="851"/>
        <w:rPr>
          <w:b/>
        </w:rPr>
      </w:pPr>
      <w:r>
        <w:rPr>
          <w:b/>
        </w:rPr>
        <w:lastRenderedPageBreak/>
        <w:t>1.1</w:t>
      </w:r>
      <w:r w:rsidR="00F04493">
        <w:rPr>
          <w:b/>
        </w:rPr>
        <w:t>2</w:t>
      </w:r>
      <w:r w:rsidR="000C2A54" w:rsidRPr="00F97E5F">
        <w:rPr>
          <w:b/>
        </w:rPr>
        <w:tab/>
        <w:t>Value Added Tax</w:t>
      </w:r>
    </w:p>
    <w:p w14:paraId="308D9812" w14:textId="77777777" w:rsidR="000C2A54" w:rsidRPr="00BE16D9" w:rsidRDefault="000C2A54" w:rsidP="000C2A54">
      <w:pPr>
        <w:widowControl w:val="0"/>
        <w:tabs>
          <w:tab w:val="left" w:pos="567"/>
        </w:tabs>
        <w:autoSpaceDE w:val="0"/>
        <w:autoSpaceDN w:val="0"/>
        <w:adjustRightInd w:val="0"/>
        <w:rPr>
          <w:sz w:val="22"/>
          <w:szCs w:val="22"/>
        </w:rPr>
      </w:pPr>
    </w:p>
    <w:p w14:paraId="430FABD7" w14:textId="77777777" w:rsidR="000C2A54" w:rsidRDefault="000C2A54" w:rsidP="000C2A54">
      <w:pPr>
        <w:widowControl w:val="0"/>
        <w:tabs>
          <w:tab w:val="left" w:pos="567"/>
        </w:tabs>
        <w:autoSpaceDE w:val="0"/>
        <w:autoSpaceDN w:val="0"/>
        <w:adjustRightInd w:val="0"/>
        <w:ind w:left="1418"/>
      </w:pPr>
      <w:r w:rsidRPr="00F97E5F">
        <w:t xml:space="preserve">The Commission is ineligible to reclaim input VAT on expenditure.  Therefore, all </w:t>
      </w:r>
      <w:r w:rsidR="00660AE7">
        <w:t>irrecoverable VAT is included in expenditure or included in the capitalised purchase cost of non-current assets</w:t>
      </w:r>
      <w:r w:rsidRPr="00F97E5F">
        <w:t>.</w:t>
      </w:r>
    </w:p>
    <w:p w14:paraId="73F026AD" w14:textId="77777777" w:rsidR="009402EF" w:rsidRDefault="009402EF" w:rsidP="000C2A54">
      <w:pPr>
        <w:widowControl w:val="0"/>
        <w:tabs>
          <w:tab w:val="left" w:pos="567"/>
        </w:tabs>
        <w:autoSpaceDE w:val="0"/>
        <w:autoSpaceDN w:val="0"/>
        <w:adjustRightInd w:val="0"/>
        <w:ind w:left="1418"/>
      </w:pPr>
    </w:p>
    <w:p w14:paraId="36C4735A" w14:textId="42259504" w:rsidR="009402EF" w:rsidRPr="00F97E5F" w:rsidRDefault="009402EF" w:rsidP="000C2A54">
      <w:pPr>
        <w:widowControl w:val="0"/>
        <w:tabs>
          <w:tab w:val="left" w:pos="567"/>
        </w:tabs>
        <w:autoSpaceDE w:val="0"/>
        <w:autoSpaceDN w:val="0"/>
        <w:adjustRightInd w:val="0"/>
        <w:ind w:left="1418"/>
      </w:pPr>
      <w:r>
        <w:t>Irrecoverable VAT payable on lease payments is excluded from the initial measurement of right-of-use assets and lease liability; rather, it is treated as an expense at the tax point in accordance with IFRIC 21 Levies.</w:t>
      </w:r>
    </w:p>
    <w:p w14:paraId="43D8EA2A" w14:textId="77777777" w:rsidR="00555648" w:rsidRPr="00F97E5F" w:rsidRDefault="00555648" w:rsidP="000C2A54">
      <w:pPr>
        <w:rPr>
          <w:b/>
        </w:rPr>
      </w:pPr>
    </w:p>
    <w:p w14:paraId="777BE2E0" w14:textId="7514E1F1" w:rsidR="000C2A54" w:rsidRPr="00F97E5F" w:rsidRDefault="000C2A54" w:rsidP="000C2A54">
      <w:pPr>
        <w:tabs>
          <w:tab w:val="left" w:pos="567"/>
        </w:tabs>
        <w:rPr>
          <w:b/>
        </w:rPr>
      </w:pPr>
      <w:r w:rsidRPr="00F97E5F">
        <w:rPr>
          <w:b/>
        </w:rPr>
        <w:tab/>
      </w:r>
      <w:r w:rsidR="00B07E4A">
        <w:rPr>
          <w:b/>
        </w:rPr>
        <w:t>1.1</w:t>
      </w:r>
      <w:r w:rsidR="00F04493">
        <w:rPr>
          <w:b/>
        </w:rPr>
        <w:t>3</w:t>
      </w:r>
      <w:r w:rsidRPr="00F97E5F">
        <w:rPr>
          <w:b/>
        </w:rPr>
        <w:tab/>
        <w:t>Legal casework expenditure</w:t>
      </w:r>
    </w:p>
    <w:p w14:paraId="66BBAF06" w14:textId="77777777" w:rsidR="000C2A54" w:rsidRPr="00F97E5F" w:rsidRDefault="000C2A54" w:rsidP="000C2A54">
      <w:pPr>
        <w:widowControl w:val="0"/>
        <w:tabs>
          <w:tab w:val="left" w:pos="567"/>
        </w:tabs>
        <w:autoSpaceDE w:val="0"/>
        <w:autoSpaceDN w:val="0"/>
        <w:adjustRightInd w:val="0"/>
        <w:ind w:left="567"/>
      </w:pPr>
    </w:p>
    <w:p w14:paraId="49365890" w14:textId="77777777" w:rsidR="000C2A54" w:rsidRPr="00F97E5F" w:rsidRDefault="000C2A54" w:rsidP="000C2A54">
      <w:pPr>
        <w:widowControl w:val="0"/>
        <w:tabs>
          <w:tab w:val="left" w:pos="567"/>
        </w:tabs>
        <w:autoSpaceDE w:val="0"/>
        <w:autoSpaceDN w:val="0"/>
        <w:adjustRightInd w:val="0"/>
        <w:ind w:left="1418"/>
      </w:pPr>
      <w:r w:rsidRPr="00F97E5F">
        <w:t xml:space="preserve">Section 70 of the Northern Ireland Act 1998 enables the Commission to support legal cases in relation to the protection of human rights.  Some of these cases can span several years.  </w:t>
      </w:r>
    </w:p>
    <w:p w14:paraId="44F06EEB" w14:textId="77777777" w:rsidR="000C2A54" w:rsidRPr="00F97E5F" w:rsidRDefault="000C2A54" w:rsidP="000C2A54">
      <w:pPr>
        <w:widowControl w:val="0"/>
        <w:tabs>
          <w:tab w:val="left" w:pos="720"/>
        </w:tabs>
        <w:autoSpaceDE w:val="0"/>
        <w:autoSpaceDN w:val="0"/>
        <w:adjustRightInd w:val="0"/>
      </w:pPr>
    </w:p>
    <w:p w14:paraId="56DC08B5" w14:textId="77777777" w:rsidR="000C2A54" w:rsidRPr="00F97E5F" w:rsidRDefault="000C2A54" w:rsidP="000C2A54">
      <w:pPr>
        <w:widowControl w:val="0"/>
        <w:tabs>
          <w:tab w:val="left" w:pos="720"/>
        </w:tabs>
        <w:autoSpaceDE w:val="0"/>
        <w:autoSpaceDN w:val="0"/>
        <w:adjustRightInd w:val="0"/>
        <w:ind w:left="1418"/>
      </w:pPr>
      <w:r w:rsidRPr="00F97E5F">
        <w:t>In some cases, costs are recoverable from the respondent if the applicant is successful.  Given this, while the Commission decides to support cases, contingent on the outcome, payments are not normally made until judgment is passed, and the judge decides on a cost order (i</w:t>
      </w:r>
      <w:r w:rsidR="00782F24">
        <w:t>.</w:t>
      </w:r>
      <w:r w:rsidRPr="00F97E5F">
        <w:t>e</w:t>
      </w:r>
      <w:r w:rsidR="00782F24">
        <w:t>.</w:t>
      </w:r>
      <w:r w:rsidRPr="00F97E5F">
        <w:t xml:space="preserve"> whether the ‘losing’ side should pay all costs or each side should bear their own costs).  Given that a criterion for Commission support is whether a case has a ‘reasonable chance of success’, it does not expect to incur costs in many cases.  However, cases can be lost.  In these cases, it is possible that the applicant could be asked to pay the respondent's costs.  Where this happens, the Commission may pay these costs on behalf of the applicant.  Any such potential liabilities are noted in the financial statements as contingent liabilities or provisions.</w:t>
      </w:r>
    </w:p>
    <w:p w14:paraId="5246F1B4" w14:textId="77777777" w:rsidR="000C2A54" w:rsidRPr="00F97E5F" w:rsidRDefault="000C2A54" w:rsidP="000C2A54">
      <w:pPr>
        <w:widowControl w:val="0"/>
        <w:autoSpaceDE w:val="0"/>
        <w:autoSpaceDN w:val="0"/>
        <w:adjustRightInd w:val="0"/>
      </w:pPr>
    </w:p>
    <w:p w14:paraId="06B35A17" w14:textId="42127616" w:rsidR="000C2A54" w:rsidRPr="00F97E5F" w:rsidRDefault="00B07E4A" w:rsidP="000C2A54">
      <w:pPr>
        <w:widowControl w:val="0"/>
        <w:autoSpaceDE w:val="0"/>
        <w:autoSpaceDN w:val="0"/>
        <w:adjustRightInd w:val="0"/>
        <w:ind w:left="1418" w:hanging="851"/>
        <w:rPr>
          <w:b/>
        </w:rPr>
      </w:pPr>
      <w:r>
        <w:rPr>
          <w:b/>
        </w:rPr>
        <w:t>1.1</w:t>
      </w:r>
      <w:r w:rsidR="00F04493">
        <w:rPr>
          <w:b/>
        </w:rPr>
        <w:t>4</w:t>
      </w:r>
      <w:r w:rsidR="000C2A54" w:rsidRPr="00F97E5F">
        <w:rPr>
          <w:b/>
        </w:rPr>
        <w:tab/>
        <w:t>Staff costs</w:t>
      </w:r>
    </w:p>
    <w:p w14:paraId="2993D3B6" w14:textId="77777777" w:rsidR="000C2A54" w:rsidRPr="00F97E5F" w:rsidRDefault="000C2A54" w:rsidP="000C2A54">
      <w:pPr>
        <w:widowControl w:val="0"/>
        <w:tabs>
          <w:tab w:val="left" w:pos="567"/>
        </w:tabs>
        <w:autoSpaceDE w:val="0"/>
        <w:autoSpaceDN w:val="0"/>
        <w:adjustRightInd w:val="0"/>
        <w:ind w:left="540"/>
      </w:pPr>
    </w:p>
    <w:p w14:paraId="272DBF2A" w14:textId="2DC58F1B" w:rsidR="000C2A54" w:rsidRDefault="000C2A54" w:rsidP="000C2A54">
      <w:pPr>
        <w:widowControl w:val="0"/>
        <w:autoSpaceDE w:val="0"/>
        <w:autoSpaceDN w:val="0"/>
        <w:adjustRightInd w:val="0"/>
        <w:ind w:left="1418"/>
      </w:pPr>
      <w:r w:rsidRPr="00F97E5F">
        <w:t>Under IAS19 Employee Benefits legislation, all staff costs must be recorded as an expense as soon as the Commission is obligated to pay them.  This includes the cost of any untaken leave as at the year–</w:t>
      </w:r>
      <w:r w:rsidR="00176472" w:rsidRPr="00F97E5F">
        <w:t>end</w:t>
      </w:r>
      <w:r w:rsidR="00176472">
        <w:t>, which</w:t>
      </w:r>
      <w:r>
        <w:t xml:space="preserve"> is estimated at £</w:t>
      </w:r>
      <w:r w:rsidR="00917CB7">
        <w:t>48,500</w:t>
      </w:r>
      <w:r>
        <w:t xml:space="preserve"> (</w:t>
      </w:r>
      <w:r w:rsidR="004E6BF5">
        <w:t>20</w:t>
      </w:r>
      <w:r w:rsidR="008D53CC">
        <w:t>2</w:t>
      </w:r>
      <w:r w:rsidR="00917CB7">
        <w:t>1</w:t>
      </w:r>
      <w:r w:rsidR="008D53CC">
        <w:t>-2</w:t>
      </w:r>
      <w:r w:rsidR="00917CB7">
        <w:t>2</w:t>
      </w:r>
      <w:r>
        <w:t>: £</w:t>
      </w:r>
      <w:r w:rsidR="00917CB7">
        <w:t>57</w:t>
      </w:r>
      <w:r w:rsidR="008D53CC">
        <w:t>,</w:t>
      </w:r>
      <w:r w:rsidR="00917CB7">
        <w:t>720</w:t>
      </w:r>
      <w:r>
        <w:t>).</w:t>
      </w:r>
      <w:r w:rsidRPr="00F97E5F">
        <w:t xml:space="preserve"> </w:t>
      </w:r>
    </w:p>
    <w:p w14:paraId="210B8421" w14:textId="77777777" w:rsidR="005059F8" w:rsidRDefault="005059F8" w:rsidP="005059F8">
      <w:pPr>
        <w:widowControl w:val="0"/>
        <w:autoSpaceDE w:val="0"/>
        <w:autoSpaceDN w:val="0"/>
        <w:adjustRightInd w:val="0"/>
      </w:pPr>
    </w:p>
    <w:p w14:paraId="51D89F9B" w14:textId="18F09717" w:rsidR="005059F8" w:rsidRDefault="005059F8" w:rsidP="005059F8">
      <w:pPr>
        <w:widowControl w:val="0"/>
        <w:tabs>
          <w:tab w:val="left" w:pos="567"/>
        </w:tabs>
        <w:autoSpaceDE w:val="0"/>
        <w:autoSpaceDN w:val="0"/>
        <w:adjustRightInd w:val="0"/>
      </w:pPr>
      <w:r>
        <w:tab/>
      </w:r>
      <w:r w:rsidR="00B07E4A">
        <w:rPr>
          <w:b/>
        </w:rPr>
        <w:t>1.1</w:t>
      </w:r>
      <w:r w:rsidR="00F04493">
        <w:rPr>
          <w:b/>
        </w:rPr>
        <w:t>5</w:t>
      </w:r>
      <w:r>
        <w:rPr>
          <w:b/>
        </w:rPr>
        <w:tab/>
        <w:t>Going concern</w:t>
      </w:r>
    </w:p>
    <w:p w14:paraId="7E6FF14B" w14:textId="77777777" w:rsidR="005059F8" w:rsidRDefault="005059F8" w:rsidP="005059F8">
      <w:pPr>
        <w:widowControl w:val="0"/>
        <w:tabs>
          <w:tab w:val="left" w:pos="567"/>
        </w:tabs>
        <w:autoSpaceDE w:val="0"/>
        <w:autoSpaceDN w:val="0"/>
        <w:adjustRightInd w:val="0"/>
      </w:pPr>
    </w:p>
    <w:p w14:paraId="6FE68AB3" w14:textId="0D22515E" w:rsidR="001D0663" w:rsidRDefault="001D0663" w:rsidP="001D0663">
      <w:pPr>
        <w:ind w:left="1440"/>
        <w:rPr>
          <w:bCs/>
          <w:color w:val="auto"/>
        </w:rPr>
      </w:pPr>
      <w:r>
        <w:t xml:space="preserve">The Commission’s sponsoring body is the Northern Ireland Office as laid out in </w:t>
      </w:r>
      <w:r w:rsidRPr="006867D6">
        <w:rPr>
          <w:bCs/>
          <w:color w:val="auto"/>
        </w:rPr>
        <w:t>the Northern Ireland Act 1998</w:t>
      </w:r>
      <w:r>
        <w:rPr>
          <w:bCs/>
          <w:color w:val="auto"/>
        </w:rPr>
        <w:t xml:space="preserve">. </w:t>
      </w:r>
      <w:r>
        <w:t xml:space="preserve">The Commission’s core budget for 2023-24 has been approved by the Northern Ireland Office. At the date of this report, the accounting officer has no reason to believe that further </w:t>
      </w:r>
      <w:r>
        <w:lastRenderedPageBreak/>
        <w:t xml:space="preserve">support beyond 31 March 2024 will not be forthcoming, not only due to the protections laid down in </w:t>
      </w:r>
      <w:r w:rsidRPr="006867D6">
        <w:rPr>
          <w:bCs/>
          <w:color w:val="auto"/>
        </w:rPr>
        <w:t>the Northern Ireland Act 1998</w:t>
      </w:r>
      <w:r>
        <w:rPr>
          <w:bCs/>
          <w:color w:val="auto"/>
        </w:rPr>
        <w:t xml:space="preserve">, but also following the Spending Review 2021 in which the Commission’s budget for the next two years until 31 March 2025 has been confirmed. </w:t>
      </w:r>
    </w:p>
    <w:p w14:paraId="7A63DE13" w14:textId="77777777" w:rsidR="001D0663" w:rsidRDefault="001D0663" w:rsidP="001D0663">
      <w:pPr>
        <w:ind w:left="1440" w:hanging="1440"/>
        <w:rPr>
          <w:bCs/>
          <w:color w:val="auto"/>
        </w:rPr>
      </w:pPr>
    </w:p>
    <w:p w14:paraId="644B7237" w14:textId="77777777" w:rsidR="001D0663" w:rsidRDefault="001D0663" w:rsidP="001D0663">
      <w:pPr>
        <w:ind w:left="1440"/>
        <w:rPr>
          <w:bCs/>
          <w:color w:val="auto"/>
        </w:rPr>
      </w:pPr>
      <w:r>
        <w:rPr>
          <w:bCs/>
          <w:color w:val="auto"/>
        </w:rPr>
        <w:t xml:space="preserve">The Commission also receives additional funding for the Dedicated Mechanism, which arises from a statutory requirement under the EU Withdrawal Agreement Act.  This role will continue in the future and beyond the financial year 2023-24.  The Northern Ireland Office has confirmed the budget for the next two years until 31 March 2025.  </w:t>
      </w:r>
    </w:p>
    <w:p w14:paraId="3D6996CD" w14:textId="77777777" w:rsidR="001D0663" w:rsidRDefault="001D0663" w:rsidP="001D0663">
      <w:pPr>
        <w:ind w:left="1440"/>
        <w:rPr>
          <w:bCs/>
          <w:color w:val="auto"/>
        </w:rPr>
      </w:pPr>
    </w:p>
    <w:p w14:paraId="16CB02C1" w14:textId="77777777" w:rsidR="001D0663" w:rsidRPr="002F2754" w:rsidRDefault="001D0663" w:rsidP="001D0663">
      <w:pPr>
        <w:ind w:left="1440"/>
      </w:pPr>
      <w:r>
        <w:rPr>
          <w:bCs/>
          <w:color w:val="auto"/>
        </w:rPr>
        <w:t xml:space="preserve">Therefore, </w:t>
      </w:r>
      <w:r w:rsidRPr="007A5A3D">
        <w:rPr>
          <w:bCs/>
          <w:color w:val="auto"/>
        </w:rPr>
        <w:t xml:space="preserve">it has been considered appropriate to adopt a going concern basis </w:t>
      </w:r>
      <w:r>
        <w:rPr>
          <w:bCs/>
          <w:color w:val="auto"/>
        </w:rPr>
        <w:t>for the preparation of the 2022-23</w:t>
      </w:r>
      <w:r w:rsidRPr="007A5A3D">
        <w:rPr>
          <w:bCs/>
          <w:color w:val="auto"/>
        </w:rPr>
        <w:t xml:space="preserve"> financial statements</w:t>
      </w:r>
      <w:r>
        <w:rPr>
          <w:bCs/>
          <w:color w:val="auto"/>
        </w:rPr>
        <w:t xml:space="preserve"> as the Commission has budgets in place for a period of 12 months from the date of this report.</w:t>
      </w:r>
    </w:p>
    <w:p w14:paraId="49D055FA" w14:textId="05355625" w:rsidR="003061F1" w:rsidRPr="00BE16D9" w:rsidRDefault="003061F1" w:rsidP="001D0663">
      <w:pPr>
        <w:ind w:left="1440" w:hanging="1440"/>
        <w:rPr>
          <w:sz w:val="22"/>
          <w:szCs w:val="22"/>
        </w:rPr>
      </w:pPr>
    </w:p>
    <w:p w14:paraId="587F4464" w14:textId="77777777" w:rsidR="000C2A54" w:rsidRPr="00F97E5F" w:rsidRDefault="000C2A54" w:rsidP="000C2A54">
      <w:pPr>
        <w:widowControl w:val="0"/>
        <w:tabs>
          <w:tab w:val="left" w:pos="567"/>
        </w:tabs>
        <w:autoSpaceDE w:val="0"/>
        <w:autoSpaceDN w:val="0"/>
        <w:adjustRightInd w:val="0"/>
        <w:rPr>
          <w:b/>
        </w:rPr>
      </w:pPr>
      <w:r w:rsidRPr="00BE16D9">
        <w:rPr>
          <w:b/>
          <w:sz w:val="22"/>
          <w:szCs w:val="22"/>
        </w:rPr>
        <w:t>2.</w:t>
      </w:r>
      <w:r w:rsidRPr="00BE16D9">
        <w:rPr>
          <w:b/>
          <w:sz w:val="22"/>
          <w:szCs w:val="22"/>
        </w:rPr>
        <w:tab/>
      </w:r>
      <w:r w:rsidRPr="00F97E5F">
        <w:rPr>
          <w:b/>
        </w:rPr>
        <w:t>Analysis of net expenditure by segment</w:t>
      </w:r>
    </w:p>
    <w:p w14:paraId="256F91BD" w14:textId="77777777" w:rsidR="000C2A54" w:rsidRPr="00F97E5F" w:rsidRDefault="000C2A54" w:rsidP="000C2A54">
      <w:pPr>
        <w:widowControl w:val="0"/>
        <w:tabs>
          <w:tab w:val="left" w:pos="567"/>
          <w:tab w:val="right" w:pos="4140"/>
          <w:tab w:val="right" w:pos="6480"/>
          <w:tab w:val="right" w:pos="8820"/>
        </w:tabs>
        <w:autoSpaceDE w:val="0"/>
        <w:autoSpaceDN w:val="0"/>
        <w:adjustRightInd w:val="0"/>
        <w:rPr>
          <w:b/>
        </w:rPr>
      </w:pPr>
    </w:p>
    <w:p w14:paraId="67D92AEB" w14:textId="524C61D0" w:rsidR="00F61A65" w:rsidRDefault="000C2A54" w:rsidP="00250101">
      <w:pPr>
        <w:ind w:left="567"/>
        <w:rPr>
          <w:rFonts w:cs="Arial"/>
          <w:color w:val="auto"/>
          <w:lang w:val="en-US" w:eastAsia="en-GB"/>
        </w:rPr>
      </w:pPr>
      <w:r w:rsidRPr="00F97E5F">
        <w:rPr>
          <w:rFonts w:cs="Arial"/>
          <w:color w:val="auto"/>
          <w:lang w:val="en-US" w:eastAsia="en-GB"/>
        </w:rPr>
        <w:t>In line with the provisions of IFRS 8, Operating Segments, the Commission does not</w:t>
      </w:r>
      <w:r w:rsidR="00A808A9">
        <w:rPr>
          <w:rFonts w:cs="Arial"/>
          <w:color w:val="auto"/>
          <w:lang w:val="en-US" w:eastAsia="en-GB"/>
        </w:rPr>
        <w:t xml:space="preserve"> normally</w:t>
      </w:r>
      <w:r w:rsidRPr="00F97E5F">
        <w:rPr>
          <w:rFonts w:cs="Arial"/>
          <w:color w:val="auto"/>
          <w:lang w:val="en-US" w:eastAsia="en-GB"/>
        </w:rPr>
        <w:t xml:space="preserve"> analyse its net expenditure by operating segment</w:t>
      </w:r>
      <w:r>
        <w:rPr>
          <w:rFonts w:cs="Arial"/>
          <w:color w:val="auto"/>
          <w:lang w:val="en-US" w:eastAsia="en-GB"/>
        </w:rPr>
        <w:t>s</w:t>
      </w:r>
      <w:r w:rsidR="00FF1FA8">
        <w:rPr>
          <w:rFonts w:cs="Arial"/>
          <w:color w:val="auto"/>
          <w:lang w:val="en-US" w:eastAsia="en-GB"/>
        </w:rPr>
        <w:t xml:space="preserve">. </w:t>
      </w:r>
      <w:r w:rsidR="00A808A9">
        <w:rPr>
          <w:rFonts w:cs="Arial"/>
          <w:color w:val="auto"/>
          <w:lang w:val="en-US" w:eastAsia="en-GB"/>
        </w:rPr>
        <w:t xml:space="preserve">However, as the Commission received </w:t>
      </w:r>
      <w:r w:rsidR="00D619EC">
        <w:rPr>
          <w:rFonts w:cs="Arial"/>
          <w:color w:val="auto"/>
          <w:lang w:val="en-US" w:eastAsia="en-GB"/>
        </w:rPr>
        <w:t>ring-fenced</w:t>
      </w:r>
      <w:r w:rsidR="00A808A9">
        <w:rPr>
          <w:rFonts w:cs="Arial"/>
          <w:color w:val="auto"/>
          <w:lang w:val="en-US" w:eastAsia="en-GB"/>
        </w:rPr>
        <w:t xml:space="preserve"> funding for the dedicated </w:t>
      </w:r>
      <w:r w:rsidR="00B152E4">
        <w:rPr>
          <w:rFonts w:cs="Arial"/>
          <w:color w:val="auto"/>
          <w:lang w:val="en-US" w:eastAsia="en-GB"/>
        </w:rPr>
        <w:t>mechanism,</w:t>
      </w:r>
      <w:r w:rsidR="00A808A9">
        <w:rPr>
          <w:rFonts w:cs="Arial"/>
          <w:color w:val="auto"/>
          <w:lang w:val="en-US" w:eastAsia="en-GB"/>
        </w:rPr>
        <w:t xml:space="preserve"> we have disclosed this expenditure as a footnote throughout the annual report and accounts</w:t>
      </w:r>
      <w:r w:rsidR="00FF1FA8">
        <w:rPr>
          <w:rFonts w:cs="Arial"/>
          <w:color w:val="auto"/>
          <w:lang w:val="en-US" w:eastAsia="en-GB"/>
        </w:rPr>
        <w:t xml:space="preserve">. </w:t>
      </w:r>
    </w:p>
    <w:p w14:paraId="11506114" w14:textId="77777777" w:rsidR="008D760E" w:rsidRDefault="008D760E" w:rsidP="000C2A54">
      <w:pPr>
        <w:ind w:left="567"/>
        <w:rPr>
          <w:rFonts w:cs="Arial"/>
          <w:color w:val="auto"/>
          <w:lang w:val="en-US" w:eastAsia="en-GB"/>
        </w:rPr>
      </w:pPr>
    </w:p>
    <w:p w14:paraId="53A8EF5E" w14:textId="77777777" w:rsidR="000C2A54" w:rsidRPr="00F97E5F" w:rsidRDefault="000C2A54" w:rsidP="000C2A54">
      <w:pPr>
        <w:ind w:left="567" w:hanging="567"/>
        <w:rPr>
          <w:b/>
        </w:rPr>
      </w:pPr>
      <w:r w:rsidRPr="3285EAFF">
        <w:rPr>
          <w:b/>
          <w:bCs/>
        </w:rPr>
        <w:t>3.</w:t>
      </w:r>
      <w:r w:rsidRPr="00F97E5F">
        <w:rPr>
          <w:b/>
        </w:rPr>
        <w:tab/>
      </w:r>
      <w:r w:rsidRPr="3285EAFF">
        <w:rPr>
          <w:b/>
          <w:bCs/>
        </w:rPr>
        <w:t>Staff costs</w:t>
      </w:r>
      <w:r w:rsidR="001D3F77" w:rsidRPr="3285EAFF">
        <w:rPr>
          <w:rStyle w:val="FootnoteReference"/>
          <w:b/>
          <w:bCs/>
        </w:rPr>
        <w:footnoteReference w:id="21"/>
      </w:r>
    </w:p>
    <w:p w14:paraId="12F3BE58" w14:textId="77777777" w:rsidR="000C2A54" w:rsidRPr="00832258" w:rsidRDefault="000C2A54" w:rsidP="000C2A54"/>
    <w:tbl>
      <w:tblPr>
        <w:tblW w:w="10655" w:type="dxa"/>
        <w:jc w:val="center"/>
        <w:tblLayout w:type="fixed"/>
        <w:tblLook w:val="01E0" w:firstRow="1" w:lastRow="1" w:firstColumn="1" w:lastColumn="1" w:noHBand="0" w:noVBand="0"/>
      </w:tblPr>
      <w:tblGrid>
        <w:gridCol w:w="2461"/>
        <w:gridCol w:w="1534"/>
        <w:gridCol w:w="1980"/>
        <w:gridCol w:w="1800"/>
        <w:gridCol w:w="1440"/>
        <w:gridCol w:w="1440"/>
      </w:tblGrid>
      <w:tr w:rsidR="000C2A54" w:rsidRPr="00730E98" w14:paraId="00DB462D" w14:textId="77777777" w:rsidTr="000C2A54">
        <w:trPr>
          <w:jc w:val="center"/>
        </w:trPr>
        <w:tc>
          <w:tcPr>
            <w:tcW w:w="2461" w:type="dxa"/>
          </w:tcPr>
          <w:p w14:paraId="2BD9FD9A" w14:textId="77777777" w:rsidR="000C2A54" w:rsidRPr="00730E98" w:rsidRDefault="000C2A54" w:rsidP="000C2A54">
            <w:pPr>
              <w:jc w:val="right"/>
              <w:rPr>
                <w:sz w:val="20"/>
                <w:szCs w:val="20"/>
              </w:rPr>
            </w:pPr>
          </w:p>
        </w:tc>
        <w:tc>
          <w:tcPr>
            <w:tcW w:w="1534" w:type="dxa"/>
          </w:tcPr>
          <w:p w14:paraId="64E2C94C" w14:textId="27BB5EF4" w:rsidR="000C2A54" w:rsidRPr="00730E98" w:rsidRDefault="008D53CC" w:rsidP="000C2A54">
            <w:pPr>
              <w:jc w:val="right"/>
              <w:rPr>
                <w:b/>
                <w:sz w:val="20"/>
                <w:szCs w:val="20"/>
              </w:rPr>
            </w:pPr>
            <w:r>
              <w:rPr>
                <w:b/>
                <w:sz w:val="20"/>
                <w:szCs w:val="20"/>
              </w:rPr>
              <w:t>202</w:t>
            </w:r>
            <w:r w:rsidR="00917CB7">
              <w:rPr>
                <w:b/>
                <w:sz w:val="20"/>
                <w:szCs w:val="20"/>
              </w:rPr>
              <w:t>2</w:t>
            </w:r>
            <w:r>
              <w:rPr>
                <w:b/>
                <w:sz w:val="20"/>
                <w:szCs w:val="20"/>
              </w:rPr>
              <w:t>-2</w:t>
            </w:r>
            <w:r w:rsidR="00917CB7">
              <w:rPr>
                <w:b/>
                <w:sz w:val="20"/>
                <w:szCs w:val="20"/>
              </w:rPr>
              <w:t>3</w:t>
            </w:r>
          </w:p>
          <w:p w14:paraId="6B5145F8" w14:textId="77777777" w:rsidR="000C2A54" w:rsidRPr="00730E98" w:rsidRDefault="000C2A54" w:rsidP="000C2A54">
            <w:pPr>
              <w:jc w:val="right"/>
              <w:rPr>
                <w:b/>
                <w:sz w:val="20"/>
                <w:szCs w:val="20"/>
              </w:rPr>
            </w:pPr>
            <w:r w:rsidRPr="00730E98">
              <w:rPr>
                <w:b/>
                <w:sz w:val="20"/>
                <w:szCs w:val="20"/>
              </w:rPr>
              <w:t>total</w:t>
            </w:r>
          </w:p>
        </w:tc>
        <w:tc>
          <w:tcPr>
            <w:tcW w:w="1980" w:type="dxa"/>
          </w:tcPr>
          <w:p w14:paraId="27F6215F" w14:textId="77777777" w:rsidR="000C2A54" w:rsidRPr="00730E98" w:rsidRDefault="000C2A54" w:rsidP="000C2A54">
            <w:pPr>
              <w:jc w:val="right"/>
              <w:rPr>
                <w:b/>
                <w:sz w:val="20"/>
                <w:szCs w:val="20"/>
              </w:rPr>
            </w:pPr>
            <w:r w:rsidRPr="00730E98">
              <w:rPr>
                <w:b/>
                <w:sz w:val="20"/>
                <w:szCs w:val="20"/>
              </w:rPr>
              <w:t>Commissioners</w:t>
            </w:r>
          </w:p>
        </w:tc>
        <w:tc>
          <w:tcPr>
            <w:tcW w:w="1800" w:type="dxa"/>
          </w:tcPr>
          <w:p w14:paraId="286B111B" w14:textId="77777777" w:rsidR="000C2A54" w:rsidRPr="00730E98" w:rsidRDefault="000C2A54" w:rsidP="000C2A54">
            <w:pPr>
              <w:jc w:val="right"/>
              <w:rPr>
                <w:b/>
                <w:sz w:val="20"/>
                <w:szCs w:val="20"/>
              </w:rPr>
            </w:pPr>
            <w:r w:rsidRPr="00730E98">
              <w:rPr>
                <w:b/>
                <w:sz w:val="20"/>
                <w:szCs w:val="20"/>
              </w:rPr>
              <w:t>Permanently</w:t>
            </w:r>
          </w:p>
          <w:p w14:paraId="2E7BF940" w14:textId="77777777" w:rsidR="00660AE7" w:rsidRPr="00730E98" w:rsidRDefault="000C2A54" w:rsidP="00660AE7">
            <w:pPr>
              <w:jc w:val="right"/>
              <w:rPr>
                <w:b/>
                <w:sz w:val="20"/>
                <w:szCs w:val="20"/>
              </w:rPr>
            </w:pPr>
            <w:r w:rsidRPr="00730E98">
              <w:rPr>
                <w:b/>
                <w:sz w:val="20"/>
                <w:szCs w:val="20"/>
              </w:rPr>
              <w:t>Employed</w:t>
            </w:r>
            <w:r>
              <w:rPr>
                <w:b/>
                <w:sz w:val="20"/>
                <w:szCs w:val="20"/>
              </w:rPr>
              <w:t xml:space="preserve"> </w:t>
            </w:r>
          </w:p>
          <w:p w14:paraId="6515C7D1" w14:textId="77777777" w:rsidR="000C2A54" w:rsidRPr="00730E98" w:rsidRDefault="000C2A54" w:rsidP="000C2A54">
            <w:pPr>
              <w:jc w:val="right"/>
              <w:rPr>
                <w:b/>
                <w:sz w:val="20"/>
                <w:szCs w:val="20"/>
              </w:rPr>
            </w:pPr>
          </w:p>
        </w:tc>
        <w:tc>
          <w:tcPr>
            <w:tcW w:w="1440" w:type="dxa"/>
          </w:tcPr>
          <w:p w14:paraId="0F9F8647" w14:textId="77777777" w:rsidR="000C2A54" w:rsidRPr="00730E98" w:rsidRDefault="000C2A54" w:rsidP="000C2A54">
            <w:pPr>
              <w:jc w:val="right"/>
              <w:rPr>
                <w:b/>
                <w:sz w:val="20"/>
                <w:szCs w:val="20"/>
              </w:rPr>
            </w:pPr>
            <w:r w:rsidRPr="00730E98">
              <w:rPr>
                <w:b/>
                <w:sz w:val="20"/>
                <w:szCs w:val="20"/>
              </w:rPr>
              <w:t>Others</w:t>
            </w:r>
          </w:p>
          <w:p w14:paraId="75EF141A" w14:textId="77777777" w:rsidR="000C2A54" w:rsidRPr="00730E98" w:rsidRDefault="000C2A54" w:rsidP="000C2A54">
            <w:pPr>
              <w:jc w:val="right"/>
              <w:rPr>
                <w:b/>
                <w:sz w:val="20"/>
                <w:szCs w:val="20"/>
              </w:rPr>
            </w:pPr>
          </w:p>
        </w:tc>
        <w:tc>
          <w:tcPr>
            <w:tcW w:w="1440" w:type="dxa"/>
          </w:tcPr>
          <w:p w14:paraId="6FE32021" w14:textId="0C58F679" w:rsidR="000C2A54" w:rsidRPr="00730E98" w:rsidRDefault="004E6BF5" w:rsidP="000C2A54">
            <w:pPr>
              <w:jc w:val="right"/>
              <w:rPr>
                <w:b/>
                <w:sz w:val="20"/>
                <w:szCs w:val="20"/>
              </w:rPr>
            </w:pPr>
            <w:r>
              <w:rPr>
                <w:b/>
                <w:sz w:val="20"/>
                <w:szCs w:val="20"/>
              </w:rPr>
              <w:t>20</w:t>
            </w:r>
            <w:r w:rsidR="008D53CC">
              <w:rPr>
                <w:b/>
                <w:sz w:val="20"/>
                <w:szCs w:val="20"/>
              </w:rPr>
              <w:t>2</w:t>
            </w:r>
            <w:r w:rsidR="00917CB7">
              <w:rPr>
                <w:b/>
                <w:sz w:val="20"/>
                <w:szCs w:val="20"/>
              </w:rPr>
              <w:t>1</w:t>
            </w:r>
            <w:r w:rsidR="008D53CC">
              <w:rPr>
                <w:b/>
                <w:sz w:val="20"/>
                <w:szCs w:val="20"/>
              </w:rPr>
              <w:t>-2</w:t>
            </w:r>
            <w:r w:rsidR="00917CB7">
              <w:rPr>
                <w:b/>
                <w:sz w:val="20"/>
                <w:szCs w:val="20"/>
              </w:rPr>
              <w:t>2</w:t>
            </w:r>
          </w:p>
          <w:p w14:paraId="77548766" w14:textId="77777777" w:rsidR="000C2A54" w:rsidRPr="00730E98" w:rsidRDefault="000C2A54" w:rsidP="000C2A54">
            <w:pPr>
              <w:jc w:val="right"/>
              <w:rPr>
                <w:b/>
                <w:sz w:val="20"/>
                <w:szCs w:val="20"/>
              </w:rPr>
            </w:pPr>
            <w:r w:rsidRPr="00730E98">
              <w:rPr>
                <w:b/>
                <w:sz w:val="20"/>
                <w:szCs w:val="20"/>
              </w:rPr>
              <w:t>total</w:t>
            </w:r>
          </w:p>
        </w:tc>
      </w:tr>
      <w:tr w:rsidR="000C2A54" w:rsidRPr="00730E98" w14:paraId="2641C642" w14:textId="77777777" w:rsidTr="000C2A54">
        <w:trPr>
          <w:jc w:val="center"/>
        </w:trPr>
        <w:tc>
          <w:tcPr>
            <w:tcW w:w="2461" w:type="dxa"/>
          </w:tcPr>
          <w:p w14:paraId="771FD209" w14:textId="77777777" w:rsidR="000C2A54" w:rsidRPr="00730E98" w:rsidRDefault="000C2A54" w:rsidP="000C2A54">
            <w:pPr>
              <w:jc w:val="right"/>
              <w:rPr>
                <w:sz w:val="20"/>
                <w:szCs w:val="20"/>
              </w:rPr>
            </w:pPr>
          </w:p>
        </w:tc>
        <w:tc>
          <w:tcPr>
            <w:tcW w:w="1534" w:type="dxa"/>
          </w:tcPr>
          <w:p w14:paraId="1AC98B20" w14:textId="77777777" w:rsidR="000C2A54" w:rsidRPr="00730E9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730E98">
              <w:rPr>
                <w:b/>
                <w:sz w:val="20"/>
                <w:szCs w:val="20"/>
              </w:rPr>
              <w:t>£</w:t>
            </w:r>
          </w:p>
        </w:tc>
        <w:tc>
          <w:tcPr>
            <w:tcW w:w="1980" w:type="dxa"/>
          </w:tcPr>
          <w:p w14:paraId="40EB0033" w14:textId="77777777" w:rsidR="000C2A54" w:rsidRPr="00730E9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730E98">
              <w:rPr>
                <w:b/>
                <w:sz w:val="20"/>
                <w:szCs w:val="20"/>
              </w:rPr>
              <w:t>£</w:t>
            </w:r>
          </w:p>
        </w:tc>
        <w:tc>
          <w:tcPr>
            <w:tcW w:w="1800" w:type="dxa"/>
          </w:tcPr>
          <w:p w14:paraId="12737980" w14:textId="77777777" w:rsidR="000C2A54" w:rsidRPr="00730E98" w:rsidRDefault="00243E7B" w:rsidP="00243E7B">
            <w:pPr>
              <w:widowControl w:val="0"/>
              <w:tabs>
                <w:tab w:val="left" w:pos="567"/>
                <w:tab w:val="right" w:pos="4140"/>
                <w:tab w:val="right" w:pos="6480"/>
                <w:tab w:val="right" w:pos="8820"/>
              </w:tabs>
              <w:autoSpaceDE w:val="0"/>
              <w:autoSpaceDN w:val="0"/>
              <w:adjustRightInd w:val="0"/>
              <w:jc w:val="center"/>
              <w:rPr>
                <w:b/>
                <w:sz w:val="20"/>
                <w:szCs w:val="20"/>
              </w:rPr>
            </w:pPr>
            <w:r>
              <w:rPr>
                <w:b/>
                <w:sz w:val="20"/>
                <w:szCs w:val="20"/>
              </w:rPr>
              <w:t xml:space="preserve">            </w:t>
            </w:r>
            <w:r w:rsidR="000C2A54" w:rsidRPr="00730E98">
              <w:rPr>
                <w:b/>
                <w:sz w:val="20"/>
                <w:szCs w:val="20"/>
              </w:rPr>
              <w:t>£</w:t>
            </w:r>
          </w:p>
        </w:tc>
        <w:tc>
          <w:tcPr>
            <w:tcW w:w="1440" w:type="dxa"/>
          </w:tcPr>
          <w:p w14:paraId="7308D639" w14:textId="77777777" w:rsidR="000C2A54" w:rsidRPr="00730E9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730E98">
              <w:rPr>
                <w:b/>
                <w:sz w:val="20"/>
                <w:szCs w:val="20"/>
              </w:rPr>
              <w:t>£</w:t>
            </w:r>
          </w:p>
        </w:tc>
        <w:tc>
          <w:tcPr>
            <w:tcW w:w="1440" w:type="dxa"/>
          </w:tcPr>
          <w:p w14:paraId="350F47C9" w14:textId="77777777" w:rsidR="000C2A54" w:rsidRPr="00730E9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730E98">
              <w:rPr>
                <w:b/>
                <w:sz w:val="20"/>
                <w:szCs w:val="20"/>
              </w:rPr>
              <w:t>£</w:t>
            </w:r>
          </w:p>
        </w:tc>
      </w:tr>
      <w:tr w:rsidR="00E64B1A" w:rsidRPr="00863EC6" w14:paraId="54BBBFFE" w14:textId="77777777" w:rsidTr="000C2A54">
        <w:trPr>
          <w:jc w:val="center"/>
        </w:trPr>
        <w:tc>
          <w:tcPr>
            <w:tcW w:w="2461" w:type="dxa"/>
          </w:tcPr>
          <w:p w14:paraId="445F9C75" w14:textId="77777777" w:rsidR="00E64B1A" w:rsidRPr="00863EC6" w:rsidRDefault="00E64B1A" w:rsidP="00E64B1A">
            <w:pPr>
              <w:rPr>
                <w:sz w:val="20"/>
                <w:szCs w:val="20"/>
              </w:rPr>
            </w:pPr>
            <w:r w:rsidRPr="00863EC6">
              <w:rPr>
                <w:sz w:val="20"/>
                <w:szCs w:val="20"/>
              </w:rPr>
              <w:t xml:space="preserve">Wages </w:t>
            </w:r>
            <w:r>
              <w:rPr>
                <w:sz w:val="20"/>
                <w:szCs w:val="20"/>
              </w:rPr>
              <w:t>and</w:t>
            </w:r>
            <w:r w:rsidRPr="00863EC6">
              <w:rPr>
                <w:sz w:val="20"/>
                <w:szCs w:val="20"/>
              </w:rPr>
              <w:t xml:space="preserve"> </w:t>
            </w:r>
            <w:r>
              <w:rPr>
                <w:sz w:val="20"/>
                <w:szCs w:val="20"/>
              </w:rPr>
              <w:t>s</w:t>
            </w:r>
            <w:r w:rsidRPr="00863EC6">
              <w:rPr>
                <w:sz w:val="20"/>
                <w:szCs w:val="20"/>
              </w:rPr>
              <w:t>alaries</w:t>
            </w:r>
          </w:p>
        </w:tc>
        <w:tc>
          <w:tcPr>
            <w:tcW w:w="1534" w:type="dxa"/>
          </w:tcPr>
          <w:p w14:paraId="2301FD1D" w14:textId="376CBC2F" w:rsidR="00E64B1A" w:rsidRPr="00863EC6" w:rsidRDefault="008D53CC" w:rsidP="00E64B1A">
            <w:pPr>
              <w:jc w:val="right"/>
              <w:rPr>
                <w:sz w:val="20"/>
                <w:szCs w:val="20"/>
              </w:rPr>
            </w:pPr>
            <w:r>
              <w:rPr>
                <w:sz w:val="20"/>
                <w:szCs w:val="20"/>
              </w:rPr>
              <w:t>1,</w:t>
            </w:r>
            <w:r w:rsidR="00917CB7">
              <w:rPr>
                <w:sz w:val="20"/>
                <w:szCs w:val="20"/>
              </w:rPr>
              <w:t>210</w:t>
            </w:r>
            <w:r>
              <w:rPr>
                <w:sz w:val="20"/>
                <w:szCs w:val="20"/>
              </w:rPr>
              <w:t>,</w:t>
            </w:r>
            <w:r w:rsidR="00917CB7">
              <w:rPr>
                <w:sz w:val="20"/>
                <w:szCs w:val="20"/>
              </w:rPr>
              <w:t>899</w:t>
            </w:r>
          </w:p>
        </w:tc>
        <w:tc>
          <w:tcPr>
            <w:tcW w:w="1980" w:type="dxa"/>
          </w:tcPr>
          <w:p w14:paraId="1E57F563" w14:textId="41FE54FE" w:rsidR="00E64B1A" w:rsidDel="006E56F3" w:rsidRDefault="008D53CC" w:rsidP="00E64B1A">
            <w:pPr>
              <w:jc w:val="right"/>
              <w:rPr>
                <w:sz w:val="20"/>
                <w:szCs w:val="20"/>
              </w:rPr>
            </w:pPr>
            <w:r>
              <w:rPr>
                <w:sz w:val="20"/>
                <w:szCs w:val="20"/>
              </w:rPr>
              <w:t>11</w:t>
            </w:r>
            <w:r w:rsidR="00917CB7">
              <w:rPr>
                <w:sz w:val="20"/>
                <w:szCs w:val="20"/>
              </w:rPr>
              <w:t>8</w:t>
            </w:r>
            <w:r>
              <w:rPr>
                <w:sz w:val="20"/>
                <w:szCs w:val="20"/>
              </w:rPr>
              <w:t>,</w:t>
            </w:r>
            <w:r w:rsidR="00917CB7">
              <w:rPr>
                <w:sz w:val="20"/>
                <w:szCs w:val="20"/>
              </w:rPr>
              <w:t>1</w:t>
            </w:r>
            <w:r>
              <w:rPr>
                <w:sz w:val="20"/>
                <w:szCs w:val="20"/>
              </w:rPr>
              <w:t>77</w:t>
            </w:r>
          </w:p>
        </w:tc>
        <w:tc>
          <w:tcPr>
            <w:tcW w:w="1800" w:type="dxa"/>
          </w:tcPr>
          <w:p w14:paraId="2F6DA51E" w14:textId="13E032CA" w:rsidR="00E64B1A" w:rsidRPr="00863EC6" w:rsidRDefault="00255020" w:rsidP="00255020">
            <w:pPr>
              <w:rPr>
                <w:sz w:val="20"/>
                <w:szCs w:val="20"/>
              </w:rPr>
            </w:pPr>
            <w:r>
              <w:rPr>
                <w:sz w:val="20"/>
                <w:szCs w:val="20"/>
              </w:rPr>
              <w:t xml:space="preserve">     </w:t>
            </w:r>
            <w:r w:rsidR="00917CB7">
              <w:rPr>
                <w:sz w:val="20"/>
                <w:szCs w:val="20"/>
              </w:rPr>
              <w:t>1,002,048</w:t>
            </w:r>
            <w:r>
              <w:rPr>
                <w:sz w:val="20"/>
                <w:szCs w:val="20"/>
              </w:rPr>
              <w:t xml:space="preserve"> </w:t>
            </w:r>
          </w:p>
        </w:tc>
        <w:tc>
          <w:tcPr>
            <w:tcW w:w="1440" w:type="dxa"/>
          </w:tcPr>
          <w:p w14:paraId="1C6434AF" w14:textId="71BB66E2" w:rsidR="00E64B1A" w:rsidRPr="00766324" w:rsidRDefault="00917CB7" w:rsidP="00E64B1A">
            <w:pPr>
              <w:jc w:val="right"/>
              <w:rPr>
                <w:sz w:val="20"/>
                <w:szCs w:val="20"/>
              </w:rPr>
            </w:pPr>
            <w:r>
              <w:rPr>
                <w:sz w:val="20"/>
                <w:szCs w:val="20"/>
              </w:rPr>
              <w:t>90,674</w:t>
            </w:r>
          </w:p>
        </w:tc>
        <w:tc>
          <w:tcPr>
            <w:tcW w:w="1440" w:type="dxa"/>
          </w:tcPr>
          <w:p w14:paraId="4B45EDAC" w14:textId="01BD6023" w:rsidR="00E64B1A" w:rsidRPr="00863EC6" w:rsidRDefault="00917CB7" w:rsidP="00E64B1A">
            <w:pPr>
              <w:jc w:val="right"/>
              <w:rPr>
                <w:sz w:val="20"/>
                <w:szCs w:val="20"/>
              </w:rPr>
            </w:pPr>
            <w:r>
              <w:rPr>
                <w:sz w:val="20"/>
                <w:szCs w:val="20"/>
              </w:rPr>
              <w:t>1,151,327</w:t>
            </w:r>
          </w:p>
        </w:tc>
      </w:tr>
      <w:tr w:rsidR="00E64B1A" w:rsidRPr="00863EC6" w14:paraId="487A1C5F" w14:textId="77777777" w:rsidTr="000C2A54">
        <w:trPr>
          <w:jc w:val="center"/>
        </w:trPr>
        <w:tc>
          <w:tcPr>
            <w:tcW w:w="2461" w:type="dxa"/>
          </w:tcPr>
          <w:p w14:paraId="41C14B50" w14:textId="77777777" w:rsidR="00E64B1A" w:rsidRPr="00863EC6" w:rsidRDefault="00E64B1A" w:rsidP="00E64B1A">
            <w:pPr>
              <w:rPr>
                <w:sz w:val="20"/>
                <w:szCs w:val="20"/>
              </w:rPr>
            </w:pPr>
            <w:r w:rsidRPr="00863EC6">
              <w:rPr>
                <w:sz w:val="20"/>
                <w:szCs w:val="20"/>
              </w:rPr>
              <w:t>Social security costs</w:t>
            </w:r>
          </w:p>
        </w:tc>
        <w:tc>
          <w:tcPr>
            <w:tcW w:w="1534" w:type="dxa"/>
          </w:tcPr>
          <w:p w14:paraId="2F732650" w14:textId="67A4E93B" w:rsidR="00E64B1A" w:rsidRPr="0050481D" w:rsidRDefault="008D53CC" w:rsidP="00E64B1A">
            <w:pPr>
              <w:jc w:val="right"/>
              <w:rPr>
                <w:sz w:val="20"/>
                <w:szCs w:val="20"/>
              </w:rPr>
            </w:pPr>
            <w:r>
              <w:rPr>
                <w:sz w:val="20"/>
                <w:szCs w:val="20"/>
              </w:rPr>
              <w:t>1</w:t>
            </w:r>
            <w:r w:rsidR="00917CB7">
              <w:rPr>
                <w:sz w:val="20"/>
                <w:szCs w:val="20"/>
              </w:rPr>
              <w:t>34</w:t>
            </w:r>
            <w:r>
              <w:rPr>
                <w:sz w:val="20"/>
                <w:szCs w:val="20"/>
              </w:rPr>
              <w:t>,</w:t>
            </w:r>
            <w:r w:rsidR="00917CB7">
              <w:rPr>
                <w:sz w:val="20"/>
                <w:szCs w:val="20"/>
              </w:rPr>
              <w:t>199</w:t>
            </w:r>
          </w:p>
        </w:tc>
        <w:tc>
          <w:tcPr>
            <w:tcW w:w="1980" w:type="dxa"/>
          </w:tcPr>
          <w:p w14:paraId="6F919444" w14:textId="66C28115" w:rsidR="00E64B1A" w:rsidRPr="0050481D" w:rsidRDefault="008D53CC" w:rsidP="00E64B1A">
            <w:pPr>
              <w:jc w:val="right"/>
              <w:rPr>
                <w:sz w:val="20"/>
                <w:szCs w:val="20"/>
              </w:rPr>
            </w:pPr>
            <w:r>
              <w:rPr>
                <w:sz w:val="20"/>
                <w:szCs w:val="20"/>
              </w:rPr>
              <w:t>9,</w:t>
            </w:r>
            <w:r w:rsidR="00917CB7">
              <w:rPr>
                <w:sz w:val="20"/>
                <w:szCs w:val="20"/>
              </w:rPr>
              <w:t>691</w:t>
            </w:r>
          </w:p>
        </w:tc>
        <w:tc>
          <w:tcPr>
            <w:tcW w:w="1800" w:type="dxa"/>
          </w:tcPr>
          <w:p w14:paraId="3EF1E04D" w14:textId="73CEBFCD" w:rsidR="00E64B1A" w:rsidRPr="0050481D" w:rsidRDefault="00255020" w:rsidP="00255020">
            <w:pPr>
              <w:rPr>
                <w:sz w:val="20"/>
                <w:szCs w:val="20"/>
              </w:rPr>
            </w:pPr>
            <w:r>
              <w:rPr>
                <w:sz w:val="20"/>
                <w:szCs w:val="20"/>
              </w:rPr>
              <w:t xml:space="preserve">        </w:t>
            </w:r>
            <w:r w:rsidR="00917CB7">
              <w:rPr>
                <w:sz w:val="20"/>
                <w:szCs w:val="20"/>
              </w:rPr>
              <w:t>116,913</w:t>
            </w:r>
          </w:p>
        </w:tc>
        <w:tc>
          <w:tcPr>
            <w:tcW w:w="1440" w:type="dxa"/>
          </w:tcPr>
          <w:p w14:paraId="6036BD84" w14:textId="591161DF" w:rsidR="00E64B1A" w:rsidRPr="00766324" w:rsidRDefault="00917CB7" w:rsidP="00E64B1A">
            <w:pPr>
              <w:jc w:val="right"/>
              <w:rPr>
                <w:sz w:val="20"/>
                <w:szCs w:val="20"/>
              </w:rPr>
            </w:pPr>
            <w:r>
              <w:rPr>
                <w:sz w:val="20"/>
                <w:szCs w:val="20"/>
              </w:rPr>
              <w:t>7,595</w:t>
            </w:r>
          </w:p>
        </w:tc>
        <w:tc>
          <w:tcPr>
            <w:tcW w:w="1440" w:type="dxa"/>
          </w:tcPr>
          <w:p w14:paraId="2F115F19" w14:textId="7CF1DFF7" w:rsidR="00E64B1A" w:rsidRPr="00863EC6" w:rsidRDefault="00917CB7" w:rsidP="00E64B1A">
            <w:pPr>
              <w:jc w:val="right"/>
              <w:rPr>
                <w:sz w:val="20"/>
                <w:szCs w:val="20"/>
              </w:rPr>
            </w:pPr>
            <w:r>
              <w:rPr>
                <w:sz w:val="20"/>
                <w:szCs w:val="20"/>
              </w:rPr>
              <w:t>119,918</w:t>
            </w:r>
          </w:p>
        </w:tc>
      </w:tr>
      <w:tr w:rsidR="00E64B1A" w:rsidRPr="00863EC6" w14:paraId="0588F9B7" w14:textId="77777777" w:rsidTr="000C2A54">
        <w:trPr>
          <w:jc w:val="center"/>
        </w:trPr>
        <w:tc>
          <w:tcPr>
            <w:tcW w:w="2461" w:type="dxa"/>
          </w:tcPr>
          <w:p w14:paraId="0F9F3DA2" w14:textId="77777777" w:rsidR="00E64B1A" w:rsidRPr="00863EC6" w:rsidRDefault="00E64B1A" w:rsidP="00E64B1A">
            <w:pPr>
              <w:rPr>
                <w:sz w:val="20"/>
                <w:szCs w:val="20"/>
              </w:rPr>
            </w:pPr>
            <w:r w:rsidRPr="00863EC6">
              <w:rPr>
                <w:sz w:val="20"/>
                <w:szCs w:val="20"/>
              </w:rPr>
              <w:t>Other pension costs</w:t>
            </w:r>
          </w:p>
        </w:tc>
        <w:tc>
          <w:tcPr>
            <w:tcW w:w="1534" w:type="dxa"/>
            <w:tcBorders>
              <w:bottom w:val="single" w:sz="4" w:space="0" w:color="auto"/>
            </w:tcBorders>
          </w:tcPr>
          <w:p w14:paraId="6B0C3083" w14:textId="76218643" w:rsidR="00E64B1A" w:rsidRPr="0050481D" w:rsidRDefault="008D53CC" w:rsidP="00E64B1A">
            <w:pPr>
              <w:jc w:val="right"/>
              <w:rPr>
                <w:sz w:val="20"/>
                <w:szCs w:val="20"/>
              </w:rPr>
            </w:pPr>
            <w:r>
              <w:rPr>
                <w:sz w:val="20"/>
                <w:szCs w:val="20"/>
              </w:rPr>
              <w:t>3</w:t>
            </w:r>
            <w:r w:rsidR="00917CB7">
              <w:rPr>
                <w:sz w:val="20"/>
                <w:szCs w:val="20"/>
              </w:rPr>
              <w:t>23</w:t>
            </w:r>
            <w:r>
              <w:rPr>
                <w:sz w:val="20"/>
                <w:szCs w:val="20"/>
              </w:rPr>
              <w:t>,</w:t>
            </w:r>
            <w:r w:rsidR="00917CB7">
              <w:rPr>
                <w:sz w:val="20"/>
                <w:szCs w:val="20"/>
              </w:rPr>
              <w:t>618</w:t>
            </w:r>
          </w:p>
        </w:tc>
        <w:tc>
          <w:tcPr>
            <w:tcW w:w="1980" w:type="dxa"/>
            <w:tcBorders>
              <w:bottom w:val="single" w:sz="4" w:space="0" w:color="auto"/>
            </w:tcBorders>
          </w:tcPr>
          <w:p w14:paraId="4DAE086D" w14:textId="23000F5F" w:rsidR="00E64B1A" w:rsidRPr="0050481D" w:rsidRDefault="008D53CC" w:rsidP="00E64B1A">
            <w:pPr>
              <w:jc w:val="right"/>
              <w:rPr>
                <w:sz w:val="20"/>
                <w:szCs w:val="20"/>
              </w:rPr>
            </w:pPr>
            <w:r>
              <w:rPr>
                <w:sz w:val="20"/>
                <w:szCs w:val="20"/>
              </w:rPr>
              <w:t>21,</w:t>
            </w:r>
            <w:r w:rsidR="00917CB7">
              <w:rPr>
                <w:sz w:val="20"/>
                <w:szCs w:val="20"/>
              </w:rPr>
              <w:t>288</w:t>
            </w:r>
          </w:p>
        </w:tc>
        <w:tc>
          <w:tcPr>
            <w:tcW w:w="1800" w:type="dxa"/>
            <w:tcBorders>
              <w:bottom w:val="single" w:sz="4" w:space="0" w:color="auto"/>
            </w:tcBorders>
          </w:tcPr>
          <w:p w14:paraId="28861ABC" w14:textId="0B186F47" w:rsidR="00E64B1A" w:rsidRPr="0050481D" w:rsidRDefault="00255020" w:rsidP="00255020">
            <w:pPr>
              <w:rPr>
                <w:sz w:val="20"/>
                <w:szCs w:val="20"/>
              </w:rPr>
            </w:pPr>
            <w:r>
              <w:rPr>
                <w:sz w:val="20"/>
                <w:szCs w:val="20"/>
              </w:rPr>
              <w:t xml:space="preserve">        </w:t>
            </w:r>
            <w:r w:rsidR="008D53CC">
              <w:rPr>
                <w:sz w:val="20"/>
                <w:szCs w:val="20"/>
              </w:rPr>
              <w:t>2</w:t>
            </w:r>
            <w:r w:rsidR="00917CB7">
              <w:rPr>
                <w:sz w:val="20"/>
                <w:szCs w:val="20"/>
              </w:rPr>
              <w:t>84,737</w:t>
            </w:r>
          </w:p>
        </w:tc>
        <w:tc>
          <w:tcPr>
            <w:tcW w:w="1440" w:type="dxa"/>
            <w:tcBorders>
              <w:bottom w:val="single" w:sz="4" w:space="0" w:color="auto"/>
            </w:tcBorders>
          </w:tcPr>
          <w:p w14:paraId="3BBC6FAB" w14:textId="0867165A" w:rsidR="00E64B1A" w:rsidRPr="00766324" w:rsidRDefault="00917CB7" w:rsidP="00E64B1A">
            <w:pPr>
              <w:jc w:val="right"/>
              <w:rPr>
                <w:sz w:val="20"/>
                <w:szCs w:val="20"/>
              </w:rPr>
            </w:pPr>
            <w:r>
              <w:rPr>
                <w:sz w:val="20"/>
                <w:szCs w:val="20"/>
              </w:rPr>
              <w:t>17,593</w:t>
            </w:r>
          </w:p>
        </w:tc>
        <w:tc>
          <w:tcPr>
            <w:tcW w:w="1440" w:type="dxa"/>
            <w:tcBorders>
              <w:bottom w:val="single" w:sz="4" w:space="0" w:color="auto"/>
            </w:tcBorders>
          </w:tcPr>
          <w:p w14:paraId="4714D700" w14:textId="4FD63145" w:rsidR="00E64B1A" w:rsidRPr="00863EC6" w:rsidRDefault="00917CB7" w:rsidP="00E64B1A">
            <w:pPr>
              <w:jc w:val="right"/>
              <w:rPr>
                <w:sz w:val="20"/>
                <w:szCs w:val="20"/>
              </w:rPr>
            </w:pPr>
            <w:r>
              <w:rPr>
                <w:sz w:val="20"/>
                <w:szCs w:val="20"/>
              </w:rPr>
              <w:t>301,768</w:t>
            </w:r>
          </w:p>
        </w:tc>
      </w:tr>
      <w:tr w:rsidR="00E64B1A" w:rsidRPr="00863EC6" w14:paraId="087732C9" w14:textId="77777777" w:rsidTr="000C2A54">
        <w:trPr>
          <w:jc w:val="center"/>
        </w:trPr>
        <w:tc>
          <w:tcPr>
            <w:tcW w:w="2461" w:type="dxa"/>
          </w:tcPr>
          <w:p w14:paraId="72E0855E" w14:textId="77777777" w:rsidR="00E64B1A" w:rsidRPr="008F1FC0" w:rsidRDefault="00E64B1A" w:rsidP="00E64B1A">
            <w:pPr>
              <w:rPr>
                <w:b/>
                <w:sz w:val="20"/>
                <w:szCs w:val="20"/>
              </w:rPr>
            </w:pPr>
            <w:r>
              <w:rPr>
                <w:b/>
                <w:sz w:val="20"/>
                <w:szCs w:val="20"/>
              </w:rPr>
              <w:t>Total Staff Costs</w:t>
            </w:r>
          </w:p>
        </w:tc>
        <w:tc>
          <w:tcPr>
            <w:tcW w:w="1534" w:type="dxa"/>
            <w:tcBorders>
              <w:top w:val="single" w:sz="4" w:space="0" w:color="auto"/>
              <w:bottom w:val="single" w:sz="4" w:space="0" w:color="auto"/>
            </w:tcBorders>
          </w:tcPr>
          <w:p w14:paraId="2A696794" w14:textId="77F092C0" w:rsidR="00E64B1A" w:rsidRPr="0050481D" w:rsidRDefault="008D53CC" w:rsidP="00E64B1A">
            <w:pPr>
              <w:jc w:val="right"/>
              <w:rPr>
                <w:b/>
                <w:sz w:val="20"/>
                <w:szCs w:val="20"/>
              </w:rPr>
            </w:pPr>
            <w:r>
              <w:rPr>
                <w:b/>
                <w:sz w:val="20"/>
                <w:szCs w:val="20"/>
              </w:rPr>
              <w:t>1,</w:t>
            </w:r>
            <w:r w:rsidR="00917CB7">
              <w:rPr>
                <w:b/>
                <w:sz w:val="20"/>
                <w:szCs w:val="20"/>
              </w:rPr>
              <w:t>668</w:t>
            </w:r>
            <w:r>
              <w:rPr>
                <w:b/>
                <w:sz w:val="20"/>
                <w:szCs w:val="20"/>
              </w:rPr>
              <w:t>,</w:t>
            </w:r>
            <w:r w:rsidR="00917CB7">
              <w:rPr>
                <w:b/>
                <w:sz w:val="20"/>
                <w:szCs w:val="20"/>
              </w:rPr>
              <w:t>716</w:t>
            </w:r>
          </w:p>
        </w:tc>
        <w:tc>
          <w:tcPr>
            <w:tcW w:w="1980" w:type="dxa"/>
            <w:tcBorders>
              <w:top w:val="single" w:sz="4" w:space="0" w:color="auto"/>
              <w:bottom w:val="single" w:sz="4" w:space="0" w:color="auto"/>
            </w:tcBorders>
          </w:tcPr>
          <w:p w14:paraId="28B75921" w14:textId="76DD1C4A" w:rsidR="00E64B1A" w:rsidRPr="0050481D" w:rsidDel="006E56F3" w:rsidRDefault="008D53CC" w:rsidP="00E64B1A">
            <w:pPr>
              <w:jc w:val="right"/>
              <w:rPr>
                <w:b/>
                <w:sz w:val="20"/>
                <w:szCs w:val="20"/>
              </w:rPr>
            </w:pPr>
            <w:r>
              <w:rPr>
                <w:b/>
                <w:sz w:val="20"/>
                <w:szCs w:val="20"/>
              </w:rPr>
              <w:t>14</w:t>
            </w:r>
            <w:r w:rsidR="00917CB7">
              <w:rPr>
                <w:b/>
                <w:sz w:val="20"/>
                <w:szCs w:val="20"/>
              </w:rPr>
              <w:t>9</w:t>
            </w:r>
            <w:r>
              <w:rPr>
                <w:b/>
                <w:sz w:val="20"/>
                <w:szCs w:val="20"/>
              </w:rPr>
              <w:t>,</w:t>
            </w:r>
            <w:r w:rsidR="00917CB7">
              <w:rPr>
                <w:b/>
                <w:sz w:val="20"/>
                <w:szCs w:val="20"/>
              </w:rPr>
              <w:t>156</w:t>
            </w:r>
          </w:p>
        </w:tc>
        <w:tc>
          <w:tcPr>
            <w:tcW w:w="1800" w:type="dxa"/>
            <w:tcBorders>
              <w:top w:val="single" w:sz="4" w:space="0" w:color="auto"/>
              <w:bottom w:val="single" w:sz="4" w:space="0" w:color="auto"/>
            </w:tcBorders>
          </w:tcPr>
          <w:p w14:paraId="1CE321F4" w14:textId="242BF084" w:rsidR="00E64B1A" w:rsidRPr="0050481D" w:rsidRDefault="008D53CC" w:rsidP="00E64B1A">
            <w:pPr>
              <w:jc w:val="right"/>
              <w:rPr>
                <w:b/>
                <w:sz w:val="20"/>
                <w:szCs w:val="20"/>
              </w:rPr>
            </w:pPr>
            <w:r>
              <w:rPr>
                <w:b/>
                <w:sz w:val="20"/>
                <w:szCs w:val="20"/>
              </w:rPr>
              <w:t>1,</w:t>
            </w:r>
            <w:r w:rsidR="00917CB7">
              <w:rPr>
                <w:b/>
                <w:sz w:val="20"/>
                <w:szCs w:val="20"/>
              </w:rPr>
              <w:t>403,698</w:t>
            </w:r>
            <w:r w:rsidR="00255020">
              <w:rPr>
                <w:rStyle w:val="FootnoteReference"/>
                <w:b/>
                <w:sz w:val="20"/>
                <w:szCs w:val="20"/>
              </w:rPr>
              <w:footnoteReference w:id="22"/>
            </w:r>
          </w:p>
        </w:tc>
        <w:tc>
          <w:tcPr>
            <w:tcW w:w="1440" w:type="dxa"/>
            <w:tcBorders>
              <w:top w:val="single" w:sz="4" w:space="0" w:color="auto"/>
              <w:bottom w:val="single" w:sz="4" w:space="0" w:color="auto"/>
            </w:tcBorders>
          </w:tcPr>
          <w:p w14:paraId="509A54BF" w14:textId="3B497506" w:rsidR="00E64B1A" w:rsidRPr="008F1FC0" w:rsidRDefault="00917CB7" w:rsidP="00E64B1A">
            <w:pPr>
              <w:jc w:val="right"/>
              <w:rPr>
                <w:b/>
                <w:sz w:val="20"/>
                <w:szCs w:val="20"/>
              </w:rPr>
            </w:pPr>
            <w:r>
              <w:rPr>
                <w:b/>
                <w:sz w:val="20"/>
                <w:szCs w:val="20"/>
              </w:rPr>
              <w:t>115,862</w:t>
            </w:r>
          </w:p>
        </w:tc>
        <w:tc>
          <w:tcPr>
            <w:tcW w:w="1440" w:type="dxa"/>
            <w:tcBorders>
              <w:top w:val="single" w:sz="4" w:space="0" w:color="auto"/>
              <w:bottom w:val="single" w:sz="4" w:space="0" w:color="auto"/>
            </w:tcBorders>
          </w:tcPr>
          <w:p w14:paraId="4BB20BB0" w14:textId="7A6E17A3" w:rsidR="00E64B1A" w:rsidRPr="008F1FC0" w:rsidRDefault="00917CB7" w:rsidP="00E64B1A">
            <w:pPr>
              <w:jc w:val="right"/>
              <w:rPr>
                <w:b/>
                <w:sz w:val="20"/>
                <w:szCs w:val="20"/>
              </w:rPr>
            </w:pPr>
            <w:r>
              <w:rPr>
                <w:b/>
                <w:sz w:val="20"/>
                <w:szCs w:val="20"/>
              </w:rPr>
              <w:t>1,573,013</w:t>
            </w:r>
          </w:p>
        </w:tc>
      </w:tr>
    </w:tbl>
    <w:p w14:paraId="075FC662" w14:textId="77777777" w:rsidR="00FD0AA4" w:rsidRDefault="00FD0AA4" w:rsidP="000C2A54">
      <w:pPr>
        <w:widowControl w:val="0"/>
        <w:tabs>
          <w:tab w:val="left" w:pos="567"/>
          <w:tab w:val="right" w:pos="7371"/>
          <w:tab w:val="right" w:pos="9356"/>
        </w:tabs>
        <w:autoSpaceDE w:val="0"/>
        <w:autoSpaceDN w:val="0"/>
        <w:adjustRightInd w:val="0"/>
        <w:rPr>
          <w:b/>
        </w:rPr>
      </w:pPr>
    </w:p>
    <w:p w14:paraId="777CEE2F" w14:textId="77777777" w:rsidR="00BF7ED8" w:rsidRDefault="00BF7ED8" w:rsidP="000C2A54">
      <w:pPr>
        <w:widowControl w:val="0"/>
        <w:tabs>
          <w:tab w:val="left" w:pos="567"/>
          <w:tab w:val="right" w:pos="7371"/>
          <w:tab w:val="right" w:pos="9356"/>
        </w:tabs>
        <w:autoSpaceDE w:val="0"/>
        <w:autoSpaceDN w:val="0"/>
        <w:adjustRightInd w:val="0"/>
        <w:rPr>
          <w:b/>
        </w:rPr>
      </w:pPr>
    </w:p>
    <w:p w14:paraId="0417E7A8" w14:textId="77777777" w:rsidR="001E2AA0" w:rsidRDefault="001E2AA0" w:rsidP="000C2A54">
      <w:pPr>
        <w:widowControl w:val="0"/>
        <w:tabs>
          <w:tab w:val="left" w:pos="567"/>
          <w:tab w:val="right" w:pos="7371"/>
          <w:tab w:val="right" w:pos="9356"/>
        </w:tabs>
        <w:autoSpaceDE w:val="0"/>
        <w:autoSpaceDN w:val="0"/>
        <w:adjustRightInd w:val="0"/>
        <w:rPr>
          <w:b/>
        </w:rPr>
      </w:pPr>
    </w:p>
    <w:p w14:paraId="4D2443E1" w14:textId="77777777" w:rsidR="001E2AA0" w:rsidRDefault="001E2AA0" w:rsidP="000C2A54">
      <w:pPr>
        <w:widowControl w:val="0"/>
        <w:tabs>
          <w:tab w:val="left" w:pos="567"/>
          <w:tab w:val="right" w:pos="7371"/>
          <w:tab w:val="right" w:pos="9356"/>
        </w:tabs>
        <w:autoSpaceDE w:val="0"/>
        <w:autoSpaceDN w:val="0"/>
        <w:adjustRightInd w:val="0"/>
        <w:rPr>
          <w:b/>
        </w:rPr>
      </w:pPr>
    </w:p>
    <w:p w14:paraId="318AFDEB" w14:textId="77777777" w:rsidR="002F2F19" w:rsidRDefault="002F2F19" w:rsidP="000C2A54">
      <w:pPr>
        <w:widowControl w:val="0"/>
        <w:tabs>
          <w:tab w:val="left" w:pos="567"/>
          <w:tab w:val="right" w:pos="7371"/>
          <w:tab w:val="right" w:pos="9356"/>
        </w:tabs>
        <w:autoSpaceDE w:val="0"/>
        <w:autoSpaceDN w:val="0"/>
        <w:adjustRightInd w:val="0"/>
        <w:rPr>
          <w:b/>
        </w:rPr>
      </w:pPr>
    </w:p>
    <w:p w14:paraId="64EC306C" w14:textId="77777777" w:rsidR="002F2F19" w:rsidRDefault="002F2F19" w:rsidP="000C2A54">
      <w:pPr>
        <w:widowControl w:val="0"/>
        <w:tabs>
          <w:tab w:val="left" w:pos="567"/>
          <w:tab w:val="right" w:pos="7371"/>
          <w:tab w:val="right" w:pos="9356"/>
        </w:tabs>
        <w:autoSpaceDE w:val="0"/>
        <w:autoSpaceDN w:val="0"/>
        <w:adjustRightInd w:val="0"/>
        <w:rPr>
          <w:b/>
        </w:rPr>
      </w:pPr>
    </w:p>
    <w:p w14:paraId="365F9FB0" w14:textId="77777777" w:rsidR="002F2F19" w:rsidRDefault="002F2F19" w:rsidP="000C2A54">
      <w:pPr>
        <w:widowControl w:val="0"/>
        <w:tabs>
          <w:tab w:val="left" w:pos="567"/>
          <w:tab w:val="right" w:pos="7371"/>
          <w:tab w:val="right" w:pos="9356"/>
        </w:tabs>
        <w:autoSpaceDE w:val="0"/>
        <w:autoSpaceDN w:val="0"/>
        <w:adjustRightInd w:val="0"/>
        <w:rPr>
          <w:b/>
        </w:rPr>
      </w:pPr>
    </w:p>
    <w:p w14:paraId="34E43524" w14:textId="77777777" w:rsidR="002F2F19" w:rsidRDefault="002F2F19" w:rsidP="000C2A54">
      <w:pPr>
        <w:widowControl w:val="0"/>
        <w:tabs>
          <w:tab w:val="left" w:pos="567"/>
          <w:tab w:val="right" w:pos="7371"/>
          <w:tab w:val="right" w:pos="9356"/>
        </w:tabs>
        <w:autoSpaceDE w:val="0"/>
        <w:autoSpaceDN w:val="0"/>
        <w:adjustRightInd w:val="0"/>
        <w:rPr>
          <w:b/>
        </w:rPr>
      </w:pPr>
    </w:p>
    <w:p w14:paraId="2F371B61" w14:textId="77777777" w:rsidR="002F2F19" w:rsidRDefault="002F2F19" w:rsidP="000C2A54">
      <w:pPr>
        <w:widowControl w:val="0"/>
        <w:tabs>
          <w:tab w:val="left" w:pos="567"/>
          <w:tab w:val="right" w:pos="7371"/>
          <w:tab w:val="right" w:pos="9356"/>
        </w:tabs>
        <w:autoSpaceDE w:val="0"/>
        <w:autoSpaceDN w:val="0"/>
        <w:adjustRightInd w:val="0"/>
        <w:rPr>
          <w:b/>
        </w:rPr>
      </w:pPr>
    </w:p>
    <w:p w14:paraId="66E8A8FA" w14:textId="77777777" w:rsidR="002F2F19" w:rsidRDefault="002F2F19" w:rsidP="000C2A54">
      <w:pPr>
        <w:widowControl w:val="0"/>
        <w:tabs>
          <w:tab w:val="left" w:pos="567"/>
          <w:tab w:val="right" w:pos="7371"/>
          <w:tab w:val="right" w:pos="9356"/>
        </w:tabs>
        <w:autoSpaceDE w:val="0"/>
        <w:autoSpaceDN w:val="0"/>
        <w:adjustRightInd w:val="0"/>
        <w:rPr>
          <w:b/>
        </w:rPr>
      </w:pPr>
    </w:p>
    <w:p w14:paraId="3FBAC0B8" w14:textId="794EDD9F" w:rsidR="000C2A54" w:rsidRPr="00676064" w:rsidRDefault="000C2A54" w:rsidP="000C2A54">
      <w:pPr>
        <w:widowControl w:val="0"/>
        <w:tabs>
          <w:tab w:val="left" w:pos="567"/>
          <w:tab w:val="right" w:pos="7371"/>
          <w:tab w:val="right" w:pos="9356"/>
        </w:tabs>
        <w:autoSpaceDE w:val="0"/>
        <w:autoSpaceDN w:val="0"/>
        <w:adjustRightInd w:val="0"/>
        <w:rPr>
          <w:b/>
        </w:rPr>
      </w:pPr>
      <w:r w:rsidRPr="00676064">
        <w:rPr>
          <w:b/>
        </w:rPr>
        <w:lastRenderedPageBreak/>
        <w:t>4.</w:t>
      </w:r>
      <w:r w:rsidRPr="00676064">
        <w:rPr>
          <w:b/>
        </w:rPr>
        <w:tab/>
        <w:t>Other expenditure</w:t>
      </w:r>
      <w:r w:rsidR="00235025">
        <w:rPr>
          <w:b/>
        </w:rPr>
        <w:t xml:space="preserve"> </w:t>
      </w:r>
    </w:p>
    <w:tbl>
      <w:tblPr>
        <w:tblW w:w="0" w:type="auto"/>
        <w:jc w:val="center"/>
        <w:tblLayout w:type="fixed"/>
        <w:tblLook w:val="01E0" w:firstRow="1" w:lastRow="1" w:firstColumn="1" w:lastColumn="1" w:noHBand="0" w:noVBand="0"/>
      </w:tblPr>
      <w:tblGrid>
        <w:gridCol w:w="5911"/>
        <w:gridCol w:w="1440"/>
        <w:gridCol w:w="417"/>
        <w:gridCol w:w="1245"/>
      </w:tblGrid>
      <w:tr w:rsidR="000C2A54" w:rsidRPr="00676064" w14:paraId="378AA8F8" w14:textId="77777777" w:rsidTr="000C2A54">
        <w:trPr>
          <w:jc w:val="center"/>
        </w:trPr>
        <w:tc>
          <w:tcPr>
            <w:tcW w:w="5911" w:type="dxa"/>
          </w:tcPr>
          <w:p w14:paraId="7A803752" w14:textId="77777777" w:rsidR="000C2A54" w:rsidRPr="00676064" w:rsidRDefault="000C2A54" w:rsidP="000C2A54">
            <w:pPr>
              <w:rPr>
                <w:b/>
              </w:rPr>
            </w:pPr>
          </w:p>
        </w:tc>
        <w:tc>
          <w:tcPr>
            <w:tcW w:w="1440" w:type="dxa"/>
          </w:tcPr>
          <w:p w14:paraId="23D734E2" w14:textId="0718BBB4" w:rsidR="000C2A54" w:rsidRPr="003061F1" w:rsidRDefault="00BE5A39" w:rsidP="000C2A54">
            <w:pPr>
              <w:jc w:val="right"/>
              <w:rPr>
                <w:b/>
                <w:sz w:val="20"/>
                <w:szCs w:val="20"/>
              </w:rPr>
            </w:pPr>
            <w:r>
              <w:rPr>
                <w:b/>
                <w:sz w:val="20"/>
                <w:szCs w:val="20"/>
              </w:rPr>
              <w:t>202</w:t>
            </w:r>
            <w:r w:rsidR="00FE10BB">
              <w:rPr>
                <w:b/>
                <w:sz w:val="20"/>
                <w:szCs w:val="20"/>
              </w:rPr>
              <w:t>2</w:t>
            </w:r>
            <w:r>
              <w:rPr>
                <w:b/>
                <w:sz w:val="20"/>
                <w:szCs w:val="20"/>
              </w:rPr>
              <w:t>-2</w:t>
            </w:r>
            <w:r w:rsidR="00FE10BB">
              <w:rPr>
                <w:b/>
                <w:sz w:val="20"/>
                <w:szCs w:val="20"/>
              </w:rPr>
              <w:t>3</w:t>
            </w:r>
          </w:p>
        </w:tc>
        <w:tc>
          <w:tcPr>
            <w:tcW w:w="417" w:type="dxa"/>
          </w:tcPr>
          <w:p w14:paraId="121491C1" w14:textId="77777777" w:rsidR="000C2A54" w:rsidRPr="003061F1" w:rsidRDefault="000C2A54" w:rsidP="000C2A54">
            <w:pPr>
              <w:rPr>
                <w:b/>
                <w:sz w:val="20"/>
                <w:szCs w:val="20"/>
              </w:rPr>
            </w:pPr>
          </w:p>
        </w:tc>
        <w:tc>
          <w:tcPr>
            <w:tcW w:w="1245" w:type="dxa"/>
          </w:tcPr>
          <w:p w14:paraId="3A284FD0" w14:textId="18A682A2" w:rsidR="000C2A54" w:rsidRPr="003061F1" w:rsidRDefault="00BE5A39" w:rsidP="000C2A54">
            <w:pPr>
              <w:jc w:val="right"/>
              <w:rPr>
                <w:b/>
                <w:sz w:val="20"/>
                <w:szCs w:val="20"/>
              </w:rPr>
            </w:pPr>
            <w:r>
              <w:rPr>
                <w:b/>
                <w:sz w:val="20"/>
                <w:szCs w:val="20"/>
              </w:rPr>
              <w:t>202</w:t>
            </w:r>
            <w:r w:rsidR="00917CB7">
              <w:rPr>
                <w:b/>
                <w:sz w:val="20"/>
                <w:szCs w:val="20"/>
              </w:rPr>
              <w:t>1</w:t>
            </w:r>
            <w:r>
              <w:rPr>
                <w:b/>
                <w:sz w:val="20"/>
                <w:szCs w:val="20"/>
              </w:rPr>
              <w:t>-2</w:t>
            </w:r>
            <w:r w:rsidR="00917CB7">
              <w:rPr>
                <w:b/>
                <w:sz w:val="20"/>
                <w:szCs w:val="20"/>
              </w:rPr>
              <w:t>2</w:t>
            </w:r>
          </w:p>
        </w:tc>
      </w:tr>
      <w:tr w:rsidR="000C2A54" w:rsidRPr="00676064" w14:paraId="5BB8FDC6" w14:textId="77777777" w:rsidTr="000C2A54">
        <w:trPr>
          <w:jc w:val="center"/>
        </w:trPr>
        <w:tc>
          <w:tcPr>
            <w:tcW w:w="5911" w:type="dxa"/>
          </w:tcPr>
          <w:p w14:paraId="5D80F3BB" w14:textId="77777777" w:rsidR="000C2A54" w:rsidRPr="00676064" w:rsidRDefault="000C2A54" w:rsidP="000C2A54">
            <w:pPr>
              <w:rPr>
                <w:b/>
              </w:rPr>
            </w:pPr>
          </w:p>
        </w:tc>
        <w:tc>
          <w:tcPr>
            <w:tcW w:w="1440" w:type="dxa"/>
          </w:tcPr>
          <w:p w14:paraId="37132B45" w14:textId="77777777" w:rsidR="000C2A54" w:rsidRPr="003061F1" w:rsidRDefault="000C2A54" w:rsidP="000C2A54">
            <w:pPr>
              <w:rPr>
                <w:b/>
                <w:sz w:val="20"/>
                <w:szCs w:val="20"/>
              </w:rPr>
            </w:pPr>
          </w:p>
        </w:tc>
        <w:tc>
          <w:tcPr>
            <w:tcW w:w="1662" w:type="dxa"/>
            <w:gridSpan w:val="2"/>
          </w:tcPr>
          <w:p w14:paraId="756FC3D7" w14:textId="77777777" w:rsidR="000C2A54" w:rsidRPr="003061F1" w:rsidRDefault="000C2A54" w:rsidP="000C2A54">
            <w:pPr>
              <w:jc w:val="right"/>
              <w:rPr>
                <w:b/>
                <w:sz w:val="20"/>
                <w:szCs w:val="20"/>
              </w:rPr>
            </w:pPr>
          </w:p>
        </w:tc>
      </w:tr>
      <w:tr w:rsidR="000C2A54" w:rsidRPr="00676064" w14:paraId="7EC6D48D" w14:textId="77777777" w:rsidTr="000C2A54">
        <w:trPr>
          <w:jc w:val="center"/>
        </w:trPr>
        <w:tc>
          <w:tcPr>
            <w:tcW w:w="5911" w:type="dxa"/>
          </w:tcPr>
          <w:p w14:paraId="62EC79B5" w14:textId="77777777" w:rsidR="000C2A54" w:rsidRPr="00676064" w:rsidRDefault="000C2A54" w:rsidP="000C2A54">
            <w:pPr>
              <w:rPr>
                <w:b/>
              </w:rPr>
            </w:pPr>
          </w:p>
        </w:tc>
        <w:tc>
          <w:tcPr>
            <w:tcW w:w="1440" w:type="dxa"/>
          </w:tcPr>
          <w:p w14:paraId="2505FA5C" w14:textId="77777777" w:rsidR="000C2A54" w:rsidRPr="003061F1" w:rsidRDefault="00243E7B" w:rsidP="00243E7B">
            <w:pPr>
              <w:jc w:val="center"/>
              <w:rPr>
                <w:b/>
                <w:sz w:val="20"/>
                <w:szCs w:val="20"/>
              </w:rPr>
            </w:pPr>
            <w:r>
              <w:rPr>
                <w:b/>
                <w:sz w:val="20"/>
                <w:szCs w:val="20"/>
              </w:rPr>
              <w:t xml:space="preserve">         </w:t>
            </w:r>
            <w:r w:rsidR="000C2A54" w:rsidRPr="003061F1">
              <w:rPr>
                <w:b/>
                <w:sz w:val="20"/>
                <w:szCs w:val="20"/>
              </w:rPr>
              <w:t>£</w:t>
            </w:r>
          </w:p>
        </w:tc>
        <w:tc>
          <w:tcPr>
            <w:tcW w:w="417" w:type="dxa"/>
          </w:tcPr>
          <w:p w14:paraId="71625A95" w14:textId="77777777" w:rsidR="000C2A54" w:rsidRPr="003061F1" w:rsidRDefault="000C2A54" w:rsidP="000C2A54">
            <w:pPr>
              <w:rPr>
                <w:b/>
                <w:sz w:val="20"/>
                <w:szCs w:val="20"/>
              </w:rPr>
            </w:pPr>
          </w:p>
        </w:tc>
        <w:tc>
          <w:tcPr>
            <w:tcW w:w="1245" w:type="dxa"/>
          </w:tcPr>
          <w:p w14:paraId="653A0B0D" w14:textId="77777777" w:rsidR="000C2A54" w:rsidRPr="003061F1" w:rsidRDefault="000C2A54" w:rsidP="000C2A54">
            <w:pPr>
              <w:jc w:val="right"/>
              <w:rPr>
                <w:b/>
                <w:sz w:val="20"/>
                <w:szCs w:val="20"/>
              </w:rPr>
            </w:pPr>
            <w:r w:rsidRPr="003061F1">
              <w:rPr>
                <w:b/>
                <w:sz w:val="20"/>
                <w:szCs w:val="20"/>
              </w:rPr>
              <w:t>£</w:t>
            </w:r>
          </w:p>
        </w:tc>
      </w:tr>
      <w:tr w:rsidR="00E64B1A" w:rsidRPr="00676064" w14:paraId="1B4C2680" w14:textId="77777777" w:rsidTr="000C2A54">
        <w:trPr>
          <w:jc w:val="center"/>
        </w:trPr>
        <w:tc>
          <w:tcPr>
            <w:tcW w:w="5911" w:type="dxa"/>
          </w:tcPr>
          <w:p w14:paraId="2CD51577"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Advertising, publicity and publications</w:t>
            </w:r>
          </w:p>
        </w:tc>
        <w:tc>
          <w:tcPr>
            <w:tcW w:w="1440" w:type="dxa"/>
          </w:tcPr>
          <w:p w14:paraId="05A553F8" w14:textId="0D4351EA" w:rsidR="00E64B1A" w:rsidRPr="003061F1" w:rsidRDefault="00FE10BB" w:rsidP="002B369A">
            <w:pPr>
              <w:jc w:val="right"/>
              <w:rPr>
                <w:sz w:val="20"/>
                <w:szCs w:val="20"/>
              </w:rPr>
            </w:pPr>
            <w:r>
              <w:rPr>
                <w:sz w:val="20"/>
                <w:szCs w:val="20"/>
              </w:rPr>
              <w:t>40,392</w:t>
            </w:r>
          </w:p>
        </w:tc>
        <w:tc>
          <w:tcPr>
            <w:tcW w:w="417" w:type="dxa"/>
          </w:tcPr>
          <w:p w14:paraId="32930D7D" w14:textId="77777777" w:rsidR="00E64B1A" w:rsidRPr="003061F1" w:rsidRDefault="00E64B1A" w:rsidP="00E64B1A">
            <w:pPr>
              <w:jc w:val="right"/>
              <w:rPr>
                <w:sz w:val="20"/>
                <w:szCs w:val="20"/>
              </w:rPr>
            </w:pPr>
          </w:p>
        </w:tc>
        <w:tc>
          <w:tcPr>
            <w:tcW w:w="1245" w:type="dxa"/>
          </w:tcPr>
          <w:p w14:paraId="4E793752" w14:textId="48AFBB20" w:rsidR="00E64B1A" w:rsidRPr="003061F1" w:rsidRDefault="00917CB7" w:rsidP="00E64B1A">
            <w:pPr>
              <w:jc w:val="right"/>
              <w:rPr>
                <w:sz w:val="20"/>
                <w:szCs w:val="20"/>
              </w:rPr>
            </w:pPr>
            <w:r>
              <w:rPr>
                <w:sz w:val="20"/>
                <w:szCs w:val="20"/>
              </w:rPr>
              <w:t>83,810</w:t>
            </w:r>
          </w:p>
        </w:tc>
      </w:tr>
      <w:tr w:rsidR="00E64B1A" w:rsidRPr="00676064" w14:paraId="6DB1FD3B" w14:textId="77777777" w:rsidTr="000C2A54">
        <w:trPr>
          <w:jc w:val="center"/>
        </w:trPr>
        <w:tc>
          <w:tcPr>
            <w:tcW w:w="5911" w:type="dxa"/>
          </w:tcPr>
          <w:p w14:paraId="536DAA94"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Auditor’s (NAO) remuneration</w:t>
            </w:r>
          </w:p>
        </w:tc>
        <w:tc>
          <w:tcPr>
            <w:tcW w:w="1440" w:type="dxa"/>
          </w:tcPr>
          <w:p w14:paraId="3135E4CE" w14:textId="4F792239" w:rsidR="00E64B1A" w:rsidRPr="003061F1" w:rsidRDefault="00FE10BB" w:rsidP="002B369A">
            <w:pPr>
              <w:jc w:val="right"/>
              <w:rPr>
                <w:sz w:val="20"/>
                <w:szCs w:val="20"/>
              </w:rPr>
            </w:pPr>
            <w:r>
              <w:rPr>
                <w:sz w:val="20"/>
                <w:szCs w:val="20"/>
              </w:rPr>
              <w:t>21,725</w:t>
            </w:r>
          </w:p>
        </w:tc>
        <w:tc>
          <w:tcPr>
            <w:tcW w:w="417" w:type="dxa"/>
          </w:tcPr>
          <w:p w14:paraId="7B978208" w14:textId="77777777" w:rsidR="00E64B1A" w:rsidRPr="003061F1" w:rsidRDefault="00E64B1A" w:rsidP="00E64B1A">
            <w:pPr>
              <w:jc w:val="right"/>
              <w:rPr>
                <w:sz w:val="20"/>
                <w:szCs w:val="20"/>
              </w:rPr>
            </w:pPr>
          </w:p>
        </w:tc>
        <w:tc>
          <w:tcPr>
            <w:tcW w:w="1245" w:type="dxa"/>
          </w:tcPr>
          <w:p w14:paraId="7E646CE1" w14:textId="71CFFA2C" w:rsidR="00E64B1A" w:rsidRPr="003061F1" w:rsidRDefault="002B369A" w:rsidP="00E64B1A">
            <w:pPr>
              <w:jc w:val="right"/>
              <w:rPr>
                <w:sz w:val="20"/>
                <w:szCs w:val="20"/>
              </w:rPr>
            </w:pPr>
            <w:r>
              <w:rPr>
                <w:sz w:val="20"/>
                <w:szCs w:val="20"/>
              </w:rPr>
              <w:t>1</w:t>
            </w:r>
            <w:r w:rsidR="00917CB7">
              <w:rPr>
                <w:sz w:val="20"/>
                <w:szCs w:val="20"/>
              </w:rPr>
              <w:t>7,500</w:t>
            </w:r>
          </w:p>
        </w:tc>
      </w:tr>
      <w:tr w:rsidR="00E64B1A" w:rsidRPr="00676064" w14:paraId="348916D5" w14:textId="77777777" w:rsidTr="000C2A54">
        <w:trPr>
          <w:jc w:val="center"/>
        </w:trPr>
        <w:tc>
          <w:tcPr>
            <w:tcW w:w="5911" w:type="dxa"/>
          </w:tcPr>
          <w:p w14:paraId="604CA642"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Building maintenance and expenses</w:t>
            </w:r>
          </w:p>
        </w:tc>
        <w:tc>
          <w:tcPr>
            <w:tcW w:w="1440" w:type="dxa"/>
          </w:tcPr>
          <w:p w14:paraId="77932C7B" w14:textId="2A923B2F" w:rsidR="00E64B1A" w:rsidRPr="003061F1" w:rsidRDefault="00FE10BB" w:rsidP="002B369A">
            <w:pPr>
              <w:jc w:val="right"/>
              <w:rPr>
                <w:sz w:val="20"/>
                <w:szCs w:val="20"/>
              </w:rPr>
            </w:pPr>
            <w:r>
              <w:rPr>
                <w:sz w:val="20"/>
                <w:szCs w:val="20"/>
              </w:rPr>
              <w:t>48,094</w:t>
            </w:r>
          </w:p>
        </w:tc>
        <w:tc>
          <w:tcPr>
            <w:tcW w:w="417" w:type="dxa"/>
          </w:tcPr>
          <w:p w14:paraId="641E6A36" w14:textId="77777777" w:rsidR="00E64B1A" w:rsidRPr="003061F1" w:rsidRDefault="00E64B1A" w:rsidP="00E64B1A">
            <w:pPr>
              <w:jc w:val="right"/>
              <w:rPr>
                <w:sz w:val="20"/>
                <w:szCs w:val="20"/>
              </w:rPr>
            </w:pPr>
          </w:p>
        </w:tc>
        <w:tc>
          <w:tcPr>
            <w:tcW w:w="1245" w:type="dxa"/>
          </w:tcPr>
          <w:p w14:paraId="7DDD7972" w14:textId="1A4EF793" w:rsidR="00E64B1A" w:rsidRPr="003061F1" w:rsidRDefault="00917CB7" w:rsidP="00E64B1A">
            <w:pPr>
              <w:jc w:val="right"/>
              <w:rPr>
                <w:sz w:val="20"/>
                <w:szCs w:val="20"/>
              </w:rPr>
            </w:pPr>
            <w:r>
              <w:rPr>
                <w:sz w:val="20"/>
                <w:szCs w:val="20"/>
              </w:rPr>
              <w:t>71,364</w:t>
            </w:r>
          </w:p>
        </w:tc>
      </w:tr>
      <w:tr w:rsidR="00E64B1A" w:rsidRPr="00676064" w14:paraId="1FCBF9A4" w14:textId="77777777" w:rsidTr="000C2A54">
        <w:trPr>
          <w:jc w:val="center"/>
        </w:trPr>
        <w:tc>
          <w:tcPr>
            <w:tcW w:w="5911" w:type="dxa"/>
          </w:tcPr>
          <w:p w14:paraId="0A3DAC25"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Conferences and seminars</w:t>
            </w:r>
          </w:p>
        </w:tc>
        <w:tc>
          <w:tcPr>
            <w:tcW w:w="1440" w:type="dxa"/>
          </w:tcPr>
          <w:p w14:paraId="7B01B4D8" w14:textId="46884D4F" w:rsidR="00E64B1A" w:rsidRPr="003061F1" w:rsidRDefault="002B369A" w:rsidP="002B369A">
            <w:pPr>
              <w:jc w:val="right"/>
              <w:rPr>
                <w:sz w:val="20"/>
                <w:szCs w:val="20"/>
              </w:rPr>
            </w:pPr>
            <w:r>
              <w:rPr>
                <w:sz w:val="20"/>
                <w:szCs w:val="20"/>
              </w:rPr>
              <w:t>1</w:t>
            </w:r>
            <w:r w:rsidR="00FE10BB">
              <w:rPr>
                <w:sz w:val="20"/>
                <w:szCs w:val="20"/>
              </w:rPr>
              <w:t>4,276</w:t>
            </w:r>
          </w:p>
        </w:tc>
        <w:tc>
          <w:tcPr>
            <w:tcW w:w="417" w:type="dxa"/>
          </w:tcPr>
          <w:p w14:paraId="0B83C586" w14:textId="77777777" w:rsidR="00E64B1A" w:rsidRPr="003061F1" w:rsidRDefault="00E64B1A" w:rsidP="00E64B1A">
            <w:pPr>
              <w:jc w:val="right"/>
              <w:rPr>
                <w:sz w:val="20"/>
                <w:szCs w:val="20"/>
              </w:rPr>
            </w:pPr>
          </w:p>
        </w:tc>
        <w:tc>
          <w:tcPr>
            <w:tcW w:w="1245" w:type="dxa"/>
          </w:tcPr>
          <w:p w14:paraId="593D4D51" w14:textId="5FCABF6F" w:rsidR="00E64B1A" w:rsidRPr="003061F1" w:rsidRDefault="00917CB7" w:rsidP="00E64B1A">
            <w:pPr>
              <w:jc w:val="right"/>
              <w:rPr>
                <w:sz w:val="20"/>
                <w:szCs w:val="20"/>
              </w:rPr>
            </w:pPr>
            <w:r>
              <w:rPr>
                <w:sz w:val="20"/>
                <w:szCs w:val="20"/>
              </w:rPr>
              <w:t>18,835</w:t>
            </w:r>
          </w:p>
        </w:tc>
      </w:tr>
      <w:tr w:rsidR="00E64B1A" w:rsidRPr="00676064" w14:paraId="52C77887" w14:textId="77777777" w:rsidTr="000C2A54">
        <w:trPr>
          <w:jc w:val="center"/>
        </w:trPr>
        <w:tc>
          <w:tcPr>
            <w:tcW w:w="5911" w:type="dxa"/>
          </w:tcPr>
          <w:p w14:paraId="6F34BA8E"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Insurance</w:t>
            </w:r>
          </w:p>
        </w:tc>
        <w:tc>
          <w:tcPr>
            <w:tcW w:w="1440" w:type="dxa"/>
          </w:tcPr>
          <w:p w14:paraId="54E5B958" w14:textId="296DB774" w:rsidR="00E64B1A" w:rsidRPr="003061F1" w:rsidRDefault="00FE10BB" w:rsidP="002B369A">
            <w:pPr>
              <w:jc w:val="right"/>
              <w:rPr>
                <w:sz w:val="20"/>
                <w:szCs w:val="20"/>
              </w:rPr>
            </w:pPr>
            <w:r>
              <w:rPr>
                <w:sz w:val="20"/>
                <w:szCs w:val="20"/>
              </w:rPr>
              <w:t>9,188</w:t>
            </w:r>
          </w:p>
        </w:tc>
        <w:tc>
          <w:tcPr>
            <w:tcW w:w="417" w:type="dxa"/>
          </w:tcPr>
          <w:p w14:paraId="0C044435" w14:textId="77777777" w:rsidR="00E64B1A" w:rsidRPr="003061F1" w:rsidRDefault="00E64B1A" w:rsidP="00E64B1A">
            <w:pPr>
              <w:jc w:val="right"/>
              <w:rPr>
                <w:sz w:val="20"/>
                <w:szCs w:val="20"/>
              </w:rPr>
            </w:pPr>
          </w:p>
        </w:tc>
        <w:tc>
          <w:tcPr>
            <w:tcW w:w="1245" w:type="dxa"/>
          </w:tcPr>
          <w:p w14:paraId="1AB95390" w14:textId="1E30ED1B" w:rsidR="00E64B1A" w:rsidRPr="003061F1" w:rsidRDefault="00917CB7" w:rsidP="00E64B1A">
            <w:pPr>
              <w:jc w:val="right"/>
              <w:rPr>
                <w:sz w:val="20"/>
                <w:szCs w:val="20"/>
              </w:rPr>
            </w:pPr>
            <w:r>
              <w:rPr>
                <w:sz w:val="20"/>
                <w:szCs w:val="20"/>
              </w:rPr>
              <w:t>8,135</w:t>
            </w:r>
          </w:p>
        </w:tc>
      </w:tr>
      <w:tr w:rsidR="00E64B1A" w:rsidRPr="00676064" w14:paraId="5093D7D9" w14:textId="77777777" w:rsidTr="000C2A54">
        <w:trPr>
          <w:jc w:val="center"/>
        </w:trPr>
        <w:tc>
          <w:tcPr>
            <w:tcW w:w="5911" w:type="dxa"/>
          </w:tcPr>
          <w:p w14:paraId="4967BC3E"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Internal audit</w:t>
            </w:r>
          </w:p>
        </w:tc>
        <w:tc>
          <w:tcPr>
            <w:tcW w:w="1440" w:type="dxa"/>
          </w:tcPr>
          <w:p w14:paraId="2BAD7143" w14:textId="22A82A27" w:rsidR="00E64B1A" w:rsidRPr="003061F1" w:rsidRDefault="00FE10BB" w:rsidP="002B369A">
            <w:pPr>
              <w:jc w:val="right"/>
              <w:rPr>
                <w:sz w:val="20"/>
                <w:szCs w:val="20"/>
              </w:rPr>
            </w:pPr>
            <w:r>
              <w:rPr>
                <w:sz w:val="20"/>
                <w:szCs w:val="20"/>
              </w:rPr>
              <w:t>7,020</w:t>
            </w:r>
          </w:p>
        </w:tc>
        <w:tc>
          <w:tcPr>
            <w:tcW w:w="417" w:type="dxa"/>
          </w:tcPr>
          <w:p w14:paraId="37DEEFE8" w14:textId="77777777" w:rsidR="00E64B1A" w:rsidRPr="003061F1" w:rsidRDefault="00E64B1A" w:rsidP="00E64B1A">
            <w:pPr>
              <w:jc w:val="right"/>
              <w:rPr>
                <w:sz w:val="20"/>
                <w:szCs w:val="20"/>
              </w:rPr>
            </w:pPr>
          </w:p>
        </w:tc>
        <w:tc>
          <w:tcPr>
            <w:tcW w:w="1245" w:type="dxa"/>
          </w:tcPr>
          <w:p w14:paraId="7EA66594" w14:textId="0FFE07D1" w:rsidR="00E64B1A" w:rsidRPr="003061F1" w:rsidRDefault="00917CB7" w:rsidP="00E64B1A">
            <w:pPr>
              <w:jc w:val="right"/>
              <w:rPr>
                <w:sz w:val="20"/>
                <w:szCs w:val="20"/>
              </w:rPr>
            </w:pPr>
            <w:r>
              <w:rPr>
                <w:sz w:val="20"/>
                <w:szCs w:val="20"/>
              </w:rPr>
              <w:t>9,828</w:t>
            </w:r>
          </w:p>
        </w:tc>
      </w:tr>
      <w:tr w:rsidR="00E64B1A" w:rsidRPr="00676064" w14:paraId="349CAC7D" w14:textId="77777777" w:rsidTr="000C2A54">
        <w:trPr>
          <w:jc w:val="center"/>
        </w:trPr>
        <w:tc>
          <w:tcPr>
            <w:tcW w:w="5911" w:type="dxa"/>
          </w:tcPr>
          <w:p w14:paraId="52CC8E0D"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Investigations</w:t>
            </w:r>
            <w:r w:rsidR="001C734F">
              <w:rPr>
                <w:rFonts w:cs="Arial"/>
                <w:sz w:val="20"/>
                <w:szCs w:val="20"/>
              </w:rPr>
              <w:t xml:space="preserve"> &amp; Research</w:t>
            </w:r>
          </w:p>
        </w:tc>
        <w:tc>
          <w:tcPr>
            <w:tcW w:w="1440" w:type="dxa"/>
          </w:tcPr>
          <w:p w14:paraId="0C7269FC" w14:textId="726C7E27" w:rsidR="00E64B1A" w:rsidRPr="003061F1" w:rsidRDefault="00FE10BB" w:rsidP="002B369A">
            <w:pPr>
              <w:jc w:val="right"/>
              <w:rPr>
                <w:sz w:val="20"/>
                <w:szCs w:val="20"/>
              </w:rPr>
            </w:pPr>
            <w:r>
              <w:rPr>
                <w:sz w:val="20"/>
                <w:szCs w:val="20"/>
              </w:rPr>
              <w:t>55,662</w:t>
            </w:r>
          </w:p>
        </w:tc>
        <w:tc>
          <w:tcPr>
            <w:tcW w:w="417" w:type="dxa"/>
          </w:tcPr>
          <w:p w14:paraId="1C58932F" w14:textId="77777777" w:rsidR="00E64B1A" w:rsidRPr="003061F1" w:rsidRDefault="00E64B1A" w:rsidP="00E64B1A">
            <w:pPr>
              <w:jc w:val="right"/>
              <w:rPr>
                <w:sz w:val="20"/>
                <w:szCs w:val="20"/>
              </w:rPr>
            </w:pPr>
          </w:p>
        </w:tc>
        <w:tc>
          <w:tcPr>
            <w:tcW w:w="1245" w:type="dxa"/>
          </w:tcPr>
          <w:p w14:paraId="0D13331E" w14:textId="1F032BF2" w:rsidR="00E64B1A" w:rsidRPr="003061F1" w:rsidRDefault="00917CB7" w:rsidP="00E64B1A">
            <w:pPr>
              <w:jc w:val="right"/>
              <w:rPr>
                <w:sz w:val="20"/>
                <w:szCs w:val="20"/>
              </w:rPr>
            </w:pPr>
            <w:r>
              <w:rPr>
                <w:sz w:val="20"/>
                <w:szCs w:val="20"/>
              </w:rPr>
              <w:t>77,483</w:t>
            </w:r>
          </w:p>
        </w:tc>
      </w:tr>
      <w:tr w:rsidR="00E64B1A" w:rsidRPr="00676064" w14:paraId="536A68BB" w14:textId="77777777" w:rsidTr="000C2A54">
        <w:trPr>
          <w:jc w:val="center"/>
        </w:trPr>
        <w:tc>
          <w:tcPr>
            <w:tcW w:w="5911" w:type="dxa"/>
          </w:tcPr>
          <w:p w14:paraId="7991FFCA"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IT</w:t>
            </w:r>
          </w:p>
        </w:tc>
        <w:tc>
          <w:tcPr>
            <w:tcW w:w="1440" w:type="dxa"/>
          </w:tcPr>
          <w:p w14:paraId="710ED40D" w14:textId="04A701EC" w:rsidR="00E64B1A" w:rsidRPr="003061F1" w:rsidRDefault="00FE10BB" w:rsidP="002B369A">
            <w:pPr>
              <w:jc w:val="right"/>
              <w:rPr>
                <w:sz w:val="20"/>
                <w:szCs w:val="20"/>
              </w:rPr>
            </w:pPr>
            <w:r>
              <w:rPr>
                <w:sz w:val="20"/>
                <w:szCs w:val="20"/>
              </w:rPr>
              <w:t>57,652</w:t>
            </w:r>
          </w:p>
        </w:tc>
        <w:tc>
          <w:tcPr>
            <w:tcW w:w="417" w:type="dxa"/>
          </w:tcPr>
          <w:p w14:paraId="60E9F7AC" w14:textId="77777777" w:rsidR="00E64B1A" w:rsidRPr="003061F1" w:rsidRDefault="00E64B1A" w:rsidP="00E64B1A">
            <w:pPr>
              <w:jc w:val="right"/>
              <w:rPr>
                <w:sz w:val="20"/>
                <w:szCs w:val="20"/>
              </w:rPr>
            </w:pPr>
          </w:p>
        </w:tc>
        <w:tc>
          <w:tcPr>
            <w:tcW w:w="1245" w:type="dxa"/>
          </w:tcPr>
          <w:p w14:paraId="0ACF728E" w14:textId="42A03F09" w:rsidR="00E64B1A" w:rsidRPr="003061F1" w:rsidRDefault="00917CB7" w:rsidP="00E64B1A">
            <w:pPr>
              <w:jc w:val="right"/>
              <w:rPr>
                <w:sz w:val="20"/>
                <w:szCs w:val="20"/>
              </w:rPr>
            </w:pPr>
            <w:r>
              <w:rPr>
                <w:sz w:val="20"/>
                <w:szCs w:val="20"/>
              </w:rPr>
              <w:t>51,513</w:t>
            </w:r>
          </w:p>
        </w:tc>
      </w:tr>
      <w:tr w:rsidR="00E64B1A" w:rsidRPr="00676064" w14:paraId="5586133B" w14:textId="77777777" w:rsidTr="000C2A54">
        <w:trPr>
          <w:jc w:val="center"/>
        </w:trPr>
        <w:tc>
          <w:tcPr>
            <w:tcW w:w="5911" w:type="dxa"/>
          </w:tcPr>
          <w:p w14:paraId="3440C226" w14:textId="77777777" w:rsidR="00E64B1A" w:rsidRPr="003061F1" w:rsidRDefault="00E64B1A" w:rsidP="00E64B1A">
            <w:pPr>
              <w:rPr>
                <w:sz w:val="20"/>
                <w:szCs w:val="20"/>
              </w:rPr>
            </w:pPr>
            <w:r w:rsidRPr="003061F1">
              <w:rPr>
                <w:rFonts w:cs="Arial"/>
                <w:sz w:val="20"/>
                <w:szCs w:val="20"/>
              </w:rPr>
              <w:t>Legal casework (non–recoverable)</w:t>
            </w:r>
          </w:p>
        </w:tc>
        <w:tc>
          <w:tcPr>
            <w:tcW w:w="1440" w:type="dxa"/>
          </w:tcPr>
          <w:p w14:paraId="3364FB14" w14:textId="0FCEE9A4" w:rsidR="00E64B1A" w:rsidRPr="003061F1" w:rsidRDefault="00FE10BB" w:rsidP="002B369A">
            <w:pPr>
              <w:jc w:val="right"/>
              <w:rPr>
                <w:sz w:val="20"/>
                <w:szCs w:val="20"/>
              </w:rPr>
            </w:pPr>
            <w:r>
              <w:rPr>
                <w:sz w:val="20"/>
                <w:szCs w:val="20"/>
              </w:rPr>
              <w:t>177,008</w:t>
            </w:r>
          </w:p>
        </w:tc>
        <w:tc>
          <w:tcPr>
            <w:tcW w:w="417" w:type="dxa"/>
          </w:tcPr>
          <w:p w14:paraId="44010ED9" w14:textId="77777777" w:rsidR="00E64B1A" w:rsidRPr="003061F1" w:rsidRDefault="00E64B1A" w:rsidP="00E64B1A">
            <w:pPr>
              <w:jc w:val="right"/>
              <w:rPr>
                <w:sz w:val="20"/>
                <w:szCs w:val="20"/>
              </w:rPr>
            </w:pPr>
          </w:p>
        </w:tc>
        <w:tc>
          <w:tcPr>
            <w:tcW w:w="1245" w:type="dxa"/>
          </w:tcPr>
          <w:p w14:paraId="77A379D7" w14:textId="411CDC59" w:rsidR="00E64B1A" w:rsidRPr="003061F1" w:rsidRDefault="00917CB7" w:rsidP="00E64B1A">
            <w:pPr>
              <w:jc w:val="right"/>
              <w:rPr>
                <w:sz w:val="20"/>
                <w:szCs w:val="20"/>
              </w:rPr>
            </w:pPr>
            <w:r>
              <w:rPr>
                <w:sz w:val="20"/>
                <w:szCs w:val="20"/>
              </w:rPr>
              <w:t>86,412</w:t>
            </w:r>
          </w:p>
        </w:tc>
      </w:tr>
      <w:tr w:rsidR="00E64B1A" w:rsidRPr="00676064" w14:paraId="0A2CAEF1" w14:textId="77777777" w:rsidTr="000C2A54">
        <w:trPr>
          <w:jc w:val="center"/>
        </w:trPr>
        <w:tc>
          <w:tcPr>
            <w:tcW w:w="5911" w:type="dxa"/>
          </w:tcPr>
          <w:p w14:paraId="139CAE74" w14:textId="77777777" w:rsidR="00E64B1A" w:rsidRPr="003061F1" w:rsidRDefault="00E64B1A" w:rsidP="00E64B1A">
            <w:pPr>
              <w:rPr>
                <w:sz w:val="20"/>
                <w:szCs w:val="20"/>
              </w:rPr>
            </w:pPr>
            <w:r w:rsidRPr="003061F1">
              <w:rPr>
                <w:rFonts w:cs="Arial"/>
                <w:sz w:val="20"/>
                <w:szCs w:val="20"/>
              </w:rPr>
              <w:t>Light and heat</w:t>
            </w:r>
          </w:p>
        </w:tc>
        <w:tc>
          <w:tcPr>
            <w:tcW w:w="1440" w:type="dxa"/>
          </w:tcPr>
          <w:p w14:paraId="7CDD60D1" w14:textId="48E3BDB4" w:rsidR="00E64B1A" w:rsidRPr="003061F1" w:rsidRDefault="00FE10BB" w:rsidP="002B369A">
            <w:pPr>
              <w:jc w:val="right"/>
              <w:rPr>
                <w:sz w:val="20"/>
                <w:szCs w:val="20"/>
              </w:rPr>
            </w:pPr>
            <w:r>
              <w:rPr>
                <w:sz w:val="20"/>
                <w:szCs w:val="20"/>
              </w:rPr>
              <w:t>24,092</w:t>
            </w:r>
          </w:p>
        </w:tc>
        <w:tc>
          <w:tcPr>
            <w:tcW w:w="417" w:type="dxa"/>
          </w:tcPr>
          <w:p w14:paraId="53D83978" w14:textId="77777777" w:rsidR="00E64B1A" w:rsidRPr="003061F1" w:rsidRDefault="00E64B1A" w:rsidP="00E64B1A">
            <w:pPr>
              <w:jc w:val="right"/>
              <w:rPr>
                <w:sz w:val="20"/>
                <w:szCs w:val="20"/>
              </w:rPr>
            </w:pPr>
          </w:p>
        </w:tc>
        <w:tc>
          <w:tcPr>
            <w:tcW w:w="1245" w:type="dxa"/>
          </w:tcPr>
          <w:p w14:paraId="2921A110" w14:textId="13F922D3" w:rsidR="00E64B1A" w:rsidRPr="003061F1" w:rsidRDefault="00917CB7" w:rsidP="00E64B1A">
            <w:pPr>
              <w:jc w:val="right"/>
              <w:rPr>
                <w:sz w:val="20"/>
                <w:szCs w:val="20"/>
              </w:rPr>
            </w:pPr>
            <w:r>
              <w:rPr>
                <w:sz w:val="20"/>
                <w:szCs w:val="20"/>
              </w:rPr>
              <w:t>15,055</w:t>
            </w:r>
          </w:p>
        </w:tc>
      </w:tr>
      <w:tr w:rsidR="00F96687" w:rsidRPr="00676064" w14:paraId="5DED5E06" w14:textId="77777777" w:rsidTr="000C2A54">
        <w:trPr>
          <w:jc w:val="center"/>
        </w:trPr>
        <w:tc>
          <w:tcPr>
            <w:tcW w:w="5911" w:type="dxa"/>
          </w:tcPr>
          <w:p w14:paraId="6AEAB126" w14:textId="73549332" w:rsidR="00F96687" w:rsidRPr="003061F1" w:rsidRDefault="00F96687" w:rsidP="00E64B1A">
            <w:pPr>
              <w:rPr>
                <w:rFonts w:cs="Arial"/>
                <w:sz w:val="20"/>
                <w:szCs w:val="20"/>
              </w:rPr>
            </w:pPr>
            <w:r>
              <w:rPr>
                <w:rFonts w:cs="Arial"/>
                <w:sz w:val="20"/>
                <w:szCs w:val="20"/>
              </w:rPr>
              <w:t>Non-recoverable VAT expense</w:t>
            </w:r>
          </w:p>
        </w:tc>
        <w:tc>
          <w:tcPr>
            <w:tcW w:w="1440" w:type="dxa"/>
          </w:tcPr>
          <w:p w14:paraId="489AF81D" w14:textId="01BA4CF6" w:rsidR="00F96687" w:rsidRDefault="00F96687" w:rsidP="002B369A">
            <w:pPr>
              <w:jc w:val="right"/>
              <w:rPr>
                <w:sz w:val="20"/>
                <w:szCs w:val="20"/>
              </w:rPr>
            </w:pPr>
            <w:r>
              <w:rPr>
                <w:sz w:val="20"/>
                <w:szCs w:val="20"/>
              </w:rPr>
              <w:t>15,754</w:t>
            </w:r>
          </w:p>
        </w:tc>
        <w:tc>
          <w:tcPr>
            <w:tcW w:w="417" w:type="dxa"/>
          </w:tcPr>
          <w:p w14:paraId="7C2D4D5E" w14:textId="77777777" w:rsidR="00F96687" w:rsidRPr="003061F1" w:rsidRDefault="00F96687" w:rsidP="00E64B1A">
            <w:pPr>
              <w:jc w:val="right"/>
              <w:rPr>
                <w:sz w:val="20"/>
                <w:szCs w:val="20"/>
              </w:rPr>
            </w:pPr>
          </w:p>
        </w:tc>
        <w:tc>
          <w:tcPr>
            <w:tcW w:w="1245" w:type="dxa"/>
          </w:tcPr>
          <w:p w14:paraId="70FE115F" w14:textId="63273D53" w:rsidR="00F96687" w:rsidRDefault="00F96687" w:rsidP="00E64B1A">
            <w:pPr>
              <w:jc w:val="right"/>
              <w:rPr>
                <w:sz w:val="20"/>
                <w:szCs w:val="20"/>
              </w:rPr>
            </w:pPr>
            <w:r>
              <w:rPr>
                <w:sz w:val="20"/>
                <w:szCs w:val="20"/>
              </w:rPr>
              <w:t>0</w:t>
            </w:r>
          </w:p>
        </w:tc>
      </w:tr>
      <w:tr w:rsidR="00E64B1A" w:rsidRPr="00676064" w14:paraId="5F463FA9" w14:textId="77777777" w:rsidTr="000C2A54">
        <w:trPr>
          <w:jc w:val="center"/>
        </w:trPr>
        <w:tc>
          <w:tcPr>
            <w:tcW w:w="5911" w:type="dxa"/>
          </w:tcPr>
          <w:p w14:paraId="6F401C01"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Other expenses</w:t>
            </w:r>
          </w:p>
        </w:tc>
        <w:tc>
          <w:tcPr>
            <w:tcW w:w="1440" w:type="dxa"/>
          </w:tcPr>
          <w:p w14:paraId="097F4502" w14:textId="3BFA3AC5" w:rsidR="00E64B1A" w:rsidRPr="003061F1" w:rsidRDefault="00FE10BB" w:rsidP="002B369A">
            <w:pPr>
              <w:jc w:val="right"/>
              <w:rPr>
                <w:sz w:val="20"/>
                <w:szCs w:val="20"/>
              </w:rPr>
            </w:pPr>
            <w:r>
              <w:rPr>
                <w:sz w:val="20"/>
                <w:szCs w:val="20"/>
              </w:rPr>
              <w:t>408</w:t>
            </w:r>
          </w:p>
        </w:tc>
        <w:tc>
          <w:tcPr>
            <w:tcW w:w="417" w:type="dxa"/>
          </w:tcPr>
          <w:p w14:paraId="72870DE7" w14:textId="77777777" w:rsidR="00E64B1A" w:rsidRPr="003061F1" w:rsidRDefault="00E64B1A" w:rsidP="00E64B1A">
            <w:pPr>
              <w:jc w:val="right"/>
              <w:rPr>
                <w:sz w:val="20"/>
                <w:szCs w:val="20"/>
              </w:rPr>
            </w:pPr>
          </w:p>
        </w:tc>
        <w:tc>
          <w:tcPr>
            <w:tcW w:w="1245" w:type="dxa"/>
          </w:tcPr>
          <w:p w14:paraId="422D4F41" w14:textId="462DE4E7" w:rsidR="00E64B1A" w:rsidRPr="003061F1" w:rsidRDefault="00917CB7" w:rsidP="00E64B1A">
            <w:pPr>
              <w:jc w:val="right"/>
              <w:rPr>
                <w:sz w:val="20"/>
                <w:szCs w:val="20"/>
              </w:rPr>
            </w:pPr>
            <w:r>
              <w:rPr>
                <w:sz w:val="20"/>
                <w:szCs w:val="20"/>
              </w:rPr>
              <w:t>556</w:t>
            </w:r>
          </w:p>
        </w:tc>
      </w:tr>
      <w:tr w:rsidR="00E64B1A" w:rsidRPr="00676064" w14:paraId="056E6FDF" w14:textId="77777777" w:rsidTr="000C2A54">
        <w:trPr>
          <w:jc w:val="center"/>
        </w:trPr>
        <w:tc>
          <w:tcPr>
            <w:tcW w:w="5911" w:type="dxa"/>
          </w:tcPr>
          <w:p w14:paraId="25052870"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Printing, postage and stationery</w:t>
            </w:r>
          </w:p>
        </w:tc>
        <w:tc>
          <w:tcPr>
            <w:tcW w:w="1440" w:type="dxa"/>
          </w:tcPr>
          <w:p w14:paraId="51ED15B2" w14:textId="1BA15E20" w:rsidR="00E64B1A" w:rsidRPr="003061F1" w:rsidRDefault="00FE10BB" w:rsidP="002B369A">
            <w:pPr>
              <w:jc w:val="right"/>
              <w:rPr>
                <w:sz w:val="20"/>
                <w:szCs w:val="20"/>
              </w:rPr>
            </w:pPr>
            <w:r>
              <w:rPr>
                <w:sz w:val="20"/>
                <w:szCs w:val="20"/>
              </w:rPr>
              <w:t>6,</w:t>
            </w:r>
            <w:r w:rsidR="00F96687">
              <w:rPr>
                <w:sz w:val="20"/>
                <w:szCs w:val="20"/>
              </w:rPr>
              <w:t>957</w:t>
            </w:r>
          </w:p>
        </w:tc>
        <w:tc>
          <w:tcPr>
            <w:tcW w:w="417" w:type="dxa"/>
          </w:tcPr>
          <w:p w14:paraId="0F6632AC" w14:textId="77777777" w:rsidR="00E64B1A" w:rsidRPr="003061F1" w:rsidRDefault="00E64B1A" w:rsidP="00E64B1A">
            <w:pPr>
              <w:jc w:val="right"/>
              <w:rPr>
                <w:sz w:val="20"/>
                <w:szCs w:val="20"/>
              </w:rPr>
            </w:pPr>
          </w:p>
        </w:tc>
        <w:tc>
          <w:tcPr>
            <w:tcW w:w="1245" w:type="dxa"/>
          </w:tcPr>
          <w:p w14:paraId="5EB29E44" w14:textId="7E388721" w:rsidR="00E64B1A" w:rsidRPr="003061F1" w:rsidRDefault="00917CB7" w:rsidP="00E64B1A">
            <w:pPr>
              <w:jc w:val="right"/>
              <w:rPr>
                <w:sz w:val="20"/>
                <w:szCs w:val="20"/>
              </w:rPr>
            </w:pPr>
            <w:r>
              <w:rPr>
                <w:sz w:val="20"/>
                <w:szCs w:val="20"/>
              </w:rPr>
              <w:t>7,907</w:t>
            </w:r>
          </w:p>
        </w:tc>
      </w:tr>
      <w:tr w:rsidR="00E64B1A" w:rsidRPr="00676064" w14:paraId="3D24BF67" w14:textId="77777777" w:rsidTr="000C2A54">
        <w:trPr>
          <w:jc w:val="center"/>
        </w:trPr>
        <w:tc>
          <w:tcPr>
            <w:tcW w:w="5911" w:type="dxa"/>
          </w:tcPr>
          <w:p w14:paraId="78C67754" w14:textId="77777777" w:rsidR="00E64B1A" w:rsidRPr="003061F1" w:rsidRDefault="00E64B1A" w:rsidP="00E64B1A">
            <w:pPr>
              <w:rPr>
                <w:sz w:val="20"/>
                <w:szCs w:val="20"/>
              </w:rPr>
            </w:pPr>
            <w:r w:rsidRPr="003061F1">
              <w:rPr>
                <w:rFonts w:cs="Arial"/>
                <w:sz w:val="20"/>
                <w:szCs w:val="20"/>
              </w:rPr>
              <w:t>Professional fees</w:t>
            </w:r>
          </w:p>
        </w:tc>
        <w:tc>
          <w:tcPr>
            <w:tcW w:w="1440" w:type="dxa"/>
          </w:tcPr>
          <w:p w14:paraId="70DCCFFE" w14:textId="5C95B8EE" w:rsidR="00E64B1A" w:rsidRPr="003061F1" w:rsidRDefault="00FE10BB" w:rsidP="002B369A">
            <w:pPr>
              <w:jc w:val="right"/>
              <w:rPr>
                <w:sz w:val="20"/>
                <w:szCs w:val="20"/>
              </w:rPr>
            </w:pPr>
            <w:r>
              <w:rPr>
                <w:sz w:val="20"/>
                <w:szCs w:val="20"/>
              </w:rPr>
              <w:t>46,877</w:t>
            </w:r>
          </w:p>
        </w:tc>
        <w:tc>
          <w:tcPr>
            <w:tcW w:w="417" w:type="dxa"/>
          </w:tcPr>
          <w:p w14:paraId="6224347D" w14:textId="77777777" w:rsidR="00E64B1A" w:rsidRPr="003061F1" w:rsidRDefault="00E64B1A" w:rsidP="00E64B1A">
            <w:pPr>
              <w:jc w:val="right"/>
              <w:rPr>
                <w:sz w:val="20"/>
                <w:szCs w:val="20"/>
              </w:rPr>
            </w:pPr>
          </w:p>
        </w:tc>
        <w:tc>
          <w:tcPr>
            <w:tcW w:w="1245" w:type="dxa"/>
          </w:tcPr>
          <w:p w14:paraId="21FE8AEF" w14:textId="1A18534C" w:rsidR="00E64B1A" w:rsidRPr="003061F1" w:rsidRDefault="00917CB7" w:rsidP="00E64B1A">
            <w:pPr>
              <w:jc w:val="right"/>
              <w:rPr>
                <w:sz w:val="20"/>
                <w:szCs w:val="20"/>
              </w:rPr>
            </w:pPr>
            <w:r>
              <w:rPr>
                <w:sz w:val="20"/>
                <w:szCs w:val="20"/>
              </w:rPr>
              <w:t>55,286</w:t>
            </w:r>
          </w:p>
        </w:tc>
      </w:tr>
      <w:tr w:rsidR="00E64B1A" w:rsidRPr="00676064" w14:paraId="359203F3" w14:textId="77777777" w:rsidTr="000C2A54">
        <w:trPr>
          <w:jc w:val="center"/>
        </w:trPr>
        <w:tc>
          <w:tcPr>
            <w:tcW w:w="5911" w:type="dxa"/>
          </w:tcPr>
          <w:p w14:paraId="45CF9E52" w14:textId="46D2B0AE"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Rates</w:t>
            </w:r>
            <w:r w:rsidRPr="003061F1">
              <w:rPr>
                <w:rFonts w:cs="Arial"/>
                <w:sz w:val="20"/>
                <w:szCs w:val="20"/>
              </w:rPr>
              <w:tab/>
            </w:r>
          </w:p>
        </w:tc>
        <w:tc>
          <w:tcPr>
            <w:tcW w:w="1440" w:type="dxa"/>
          </w:tcPr>
          <w:p w14:paraId="48F989B4" w14:textId="6C154946" w:rsidR="00E64B1A" w:rsidRPr="003061F1" w:rsidRDefault="00FE10BB" w:rsidP="002B369A">
            <w:pPr>
              <w:jc w:val="right"/>
              <w:rPr>
                <w:sz w:val="20"/>
                <w:szCs w:val="20"/>
              </w:rPr>
            </w:pPr>
            <w:r>
              <w:rPr>
                <w:sz w:val="20"/>
                <w:szCs w:val="20"/>
              </w:rPr>
              <w:t>22,817</w:t>
            </w:r>
          </w:p>
        </w:tc>
        <w:tc>
          <w:tcPr>
            <w:tcW w:w="417" w:type="dxa"/>
          </w:tcPr>
          <w:p w14:paraId="28249708" w14:textId="77777777" w:rsidR="00E64B1A" w:rsidRPr="003061F1" w:rsidRDefault="00E64B1A" w:rsidP="00E64B1A">
            <w:pPr>
              <w:jc w:val="right"/>
              <w:rPr>
                <w:sz w:val="20"/>
                <w:szCs w:val="20"/>
              </w:rPr>
            </w:pPr>
          </w:p>
        </w:tc>
        <w:tc>
          <w:tcPr>
            <w:tcW w:w="1245" w:type="dxa"/>
          </w:tcPr>
          <w:p w14:paraId="1EC2E32D" w14:textId="74B6E942" w:rsidR="00E64B1A" w:rsidRPr="003061F1" w:rsidRDefault="00917CB7" w:rsidP="00E64B1A">
            <w:pPr>
              <w:jc w:val="right"/>
              <w:rPr>
                <w:sz w:val="20"/>
                <w:szCs w:val="20"/>
              </w:rPr>
            </w:pPr>
            <w:r>
              <w:rPr>
                <w:sz w:val="20"/>
                <w:szCs w:val="20"/>
              </w:rPr>
              <w:t>1,595</w:t>
            </w:r>
          </w:p>
        </w:tc>
      </w:tr>
      <w:tr w:rsidR="00E64B1A" w:rsidRPr="00676064" w14:paraId="2CF82BF0" w14:textId="77777777" w:rsidTr="000C2A54">
        <w:trPr>
          <w:jc w:val="center"/>
        </w:trPr>
        <w:tc>
          <w:tcPr>
            <w:tcW w:w="5911" w:type="dxa"/>
          </w:tcPr>
          <w:p w14:paraId="3DAE4982"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Rentals under operating leases</w:t>
            </w:r>
          </w:p>
          <w:p w14:paraId="6246DDF6"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Rental for car park</w:t>
            </w:r>
          </w:p>
        </w:tc>
        <w:tc>
          <w:tcPr>
            <w:tcW w:w="1440" w:type="dxa"/>
          </w:tcPr>
          <w:p w14:paraId="53BE091F" w14:textId="098D0CFC" w:rsidR="00DD02ED" w:rsidRDefault="00243E7B" w:rsidP="002B369A">
            <w:pPr>
              <w:jc w:val="right"/>
              <w:rPr>
                <w:sz w:val="20"/>
                <w:szCs w:val="20"/>
              </w:rPr>
            </w:pPr>
            <w:r>
              <w:rPr>
                <w:sz w:val="20"/>
                <w:szCs w:val="20"/>
              </w:rPr>
              <w:t xml:space="preserve">  </w:t>
            </w:r>
            <w:r w:rsidR="009402EF">
              <w:rPr>
                <w:sz w:val="20"/>
                <w:szCs w:val="20"/>
              </w:rPr>
              <w:t xml:space="preserve">  </w:t>
            </w:r>
            <w:r w:rsidR="00F96687">
              <w:rPr>
                <w:sz w:val="20"/>
                <w:szCs w:val="20"/>
              </w:rPr>
              <w:t>0</w:t>
            </w:r>
          </w:p>
          <w:p w14:paraId="3C70D389" w14:textId="6BDD9950" w:rsidR="00BD77E6" w:rsidRPr="003061F1" w:rsidRDefault="00243E7B" w:rsidP="002B369A">
            <w:pPr>
              <w:jc w:val="right"/>
              <w:rPr>
                <w:sz w:val="20"/>
                <w:szCs w:val="20"/>
              </w:rPr>
            </w:pPr>
            <w:r>
              <w:rPr>
                <w:sz w:val="20"/>
                <w:szCs w:val="20"/>
              </w:rPr>
              <w:t xml:space="preserve">      </w:t>
            </w:r>
            <w:r w:rsidR="008328EC">
              <w:rPr>
                <w:sz w:val="20"/>
                <w:szCs w:val="20"/>
              </w:rPr>
              <w:t xml:space="preserve"> </w:t>
            </w:r>
            <w:r w:rsidR="00FE10BB">
              <w:rPr>
                <w:sz w:val="20"/>
                <w:szCs w:val="20"/>
              </w:rPr>
              <w:t>0</w:t>
            </w:r>
          </w:p>
        </w:tc>
        <w:tc>
          <w:tcPr>
            <w:tcW w:w="417" w:type="dxa"/>
          </w:tcPr>
          <w:p w14:paraId="4F70107A" w14:textId="77777777" w:rsidR="00E64B1A" w:rsidRPr="003061F1" w:rsidRDefault="00E64B1A" w:rsidP="00E64B1A">
            <w:pPr>
              <w:jc w:val="right"/>
              <w:rPr>
                <w:sz w:val="20"/>
                <w:szCs w:val="20"/>
              </w:rPr>
            </w:pPr>
          </w:p>
        </w:tc>
        <w:tc>
          <w:tcPr>
            <w:tcW w:w="1245" w:type="dxa"/>
          </w:tcPr>
          <w:p w14:paraId="1934ECC4" w14:textId="118C3009" w:rsidR="00E64B1A" w:rsidRPr="003061F1" w:rsidRDefault="00917CB7" w:rsidP="00E64B1A">
            <w:pPr>
              <w:jc w:val="right"/>
              <w:rPr>
                <w:sz w:val="20"/>
                <w:szCs w:val="20"/>
              </w:rPr>
            </w:pPr>
            <w:r>
              <w:rPr>
                <w:sz w:val="20"/>
                <w:szCs w:val="20"/>
              </w:rPr>
              <w:t>94,522</w:t>
            </w:r>
          </w:p>
          <w:p w14:paraId="1E6BE9E1" w14:textId="0EAE3FC6" w:rsidR="00E64B1A" w:rsidRPr="003061F1" w:rsidRDefault="00917CB7" w:rsidP="00E64B1A">
            <w:pPr>
              <w:jc w:val="right"/>
              <w:rPr>
                <w:sz w:val="20"/>
                <w:szCs w:val="20"/>
              </w:rPr>
            </w:pPr>
            <w:r>
              <w:rPr>
                <w:sz w:val="20"/>
                <w:szCs w:val="20"/>
              </w:rPr>
              <w:t>4,763</w:t>
            </w:r>
          </w:p>
        </w:tc>
      </w:tr>
      <w:tr w:rsidR="00E64B1A" w:rsidRPr="00676064" w14:paraId="4B1A0F4E" w14:textId="77777777" w:rsidTr="000C2A54">
        <w:trPr>
          <w:jc w:val="center"/>
        </w:trPr>
        <w:tc>
          <w:tcPr>
            <w:tcW w:w="5911" w:type="dxa"/>
          </w:tcPr>
          <w:p w14:paraId="47BA6FCD" w14:textId="77777777" w:rsidR="00E64B1A" w:rsidRPr="003061F1" w:rsidRDefault="00E64B1A" w:rsidP="00E64B1A">
            <w:pPr>
              <w:rPr>
                <w:sz w:val="20"/>
                <w:szCs w:val="20"/>
              </w:rPr>
            </w:pPr>
            <w:r w:rsidRPr="003061F1">
              <w:rPr>
                <w:rFonts w:cs="Arial"/>
                <w:sz w:val="20"/>
                <w:szCs w:val="20"/>
              </w:rPr>
              <w:t>Staff training and recruitment</w:t>
            </w:r>
          </w:p>
        </w:tc>
        <w:tc>
          <w:tcPr>
            <w:tcW w:w="1440" w:type="dxa"/>
          </w:tcPr>
          <w:p w14:paraId="565FEE9A" w14:textId="3D246B4D" w:rsidR="00E64B1A" w:rsidRPr="003061F1" w:rsidRDefault="00FE10BB" w:rsidP="002B369A">
            <w:pPr>
              <w:jc w:val="right"/>
              <w:rPr>
                <w:sz w:val="20"/>
                <w:szCs w:val="20"/>
              </w:rPr>
            </w:pPr>
            <w:r>
              <w:rPr>
                <w:sz w:val="20"/>
                <w:szCs w:val="20"/>
              </w:rPr>
              <w:t>35,756</w:t>
            </w:r>
          </w:p>
        </w:tc>
        <w:tc>
          <w:tcPr>
            <w:tcW w:w="417" w:type="dxa"/>
          </w:tcPr>
          <w:p w14:paraId="39516FB3" w14:textId="77777777" w:rsidR="00E64B1A" w:rsidRPr="003061F1" w:rsidRDefault="00E64B1A" w:rsidP="00E64B1A">
            <w:pPr>
              <w:jc w:val="right"/>
              <w:rPr>
                <w:sz w:val="20"/>
                <w:szCs w:val="20"/>
              </w:rPr>
            </w:pPr>
          </w:p>
        </w:tc>
        <w:tc>
          <w:tcPr>
            <w:tcW w:w="1245" w:type="dxa"/>
          </w:tcPr>
          <w:p w14:paraId="0436F322" w14:textId="1EDC949C" w:rsidR="00E64B1A" w:rsidRPr="003061F1" w:rsidRDefault="00917CB7" w:rsidP="00E64B1A">
            <w:pPr>
              <w:jc w:val="right"/>
              <w:rPr>
                <w:sz w:val="20"/>
                <w:szCs w:val="20"/>
              </w:rPr>
            </w:pPr>
            <w:r>
              <w:rPr>
                <w:sz w:val="20"/>
                <w:szCs w:val="20"/>
              </w:rPr>
              <w:t>33,145</w:t>
            </w:r>
          </w:p>
        </w:tc>
      </w:tr>
      <w:tr w:rsidR="00E64B1A" w:rsidRPr="00676064" w14:paraId="5FA7AA89" w14:textId="77777777" w:rsidTr="000C2A54">
        <w:trPr>
          <w:jc w:val="center"/>
        </w:trPr>
        <w:tc>
          <w:tcPr>
            <w:tcW w:w="5911" w:type="dxa"/>
          </w:tcPr>
          <w:p w14:paraId="41CA06C4"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Telephone</w:t>
            </w:r>
          </w:p>
        </w:tc>
        <w:tc>
          <w:tcPr>
            <w:tcW w:w="1440" w:type="dxa"/>
          </w:tcPr>
          <w:p w14:paraId="7E726876" w14:textId="4B2B2371" w:rsidR="00E64B1A" w:rsidRPr="003061F1" w:rsidRDefault="002B369A" w:rsidP="002B369A">
            <w:pPr>
              <w:jc w:val="right"/>
              <w:rPr>
                <w:sz w:val="20"/>
                <w:szCs w:val="20"/>
              </w:rPr>
            </w:pPr>
            <w:r>
              <w:rPr>
                <w:sz w:val="20"/>
                <w:szCs w:val="20"/>
              </w:rPr>
              <w:t>1</w:t>
            </w:r>
            <w:r w:rsidR="00FE10BB">
              <w:rPr>
                <w:sz w:val="20"/>
                <w:szCs w:val="20"/>
              </w:rPr>
              <w:t>5,022</w:t>
            </w:r>
          </w:p>
        </w:tc>
        <w:tc>
          <w:tcPr>
            <w:tcW w:w="417" w:type="dxa"/>
          </w:tcPr>
          <w:p w14:paraId="061E8037" w14:textId="77777777" w:rsidR="00E64B1A" w:rsidRPr="003061F1" w:rsidRDefault="00E64B1A" w:rsidP="00E64B1A">
            <w:pPr>
              <w:jc w:val="right"/>
              <w:rPr>
                <w:sz w:val="20"/>
                <w:szCs w:val="20"/>
              </w:rPr>
            </w:pPr>
          </w:p>
        </w:tc>
        <w:tc>
          <w:tcPr>
            <w:tcW w:w="1245" w:type="dxa"/>
          </w:tcPr>
          <w:p w14:paraId="5B296F82" w14:textId="799EEC13" w:rsidR="00E64B1A" w:rsidRPr="003061F1" w:rsidRDefault="00917CB7" w:rsidP="00E64B1A">
            <w:pPr>
              <w:jc w:val="right"/>
              <w:rPr>
                <w:sz w:val="20"/>
                <w:szCs w:val="20"/>
              </w:rPr>
            </w:pPr>
            <w:r>
              <w:rPr>
                <w:sz w:val="20"/>
                <w:szCs w:val="20"/>
              </w:rPr>
              <w:t>17,439</w:t>
            </w:r>
          </w:p>
        </w:tc>
      </w:tr>
      <w:tr w:rsidR="00E64B1A" w:rsidRPr="00676064" w14:paraId="6CBBA8A7" w14:textId="77777777" w:rsidTr="000C2A54">
        <w:trPr>
          <w:jc w:val="center"/>
        </w:trPr>
        <w:tc>
          <w:tcPr>
            <w:tcW w:w="5911" w:type="dxa"/>
          </w:tcPr>
          <w:p w14:paraId="3E464195" w14:textId="77777777" w:rsidR="00E64B1A" w:rsidRPr="003061F1" w:rsidRDefault="00E64B1A" w:rsidP="00E64B1A">
            <w:pPr>
              <w:rPr>
                <w:sz w:val="20"/>
                <w:szCs w:val="20"/>
              </w:rPr>
            </w:pPr>
            <w:r w:rsidRPr="003061F1">
              <w:rPr>
                <w:rFonts w:cs="Arial"/>
                <w:sz w:val="20"/>
                <w:szCs w:val="20"/>
              </w:rPr>
              <w:t>Travel, subsistence and hospitality</w:t>
            </w:r>
          </w:p>
        </w:tc>
        <w:tc>
          <w:tcPr>
            <w:tcW w:w="1440" w:type="dxa"/>
          </w:tcPr>
          <w:p w14:paraId="284EB59D" w14:textId="7CE44591" w:rsidR="00E64B1A" w:rsidRPr="003061F1" w:rsidRDefault="00FE10BB" w:rsidP="002B369A">
            <w:pPr>
              <w:jc w:val="right"/>
              <w:rPr>
                <w:sz w:val="20"/>
                <w:szCs w:val="20"/>
              </w:rPr>
            </w:pPr>
            <w:r>
              <w:rPr>
                <w:sz w:val="20"/>
                <w:szCs w:val="20"/>
              </w:rPr>
              <w:t>36,881</w:t>
            </w:r>
          </w:p>
        </w:tc>
        <w:tc>
          <w:tcPr>
            <w:tcW w:w="417" w:type="dxa"/>
          </w:tcPr>
          <w:p w14:paraId="6E9A229F" w14:textId="77777777" w:rsidR="00E64B1A" w:rsidRPr="003061F1" w:rsidRDefault="00E64B1A" w:rsidP="00E64B1A">
            <w:pPr>
              <w:jc w:val="right"/>
              <w:rPr>
                <w:sz w:val="20"/>
                <w:szCs w:val="20"/>
              </w:rPr>
            </w:pPr>
          </w:p>
        </w:tc>
        <w:tc>
          <w:tcPr>
            <w:tcW w:w="1245" w:type="dxa"/>
          </w:tcPr>
          <w:p w14:paraId="2A2F1EC1" w14:textId="3C7890AE" w:rsidR="00E64B1A" w:rsidRPr="003061F1" w:rsidRDefault="00917CB7" w:rsidP="00E64B1A">
            <w:pPr>
              <w:jc w:val="right"/>
              <w:rPr>
                <w:sz w:val="20"/>
                <w:szCs w:val="20"/>
              </w:rPr>
            </w:pPr>
            <w:r>
              <w:rPr>
                <w:sz w:val="20"/>
                <w:szCs w:val="20"/>
              </w:rPr>
              <w:t>14,171</w:t>
            </w:r>
          </w:p>
        </w:tc>
      </w:tr>
      <w:tr w:rsidR="00E64B1A" w:rsidRPr="00676064" w14:paraId="3084E04F" w14:textId="77777777" w:rsidTr="000C2A54">
        <w:trPr>
          <w:trHeight w:val="397"/>
          <w:jc w:val="center"/>
        </w:trPr>
        <w:tc>
          <w:tcPr>
            <w:tcW w:w="5911" w:type="dxa"/>
            <w:vAlign w:val="center"/>
          </w:tcPr>
          <w:p w14:paraId="76420700" w14:textId="77777777" w:rsidR="00E64B1A" w:rsidRPr="003061F1" w:rsidRDefault="00E64B1A" w:rsidP="00E64B1A">
            <w:pPr>
              <w:rPr>
                <w:rFonts w:cs="Arial"/>
                <w:sz w:val="20"/>
                <w:szCs w:val="20"/>
              </w:rPr>
            </w:pPr>
          </w:p>
        </w:tc>
        <w:tc>
          <w:tcPr>
            <w:tcW w:w="1440" w:type="dxa"/>
            <w:tcBorders>
              <w:top w:val="single" w:sz="4" w:space="0" w:color="auto"/>
            </w:tcBorders>
            <w:vAlign w:val="center"/>
          </w:tcPr>
          <w:p w14:paraId="5E138069" w14:textId="32E91C69" w:rsidR="00E64B1A" w:rsidRPr="003061F1" w:rsidRDefault="006321A7" w:rsidP="00E64B1A">
            <w:pPr>
              <w:jc w:val="right"/>
              <w:rPr>
                <w:rFonts w:cs="Arial"/>
                <w:sz w:val="20"/>
                <w:szCs w:val="20"/>
              </w:rPr>
            </w:pPr>
            <w:r>
              <w:rPr>
                <w:rFonts w:cs="Arial"/>
                <w:sz w:val="20"/>
                <w:szCs w:val="20"/>
              </w:rPr>
              <w:t>6</w:t>
            </w:r>
            <w:r w:rsidR="008D01FB">
              <w:rPr>
                <w:rFonts w:cs="Arial"/>
                <w:sz w:val="20"/>
                <w:szCs w:val="20"/>
              </w:rPr>
              <w:t>35,581</w:t>
            </w:r>
          </w:p>
        </w:tc>
        <w:tc>
          <w:tcPr>
            <w:tcW w:w="417" w:type="dxa"/>
            <w:vAlign w:val="center"/>
          </w:tcPr>
          <w:p w14:paraId="2D322E43" w14:textId="77777777" w:rsidR="00E64B1A" w:rsidRPr="003061F1" w:rsidRDefault="00E64B1A" w:rsidP="00E64B1A">
            <w:pPr>
              <w:jc w:val="right"/>
              <w:rPr>
                <w:sz w:val="20"/>
                <w:szCs w:val="20"/>
              </w:rPr>
            </w:pPr>
          </w:p>
        </w:tc>
        <w:tc>
          <w:tcPr>
            <w:tcW w:w="1245" w:type="dxa"/>
            <w:tcBorders>
              <w:top w:val="single" w:sz="4" w:space="0" w:color="auto"/>
            </w:tcBorders>
            <w:vAlign w:val="center"/>
          </w:tcPr>
          <w:p w14:paraId="79258C50" w14:textId="5CF3EDA3" w:rsidR="00E64B1A" w:rsidRPr="003061F1" w:rsidRDefault="00917CB7" w:rsidP="00E64B1A">
            <w:pPr>
              <w:jc w:val="right"/>
              <w:rPr>
                <w:rFonts w:cs="Arial"/>
                <w:sz w:val="20"/>
                <w:szCs w:val="20"/>
              </w:rPr>
            </w:pPr>
            <w:r>
              <w:rPr>
                <w:rFonts w:cs="Arial"/>
                <w:sz w:val="20"/>
                <w:szCs w:val="20"/>
              </w:rPr>
              <w:t>669,319</w:t>
            </w:r>
          </w:p>
        </w:tc>
      </w:tr>
      <w:tr w:rsidR="00E64B1A" w:rsidRPr="00676064" w14:paraId="644F517A" w14:textId="77777777" w:rsidTr="000C2A54">
        <w:trPr>
          <w:jc w:val="center"/>
        </w:trPr>
        <w:tc>
          <w:tcPr>
            <w:tcW w:w="5911" w:type="dxa"/>
          </w:tcPr>
          <w:p w14:paraId="749E0B4A" w14:textId="77777777" w:rsidR="00E64B1A" w:rsidRPr="003061F1" w:rsidRDefault="00E64B1A" w:rsidP="00E64B1A">
            <w:pPr>
              <w:rPr>
                <w:rFonts w:cs="Arial"/>
                <w:sz w:val="20"/>
                <w:szCs w:val="20"/>
              </w:rPr>
            </w:pPr>
          </w:p>
        </w:tc>
        <w:tc>
          <w:tcPr>
            <w:tcW w:w="1440" w:type="dxa"/>
          </w:tcPr>
          <w:p w14:paraId="6E2418DB" w14:textId="77777777" w:rsidR="00E64B1A" w:rsidRPr="003061F1" w:rsidRDefault="00E64B1A" w:rsidP="00E64B1A">
            <w:pPr>
              <w:jc w:val="right"/>
              <w:rPr>
                <w:rFonts w:cs="Arial"/>
                <w:sz w:val="20"/>
                <w:szCs w:val="20"/>
              </w:rPr>
            </w:pPr>
          </w:p>
        </w:tc>
        <w:tc>
          <w:tcPr>
            <w:tcW w:w="417" w:type="dxa"/>
          </w:tcPr>
          <w:p w14:paraId="79DA76E0" w14:textId="77777777" w:rsidR="00E64B1A" w:rsidRPr="003061F1" w:rsidRDefault="00E64B1A" w:rsidP="00E64B1A">
            <w:pPr>
              <w:jc w:val="right"/>
              <w:rPr>
                <w:sz w:val="20"/>
                <w:szCs w:val="20"/>
              </w:rPr>
            </w:pPr>
          </w:p>
        </w:tc>
        <w:tc>
          <w:tcPr>
            <w:tcW w:w="1245" w:type="dxa"/>
          </w:tcPr>
          <w:p w14:paraId="4D0F702D" w14:textId="77777777" w:rsidR="00E64B1A" w:rsidRPr="003061F1" w:rsidRDefault="00E64B1A" w:rsidP="00E64B1A">
            <w:pPr>
              <w:jc w:val="right"/>
              <w:rPr>
                <w:rFonts w:cs="Arial"/>
                <w:sz w:val="20"/>
                <w:szCs w:val="20"/>
              </w:rPr>
            </w:pPr>
          </w:p>
        </w:tc>
      </w:tr>
      <w:tr w:rsidR="00FE10BB" w:rsidRPr="00676064" w14:paraId="2057B8D3" w14:textId="77777777" w:rsidTr="00FE10BB">
        <w:trPr>
          <w:jc w:val="center"/>
        </w:trPr>
        <w:tc>
          <w:tcPr>
            <w:tcW w:w="5911" w:type="dxa"/>
          </w:tcPr>
          <w:p w14:paraId="4AFE9196" w14:textId="1292197D" w:rsidR="00FE10BB" w:rsidRPr="00FE10BB" w:rsidRDefault="00FE10BB" w:rsidP="00E64B1A">
            <w:pPr>
              <w:rPr>
                <w:rFonts w:cs="Arial"/>
                <w:b/>
                <w:bCs/>
                <w:sz w:val="20"/>
                <w:szCs w:val="20"/>
              </w:rPr>
            </w:pPr>
            <w:r>
              <w:rPr>
                <w:rFonts w:cs="Arial"/>
                <w:b/>
                <w:bCs/>
                <w:sz w:val="20"/>
                <w:szCs w:val="20"/>
              </w:rPr>
              <w:t>Finance Costs</w:t>
            </w:r>
          </w:p>
        </w:tc>
        <w:tc>
          <w:tcPr>
            <w:tcW w:w="1440" w:type="dxa"/>
          </w:tcPr>
          <w:p w14:paraId="2323FAE4" w14:textId="77777777" w:rsidR="00FE10BB" w:rsidRPr="003061F1" w:rsidRDefault="00FE10BB" w:rsidP="00E64B1A">
            <w:pPr>
              <w:jc w:val="right"/>
              <w:rPr>
                <w:rFonts w:cs="Arial"/>
                <w:sz w:val="20"/>
                <w:szCs w:val="20"/>
              </w:rPr>
            </w:pPr>
          </w:p>
        </w:tc>
        <w:tc>
          <w:tcPr>
            <w:tcW w:w="417" w:type="dxa"/>
          </w:tcPr>
          <w:p w14:paraId="365CB6AC" w14:textId="77777777" w:rsidR="00FE10BB" w:rsidRPr="003061F1" w:rsidRDefault="00FE10BB" w:rsidP="00E64B1A">
            <w:pPr>
              <w:jc w:val="right"/>
              <w:rPr>
                <w:sz w:val="20"/>
                <w:szCs w:val="20"/>
              </w:rPr>
            </w:pPr>
          </w:p>
        </w:tc>
        <w:tc>
          <w:tcPr>
            <w:tcW w:w="1245" w:type="dxa"/>
          </w:tcPr>
          <w:p w14:paraId="1DD8C704" w14:textId="77777777" w:rsidR="00FE10BB" w:rsidRPr="003061F1" w:rsidRDefault="00FE10BB" w:rsidP="00E64B1A">
            <w:pPr>
              <w:jc w:val="right"/>
              <w:rPr>
                <w:rFonts w:cs="Arial"/>
                <w:sz w:val="20"/>
                <w:szCs w:val="20"/>
              </w:rPr>
            </w:pPr>
          </w:p>
        </w:tc>
      </w:tr>
      <w:tr w:rsidR="00FE10BB" w:rsidRPr="00676064" w14:paraId="4A0CDB33" w14:textId="77777777" w:rsidTr="00FE10BB">
        <w:trPr>
          <w:jc w:val="center"/>
        </w:trPr>
        <w:tc>
          <w:tcPr>
            <w:tcW w:w="5911" w:type="dxa"/>
          </w:tcPr>
          <w:p w14:paraId="7B272BCE" w14:textId="7541201F" w:rsidR="00FE10BB" w:rsidRPr="003061F1" w:rsidRDefault="00FE10BB" w:rsidP="00E64B1A">
            <w:pPr>
              <w:rPr>
                <w:rFonts w:cs="Arial"/>
                <w:sz w:val="20"/>
                <w:szCs w:val="20"/>
              </w:rPr>
            </w:pPr>
            <w:r>
              <w:rPr>
                <w:rFonts w:cs="Arial"/>
                <w:sz w:val="20"/>
                <w:szCs w:val="20"/>
              </w:rPr>
              <w:t>Interest Expense</w:t>
            </w:r>
          </w:p>
        </w:tc>
        <w:tc>
          <w:tcPr>
            <w:tcW w:w="1440" w:type="dxa"/>
            <w:tcBorders>
              <w:bottom w:val="single" w:sz="4" w:space="0" w:color="auto"/>
            </w:tcBorders>
          </w:tcPr>
          <w:p w14:paraId="28C86E61" w14:textId="77D9991B" w:rsidR="006C0AAA" w:rsidRPr="003061F1" w:rsidRDefault="008D01FB" w:rsidP="006C0AAA">
            <w:pPr>
              <w:jc w:val="right"/>
              <w:rPr>
                <w:rFonts w:cs="Arial"/>
                <w:sz w:val="20"/>
                <w:szCs w:val="20"/>
              </w:rPr>
            </w:pPr>
            <w:r>
              <w:rPr>
                <w:rFonts w:cs="Arial"/>
                <w:sz w:val="20"/>
                <w:szCs w:val="20"/>
              </w:rPr>
              <w:t>7,568</w:t>
            </w:r>
          </w:p>
        </w:tc>
        <w:tc>
          <w:tcPr>
            <w:tcW w:w="417" w:type="dxa"/>
          </w:tcPr>
          <w:p w14:paraId="2C3F527C" w14:textId="77777777" w:rsidR="00FE10BB" w:rsidRPr="003061F1" w:rsidRDefault="00FE10BB" w:rsidP="00E64B1A">
            <w:pPr>
              <w:jc w:val="right"/>
              <w:rPr>
                <w:sz w:val="20"/>
                <w:szCs w:val="20"/>
              </w:rPr>
            </w:pPr>
          </w:p>
        </w:tc>
        <w:tc>
          <w:tcPr>
            <w:tcW w:w="1245" w:type="dxa"/>
            <w:tcBorders>
              <w:bottom w:val="single" w:sz="4" w:space="0" w:color="auto"/>
            </w:tcBorders>
          </w:tcPr>
          <w:p w14:paraId="144C3152" w14:textId="4B7841BC" w:rsidR="00FE10BB" w:rsidRPr="003061F1" w:rsidRDefault="00FE10BB" w:rsidP="00E64B1A">
            <w:pPr>
              <w:jc w:val="right"/>
              <w:rPr>
                <w:rFonts w:cs="Arial"/>
                <w:sz w:val="20"/>
                <w:szCs w:val="20"/>
              </w:rPr>
            </w:pPr>
            <w:r>
              <w:rPr>
                <w:rFonts w:cs="Arial"/>
                <w:sz w:val="20"/>
                <w:szCs w:val="20"/>
              </w:rPr>
              <w:t>0</w:t>
            </w:r>
          </w:p>
        </w:tc>
      </w:tr>
      <w:tr w:rsidR="00FE10BB" w:rsidRPr="00676064" w14:paraId="5A3F0478" w14:textId="77777777" w:rsidTr="00FE10BB">
        <w:trPr>
          <w:jc w:val="center"/>
        </w:trPr>
        <w:tc>
          <w:tcPr>
            <w:tcW w:w="5911" w:type="dxa"/>
          </w:tcPr>
          <w:p w14:paraId="48F0C23F" w14:textId="77777777" w:rsidR="00FE10BB" w:rsidRPr="003061F1" w:rsidRDefault="00FE10BB" w:rsidP="00E64B1A">
            <w:pPr>
              <w:rPr>
                <w:rFonts w:cs="Arial"/>
                <w:sz w:val="20"/>
                <w:szCs w:val="20"/>
              </w:rPr>
            </w:pPr>
          </w:p>
        </w:tc>
        <w:tc>
          <w:tcPr>
            <w:tcW w:w="1440" w:type="dxa"/>
            <w:tcBorders>
              <w:top w:val="single" w:sz="4" w:space="0" w:color="auto"/>
            </w:tcBorders>
          </w:tcPr>
          <w:p w14:paraId="5758CB18" w14:textId="1A61E2C1" w:rsidR="00FE10BB" w:rsidRPr="003061F1" w:rsidRDefault="00FE10BB" w:rsidP="00E64B1A">
            <w:pPr>
              <w:jc w:val="right"/>
              <w:rPr>
                <w:rFonts w:cs="Arial"/>
                <w:sz w:val="20"/>
                <w:szCs w:val="20"/>
              </w:rPr>
            </w:pPr>
            <w:r>
              <w:rPr>
                <w:rFonts w:cs="Arial"/>
                <w:sz w:val="20"/>
                <w:szCs w:val="20"/>
              </w:rPr>
              <w:t>6</w:t>
            </w:r>
            <w:r w:rsidR="008D01FB">
              <w:rPr>
                <w:rFonts w:cs="Arial"/>
                <w:sz w:val="20"/>
                <w:szCs w:val="20"/>
              </w:rPr>
              <w:t>43,149</w:t>
            </w:r>
          </w:p>
        </w:tc>
        <w:tc>
          <w:tcPr>
            <w:tcW w:w="417" w:type="dxa"/>
          </w:tcPr>
          <w:p w14:paraId="04743A41" w14:textId="77777777" w:rsidR="00FE10BB" w:rsidRPr="003061F1" w:rsidRDefault="00FE10BB" w:rsidP="00E64B1A">
            <w:pPr>
              <w:jc w:val="right"/>
              <w:rPr>
                <w:sz w:val="20"/>
                <w:szCs w:val="20"/>
              </w:rPr>
            </w:pPr>
          </w:p>
        </w:tc>
        <w:tc>
          <w:tcPr>
            <w:tcW w:w="1245" w:type="dxa"/>
            <w:tcBorders>
              <w:top w:val="single" w:sz="4" w:space="0" w:color="auto"/>
            </w:tcBorders>
          </w:tcPr>
          <w:p w14:paraId="79EB7D9E" w14:textId="6A919909" w:rsidR="00FE10BB" w:rsidRPr="003061F1" w:rsidRDefault="006C0AAA" w:rsidP="00E64B1A">
            <w:pPr>
              <w:jc w:val="right"/>
              <w:rPr>
                <w:rFonts w:cs="Arial"/>
                <w:sz w:val="20"/>
                <w:szCs w:val="20"/>
              </w:rPr>
            </w:pPr>
            <w:r>
              <w:rPr>
                <w:rFonts w:cs="Arial"/>
                <w:sz w:val="20"/>
                <w:szCs w:val="20"/>
              </w:rPr>
              <w:t>669,319</w:t>
            </w:r>
          </w:p>
        </w:tc>
      </w:tr>
      <w:tr w:rsidR="00FE10BB" w:rsidRPr="00676064" w14:paraId="7E1EAA9D" w14:textId="77777777" w:rsidTr="000C2A54">
        <w:trPr>
          <w:jc w:val="center"/>
        </w:trPr>
        <w:tc>
          <w:tcPr>
            <w:tcW w:w="5911" w:type="dxa"/>
          </w:tcPr>
          <w:p w14:paraId="377FB746" w14:textId="77777777" w:rsidR="00FE10BB" w:rsidRPr="003061F1" w:rsidRDefault="00FE10BB" w:rsidP="00E64B1A">
            <w:pPr>
              <w:rPr>
                <w:rFonts w:cs="Arial"/>
                <w:sz w:val="20"/>
                <w:szCs w:val="20"/>
              </w:rPr>
            </w:pPr>
          </w:p>
        </w:tc>
        <w:tc>
          <w:tcPr>
            <w:tcW w:w="1440" w:type="dxa"/>
          </w:tcPr>
          <w:p w14:paraId="39A6B905" w14:textId="77777777" w:rsidR="00FE10BB" w:rsidRPr="003061F1" w:rsidRDefault="00FE10BB" w:rsidP="00E64B1A">
            <w:pPr>
              <w:jc w:val="right"/>
              <w:rPr>
                <w:rFonts w:cs="Arial"/>
                <w:sz w:val="20"/>
                <w:szCs w:val="20"/>
              </w:rPr>
            </w:pPr>
          </w:p>
        </w:tc>
        <w:tc>
          <w:tcPr>
            <w:tcW w:w="417" w:type="dxa"/>
          </w:tcPr>
          <w:p w14:paraId="4C14BE52" w14:textId="77777777" w:rsidR="00FE10BB" w:rsidRPr="003061F1" w:rsidRDefault="00FE10BB" w:rsidP="00E64B1A">
            <w:pPr>
              <w:jc w:val="right"/>
              <w:rPr>
                <w:sz w:val="20"/>
                <w:szCs w:val="20"/>
              </w:rPr>
            </w:pPr>
          </w:p>
        </w:tc>
        <w:tc>
          <w:tcPr>
            <w:tcW w:w="1245" w:type="dxa"/>
          </w:tcPr>
          <w:p w14:paraId="52D630E5" w14:textId="77777777" w:rsidR="00FE10BB" w:rsidRPr="003061F1" w:rsidRDefault="00FE10BB" w:rsidP="00E64B1A">
            <w:pPr>
              <w:jc w:val="right"/>
              <w:rPr>
                <w:rFonts w:cs="Arial"/>
                <w:sz w:val="20"/>
                <w:szCs w:val="20"/>
              </w:rPr>
            </w:pPr>
          </w:p>
        </w:tc>
      </w:tr>
      <w:tr w:rsidR="00E64B1A" w:rsidRPr="00676064" w14:paraId="45ED71D7" w14:textId="77777777" w:rsidTr="000C2A54">
        <w:trPr>
          <w:jc w:val="center"/>
        </w:trPr>
        <w:tc>
          <w:tcPr>
            <w:tcW w:w="5911" w:type="dxa"/>
          </w:tcPr>
          <w:p w14:paraId="51F59B12"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b/>
                <w:sz w:val="20"/>
                <w:szCs w:val="20"/>
              </w:rPr>
              <w:t>Non–Cash Items:</w:t>
            </w:r>
          </w:p>
        </w:tc>
        <w:tc>
          <w:tcPr>
            <w:tcW w:w="1440" w:type="dxa"/>
          </w:tcPr>
          <w:p w14:paraId="564AF501" w14:textId="77777777" w:rsidR="00E64B1A" w:rsidRPr="003061F1" w:rsidRDefault="00E64B1A" w:rsidP="00E64B1A">
            <w:pPr>
              <w:jc w:val="right"/>
              <w:rPr>
                <w:rFonts w:cs="Arial"/>
                <w:sz w:val="20"/>
                <w:szCs w:val="20"/>
              </w:rPr>
            </w:pPr>
          </w:p>
        </w:tc>
        <w:tc>
          <w:tcPr>
            <w:tcW w:w="417" w:type="dxa"/>
          </w:tcPr>
          <w:p w14:paraId="14A5FDAF" w14:textId="77777777" w:rsidR="00E64B1A" w:rsidRPr="003061F1" w:rsidRDefault="00E64B1A" w:rsidP="00E64B1A">
            <w:pPr>
              <w:jc w:val="right"/>
              <w:rPr>
                <w:sz w:val="20"/>
                <w:szCs w:val="20"/>
              </w:rPr>
            </w:pPr>
          </w:p>
        </w:tc>
        <w:tc>
          <w:tcPr>
            <w:tcW w:w="1245" w:type="dxa"/>
          </w:tcPr>
          <w:p w14:paraId="3F01DFA4" w14:textId="77777777" w:rsidR="00E64B1A" w:rsidRPr="003061F1" w:rsidRDefault="00E64B1A" w:rsidP="00E64B1A">
            <w:pPr>
              <w:jc w:val="right"/>
              <w:rPr>
                <w:rFonts w:cs="Arial"/>
                <w:sz w:val="20"/>
                <w:szCs w:val="20"/>
              </w:rPr>
            </w:pPr>
          </w:p>
        </w:tc>
      </w:tr>
      <w:tr w:rsidR="00E64B1A" w:rsidRPr="00676064" w14:paraId="13F51CD9" w14:textId="77777777" w:rsidTr="000C2A54">
        <w:trPr>
          <w:jc w:val="center"/>
        </w:trPr>
        <w:tc>
          <w:tcPr>
            <w:tcW w:w="5911" w:type="dxa"/>
          </w:tcPr>
          <w:p w14:paraId="2F4FABCF" w14:textId="02614D02" w:rsidR="002B369A" w:rsidRDefault="00E64B1A" w:rsidP="001C734F">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Depreciation, Amortisation and Impairment</w:t>
            </w:r>
          </w:p>
          <w:p w14:paraId="1E7EF98B" w14:textId="0CB97E08" w:rsidR="006F289C" w:rsidRPr="003061F1" w:rsidRDefault="001515FF" w:rsidP="001C734F">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Pr>
                <w:rFonts w:cs="Arial"/>
                <w:sz w:val="20"/>
                <w:szCs w:val="20"/>
              </w:rPr>
              <w:t>Depreciation Right-of-Use Assets</w:t>
            </w:r>
          </w:p>
        </w:tc>
        <w:tc>
          <w:tcPr>
            <w:tcW w:w="1440" w:type="dxa"/>
          </w:tcPr>
          <w:p w14:paraId="08381F11" w14:textId="570DF54F" w:rsidR="006F289C" w:rsidRDefault="00243E7B" w:rsidP="002B369A">
            <w:pPr>
              <w:jc w:val="right"/>
              <w:rPr>
                <w:rFonts w:cs="Arial"/>
                <w:sz w:val="20"/>
                <w:szCs w:val="20"/>
              </w:rPr>
            </w:pPr>
            <w:r>
              <w:rPr>
                <w:rFonts w:cs="Arial"/>
                <w:sz w:val="20"/>
                <w:szCs w:val="20"/>
              </w:rPr>
              <w:t xml:space="preserve">   </w:t>
            </w:r>
            <w:r w:rsidR="002B369A">
              <w:rPr>
                <w:rFonts w:cs="Arial"/>
                <w:sz w:val="20"/>
                <w:szCs w:val="20"/>
              </w:rPr>
              <w:t>1</w:t>
            </w:r>
            <w:r w:rsidR="001515FF">
              <w:rPr>
                <w:rFonts w:cs="Arial"/>
                <w:sz w:val="20"/>
                <w:szCs w:val="20"/>
              </w:rPr>
              <w:t>00,461</w:t>
            </w:r>
          </w:p>
          <w:p w14:paraId="397B35A1" w14:textId="16EB5F60" w:rsidR="00BD77E6" w:rsidRPr="003061F1" w:rsidRDefault="00243E7B" w:rsidP="002B369A">
            <w:pPr>
              <w:jc w:val="right"/>
              <w:rPr>
                <w:rFonts w:cs="Arial"/>
                <w:sz w:val="20"/>
                <w:szCs w:val="20"/>
              </w:rPr>
            </w:pPr>
            <w:r>
              <w:rPr>
                <w:rFonts w:cs="Arial"/>
                <w:sz w:val="20"/>
                <w:szCs w:val="20"/>
              </w:rPr>
              <w:t xml:space="preserve">     </w:t>
            </w:r>
            <w:r w:rsidR="008D01FB">
              <w:rPr>
                <w:rFonts w:cs="Arial"/>
                <w:sz w:val="20"/>
                <w:szCs w:val="20"/>
              </w:rPr>
              <w:t>75,431</w:t>
            </w:r>
          </w:p>
        </w:tc>
        <w:tc>
          <w:tcPr>
            <w:tcW w:w="417" w:type="dxa"/>
          </w:tcPr>
          <w:p w14:paraId="46C540B9" w14:textId="77777777" w:rsidR="00E64B1A" w:rsidRPr="003061F1" w:rsidRDefault="00E64B1A" w:rsidP="00E64B1A">
            <w:pPr>
              <w:jc w:val="right"/>
              <w:rPr>
                <w:sz w:val="20"/>
                <w:szCs w:val="20"/>
              </w:rPr>
            </w:pPr>
          </w:p>
        </w:tc>
        <w:tc>
          <w:tcPr>
            <w:tcW w:w="1245" w:type="dxa"/>
          </w:tcPr>
          <w:p w14:paraId="1850CDE1" w14:textId="36C07831" w:rsidR="007F3B4C" w:rsidRDefault="00FE10BB" w:rsidP="002B369A">
            <w:pPr>
              <w:jc w:val="right"/>
              <w:rPr>
                <w:rFonts w:cs="Arial"/>
                <w:sz w:val="20"/>
                <w:szCs w:val="20"/>
              </w:rPr>
            </w:pPr>
            <w:r>
              <w:rPr>
                <w:rFonts w:cs="Arial"/>
                <w:sz w:val="20"/>
                <w:szCs w:val="20"/>
              </w:rPr>
              <w:t>91,241</w:t>
            </w:r>
          </w:p>
          <w:p w14:paraId="121392D8" w14:textId="0A4109FE" w:rsidR="002B369A" w:rsidRPr="003061F1" w:rsidRDefault="00FE10BB" w:rsidP="002B369A">
            <w:pPr>
              <w:jc w:val="right"/>
              <w:rPr>
                <w:rFonts w:cs="Arial"/>
                <w:sz w:val="20"/>
                <w:szCs w:val="20"/>
              </w:rPr>
            </w:pPr>
            <w:r>
              <w:rPr>
                <w:rFonts w:cs="Arial"/>
                <w:sz w:val="20"/>
                <w:szCs w:val="20"/>
              </w:rPr>
              <w:t>0</w:t>
            </w:r>
          </w:p>
        </w:tc>
      </w:tr>
      <w:tr w:rsidR="00E64B1A" w:rsidRPr="00676064" w14:paraId="2D13AEEC" w14:textId="77777777" w:rsidTr="008B52DD">
        <w:trPr>
          <w:trHeight w:val="397"/>
          <w:jc w:val="center"/>
        </w:trPr>
        <w:tc>
          <w:tcPr>
            <w:tcW w:w="5911" w:type="dxa"/>
            <w:vAlign w:val="center"/>
          </w:tcPr>
          <w:p w14:paraId="3D606309" w14:textId="77777777" w:rsidR="00E64B1A" w:rsidRPr="00676064" w:rsidRDefault="00E64B1A" w:rsidP="00E64B1A">
            <w:pPr>
              <w:rPr>
                <w:rFonts w:cs="Arial"/>
              </w:rPr>
            </w:pPr>
          </w:p>
        </w:tc>
        <w:tc>
          <w:tcPr>
            <w:tcW w:w="1440" w:type="dxa"/>
            <w:tcBorders>
              <w:top w:val="single" w:sz="4" w:space="0" w:color="auto"/>
              <w:bottom w:val="single" w:sz="4" w:space="0" w:color="auto"/>
            </w:tcBorders>
            <w:vAlign w:val="center"/>
          </w:tcPr>
          <w:p w14:paraId="35C41E92" w14:textId="54DE592C" w:rsidR="00E64B1A" w:rsidRPr="003061F1" w:rsidRDefault="00FE10BB" w:rsidP="002B369A">
            <w:pPr>
              <w:jc w:val="right"/>
              <w:rPr>
                <w:rFonts w:cs="Arial"/>
                <w:sz w:val="20"/>
                <w:szCs w:val="20"/>
              </w:rPr>
            </w:pPr>
            <w:r>
              <w:rPr>
                <w:rFonts w:cs="Arial"/>
                <w:sz w:val="20"/>
                <w:szCs w:val="20"/>
              </w:rPr>
              <w:t>819,</w:t>
            </w:r>
            <w:r w:rsidR="008D01FB">
              <w:rPr>
                <w:rFonts w:cs="Arial"/>
                <w:sz w:val="20"/>
                <w:szCs w:val="20"/>
              </w:rPr>
              <w:t>041</w:t>
            </w:r>
          </w:p>
        </w:tc>
        <w:tc>
          <w:tcPr>
            <w:tcW w:w="417" w:type="dxa"/>
            <w:vAlign w:val="center"/>
          </w:tcPr>
          <w:p w14:paraId="3FD599C3" w14:textId="77777777" w:rsidR="00E64B1A" w:rsidRPr="003061F1" w:rsidRDefault="00E64B1A" w:rsidP="00E64B1A">
            <w:pPr>
              <w:jc w:val="right"/>
              <w:rPr>
                <w:sz w:val="20"/>
                <w:szCs w:val="20"/>
              </w:rPr>
            </w:pPr>
          </w:p>
        </w:tc>
        <w:tc>
          <w:tcPr>
            <w:tcW w:w="1245" w:type="dxa"/>
            <w:tcBorders>
              <w:top w:val="single" w:sz="4" w:space="0" w:color="auto"/>
              <w:bottom w:val="single" w:sz="4" w:space="0" w:color="auto"/>
            </w:tcBorders>
            <w:vAlign w:val="center"/>
          </w:tcPr>
          <w:p w14:paraId="007895B3" w14:textId="6206AB3D" w:rsidR="002B369A" w:rsidRPr="003061F1" w:rsidRDefault="00FE10BB" w:rsidP="002B369A">
            <w:pPr>
              <w:jc w:val="right"/>
              <w:rPr>
                <w:rFonts w:cs="Arial"/>
                <w:sz w:val="20"/>
                <w:szCs w:val="20"/>
              </w:rPr>
            </w:pPr>
            <w:r>
              <w:rPr>
                <w:rFonts w:cs="Arial"/>
                <w:sz w:val="20"/>
                <w:szCs w:val="20"/>
              </w:rPr>
              <w:t>760,560</w:t>
            </w:r>
          </w:p>
        </w:tc>
      </w:tr>
      <w:tr w:rsidR="008B52DD" w:rsidRPr="00676064" w14:paraId="2DB05E0C" w14:textId="77777777" w:rsidTr="00C02C30">
        <w:trPr>
          <w:trHeight w:val="397"/>
          <w:jc w:val="center"/>
        </w:trPr>
        <w:tc>
          <w:tcPr>
            <w:tcW w:w="9013" w:type="dxa"/>
            <w:gridSpan w:val="4"/>
            <w:vAlign w:val="center"/>
          </w:tcPr>
          <w:p w14:paraId="672A64BB" w14:textId="77777777" w:rsidR="008B52DD" w:rsidRDefault="008B52DD" w:rsidP="008B52DD">
            <w:pPr>
              <w:rPr>
                <w:rFonts w:cs="Arial"/>
              </w:rPr>
            </w:pPr>
          </w:p>
          <w:p w14:paraId="60674CD6" w14:textId="77777777" w:rsidR="008B52DD" w:rsidRDefault="008B52DD" w:rsidP="008B52DD">
            <w:pPr>
              <w:rPr>
                <w:rFonts w:cs="Arial"/>
              </w:rPr>
            </w:pPr>
          </w:p>
          <w:p w14:paraId="75FB894D" w14:textId="2804678C" w:rsidR="008B52DD" w:rsidRDefault="008B52DD" w:rsidP="008B52DD">
            <w:pPr>
              <w:rPr>
                <w:rFonts w:cs="Arial"/>
              </w:rPr>
            </w:pPr>
            <w:r>
              <w:rPr>
                <w:rFonts w:cs="Arial"/>
              </w:rPr>
              <w:t>There were no payments made to the auditors during the year for non-</w:t>
            </w:r>
            <w:r w:rsidR="001C734F">
              <w:rPr>
                <w:rFonts w:cs="Arial"/>
              </w:rPr>
              <w:t>audit services (202</w:t>
            </w:r>
            <w:r w:rsidR="00FE10BB">
              <w:rPr>
                <w:rFonts w:cs="Arial"/>
              </w:rPr>
              <w:t>1</w:t>
            </w:r>
            <w:r w:rsidR="002B369A">
              <w:rPr>
                <w:rFonts w:cs="Arial"/>
              </w:rPr>
              <w:t>-2</w:t>
            </w:r>
            <w:r w:rsidR="00FE10BB">
              <w:rPr>
                <w:rFonts w:cs="Arial"/>
              </w:rPr>
              <w:t>2</w:t>
            </w:r>
            <w:r>
              <w:rPr>
                <w:rFonts w:cs="Arial"/>
              </w:rPr>
              <w:t>: £nil)</w:t>
            </w:r>
            <w:r w:rsidR="008328EC">
              <w:rPr>
                <w:rFonts w:cs="Arial"/>
              </w:rPr>
              <w:t>.</w:t>
            </w:r>
          </w:p>
          <w:p w14:paraId="0786CCB9" w14:textId="77777777" w:rsidR="008328EC" w:rsidRDefault="008328EC" w:rsidP="008B52DD">
            <w:pPr>
              <w:rPr>
                <w:rFonts w:cs="Arial"/>
                <w:sz w:val="20"/>
                <w:szCs w:val="20"/>
              </w:rPr>
            </w:pPr>
          </w:p>
          <w:p w14:paraId="3A6631B6" w14:textId="77777777" w:rsidR="00BF7ED8" w:rsidRDefault="00BF7ED8" w:rsidP="008B52DD">
            <w:pPr>
              <w:rPr>
                <w:rFonts w:cs="Arial"/>
                <w:sz w:val="20"/>
                <w:szCs w:val="20"/>
              </w:rPr>
            </w:pPr>
          </w:p>
          <w:p w14:paraId="48721F8F" w14:textId="77777777" w:rsidR="001E2AA0" w:rsidRDefault="001E2AA0" w:rsidP="008B52DD">
            <w:pPr>
              <w:rPr>
                <w:rFonts w:cs="Arial"/>
                <w:sz w:val="20"/>
                <w:szCs w:val="20"/>
              </w:rPr>
            </w:pPr>
          </w:p>
          <w:p w14:paraId="5083BA9B" w14:textId="77777777" w:rsidR="001E2AA0" w:rsidRDefault="001E2AA0" w:rsidP="008B52DD">
            <w:pPr>
              <w:rPr>
                <w:rFonts w:cs="Arial"/>
                <w:sz w:val="20"/>
                <w:szCs w:val="20"/>
              </w:rPr>
            </w:pPr>
          </w:p>
          <w:p w14:paraId="117CFF1E" w14:textId="77777777" w:rsidR="001E2AA0" w:rsidRDefault="001E2AA0" w:rsidP="008B52DD">
            <w:pPr>
              <w:rPr>
                <w:rFonts w:cs="Arial"/>
                <w:sz w:val="20"/>
                <w:szCs w:val="20"/>
              </w:rPr>
            </w:pPr>
          </w:p>
          <w:p w14:paraId="40A6A723" w14:textId="77777777" w:rsidR="001E2AA0" w:rsidRDefault="001E2AA0" w:rsidP="008B52DD">
            <w:pPr>
              <w:rPr>
                <w:rFonts w:cs="Arial"/>
                <w:sz w:val="20"/>
                <w:szCs w:val="20"/>
              </w:rPr>
            </w:pPr>
          </w:p>
          <w:p w14:paraId="0318E1E8" w14:textId="77777777" w:rsidR="001E2AA0" w:rsidRDefault="001E2AA0" w:rsidP="008B52DD">
            <w:pPr>
              <w:rPr>
                <w:rFonts w:cs="Arial"/>
                <w:sz w:val="20"/>
                <w:szCs w:val="20"/>
              </w:rPr>
            </w:pPr>
          </w:p>
          <w:p w14:paraId="3208700A" w14:textId="77777777" w:rsidR="001E2AA0" w:rsidRDefault="001E2AA0" w:rsidP="008B52DD">
            <w:pPr>
              <w:rPr>
                <w:rFonts w:cs="Arial"/>
                <w:sz w:val="20"/>
                <w:szCs w:val="20"/>
              </w:rPr>
            </w:pPr>
          </w:p>
          <w:p w14:paraId="24AA2F52" w14:textId="77777777" w:rsidR="001E2AA0" w:rsidRDefault="001E2AA0" w:rsidP="008B52DD">
            <w:pPr>
              <w:rPr>
                <w:rFonts w:cs="Arial"/>
                <w:sz w:val="20"/>
                <w:szCs w:val="20"/>
              </w:rPr>
            </w:pPr>
          </w:p>
          <w:p w14:paraId="29808190" w14:textId="77777777" w:rsidR="001E2AA0" w:rsidRDefault="001E2AA0" w:rsidP="008B52DD">
            <w:pPr>
              <w:rPr>
                <w:rFonts w:cs="Arial"/>
                <w:sz w:val="20"/>
                <w:szCs w:val="20"/>
              </w:rPr>
            </w:pPr>
          </w:p>
          <w:p w14:paraId="472D674A" w14:textId="77777777" w:rsidR="001E2AA0" w:rsidRDefault="001E2AA0" w:rsidP="008B52DD">
            <w:pPr>
              <w:rPr>
                <w:rFonts w:cs="Arial"/>
                <w:sz w:val="20"/>
                <w:szCs w:val="20"/>
              </w:rPr>
            </w:pPr>
          </w:p>
          <w:p w14:paraId="3F70EDCC" w14:textId="77777777" w:rsidR="001E2AA0" w:rsidRDefault="001E2AA0" w:rsidP="008B52DD">
            <w:pPr>
              <w:rPr>
                <w:rFonts w:cs="Arial"/>
                <w:sz w:val="20"/>
                <w:szCs w:val="20"/>
              </w:rPr>
            </w:pPr>
          </w:p>
          <w:p w14:paraId="6ACA4EFC" w14:textId="77777777" w:rsidR="001E2AA0" w:rsidRDefault="001E2AA0" w:rsidP="008B52DD">
            <w:pPr>
              <w:rPr>
                <w:rFonts w:cs="Arial"/>
                <w:sz w:val="20"/>
                <w:szCs w:val="20"/>
              </w:rPr>
            </w:pPr>
          </w:p>
          <w:p w14:paraId="6AA67BC1" w14:textId="77777777" w:rsidR="001E2AA0" w:rsidRDefault="001E2AA0" w:rsidP="008B52DD">
            <w:pPr>
              <w:rPr>
                <w:rFonts w:cs="Arial"/>
                <w:sz w:val="20"/>
                <w:szCs w:val="20"/>
              </w:rPr>
            </w:pPr>
          </w:p>
          <w:p w14:paraId="1C010E30" w14:textId="77777777" w:rsidR="001E2AA0" w:rsidRDefault="001E2AA0" w:rsidP="008B52DD">
            <w:pPr>
              <w:rPr>
                <w:rFonts w:cs="Arial"/>
                <w:sz w:val="20"/>
                <w:szCs w:val="20"/>
              </w:rPr>
            </w:pPr>
          </w:p>
          <w:p w14:paraId="24E9856D" w14:textId="77777777" w:rsidR="001E2AA0" w:rsidRDefault="001E2AA0" w:rsidP="008B52DD">
            <w:pPr>
              <w:rPr>
                <w:rFonts w:cs="Arial"/>
                <w:sz w:val="20"/>
                <w:szCs w:val="20"/>
              </w:rPr>
            </w:pPr>
          </w:p>
        </w:tc>
      </w:tr>
    </w:tbl>
    <w:p w14:paraId="517370B8" w14:textId="414140DE" w:rsidR="000C2A54" w:rsidRPr="00676064" w:rsidRDefault="000C2A54" w:rsidP="00386F56">
      <w:pPr>
        <w:rPr>
          <w:b/>
        </w:rPr>
      </w:pPr>
      <w:r w:rsidRPr="00676064">
        <w:rPr>
          <w:b/>
        </w:rPr>
        <w:lastRenderedPageBreak/>
        <w:t>5.</w:t>
      </w:r>
      <w:r w:rsidRPr="00676064">
        <w:rPr>
          <w:b/>
        </w:rPr>
        <w:tab/>
        <w:t>Income</w:t>
      </w:r>
    </w:p>
    <w:p w14:paraId="54B813C4" w14:textId="77777777" w:rsidR="000C2A54" w:rsidRPr="00676064" w:rsidRDefault="000C2A54" w:rsidP="000C2A54">
      <w:pPr>
        <w:widowControl w:val="0"/>
        <w:tabs>
          <w:tab w:val="left" w:pos="567"/>
          <w:tab w:val="right" w:pos="4140"/>
          <w:tab w:val="right" w:pos="6480"/>
          <w:tab w:val="right" w:pos="8820"/>
        </w:tabs>
        <w:autoSpaceDE w:val="0"/>
        <w:autoSpaceDN w:val="0"/>
        <w:adjustRightInd w:val="0"/>
      </w:pPr>
    </w:p>
    <w:p w14:paraId="651D6D59" w14:textId="77777777" w:rsidR="00FE10BB" w:rsidRPr="00676064" w:rsidRDefault="00FE10BB" w:rsidP="00FE10BB">
      <w:pPr>
        <w:widowControl w:val="0"/>
        <w:tabs>
          <w:tab w:val="left" w:pos="567"/>
          <w:tab w:val="right" w:pos="4140"/>
          <w:tab w:val="right" w:pos="6480"/>
          <w:tab w:val="right" w:pos="8820"/>
        </w:tabs>
        <w:autoSpaceDE w:val="0"/>
        <w:autoSpaceDN w:val="0"/>
        <w:adjustRightInd w:val="0"/>
      </w:pPr>
      <w:r w:rsidRPr="00676064">
        <w:t>The Commission also has recognised income from other sources as follows:</w:t>
      </w:r>
    </w:p>
    <w:p w14:paraId="34F8E92B" w14:textId="77777777" w:rsidR="00FE10BB" w:rsidRPr="00676064" w:rsidRDefault="00FE10BB" w:rsidP="00FE10BB">
      <w:pPr>
        <w:widowControl w:val="0"/>
        <w:tabs>
          <w:tab w:val="left" w:pos="567"/>
          <w:tab w:val="right" w:pos="4140"/>
          <w:tab w:val="right" w:pos="6480"/>
          <w:tab w:val="right" w:pos="8820"/>
        </w:tabs>
        <w:autoSpaceDE w:val="0"/>
        <w:autoSpaceDN w:val="0"/>
        <w:adjustRightInd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1935"/>
        <w:gridCol w:w="2054"/>
      </w:tblGrid>
      <w:tr w:rsidR="00FE10BB" w:rsidRPr="003061F1" w14:paraId="50DF0062" w14:textId="77777777" w:rsidTr="001958BD">
        <w:tc>
          <w:tcPr>
            <w:tcW w:w="5082" w:type="dxa"/>
          </w:tcPr>
          <w:p w14:paraId="4C15D76F" w14:textId="77777777" w:rsidR="00FE10BB" w:rsidRPr="003061F1" w:rsidRDefault="00FE10BB" w:rsidP="001958BD">
            <w:pPr>
              <w:widowControl w:val="0"/>
              <w:tabs>
                <w:tab w:val="left" w:pos="567"/>
                <w:tab w:val="right" w:pos="4140"/>
                <w:tab w:val="right" w:pos="6480"/>
                <w:tab w:val="right" w:pos="8820"/>
              </w:tabs>
              <w:autoSpaceDE w:val="0"/>
              <w:autoSpaceDN w:val="0"/>
              <w:adjustRightInd w:val="0"/>
              <w:rPr>
                <w:sz w:val="20"/>
                <w:szCs w:val="20"/>
              </w:rPr>
            </w:pPr>
          </w:p>
        </w:tc>
        <w:tc>
          <w:tcPr>
            <w:tcW w:w="1935" w:type="dxa"/>
          </w:tcPr>
          <w:p w14:paraId="7CF69BBB" w14:textId="6813B7BC" w:rsidR="00FE10BB" w:rsidRPr="003061F1" w:rsidRDefault="00FE10BB" w:rsidP="001958BD">
            <w:pPr>
              <w:widowControl w:val="0"/>
              <w:tabs>
                <w:tab w:val="left" w:pos="567"/>
                <w:tab w:val="right" w:pos="4140"/>
                <w:tab w:val="right" w:pos="6480"/>
                <w:tab w:val="right" w:pos="8820"/>
              </w:tabs>
              <w:autoSpaceDE w:val="0"/>
              <w:autoSpaceDN w:val="0"/>
              <w:adjustRightInd w:val="0"/>
              <w:jc w:val="right"/>
              <w:rPr>
                <w:b/>
                <w:sz w:val="20"/>
                <w:szCs w:val="20"/>
              </w:rPr>
            </w:pPr>
            <w:r>
              <w:rPr>
                <w:b/>
                <w:sz w:val="20"/>
                <w:szCs w:val="20"/>
              </w:rPr>
              <w:t>2022-23</w:t>
            </w:r>
          </w:p>
          <w:p w14:paraId="1BC1500B" w14:textId="77777777" w:rsidR="00FE10BB" w:rsidRPr="003061F1" w:rsidRDefault="00FE10BB" w:rsidP="001958BD">
            <w:pPr>
              <w:widowControl w:val="0"/>
              <w:tabs>
                <w:tab w:val="left" w:pos="567"/>
                <w:tab w:val="right" w:pos="4140"/>
                <w:tab w:val="right" w:pos="6480"/>
                <w:tab w:val="right" w:pos="8820"/>
              </w:tabs>
              <w:autoSpaceDE w:val="0"/>
              <w:autoSpaceDN w:val="0"/>
              <w:adjustRightInd w:val="0"/>
              <w:jc w:val="right"/>
              <w:rPr>
                <w:b/>
                <w:sz w:val="20"/>
                <w:szCs w:val="20"/>
              </w:rPr>
            </w:pPr>
            <w:r w:rsidRPr="003061F1">
              <w:rPr>
                <w:b/>
                <w:sz w:val="20"/>
                <w:szCs w:val="20"/>
              </w:rPr>
              <w:t>£</w:t>
            </w:r>
          </w:p>
        </w:tc>
        <w:tc>
          <w:tcPr>
            <w:tcW w:w="2054" w:type="dxa"/>
          </w:tcPr>
          <w:p w14:paraId="62287A41" w14:textId="52CF255B" w:rsidR="00FE10BB" w:rsidRPr="003061F1" w:rsidRDefault="00FE10BB" w:rsidP="001958BD">
            <w:pPr>
              <w:widowControl w:val="0"/>
              <w:tabs>
                <w:tab w:val="left" w:pos="567"/>
                <w:tab w:val="right" w:pos="4140"/>
                <w:tab w:val="right" w:pos="6480"/>
                <w:tab w:val="right" w:pos="8820"/>
              </w:tabs>
              <w:autoSpaceDE w:val="0"/>
              <w:autoSpaceDN w:val="0"/>
              <w:adjustRightInd w:val="0"/>
              <w:jc w:val="right"/>
              <w:rPr>
                <w:b/>
                <w:sz w:val="20"/>
                <w:szCs w:val="20"/>
              </w:rPr>
            </w:pPr>
            <w:r>
              <w:rPr>
                <w:b/>
                <w:sz w:val="20"/>
                <w:szCs w:val="20"/>
              </w:rPr>
              <w:t>2021-22</w:t>
            </w:r>
          </w:p>
          <w:p w14:paraId="45E6FBA9" w14:textId="77777777" w:rsidR="00FE10BB" w:rsidRPr="003061F1" w:rsidRDefault="00FE10BB" w:rsidP="001958BD">
            <w:pPr>
              <w:widowControl w:val="0"/>
              <w:tabs>
                <w:tab w:val="left" w:pos="567"/>
                <w:tab w:val="right" w:pos="4140"/>
                <w:tab w:val="right" w:pos="6480"/>
                <w:tab w:val="right" w:pos="8820"/>
              </w:tabs>
              <w:autoSpaceDE w:val="0"/>
              <w:autoSpaceDN w:val="0"/>
              <w:adjustRightInd w:val="0"/>
              <w:jc w:val="right"/>
              <w:rPr>
                <w:b/>
                <w:sz w:val="20"/>
                <w:szCs w:val="20"/>
              </w:rPr>
            </w:pPr>
            <w:r w:rsidRPr="003061F1">
              <w:rPr>
                <w:b/>
                <w:sz w:val="20"/>
                <w:szCs w:val="20"/>
              </w:rPr>
              <w:t>£</w:t>
            </w:r>
          </w:p>
          <w:p w14:paraId="49515963" w14:textId="77777777" w:rsidR="00FE10BB" w:rsidRPr="003061F1" w:rsidRDefault="00FE10BB" w:rsidP="001958BD">
            <w:pPr>
              <w:widowControl w:val="0"/>
              <w:tabs>
                <w:tab w:val="left" w:pos="567"/>
                <w:tab w:val="right" w:pos="4140"/>
                <w:tab w:val="right" w:pos="6480"/>
                <w:tab w:val="right" w:pos="8820"/>
              </w:tabs>
              <w:autoSpaceDE w:val="0"/>
              <w:autoSpaceDN w:val="0"/>
              <w:adjustRightInd w:val="0"/>
              <w:rPr>
                <w:b/>
                <w:sz w:val="20"/>
                <w:szCs w:val="20"/>
              </w:rPr>
            </w:pPr>
          </w:p>
        </w:tc>
      </w:tr>
      <w:tr w:rsidR="00FE10BB" w:rsidRPr="003061F1" w14:paraId="0BE05614" w14:textId="77777777" w:rsidTr="001958BD">
        <w:tc>
          <w:tcPr>
            <w:tcW w:w="5082" w:type="dxa"/>
          </w:tcPr>
          <w:p w14:paraId="161E8C24" w14:textId="77777777" w:rsidR="00FE10BB" w:rsidRPr="003061F1" w:rsidRDefault="00FE10BB" w:rsidP="001958BD">
            <w:pPr>
              <w:widowControl w:val="0"/>
              <w:tabs>
                <w:tab w:val="left" w:pos="567"/>
                <w:tab w:val="right" w:pos="4140"/>
                <w:tab w:val="right" w:pos="6480"/>
                <w:tab w:val="right" w:pos="8820"/>
              </w:tabs>
              <w:autoSpaceDE w:val="0"/>
              <w:autoSpaceDN w:val="0"/>
              <w:adjustRightInd w:val="0"/>
              <w:rPr>
                <w:b/>
                <w:sz w:val="20"/>
                <w:szCs w:val="20"/>
              </w:rPr>
            </w:pPr>
          </w:p>
          <w:p w14:paraId="2CF30112" w14:textId="68A48C4F" w:rsidR="00FE10BB" w:rsidRDefault="00874198" w:rsidP="001958BD">
            <w:pPr>
              <w:widowControl w:val="0"/>
              <w:tabs>
                <w:tab w:val="left" w:pos="567"/>
                <w:tab w:val="right" w:pos="4140"/>
                <w:tab w:val="right" w:pos="6480"/>
                <w:tab w:val="right" w:pos="8820"/>
              </w:tabs>
              <w:autoSpaceDE w:val="0"/>
              <w:autoSpaceDN w:val="0"/>
              <w:adjustRightInd w:val="0"/>
              <w:rPr>
                <w:sz w:val="20"/>
                <w:szCs w:val="20"/>
              </w:rPr>
            </w:pPr>
            <w:r>
              <w:rPr>
                <w:sz w:val="20"/>
                <w:szCs w:val="20"/>
              </w:rPr>
              <w:t>Contribution from The Equality Human Rights and Delivering Social Change Unit of The Executive Office for the review and update of the Northern Ireland Civil Service website resource guide</w:t>
            </w:r>
          </w:p>
          <w:p w14:paraId="7F9E52D4" w14:textId="77777777" w:rsidR="00FE10BB" w:rsidRPr="003061F1" w:rsidRDefault="00FE10BB" w:rsidP="00EF4A8A">
            <w:pPr>
              <w:widowControl w:val="0"/>
              <w:tabs>
                <w:tab w:val="left" w:pos="567"/>
                <w:tab w:val="right" w:pos="4140"/>
                <w:tab w:val="right" w:pos="6480"/>
                <w:tab w:val="right" w:pos="8820"/>
              </w:tabs>
              <w:autoSpaceDE w:val="0"/>
              <w:autoSpaceDN w:val="0"/>
              <w:adjustRightInd w:val="0"/>
              <w:rPr>
                <w:sz w:val="20"/>
                <w:szCs w:val="20"/>
              </w:rPr>
            </w:pPr>
          </w:p>
        </w:tc>
        <w:tc>
          <w:tcPr>
            <w:tcW w:w="1935" w:type="dxa"/>
            <w:tcBorders>
              <w:bottom w:val="single" w:sz="4" w:space="0" w:color="auto"/>
            </w:tcBorders>
          </w:tcPr>
          <w:p w14:paraId="77DC9B81" w14:textId="77777777" w:rsidR="00FE10BB" w:rsidRDefault="00FE10BB" w:rsidP="001958BD">
            <w:pPr>
              <w:widowControl w:val="0"/>
              <w:tabs>
                <w:tab w:val="left" w:pos="567"/>
                <w:tab w:val="right" w:pos="4140"/>
                <w:tab w:val="right" w:pos="6480"/>
                <w:tab w:val="right" w:pos="8820"/>
              </w:tabs>
              <w:autoSpaceDE w:val="0"/>
              <w:autoSpaceDN w:val="0"/>
              <w:adjustRightInd w:val="0"/>
              <w:jc w:val="right"/>
              <w:rPr>
                <w:sz w:val="20"/>
                <w:szCs w:val="20"/>
              </w:rPr>
            </w:pPr>
          </w:p>
          <w:p w14:paraId="654693E1" w14:textId="77777777" w:rsidR="00FE10BB" w:rsidRDefault="00FE10BB" w:rsidP="001958BD">
            <w:pPr>
              <w:widowControl w:val="0"/>
              <w:tabs>
                <w:tab w:val="left" w:pos="567"/>
                <w:tab w:val="right" w:pos="4140"/>
                <w:tab w:val="right" w:pos="6480"/>
                <w:tab w:val="right" w:pos="8820"/>
              </w:tabs>
              <w:autoSpaceDE w:val="0"/>
              <w:autoSpaceDN w:val="0"/>
              <w:adjustRightInd w:val="0"/>
              <w:jc w:val="right"/>
              <w:rPr>
                <w:sz w:val="20"/>
                <w:szCs w:val="20"/>
              </w:rPr>
            </w:pPr>
          </w:p>
          <w:p w14:paraId="5FA40DDB" w14:textId="77777777" w:rsidR="00FE10BB" w:rsidRDefault="00FE10BB" w:rsidP="001958BD">
            <w:pPr>
              <w:widowControl w:val="0"/>
              <w:tabs>
                <w:tab w:val="left" w:pos="567"/>
                <w:tab w:val="right" w:pos="4140"/>
                <w:tab w:val="right" w:pos="6480"/>
                <w:tab w:val="right" w:pos="8820"/>
              </w:tabs>
              <w:autoSpaceDE w:val="0"/>
              <w:autoSpaceDN w:val="0"/>
              <w:adjustRightInd w:val="0"/>
              <w:jc w:val="right"/>
              <w:rPr>
                <w:sz w:val="20"/>
                <w:szCs w:val="20"/>
              </w:rPr>
            </w:pPr>
          </w:p>
          <w:p w14:paraId="33B472B6" w14:textId="5E69C550" w:rsidR="00FE10BB" w:rsidRDefault="00874198" w:rsidP="001958BD">
            <w:pPr>
              <w:widowControl w:val="0"/>
              <w:tabs>
                <w:tab w:val="left" w:pos="567"/>
                <w:tab w:val="right" w:pos="4140"/>
                <w:tab w:val="right" w:pos="6480"/>
                <w:tab w:val="right" w:pos="8820"/>
              </w:tabs>
              <w:autoSpaceDE w:val="0"/>
              <w:autoSpaceDN w:val="0"/>
              <w:adjustRightInd w:val="0"/>
              <w:jc w:val="right"/>
              <w:rPr>
                <w:sz w:val="20"/>
                <w:szCs w:val="20"/>
              </w:rPr>
            </w:pPr>
            <w:r>
              <w:rPr>
                <w:sz w:val="20"/>
                <w:szCs w:val="20"/>
              </w:rPr>
              <w:t>7,702</w:t>
            </w:r>
          </w:p>
          <w:p w14:paraId="2CA17607" w14:textId="77777777" w:rsidR="00FE10BB" w:rsidRDefault="00FE10BB" w:rsidP="001958BD">
            <w:pPr>
              <w:widowControl w:val="0"/>
              <w:tabs>
                <w:tab w:val="left" w:pos="567"/>
                <w:tab w:val="right" w:pos="4140"/>
                <w:tab w:val="right" w:pos="6480"/>
                <w:tab w:val="right" w:pos="8820"/>
              </w:tabs>
              <w:autoSpaceDE w:val="0"/>
              <w:autoSpaceDN w:val="0"/>
              <w:adjustRightInd w:val="0"/>
              <w:jc w:val="right"/>
              <w:rPr>
                <w:sz w:val="20"/>
                <w:szCs w:val="20"/>
              </w:rPr>
            </w:pPr>
          </w:p>
          <w:p w14:paraId="4939B014" w14:textId="77777777" w:rsidR="00FE10BB" w:rsidRDefault="00FE10BB" w:rsidP="001958BD">
            <w:pPr>
              <w:widowControl w:val="0"/>
              <w:tabs>
                <w:tab w:val="left" w:pos="567"/>
                <w:tab w:val="right" w:pos="4140"/>
                <w:tab w:val="right" w:pos="6480"/>
                <w:tab w:val="right" w:pos="8820"/>
              </w:tabs>
              <w:autoSpaceDE w:val="0"/>
              <w:autoSpaceDN w:val="0"/>
              <w:adjustRightInd w:val="0"/>
              <w:jc w:val="right"/>
              <w:rPr>
                <w:sz w:val="20"/>
                <w:szCs w:val="20"/>
              </w:rPr>
            </w:pPr>
          </w:p>
          <w:p w14:paraId="3EA466D1" w14:textId="77777777" w:rsidR="00FE10BB" w:rsidRPr="003061F1" w:rsidRDefault="00FE10BB" w:rsidP="00EF4A8A">
            <w:pPr>
              <w:widowControl w:val="0"/>
              <w:tabs>
                <w:tab w:val="left" w:pos="567"/>
                <w:tab w:val="right" w:pos="4140"/>
                <w:tab w:val="right" w:pos="6480"/>
                <w:tab w:val="right" w:pos="8820"/>
              </w:tabs>
              <w:autoSpaceDE w:val="0"/>
              <w:autoSpaceDN w:val="0"/>
              <w:adjustRightInd w:val="0"/>
              <w:rPr>
                <w:sz w:val="20"/>
                <w:szCs w:val="20"/>
              </w:rPr>
            </w:pPr>
          </w:p>
        </w:tc>
        <w:tc>
          <w:tcPr>
            <w:tcW w:w="2054" w:type="dxa"/>
            <w:tcBorders>
              <w:bottom w:val="single" w:sz="4" w:space="0" w:color="auto"/>
            </w:tcBorders>
          </w:tcPr>
          <w:p w14:paraId="44092AB4" w14:textId="77777777" w:rsidR="00FE10BB" w:rsidRPr="003061F1" w:rsidRDefault="00FE10BB" w:rsidP="001958BD">
            <w:pPr>
              <w:widowControl w:val="0"/>
              <w:tabs>
                <w:tab w:val="left" w:pos="567"/>
                <w:tab w:val="right" w:pos="4140"/>
                <w:tab w:val="right" w:pos="6480"/>
                <w:tab w:val="right" w:pos="8820"/>
              </w:tabs>
              <w:autoSpaceDE w:val="0"/>
              <w:autoSpaceDN w:val="0"/>
              <w:adjustRightInd w:val="0"/>
              <w:jc w:val="right"/>
              <w:rPr>
                <w:b/>
                <w:sz w:val="20"/>
                <w:szCs w:val="20"/>
              </w:rPr>
            </w:pPr>
          </w:p>
          <w:p w14:paraId="2EB81FDF" w14:textId="77777777" w:rsidR="00FE10BB" w:rsidRDefault="00FE10BB" w:rsidP="001958BD">
            <w:pPr>
              <w:widowControl w:val="0"/>
              <w:tabs>
                <w:tab w:val="left" w:pos="567"/>
                <w:tab w:val="right" w:pos="4140"/>
                <w:tab w:val="right" w:pos="6480"/>
                <w:tab w:val="right" w:pos="8820"/>
              </w:tabs>
              <w:autoSpaceDE w:val="0"/>
              <w:autoSpaceDN w:val="0"/>
              <w:adjustRightInd w:val="0"/>
              <w:jc w:val="right"/>
              <w:rPr>
                <w:sz w:val="20"/>
                <w:szCs w:val="20"/>
              </w:rPr>
            </w:pPr>
          </w:p>
          <w:p w14:paraId="68AB77BD" w14:textId="77777777" w:rsidR="00FE10BB" w:rsidRDefault="00FE10BB" w:rsidP="001958BD">
            <w:pPr>
              <w:widowControl w:val="0"/>
              <w:tabs>
                <w:tab w:val="left" w:pos="567"/>
                <w:tab w:val="right" w:pos="4140"/>
                <w:tab w:val="right" w:pos="6480"/>
                <w:tab w:val="right" w:pos="8820"/>
              </w:tabs>
              <w:autoSpaceDE w:val="0"/>
              <w:autoSpaceDN w:val="0"/>
              <w:adjustRightInd w:val="0"/>
              <w:jc w:val="right"/>
              <w:rPr>
                <w:sz w:val="20"/>
                <w:szCs w:val="20"/>
              </w:rPr>
            </w:pPr>
          </w:p>
          <w:p w14:paraId="151D83AD" w14:textId="71094369" w:rsidR="00FE10BB" w:rsidRDefault="00874198" w:rsidP="001958BD">
            <w:pPr>
              <w:widowControl w:val="0"/>
              <w:tabs>
                <w:tab w:val="left" w:pos="567"/>
                <w:tab w:val="right" w:pos="4140"/>
                <w:tab w:val="right" w:pos="6480"/>
                <w:tab w:val="right" w:pos="8820"/>
              </w:tabs>
              <w:autoSpaceDE w:val="0"/>
              <w:autoSpaceDN w:val="0"/>
              <w:adjustRightInd w:val="0"/>
              <w:jc w:val="right"/>
              <w:rPr>
                <w:sz w:val="20"/>
                <w:szCs w:val="20"/>
              </w:rPr>
            </w:pPr>
            <w:r>
              <w:rPr>
                <w:sz w:val="20"/>
                <w:szCs w:val="20"/>
              </w:rPr>
              <w:t>-</w:t>
            </w:r>
          </w:p>
          <w:p w14:paraId="28513A8C" w14:textId="77777777" w:rsidR="00FE10BB" w:rsidRDefault="00FE10BB" w:rsidP="001958BD">
            <w:pPr>
              <w:widowControl w:val="0"/>
              <w:tabs>
                <w:tab w:val="left" w:pos="567"/>
                <w:tab w:val="right" w:pos="4140"/>
                <w:tab w:val="right" w:pos="6480"/>
                <w:tab w:val="right" w:pos="8820"/>
              </w:tabs>
              <w:autoSpaceDE w:val="0"/>
              <w:autoSpaceDN w:val="0"/>
              <w:adjustRightInd w:val="0"/>
              <w:jc w:val="right"/>
              <w:rPr>
                <w:sz w:val="20"/>
                <w:szCs w:val="20"/>
              </w:rPr>
            </w:pPr>
          </w:p>
          <w:p w14:paraId="4F3FD743" w14:textId="77777777" w:rsidR="00FE10BB" w:rsidRDefault="00FE10BB" w:rsidP="001958BD">
            <w:pPr>
              <w:widowControl w:val="0"/>
              <w:tabs>
                <w:tab w:val="left" w:pos="567"/>
                <w:tab w:val="right" w:pos="4140"/>
                <w:tab w:val="right" w:pos="6480"/>
                <w:tab w:val="right" w:pos="8820"/>
              </w:tabs>
              <w:autoSpaceDE w:val="0"/>
              <w:autoSpaceDN w:val="0"/>
              <w:adjustRightInd w:val="0"/>
              <w:jc w:val="right"/>
              <w:rPr>
                <w:sz w:val="20"/>
                <w:szCs w:val="20"/>
              </w:rPr>
            </w:pPr>
          </w:p>
          <w:p w14:paraId="61336616" w14:textId="77777777" w:rsidR="00FE10BB" w:rsidRPr="003061F1" w:rsidRDefault="00FE10BB" w:rsidP="00EF4A8A">
            <w:pPr>
              <w:widowControl w:val="0"/>
              <w:tabs>
                <w:tab w:val="left" w:pos="567"/>
                <w:tab w:val="right" w:pos="4140"/>
                <w:tab w:val="right" w:pos="6480"/>
                <w:tab w:val="right" w:pos="8820"/>
              </w:tabs>
              <w:autoSpaceDE w:val="0"/>
              <w:autoSpaceDN w:val="0"/>
              <w:adjustRightInd w:val="0"/>
              <w:rPr>
                <w:sz w:val="20"/>
                <w:szCs w:val="20"/>
              </w:rPr>
            </w:pPr>
          </w:p>
        </w:tc>
      </w:tr>
      <w:tr w:rsidR="00FE10BB" w:rsidRPr="003061F1" w14:paraId="09CEDABE" w14:textId="77777777" w:rsidTr="001958BD">
        <w:tc>
          <w:tcPr>
            <w:tcW w:w="5082" w:type="dxa"/>
          </w:tcPr>
          <w:p w14:paraId="3852E8F3" w14:textId="77777777" w:rsidR="00FE10BB" w:rsidRPr="003061F1" w:rsidRDefault="00FE10BB" w:rsidP="001958BD">
            <w:pPr>
              <w:widowControl w:val="0"/>
              <w:tabs>
                <w:tab w:val="left" w:pos="567"/>
                <w:tab w:val="right" w:pos="4140"/>
                <w:tab w:val="right" w:pos="6480"/>
                <w:tab w:val="right" w:pos="8820"/>
              </w:tabs>
              <w:autoSpaceDE w:val="0"/>
              <w:autoSpaceDN w:val="0"/>
              <w:adjustRightInd w:val="0"/>
              <w:rPr>
                <w:b/>
                <w:sz w:val="20"/>
                <w:szCs w:val="20"/>
              </w:rPr>
            </w:pPr>
          </w:p>
          <w:p w14:paraId="5FBF8825" w14:textId="77777777" w:rsidR="00FE10BB" w:rsidRPr="003061F1" w:rsidRDefault="00FE10BB" w:rsidP="001958BD">
            <w:pPr>
              <w:widowControl w:val="0"/>
              <w:tabs>
                <w:tab w:val="left" w:pos="567"/>
                <w:tab w:val="right" w:pos="4140"/>
                <w:tab w:val="right" w:pos="6480"/>
                <w:tab w:val="right" w:pos="8820"/>
              </w:tabs>
              <w:autoSpaceDE w:val="0"/>
              <w:autoSpaceDN w:val="0"/>
              <w:adjustRightInd w:val="0"/>
              <w:rPr>
                <w:b/>
                <w:sz w:val="20"/>
                <w:szCs w:val="20"/>
              </w:rPr>
            </w:pPr>
            <w:r w:rsidRPr="003061F1">
              <w:rPr>
                <w:b/>
                <w:sz w:val="20"/>
                <w:szCs w:val="20"/>
              </w:rPr>
              <w:t>Total</w:t>
            </w:r>
          </w:p>
        </w:tc>
        <w:tc>
          <w:tcPr>
            <w:tcW w:w="1935" w:type="dxa"/>
            <w:tcBorders>
              <w:top w:val="single" w:sz="4" w:space="0" w:color="auto"/>
            </w:tcBorders>
          </w:tcPr>
          <w:p w14:paraId="51D6D36C" w14:textId="77777777" w:rsidR="00FE10BB" w:rsidRDefault="00FE10BB" w:rsidP="001958BD">
            <w:pPr>
              <w:widowControl w:val="0"/>
              <w:tabs>
                <w:tab w:val="left" w:pos="567"/>
                <w:tab w:val="right" w:pos="4140"/>
                <w:tab w:val="right" w:pos="6480"/>
                <w:tab w:val="right" w:pos="8820"/>
              </w:tabs>
              <w:autoSpaceDE w:val="0"/>
              <w:autoSpaceDN w:val="0"/>
              <w:adjustRightInd w:val="0"/>
              <w:jc w:val="right"/>
              <w:rPr>
                <w:b/>
                <w:sz w:val="20"/>
                <w:szCs w:val="20"/>
              </w:rPr>
            </w:pPr>
          </w:p>
          <w:p w14:paraId="3979CA39" w14:textId="130AF4A5" w:rsidR="00FE10BB" w:rsidRPr="003061F1" w:rsidRDefault="00EF4A8A" w:rsidP="001958BD">
            <w:pPr>
              <w:widowControl w:val="0"/>
              <w:tabs>
                <w:tab w:val="left" w:pos="567"/>
                <w:tab w:val="right" w:pos="4140"/>
                <w:tab w:val="right" w:pos="6480"/>
                <w:tab w:val="right" w:pos="8820"/>
              </w:tabs>
              <w:autoSpaceDE w:val="0"/>
              <w:autoSpaceDN w:val="0"/>
              <w:adjustRightInd w:val="0"/>
              <w:jc w:val="right"/>
              <w:rPr>
                <w:b/>
                <w:sz w:val="20"/>
                <w:szCs w:val="20"/>
              </w:rPr>
            </w:pPr>
            <w:r>
              <w:rPr>
                <w:b/>
                <w:sz w:val="20"/>
                <w:szCs w:val="20"/>
              </w:rPr>
              <w:t>7,702</w:t>
            </w:r>
          </w:p>
        </w:tc>
        <w:tc>
          <w:tcPr>
            <w:tcW w:w="2054" w:type="dxa"/>
            <w:tcBorders>
              <w:top w:val="single" w:sz="4" w:space="0" w:color="auto"/>
            </w:tcBorders>
          </w:tcPr>
          <w:p w14:paraId="104FCD71" w14:textId="77777777" w:rsidR="00FE10BB" w:rsidRPr="003061F1" w:rsidRDefault="00FE10BB" w:rsidP="001958BD">
            <w:pPr>
              <w:widowControl w:val="0"/>
              <w:tabs>
                <w:tab w:val="left" w:pos="567"/>
                <w:tab w:val="right" w:pos="4140"/>
                <w:tab w:val="right" w:pos="6480"/>
                <w:tab w:val="right" w:pos="8820"/>
              </w:tabs>
              <w:autoSpaceDE w:val="0"/>
              <w:autoSpaceDN w:val="0"/>
              <w:adjustRightInd w:val="0"/>
              <w:jc w:val="right"/>
              <w:rPr>
                <w:b/>
                <w:sz w:val="20"/>
                <w:szCs w:val="20"/>
              </w:rPr>
            </w:pPr>
          </w:p>
          <w:p w14:paraId="60892EA2" w14:textId="1BF4F9B5" w:rsidR="00FE10BB" w:rsidRPr="003061F1" w:rsidRDefault="00874198" w:rsidP="001958BD">
            <w:pPr>
              <w:widowControl w:val="0"/>
              <w:tabs>
                <w:tab w:val="left" w:pos="567"/>
                <w:tab w:val="right" w:pos="4140"/>
                <w:tab w:val="right" w:pos="6480"/>
                <w:tab w:val="right" w:pos="8820"/>
              </w:tabs>
              <w:autoSpaceDE w:val="0"/>
              <w:autoSpaceDN w:val="0"/>
              <w:adjustRightInd w:val="0"/>
              <w:jc w:val="right"/>
              <w:rPr>
                <w:b/>
                <w:sz w:val="20"/>
                <w:szCs w:val="20"/>
              </w:rPr>
            </w:pPr>
            <w:r>
              <w:rPr>
                <w:b/>
                <w:sz w:val="20"/>
                <w:szCs w:val="20"/>
              </w:rPr>
              <w:t>-</w:t>
            </w:r>
          </w:p>
        </w:tc>
      </w:tr>
    </w:tbl>
    <w:p w14:paraId="5FAA4EFD" w14:textId="77777777" w:rsidR="00FE10BB" w:rsidRPr="003061F1" w:rsidRDefault="00FE10BB" w:rsidP="00FE10BB">
      <w:pPr>
        <w:widowControl w:val="0"/>
        <w:tabs>
          <w:tab w:val="left" w:pos="567"/>
          <w:tab w:val="right" w:pos="4140"/>
          <w:tab w:val="right" w:pos="6480"/>
          <w:tab w:val="right" w:pos="8820"/>
        </w:tabs>
        <w:autoSpaceDE w:val="0"/>
        <w:autoSpaceDN w:val="0"/>
        <w:adjustRightInd w:val="0"/>
        <w:rPr>
          <w:sz w:val="20"/>
          <w:szCs w:val="20"/>
        </w:rPr>
      </w:pPr>
    </w:p>
    <w:p w14:paraId="7C3D9E02" w14:textId="77777777" w:rsidR="00FE10BB" w:rsidRDefault="00FE10BB" w:rsidP="002B369A">
      <w:pPr>
        <w:widowControl w:val="0"/>
        <w:tabs>
          <w:tab w:val="left" w:pos="567"/>
          <w:tab w:val="right" w:pos="4140"/>
          <w:tab w:val="right" w:pos="6480"/>
          <w:tab w:val="right" w:pos="8820"/>
        </w:tabs>
        <w:autoSpaceDE w:val="0"/>
        <w:autoSpaceDN w:val="0"/>
        <w:adjustRightInd w:val="0"/>
      </w:pPr>
    </w:p>
    <w:p w14:paraId="3A8D04D8" w14:textId="77777777" w:rsidR="00874198" w:rsidRDefault="00874198" w:rsidP="00874198">
      <w:r>
        <w:t>In line with its accounting policy, the Commission has applied the requirements of IFRS 15 to income received from sources other than the NIO, for specific projects.  The Commission seeks to recover any associated costs for the projects in line with the contract.</w:t>
      </w:r>
    </w:p>
    <w:p w14:paraId="44972C70" w14:textId="77777777" w:rsidR="00874198" w:rsidRDefault="00874198" w:rsidP="00874198"/>
    <w:p w14:paraId="23106A62" w14:textId="46411979" w:rsidR="00874198" w:rsidRDefault="00874198" w:rsidP="00874198">
      <w:r>
        <w:t>The recognised income of £7,702 received from The Equality and Human Rights Delivering Social Change Unit of The Executive Office was for the Commission</w:t>
      </w:r>
      <w:r w:rsidR="00F83D83">
        <w:t>’s</w:t>
      </w:r>
      <w:r>
        <w:t xml:space="preserve"> work on review</w:t>
      </w:r>
      <w:r w:rsidR="00F83D83">
        <w:t>ing</w:t>
      </w:r>
      <w:r>
        <w:t xml:space="preserve"> and updat</w:t>
      </w:r>
      <w:r w:rsidR="00F83D83">
        <w:t xml:space="preserve">ing </w:t>
      </w:r>
      <w:r>
        <w:t>the Northern Ireland Civil Service website resource guide.</w:t>
      </w:r>
    </w:p>
    <w:p w14:paraId="5B64032B" w14:textId="77777777" w:rsidR="00FD0AA4" w:rsidRDefault="00FD0AA4" w:rsidP="003C598E"/>
    <w:p w14:paraId="1ECA05A9" w14:textId="1FBE1CCF" w:rsidR="000C2A54" w:rsidRDefault="000C2A54" w:rsidP="003C598E">
      <w:pPr>
        <w:rPr>
          <w:b/>
        </w:rPr>
      </w:pPr>
      <w:r w:rsidRPr="00676064">
        <w:rPr>
          <w:b/>
        </w:rPr>
        <w:t>6.</w:t>
      </w:r>
      <w:r w:rsidRPr="00676064">
        <w:rPr>
          <w:b/>
        </w:rPr>
        <w:tab/>
        <w:t>Property, plant and equipment</w:t>
      </w:r>
    </w:p>
    <w:p w14:paraId="4747ED26" w14:textId="77777777" w:rsidR="00D651FB" w:rsidRDefault="00D651FB" w:rsidP="003C598E">
      <w:pPr>
        <w:rPr>
          <w:b/>
        </w:rPr>
      </w:pPr>
    </w:p>
    <w:tbl>
      <w:tblPr>
        <w:tblW w:w="8506" w:type="dxa"/>
        <w:tblLayout w:type="fixed"/>
        <w:tblLook w:val="01E0" w:firstRow="1" w:lastRow="1" w:firstColumn="1" w:lastColumn="1" w:noHBand="0" w:noVBand="0"/>
      </w:tblPr>
      <w:tblGrid>
        <w:gridCol w:w="2801"/>
        <w:gridCol w:w="1701"/>
        <w:gridCol w:w="1417"/>
        <w:gridCol w:w="1133"/>
        <w:gridCol w:w="1454"/>
      </w:tblGrid>
      <w:tr w:rsidR="00054872" w:rsidRPr="00863EC6" w14:paraId="74F39E40" w14:textId="77777777" w:rsidTr="00054872">
        <w:tc>
          <w:tcPr>
            <w:tcW w:w="2801" w:type="dxa"/>
          </w:tcPr>
          <w:p w14:paraId="2D61B2F5" w14:textId="1CCAE1C8" w:rsidR="00054872" w:rsidRPr="00D35926" w:rsidRDefault="00054872" w:rsidP="00D651FB">
            <w:pPr>
              <w:rPr>
                <w:b/>
                <w:sz w:val="22"/>
                <w:szCs w:val="22"/>
              </w:rPr>
            </w:pPr>
            <w:r>
              <w:rPr>
                <w:b/>
                <w:sz w:val="22"/>
                <w:szCs w:val="22"/>
              </w:rPr>
              <w:t>202</w:t>
            </w:r>
            <w:r w:rsidR="00C84610">
              <w:rPr>
                <w:b/>
                <w:sz w:val="22"/>
                <w:szCs w:val="22"/>
              </w:rPr>
              <w:t>2</w:t>
            </w:r>
            <w:r>
              <w:rPr>
                <w:b/>
                <w:sz w:val="22"/>
                <w:szCs w:val="22"/>
              </w:rPr>
              <w:t>-2</w:t>
            </w:r>
            <w:r w:rsidR="00C84610">
              <w:rPr>
                <w:b/>
                <w:sz w:val="22"/>
                <w:szCs w:val="22"/>
              </w:rPr>
              <w:t>3</w:t>
            </w:r>
          </w:p>
        </w:tc>
        <w:tc>
          <w:tcPr>
            <w:tcW w:w="1701" w:type="dxa"/>
          </w:tcPr>
          <w:p w14:paraId="181B26EA" w14:textId="77777777" w:rsidR="00054872" w:rsidRPr="00F267CA" w:rsidRDefault="00054872" w:rsidP="00C84610">
            <w:pPr>
              <w:ind w:right="-171"/>
              <w:jc w:val="center"/>
              <w:rPr>
                <w:rFonts w:cs="Arial"/>
                <w:b/>
                <w:sz w:val="16"/>
                <w:szCs w:val="16"/>
              </w:rPr>
            </w:pPr>
            <w:r w:rsidRPr="00F267CA">
              <w:rPr>
                <w:rFonts w:cs="Arial"/>
                <w:b/>
                <w:sz w:val="16"/>
                <w:szCs w:val="16"/>
              </w:rPr>
              <w:t>Leasehold Improvements</w:t>
            </w:r>
          </w:p>
        </w:tc>
        <w:tc>
          <w:tcPr>
            <w:tcW w:w="1417" w:type="dxa"/>
          </w:tcPr>
          <w:p w14:paraId="64B0A48A" w14:textId="77777777" w:rsidR="00054872" w:rsidRPr="00F267CA" w:rsidRDefault="00054872" w:rsidP="00C84610">
            <w:pPr>
              <w:jc w:val="center"/>
              <w:rPr>
                <w:b/>
                <w:sz w:val="16"/>
                <w:szCs w:val="16"/>
              </w:rPr>
            </w:pPr>
            <w:r w:rsidRPr="00F267CA">
              <w:rPr>
                <w:b/>
                <w:sz w:val="16"/>
                <w:szCs w:val="16"/>
              </w:rPr>
              <w:t>Information technology</w:t>
            </w:r>
          </w:p>
        </w:tc>
        <w:tc>
          <w:tcPr>
            <w:tcW w:w="1133" w:type="dxa"/>
          </w:tcPr>
          <w:p w14:paraId="67A5318D" w14:textId="77777777" w:rsidR="00054872" w:rsidRPr="00F267CA" w:rsidRDefault="00054872" w:rsidP="00C84610">
            <w:pPr>
              <w:jc w:val="center"/>
              <w:rPr>
                <w:b/>
                <w:sz w:val="16"/>
                <w:szCs w:val="16"/>
              </w:rPr>
            </w:pPr>
            <w:r w:rsidRPr="00F267CA">
              <w:rPr>
                <w:b/>
                <w:sz w:val="16"/>
                <w:szCs w:val="16"/>
              </w:rPr>
              <w:t>Furniture &amp; fittings</w:t>
            </w:r>
          </w:p>
        </w:tc>
        <w:tc>
          <w:tcPr>
            <w:tcW w:w="1454" w:type="dxa"/>
          </w:tcPr>
          <w:p w14:paraId="671C78E3" w14:textId="77777777" w:rsidR="00054872" w:rsidRPr="00F267CA" w:rsidRDefault="00054872" w:rsidP="00C84610">
            <w:pPr>
              <w:jc w:val="center"/>
              <w:rPr>
                <w:b/>
                <w:sz w:val="16"/>
                <w:szCs w:val="16"/>
              </w:rPr>
            </w:pPr>
            <w:r w:rsidRPr="00F267CA">
              <w:rPr>
                <w:b/>
                <w:sz w:val="16"/>
                <w:szCs w:val="16"/>
              </w:rPr>
              <w:t>Total</w:t>
            </w:r>
          </w:p>
          <w:p w14:paraId="4A5689DC" w14:textId="77777777" w:rsidR="00054872" w:rsidRPr="00F267CA" w:rsidRDefault="00054872" w:rsidP="00C84610">
            <w:pPr>
              <w:jc w:val="center"/>
              <w:rPr>
                <w:b/>
                <w:sz w:val="16"/>
                <w:szCs w:val="16"/>
              </w:rPr>
            </w:pPr>
          </w:p>
        </w:tc>
      </w:tr>
      <w:tr w:rsidR="00054872" w:rsidRPr="00863EC6" w14:paraId="1CDDCA87" w14:textId="77777777" w:rsidTr="00054872">
        <w:tc>
          <w:tcPr>
            <w:tcW w:w="2801" w:type="dxa"/>
          </w:tcPr>
          <w:p w14:paraId="410AFB94" w14:textId="77777777" w:rsidR="00054872" w:rsidRPr="00863EC6" w:rsidRDefault="00054872" w:rsidP="00D651FB">
            <w:pPr>
              <w:rPr>
                <w:b/>
                <w:sz w:val="20"/>
                <w:szCs w:val="20"/>
              </w:rPr>
            </w:pPr>
            <w:r w:rsidRPr="00863EC6">
              <w:rPr>
                <w:b/>
                <w:sz w:val="20"/>
                <w:szCs w:val="20"/>
              </w:rPr>
              <w:t xml:space="preserve">Cost or valuation </w:t>
            </w:r>
          </w:p>
        </w:tc>
        <w:tc>
          <w:tcPr>
            <w:tcW w:w="1701" w:type="dxa"/>
          </w:tcPr>
          <w:p w14:paraId="5D624032" w14:textId="77777777" w:rsidR="00054872" w:rsidRPr="00863EC6" w:rsidRDefault="00054872" w:rsidP="00C84610">
            <w:pPr>
              <w:jc w:val="center"/>
              <w:rPr>
                <w:b/>
                <w:sz w:val="20"/>
                <w:szCs w:val="20"/>
              </w:rPr>
            </w:pPr>
            <w:r w:rsidRPr="00863EC6">
              <w:rPr>
                <w:b/>
                <w:sz w:val="20"/>
                <w:szCs w:val="20"/>
              </w:rPr>
              <w:t>£</w:t>
            </w:r>
          </w:p>
        </w:tc>
        <w:tc>
          <w:tcPr>
            <w:tcW w:w="1417" w:type="dxa"/>
          </w:tcPr>
          <w:p w14:paraId="1D45996E" w14:textId="77777777" w:rsidR="00054872" w:rsidRPr="00863EC6" w:rsidRDefault="00054872" w:rsidP="00C84610">
            <w:pPr>
              <w:jc w:val="center"/>
              <w:rPr>
                <w:b/>
                <w:sz w:val="20"/>
                <w:szCs w:val="20"/>
              </w:rPr>
            </w:pPr>
            <w:r w:rsidRPr="00863EC6">
              <w:rPr>
                <w:b/>
                <w:sz w:val="20"/>
                <w:szCs w:val="20"/>
              </w:rPr>
              <w:t>£</w:t>
            </w:r>
          </w:p>
        </w:tc>
        <w:tc>
          <w:tcPr>
            <w:tcW w:w="1133" w:type="dxa"/>
          </w:tcPr>
          <w:p w14:paraId="121BCD95" w14:textId="77777777" w:rsidR="00054872" w:rsidRPr="00863EC6" w:rsidRDefault="00054872" w:rsidP="00C84610">
            <w:pPr>
              <w:jc w:val="center"/>
              <w:rPr>
                <w:b/>
                <w:sz w:val="20"/>
                <w:szCs w:val="20"/>
              </w:rPr>
            </w:pPr>
            <w:r w:rsidRPr="00863EC6">
              <w:rPr>
                <w:b/>
                <w:sz w:val="20"/>
                <w:szCs w:val="20"/>
              </w:rPr>
              <w:t>£</w:t>
            </w:r>
          </w:p>
        </w:tc>
        <w:tc>
          <w:tcPr>
            <w:tcW w:w="1454" w:type="dxa"/>
          </w:tcPr>
          <w:p w14:paraId="5AC6EF79" w14:textId="77777777" w:rsidR="00054872" w:rsidRPr="00863EC6" w:rsidRDefault="00054872" w:rsidP="00C84610">
            <w:pPr>
              <w:jc w:val="center"/>
              <w:rPr>
                <w:b/>
                <w:sz w:val="20"/>
                <w:szCs w:val="20"/>
              </w:rPr>
            </w:pPr>
            <w:r w:rsidRPr="00863EC6">
              <w:rPr>
                <w:b/>
                <w:sz w:val="20"/>
                <w:szCs w:val="20"/>
              </w:rPr>
              <w:t>£</w:t>
            </w:r>
          </w:p>
        </w:tc>
      </w:tr>
      <w:tr w:rsidR="00054872" w:rsidRPr="00863EC6" w14:paraId="7808519D" w14:textId="77777777" w:rsidTr="00054872">
        <w:tc>
          <w:tcPr>
            <w:tcW w:w="2801" w:type="dxa"/>
          </w:tcPr>
          <w:p w14:paraId="03AF6128" w14:textId="26BF3A6E" w:rsidR="00054872" w:rsidRPr="00863EC6" w:rsidRDefault="00054872" w:rsidP="00D651FB">
            <w:pPr>
              <w:rPr>
                <w:sz w:val="20"/>
                <w:szCs w:val="20"/>
              </w:rPr>
            </w:pPr>
            <w:r w:rsidRPr="00863EC6">
              <w:rPr>
                <w:sz w:val="20"/>
                <w:szCs w:val="20"/>
              </w:rPr>
              <w:t>At 1 April 20</w:t>
            </w:r>
            <w:r>
              <w:rPr>
                <w:sz w:val="20"/>
                <w:szCs w:val="20"/>
              </w:rPr>
              <w:t>2</w:t>
            </w:r>
            <w:r w:rsidR="00C84610">
              <w:rPr>
                <w:sz w:val="20"/>
                <w:szCs w:val="20"/>
              </w:rPr>
              <w:t>2</w:t>
            </w:r>
          </w:p>
        </w:tc>
        <w:tc>
          <w:tcPr>
            <w:tcW w:w="1701" w:type="dxa"/>
          </w:tcPr>
          <w:p w14:paraId="7A2EF346" w14:textId="508E6C9D" w:rsidR="00054872" w:rsidRPr="00863EC6" w:rsidRDefault="00054872" w:rsidP="00C84610">
            <w:pPr>
              <w:jc w:val="center"/>
              <w:rPr>
                <w:sz w:val="20"/>
                <w:szCs w:val="20"/>
              </w:rPr>
            </w:pPr>
            <w:r>
              <w:rPr>
                <w:sz w:val="20"/>
                <w:szCs w:val="20"/>
              </w:rPr>
              <w:t>5</w:t>
            </w:r>
            <w:r w:rsidR="00C84610">
              <w:rPr>
                <w:sz w:val="20"/>
                <w:szCs w:val="20"/>
              </w:rPr>
              <w:t>79,834</w:t>
            </w:r>
          </w:p>
        </w:tc>
        <w:tc>
          <w:tcPr>
            <w:tcW w:w="1417" w:type="dxa"/>
          </w:tcPr>
          <w:p w14:paraId="7637CA06" w14:textId="03B6A61C" w:rsidR="00054872" w:rsidRPr="00863EC6" w:rsidRDefault="00C84610" w:rsidP="00C84610">
            <w:pPr>
              <w:jc w:val="center"/>
              <w:rPr>
                <w:sz w:val="20"/>
                <w:szCs w:val="20"/>
              </w:rPr>
            </w:pPr>
            <w:r>
              <w:rPr>
                <w:sz w:val="20"/>
                <w:szCs w:val="20"/>
              </w:rPr>
              <w:t>91,493</w:t>
            </w:r>
          </w:p>
        </w:tc>
        <w:tc>
          <w:tcPr>
            <w:tcW w:w="1133" w:type="dxa"/>
          </w:tcPr>
          <w:p w14:paraId="554E4349" w14:textId="77777777" w:rsidR="00054872" w:rsidRPr="00863EC6" w:rsidRDefault="00054872" w:rsidP="00C84610">
            <w:pPr>
              <w:jc w:val="center"/>
              <w:rPr>
                <w:sz w:val="20"/>
                <w:szCs w:val="20"/>
              </w:rPr>
            </w:pPr>
            <w:r>
              <w:rPr>
                <w:sz w:val="20"/>
                <w:szCs w:val="20"/>
              </w:rPr>
              <w:t>93,393</w:t>
            </w:r>
          </w:p>
        </w:tc>
        <w:tc>
          <w:tcPr>
            <w:tcW w:w="1454" w:type="dxa"/>
          </w:tcPr>
          <w:p w14:paraId="3C287B20" w14:textId="221DE9C0" w:rsidR="00054872" w:rsidRPr="00863EC6" w:rsidRDefault="00054872" w:rsidP="00C84610">
            <w:pPr>
              <w:jc w:val="center"/>
              <w:rPr>
                <w:sz w:val="20"/>
                <w:szCs w:val="20"/>
              </w:rPr>
            </w:pPr>
            <w:r>
              <w:rPr>
                <w:sz w:val="20"/>
                <w:szCs w:val="20"/>
              </w:rPr>
              <w:t>7</w:t>
            </w:r>
            <w:r w:rsidR="00C84610">
              <w:rPr>
                <w:sz w:val="20"/>
                <w:szCs w:val="20"/>
              </w:rPr>
              <w:t>64,720</w:t>
            </w:r>
          </w:p>
        </w:tc>
      </w:tr>
      <w:tr w:rsidR="00054872" w:rsidRPr="00863EC6" w14:paraId="717FE054" w14:textId="77777777" w:rsidTr="00054872">
        <w:tc>
          <w:tcPr>
            <w:tcW w:w="2801" w:type="dxa"/>
          </w:tcPr>
          <w:p w14:paraId="722FEFD0" w14:textId="77777777" w:rsidR="00054872" w:rsidRPr="00863EC6" w:rsidRDefault="00054872" w:rsidP="00D651FB">
            <w:pPr>
              <w:rPr>
                <w:sz w:val="20"/>
                <w:szCs w:val="20"/>
              </w:rPr>
            </w:pPr>
            <w:r w:rsidRPr="00863EC6">
              <w:rPr>
                <w:sz w:val="20"/>
                <w:szCs w:val="20"/>
              </w:rPr>
              <w:t>Additions</w:t>
            </w:r>
          </w:p>
        </w:tc>
        <w:tc>
          <w:tcPr>
            <w:tcW w:w="1701" w:type="dxa"/>
          </w:tcPr>
          <w:p w14:paraId="34100177" w14:textId="77777777" w:rsidR="00054872" w:rsidRPr="00863EC6" w:rsidRDefault="00054872" w:rsidP="00C84610">
            <w:pPr>
              <w:jc w:val="center"/>
              <w:rPr>
                <w:sz w:val="20"/>
                <w:szCs w:val="20"/>
              </w:rPr>
            </w:pPr>
            <w:r>
              <w:rPr>
                <w:sz w:val="20"/>
                <w:szCs w:val="20"/>
              </w:rPr>
              <w:t>0</w:t>
            </w:r>
          </w:p>
        </w:tc>
        <w:tc>
          <w:tcPr>
            <w:tcW w:w="1417" w:type="dxa"/>
          </w:tcPr>
          <w:p w14:paraId="6514F24B" w14:textId="1185512C" w:rsidR="00054872" w:rsidRPr="00863EC6" w:rsidRDefault="00C84610" w:rsidP="00C84610">
            <w:pPr>
              <w:jc w:val="center"/>
              <w:rPr>
                <w:sz w:val="20"/>
                <w:szCs w:val="20"/>
              </w:rPr>
            </w:pPr>
            <w:r>
              <w:rPr>
                <w:sz w:val="20"/>
                <w:szCs w:val="20"/>
              </w:rPr>
              <w:t>0</w:t>
            </w:r>
          </w:p>
        </w:tc>
        <w:tc>
          <w:tcPr>
            <w:tcW w:w="1133" w:type="dxa"/>
          </w:tcPr>
          <w:p w14:paraId="6FA00CB2" w14:textId="77777777" w:rsidR="00054872" w:rsidRPr="00863EC6" w:rsidRDefault="00054872" w:rsidP="00C84610">
            <w:pPr>
              <w:jc w:val="center"/>
              <w:rPr>
                <w:sz w:val="20"/>
                <w:szCs w:val="20"/>
              </w:rPr>
            </w:pPr>
            <w:r>
              <w:rPr>
                <w:sz w:val="20"/>
                <w:szCs w:val="20"/>
              </w:rPr>
              <w:t>0</w:t>
            </w:r>
          </w:p>
        </w:tc>
        <w:tc>
          <w:tcPr>
            <w:tcW w:w="1454" w:type="dxa"/>
          </w:tcPr>
          <w:p w14:paraId="1D4EC247" w14:textId="73304219" w:rsidR="00054872" w:rsidRPr="00863EC6" w:rsidRDefault="00C84610" w:rsidP="00C84610">
            <w:pPr>
              <w:jc w:val="center"/>
              <w:rPr>
                <w:sz w:val="20"/>
                <w:szCs w:val="20"/>
              </w:rPr>
            </w:pPr>
            <w:r>
              <w:rPr>
                <w:sz w:val="20"/>
                <w:szCs w:val="20"/>
              </w:rPr>
              <w:t>0</w:t>
            </w:r>
          </w:p>
        </w:tc>
      </w:tr>
      <w:tr w:rsidR="00054872" w:rsidRPr="00863EC6" w14:paraId="0235AB98" w14:textId="77777777" w:rsidTr="00054872">
        <w:tc>
          <w:tcPr>
            <w:tcW w:w="2801" w:type="dxa"/>
          </w:tcPr>
          <w:p w14:paraId="51CDDBBE" w14:textId="77777777" w:rsidR="00054872" w:rsidRDefault="00054872" w:rsidP="00D651FB">
            <w:pPr>
              <w:rPr>
                <w:sz w:val="20"/>
                <w:szCs w:val="20"/>
              </w:rPr>
            </w:pPr>
            <w:r>
              <w:rPr>
                <w:sz w:val="20"/>
                <w:szCs w:val="20"/>
              </w:rPr>
              <w:t>Revaluation</w:t>
            </w:r>
          </w:p>
        </w:tc>
        <w:tc>
          <w:tcPr>
            <w:tcW w:w="1701" w:type="dxa"/>
          </w:tcPr>
          <w:p w14:paraId="6173F125" w14:textId="53AEF80B" w:rsidR="00054872" w:rsidRDefault="00C84610" w:rsidP="00C84610">
            <w:pPr>
              <w:jc w:val="center"/>
              <w:rPr>
                <w:sz w:val="20"/>
                <w:szCs w:val="20"/>
              </w:rPr>
            </w:pPr>
            <w:r>
              <w:rPr>
                <w:sz w:val="20"/>
                <w:szCs w:val="20"/>
              </w:rPr>
              <w:t>41,859</w:t>
            </w:r>
          </w:p>
        </w:tc>
        <w:tc>
          <w:tcPr>
            <w:tcW w:w="1417" w:type="dxa"/>
          </w:tcPr>
          <w:p w14:paraId="37F71293" w14:textId="77777777" w:rsidR="00054872" w:rsidRDefault="00054872" w:rsidP="00C84610">
            <w:pPr>
              <w:jc w:val="center"/>
              <w:rPr>
                <w:sz w:val="20"/>
                <w:szCs w:val="20"/>
              </w:rPr>
            </w:pPr>
            <w:r>
              <w:rPr>
                <w:sz w:val="20"/>
                <w:szCs w:val="20"/>
              </w:rPr>
              <w:t>0</w:t>
            </w:r>
          </w:p>
        </w:tc>
        <w:tc>
          <w:tcPr>
            <w:tcW w:w="1133" w:type="dxa"/>
          </w:tcPr>
          <w:p w14:paraId="1C906E17" w14:textId="77777777" w:rsidR="00054872" w:rsidRDefault="00054872" w:rsidP="00C84610">
            <w:pPr>
              <w:jc w:val="center"/>
              <w:rPr>
                <w:sz w:val="20"/>
                <w:szCs w:val="20"/>
              </w:rPr>
            </w:pPr>
            <w:r>
              <w:rPr>
                <w:sz w:val="20"/>
                <w:szCs w:val="20"/>
              </w:rPr>
              <w:t>0</w:t>
            </w:r>
          </w:p>
        </w:tc>
        <w:tc>
          <w:tcPr>
            <w:tcW w:w="1454" w:type="dxa"/>
          </w:tcPr>
          <w:p w14:paraId="7A1B3E65" w14:textId="113DDDE4" w:rsidR="00054872" w:rsidRDefault="00C84610" w:rsidP="00C84610">
            <w:pPr>
              <w:jc w:val="center"/>
              <w:rPr>
                <w:sz w:val="20"/>
                <w:szCs w:val="20"/>
              </w:rPr>
            </w:pPr>
            <w:r>
              <w:rPr>
                <w:sz w:val="20"/>
                <w:szCs w:val="20"/>
              </w:rPr>
              <w:t>41,859</w:t>
            </w:r>
          </w:p>
        </w:tc>
      </w:tr>
      <w:tr w:rsidR="00054872" w:rsidRPr="00863EC6" w14:paraId="3321165D" w14:textId="77777777" w:rsidTr="00054872">
        <w:tc>
          <w:tcPr>
            <w:tcW w:w="2801" w:type="dxa"/>
          </w:tcPr>
          <w:p w14:paraId="6004A648" w14:textId="2D0F302D" w:rsidR="00054872" w:rsidRPr="00863EC6" w:rsidRDefault="00054872" w:rsidP="00D651FB">
            <w:pPr>
              <w:rPr>
                <w:sz w:val="20"/>
                <w:szCs w:val="20"/>
              </w:rPr>
            </w:pPr>
            <w:r w:rsidRPr="00863EC6">
              <w:rPr>
                <w:sz w:val="20"/>
                <w:szCs w:val="20"/>
              </w:rPr>
              <w:t xml:space="preserve">At </w:t>
            </w:r>
            <w:r>
              <w:rPr>
                <w:sz w:val="20"/>
                <w:szCs w:val="20"/>
              </w:rPr>
              <w:t>31 March 202</w:t>
            </w:r>
            <w:r w:rsidR="00C84610">
              <w:rPr>
                <w:sz w:val="20"/>
                <w:szCs w:val="20"/>
              </w:rPr>
              <w:t>3</w:t>
            </w:r>
          </w:p>
        </w:tc>
        <w:tc>
          <w:tcPr>
            <w:tcW w:w="1701" w:type="dxa"/>
            <w:tcBorders>
              <w:top w:val="single" w:sz="4" w:space="0" w:color="auto"/>
              <w:bottom w:val="single" w:sz="4" w:space="0" w:color="auto"/>
            </w:tcBorders>
          </w:tcPr>
          <w:p w14:paraId="2D6BFD9D" w14:textId="1B0F1252" w:rsidR="00054872" w:rsidRPr="00863EC6" w:rsidRDefault="00C84610" w:rsidP="00C84610">
            <w:pPr>
              <w:jc w:val="center"/>
              <w:rPr>
                <w:sz w:val="20"/>
                <w:szCs w:val="20"/>
              </w:rPr>
            </w:pPr>
            <w:r>
              <w:rPr>
                <w:sz w:val="20"/>
                <w:szCs w:val="20"/>
              </w:rPr>
              <w:t>621,693</w:t>
            </w:r>
          </w:p>
        </w:tc>
        <w:tc>
          <w:tcPr>
            <w:tcW w:w="1417" w:type="dxa"/>
            <w:tcBorders>
              <w:top w:val="single" w:sz="4" w:space="0" w:color="auto"/>
              <w:bottom w:val="single" w:sz="4" w:space="0" w:color="auto"/>
            </w:tcBorders>
          </w:tcPr>
          <w:p w14:paraId="22ED3845" w14:textId="77777777" w:rsidR="00054872" w:rsidRPr="00863EC6" w:rsidRDefault="00054872" w:rsidP="00C84610">
            <w:pPr>
              <w:jc w:val="center"/>
              <w:rPr>
                <w:sz w:val="20"/>
                <w:szCs w:val="20"/>
              </w:rPr>
            </w:pPr>
            <w:r>
              <w:rPr>
                <w:sz w:val="20"/>
                <w:szCs w:val="20"/>
              </w:rPr>
              <w:t>91,493</w:t>
            </w:r>
          </w:p>
        </w:tc>
        <w:tc>
          <w:tcPr>
            <w:tcW w:w="1133" w:type="dxa"/>
            <w:tcBorders>
              <w:top w:val="single" w:sz="4" w:space="0" w:color="auto"/>
              <w:bottom w:val="single" w:sz="4" w:space="0" w:color="auto"/>
            </w:tcBorders>
          </w:tcPr>
          <w:p w14:paraId="01946671" w14:textId="77777777" w:rsidR="00054872" w:rsidRPr="00863EC6" w:rsidRDefault="00054872" w:rsidP="00C84610">
            <w:pPr>
              <w:jc w:val="center"/>
              <w:rPr>
                <w:sz w:val="20"/>
                <w:szCs w:val="20"/>
              </w:rPr>
            </w:pPr>
            <w:r>
              <w:rPr>
                <w:sz w:val="20"/>
                <w:szCs w:val="20"/>
              </w:rPr>
              <w:t>93,393</w:t>
            </w:r>
          </w:p>
        </w:tc>
        <w:tc>
          <w:tcPr>
            <w:tcW w:w="1454" w:type="dxa"/>
            <w:tcBorders>
              <w:top w:val="single" w:sz="4" w:space="0" w:color="auto"/>
              <w:bottom w:val="single" w:sz="4" w:space="0" w:color="auto"/>
            </w:tcBorders>
          </w:tcPr>
          <w:p w14:paraId="43190D54" w14:textId="7457192C" w:rsidR="00054872" w:rsidRPr="00863EC6" w:rsidRDefault="00C84610" w:rsidP="00C84610">
            <w:pPr>
              <w:jc w:val="center"/>
              <w:rPr>
                <w:sz w:val="20"/>
                <w:szCs w:val="20"/>
              </w:rPr>
            </w:pPr>
            <w:r>
              <w:rPr>
                <w:sz w:val="20"/>
                <w:szCs w:val="20"/>
              </w:rPr>
              <w:t>806,579</w:t>
            </w:r>
          </w:p>
        </w:tc>
      </w:tr>
      <w:tr w:rsidR="00054872" w:rsidRPr="00863EC6" w14:paraId="365B8ACA" w14:textId="77777777" w:rsidTr="00054872">
        <w:tc>
          <w:tcPr>
            <w:tcW w:w="2801" w:type="dxa"/>
          </w:tcPr>
          <w:p w14:paraId="17FA4CAC" w14:textId="77777777" w:rsidR="00092A71" w:rsidRDefault="00092A71" w:rsidP="00D651FB">
            <w:pPr>
              <w:rPr>
                <w:b/>
                <w:sz w:val="20"/>
                <w:szCs w:val="20"/>
              </w:rPr>
            </w:pPr>
          </w:p>
          <w:p w14:paraId="1763AA7B" w14:textId="40445193" w:rsidR="00054872" w:rsidRPr="00863EC6" w:rsidRDefault="00054872" w:rsidP="00D651FB">
            <w:pPr>
              <w:rPr>
                <w:b/>
                <w:sz w:val="20"/>
                <w:szCs w:val="20"/>
              </w:rPr>
            </w:pPr>
            <w:r w:rsidRPr="00863EC6">
              <w:rPr>
                <w:b/>
                <w:sz w:val="20"/>
                <w:szCs w:val="20"/>
              </w:rPr>
              <w:t>Depreciation</w:t>
            </w:r>
          </w:p>
        </w:tc>
        <w:tc>
          <w:tcPr>
            <w:tcW w:w="1701" w:type="dxa"/>
          </w:tcPr>
          <w:p w14:paraId="658FE91A" w14:textId="77777777" w:rsidR="00054872" w:rsidRPr="00863EC6" w:rsidRDefault="00054872" w:rsidP="00C84610">
            <w:pPr>
              <w:jc w:val="center"/>
              <w:rPr>
                <w:sz w:val="20"/>
                <w:szCs w:val="20"/>
              </w:rPr>
            </w:pPr>
          </w:p>
        </w:tc>
        <w:tc>
          <w:tcPr>
            <w:tcW w:w="1417" w:type="dxa"/>
          </w:tcPr>
          <w:p w14:paraId="5CEE8208" w14:textId="77777777" w:rsidR="00054872" w:rsidRPr="00863EC6" w:rsidRDefault="00054872" w:rsidP="00C84610">
            <w:pPr>
              <w:jc w:val="center"/>
              <w:rPr>
                <w:sz w:val="20"/>
                <w:szCs w:val="20"/>
              </w:rPr>
            </w:pPr>
          </w:p>
        </w:tc>
        <w:tc>
          <w:tcPr>
            <w:tcW w:w="1133" w:type="dxa"/>
          </w:tcPr>
          <w:p w14:paraId="44FF42D9" w14:textId="77777777" w:rsidR="00054872" w:rsidRPr="00863EC6" w:rsidRDefault="00054872" w:rsidP="00C84610">
            <w:pPr>
              <w:jc w:val="center"/>
              <w:rPr>
                <w:sz w:val="20"/>
                <w:szCs w:val="20"/>
              </w:rPr>
            </w:pPr>
          </w:p>
        </w:tc>
        <w:tc>
          <w:tcPr>
            <w:tcW w:w="1454" w:type="dxa"/>
          </w:tcPr>
          <w:p w14:paraId="16B19987" w14:textId="77777777" w:rsidR="00054872" w:rsidRPr="00863EC6" w:rsidRDefault="00054872" w:rsidP="00C84610">
            <w:pPr>
              <w:jc w:val="center"/>
              <w:rPr>
                <w:sz w:val="20"/>
                <w:szCs w:val="20"/>
              </w:rPr>
            </w:pPr>
          </w:p>
        </w:tc>
      </w:tr>
      <w:tr w:rsidR="00054872" w:rsidRPr="00863EC6" w14:paraId="1ABA4210" w14:textId="77777777" w:rsidTr="00054872">
        <w:tc>
          <w:tcPr>
            <w:tcW w:w="2801" w:type="dxa"/>
          </w:tcPr>
          <w:p w14:paraId="70E82A71" w14:textId="3DE5F03A" w:rsidR="00054872" w:rsidRPr="00863EC6" w:rsidRDefault="00054872" w:rsidP="00D651FB">
            <w:pPr>
              <w:rPr>
                <w:sz w:val="20"/>
                <w:szCs w:val="20"/>
              </w:rPr>
            </w:pPr>
            <w:r w:rsidRPr="00863EC6">
              <w:rPr>
                <w:sz w:val="20"/>
                <w:szCs w:val="20"/>
              </w:rPr>
              <w:t>At 1 April 20</w:t>
            </w:r>
            <w:r>
              <w:rPr>
                <w:sz w:val="20"/>
                <w:szCs w:val="20"/>
              </w:rPr>
              <w:t>2</w:t>
            </w:r>
            <w:r w:rsidR="00C84610">
              <w:rPr>
                <w:sz w:val="20"/>
                <w:szCs w:val="20"/>
              </w:rPr>
              <w:t>2</w:t>
            </w:r>
          </w:p>
        </w:tc>
        <w:tc>
          <w:tcPr>
            <w:tcW w:w="1701" w:type="dxa"/>
          </w:tcPr>
          <w:p w14:paraId="15B120B2" w14:textId="7C84359C" w:rsidR="00054872" w:rsidRPr="00863EC6" w:rsidRDefault="00C84610" w:rsidP="00C84610">
            <w:pPr>
              <w:jc w:val="center"/>
              <w:rPr>
                <w:sz w:val="20"/>
                <w:szCs w:val="20"/>
              </w:rPr>
            </w:pPr>
            <w:r>
              <w:rPr>
                <w:sz w:val="20"/>
                <w:szCs w:val="20"/>
              </w:rPr>
              <w:t>125,599</w:t>
            </w:r>
          </w:p>
        </w:tc>
        <w:tc>
          <w:tcPr>
            <w:tcW w:w="1417" w:type="dxa"/>
          </w:tcPr>
          <w:p w14:paraId="47401904" w14:textId="30C55680" w:rsidR="00054872" w:rsidRPr="00863EC6" w:rsidRDefault="00C84610" w:rsidP="00C84610">
            <w:pPr>
              <w:jc w:val="center"/>
              <w:rPr>
                <w:sz w:val="20"/>
                <w:szCs w:val="20"/>
              </w:rPr>
            </w:pPr>
            <w:r>
              <w:rPr>
                <w:sz w:val="20"/>
                <w:szCs w:val="20"/>
              </w:rPr>
              <w:t>73,849</w:t>
            </w:r>
          </w:p>
        </w:tc>
        <w:tc>
          <w:tcPr>
            <w:tcW w:w="1133" w:type="dxa"/>
          </w:tcPr>
          <w:p w14:paraId="010C8BD1" w14:textId="58ECFF2A" w:rsidR="00054872" w:rsidRPr="00863EC6" w:rsidRDefault="00C84610" w:rsidP="00C84610">
            <w:pPr>
              <w:jc w:val="center"/>
              <w:rPr>
                <w:sz w:val="20"/>
                <w:szCs w:val="20"/>
              </w:rPr>
            </w:pPr>
            <w:r>
              <w:rPr>
                <w:sz w:val="20"/>
                <w:szCs w:val="20"/>
              </w:rPr>
              <w:t>28,356</w:t>
            </w:r>
          </w:p>
        </w:tc>
        <w:tc>
          <w:tcPr>
            <w:tcW w:w="1454" w:type="dxa"/>
          </w:tcPr>
          <w:p w14:paraId="4F2D5F9F" w14:textId="5364F529" w:rsidR="00054872" w:rsidRPr="00863EC6" w:rsidRDefault="00C84610" w:rsidP="00C84610">
            <w:pPr>
              <w:jc w:val="center"/>
              <w:rPr>
                <w:sz w:val="20"/>
                <w:szCs w:val="20"/>
              </w:rPr>
            </w:pPr>
            <w:r>
              <w:rPr>
                <w:sz w:val="20"/>
                <w:szCs w:val="20"/>
              </w:rPr>
              <w:t>227,804</w:t>
            </w:r>
          </w:p>
        </w:tc>
      </w:tr>
      <w:tr w:rsidR="00054872" w:rsidRPr="00863EC6" w14:paraId="59081210" w14:textId="77777777" w:rsidTr="00054872">
        <w:tc>
          <w:tcPr>
            <w:tcW w:w="2801" w:type="dxa"/>
          </w:tcPr>
          <w:p w14:paraId="7685177B" w14:textId="77777777" w:rsidR="00054872" w:rsidRPr="00863EC6" w:rsidRDefault="00054872" w:rsidP="00D651FB">
            <w:pPr>
              <w:rPr>
                <w:sz w:val="20"/>
                <w:szCs w:val="20"/>
              </w:rPr>
            </w:pPr>
            <w:r w:rsidRPr="00863EC6">
              <w:rPr>
                <w:sz w:val="20"/>
                <w:szCs w:val="20"/>
              </w:rPr>
              <w:t>Charged in year</w:t>
            </w:r>
          </w:p>
        </w:tc>
        <w:tc>
          <w:tcPr>
            <w:tcW w:w="1701" w:type="dxa"/>
          </w:tcPr>
          <w:p w14:paraId="6AE2C84F" w14:textId="4B431F5D" w:rsidR="00054872" w:rsidRPr="00863EC6" w:rsidRDefault="00C84610" w:rsidP="00C84610">
            <w:pPr>
              <w:jc w:val="center"/>
              <w:rPr>
                <w:sz w:val="20"/>
                <w:szCs w:val="20"/>
              </w:rPr>
            </w:pPr>
            <w:r>
              <w:rPr>
                <w:sz w:val="20"/>
                <w:szCs w:val="20"/>
              </w:rPr>
              <w:t>71,176</w:t>
            </w:r>
          </w:p>
        </w:tc>
        <w:tc>
          <w:tcPr>
            <w:tcW w:w="1417" w:type="dxa"/>
          </w:tcPr>
          <w:p w14:paraId="192B7E01" w14:textId="34572C31" w:rsidR="00054872" w:rsidRPr="00863EC6" w:rsidRDefault="00C84610" w:rsidP="00C84610">
            <w:pPr>
              <w:jc w:val="center"/>
              <w:rPr>
                <w:sz w:val="20"/>
                <w:szCs w:val="20"/>
              </w:rPr>
            </w:pPr>
            <w:r>
              <w:rPr>
                <w:sz w:val="20"/>
                <w:szCs w:val="20"/>
              </w:rPr>
              <w:t>8,612</w:t>
            </w:r>
          </w:p>
        </w:tc>
        <w:tc>
          <w:tcPr>
            <w:tcW w:w="1133" w:type="dxa"/>
          </w:tcPr>
          <w:p w14:paraId="348DB738" w14:textId="34F1E027" w:rsidR="00054872" w:rsidRPr="00863EC6" w:rsidRDefault="0076474C" w:rsidP="00C84610">
            <w:pPr>
              <w:jc w:val="center"/>
              <w:rPr>
                <w:sz w:val="20"/>
                <w:szCs w:val="20"/>
              </w:rPr>
            </w:pPr>
            <w:r>
              <w:rPr>
                <w:sz w:val="20"/>
                <w:szCs w:val="20"/>
              </w:rPr>
              <w:t>1</w:t>
            </w:r>
            <w:r w:rsidR="00C84610">
              <w:rPr>
                <w:sz w:val="20"/>
                <w:szCs w:val="20"/>
              </w:rPr>
              <w:t>8,246</w:t>
            </w:r>
          </w:p>
        </w:tc>
        <w:tc>
          <w:tcPr>
            <w:tcW w:w="1454" w:type="dxa"/>
          </w:tcPr>
          <w:p w14:paraId="0242D593" w14:textId="389E7C0E" w:rsidR="00054872" w:rsidRPr="00863EC6" w:rsidRDefault="00C84610" w:rsidP="00C84610">
            <w:pPr>
              <w:jc w:val="center"/>
              <w:rPr>
                <w:sz w:val="20"/>
                <w:szCs w:val="20"/>
              </w:rPr>
            </w:pPr>
            <w:r>
              <w:rPr>
                <w:sz w:val="20"/>
                <w:szCs w:val="20"/>
              </w:rPr>
              <w:t>98,034</w:t>
            </w:r>
          </w:p>
        </w:tc>
      </w:tr>
      <w:tr w:rsidR="00054872" w:rsidRPr="00863EC6" w14:paraId="0FB637A4" w14:textId="77777777" w:rsidTr="00054872">
        <w:tc>
          <w:tcPr>
            <w:tcW w:w="2801" w:type="dxa"/>
          </w:tcPr>
          <w:p w14:paraId="32C8D09D" w14:textId="77777777" w:rsidR="00054872" w:rsidRPr="00863EC6" w:rsidRDefault="00054872" w:rsidP="00D651FB">
            <w:pPr>
              <w:rPr>
                <w:sz w:val="20"/>
                <w:szCs w:val="20"/>
              </w:rPr>
            </w:pPr>
            <w:r>
              <w:rPr>
                <w:sz w:val="20"/>
                <w:szCs w:val="20"/>
              </w:rPr>
              <w:t>Revaluation</w:t>
            </w:r>
          </w:p>
        </w:tc>
        <w:tc>
          <w:tcPr>
            <w:tcW w:w="1701" w:type="dxa"/>
          </w:tcPr>
          <w:p w14:paraId="5CF7E70F" w14:textId="7A799374" w:rsidR="00054872" w:rsidRDefault="00C84610" w:rsidP="00C84610">
            <w:pPr>
              <w:jc w:val="center"/>
              <w:rPr>
                <w:sz w:val="20"/>
                <w:szCs w:val="20"/>
              </w:rPr>
            </w:pPr>
            <w:r>
              <w:rPr>
                <w:sz w:val="20"/>
                <w:szCs w:val="20"/>
              </w:rPr>
              <w:t>656</w:t>
            </w:r>
          </w:p>
        </w:tc>
        <w:tc>
          <w:tcPr>
            <w:tcW w:w="1417" w:type="dxa"/>
          </w:tcPr>
          <w:p w14:paraId="2D6803FD" w14:textId="77777777" w:rsidR="00054872" w:rsidRDefault="00054872" w:rsidP="00C84610">
            <w:pPr>
              <w:jc w:val="center"/>
              <w:rPr>
                <w:sz w:val="20"/>
                <w:szCs w:val="20"/>
              </w:rPr>
            </w:pPr>
            <w:r>
              <w:rPr>
                <w:sz w:val="20"/>
                <w:szCs w:val="20"/>
              </w:rPr>
              <w:t>0</w:t>
            </w:r>
          </w:p>
        </w:tc>
        <w:tc>
          <w:tcPr>
            <w:tcW w:w="1133" w:type="dxa"/>
          </w:tcPr>
          <w:p w14:paraId="0A6DDD13" w14:textId="77777777" w:rsidR="00054872" w:rsidRDefault="00054872" w:rsidP="00C84610">
            <w:pPr>
              <w:jc w:val="center"/>
              <w:rPr>
                <w:sz w:val="20"/>
                <w:szCs w:val="20"/>
              </w:rPr>
            </w:pPr>
            <w:r>
              <w:rPr>
                <w:sz w:val="20"/>
                <w:szCs w:val="20"/>
              </w:rPr>
              <w:t>0</w:t>
            </w:r>
          </w:p>
        </w:tc>
        <w:tc>
          <w:tcPr>
            <w:tcW w:w="1454" w:type="dxa"/>
          </w:tcPr>
          <w:p w14:paraId="705BE03B" w14:textId="547E193B" w:rsidR="00054872" w:rsidRDefault="00C84610" w:rsidP="00C84610">
            <w:pPr>
              <w:jc w:val="center"/>
              <w:rPr>
                <w:sz w:val="20"/>
                <w:szCs w:val="20"/>
              </w:rPr>
            </w:pPr>
            <w:r>
              <w:rPr>
                <w:sz w:val="20"/>
                <w:szCs w:val="20"/>
              </w:rPr>
              <w:t>656</w:t>
            </w:r>
          </w:p>
        </w:tc>
      </w:tr>
      <w:tr w:rsidR="00054872" w:rsidRPr="00F82840" w14:paraId="46A2CB15" w14:textId="77777777" w:rsidTr="00054872">
        <w:tc>
          <w:tcPr>
            <w:tcW w:w="2801" w:type="dxa"/>
          </w:tcPr>
          <w:p w14:paraId="5C8139F6" w14:textId="46C71DA5" w:rsidR="00054872" w:rsidRPr="00F82840" w:rsidRDefault="00054872" w:rsidP="00D651FB">
            <w:pPr>
              <w:rPr>
                <w:sz w:val="20"/>
                <w:szCs w:val="20"/>
              </w:rPr>
            </w:pPr>
            <w:r w:rsidRPr="00F82840">
              <w:rPr>
                <w:sz w:val="20"/>
                <w:szCs w:val="20"/>
              </w:rPr>
              <w:t xml:space="preserve">At </w:t>
            </w:r>
            <w:r>
              <w:rPr>
                <w:sz w:val="20"/>
                <w:szCs w:val="20"/>
              </w:rPr>
              <w:t>31 March 202</w:t>
            </w:r>
            <w:r w:rsidR="00A67683">
              <w:rPr>
                <w:sz w:val="20"/>
                <w:szCs w:val="20"/>
              </w:rPr>
              <w:t>3</w:t>
            </w:r>
          </w:p>
        </w:tc>
        <w:tc>
          <w:tcPr>
            <w:tcW w:w="1701" w:type="dxa"/>
            <w:tcBorders>
              <w:top w:val="single" w:sz="4" w:space="0" w:color="auto"/>
              <w:bottom w:val="single" w:sz="4" w:space="0" w:color="auto"/>
            </w:tcBorders>
          </w:tcPr>
          <w:p w14:paraId="649972B9" w14:textId="62B15458" w:rsidR="00054872" w:rsidRPr="00F82840" w:rsidRDefault="00C84610" w:rsidP="00C84610">
            <w:pPr>
              <w:jc w:val="center"/>
              <w:rPr>
                <w:sz w:val="20"/>
                <w:szCs w:val="20"/>
              </w:rPr>
            </w:pPr>
            <w:r>
              <w:rPr>
                <w:sz w:val="20"/>
                <w:szCs w:val="20"/>
              </w:rPr>
              <w:t>197,431</w:t>
            </w:r>
          </w:p>
        </w:tc>
        <w:tc>
          <w:tcPr>
            <w:tcW w:w="1417" w:type="dxa"/>
            <w:tcBorders>
              <w:top w:val="single" w:sz="4" w:space="0" w:color="auto"/>
              <w:bottom w:val="single" w:sz="4" w:space="0" w:color="auto"/>
            </w:tcBorders>
          </w:tcPr>
          <w:p w14:paraId="6DD313AC" w14:textId="29B8B90F" w:rsidR="00054872" w:rsidRPr="00F82840" w:rsidRDefault="00C84610" w:rsidP="00C84610">
            <w:pPr>
              <w:jc w:val="center"/>
              <w:rPr>
                <w:sz w:val="20"/>
                <w:szCs w:val="20"/>
              </w:rPr>
            </w:pPr>
            <w:r>
              <w:rPr>
                <w:sz w:val="20"/>
                <w:szCs w:val="20"/>
              </w:rPr>
              <w:t>82,461</w:t>
            </w:r>
          </w:p>
        </w:tc>
        <w:tc>
          <w:tcPr>
            <w:tcW w:w="1133" w:type="dxa"/>
            <w:tcBorders>
              <w:top w:val="single" w:sz="4" w:space="0" w:color="auto"/>
              <w:bottom w:val="single" w:sz="4" w:space="0" w:color="auto"/>
            </w:tcBorders>
          </w:tcPr>
          <w:p w14:paraId="55A69FF9" w14:textId="2232C3E2" w:rsidR="00054872" w:rsidRPr="00F82840" w:rsidRDefault="00C84610" w:rsidP="00C84610">
            <w:pPr>
              <w:jc w:val="center"/>
              <w:rPr>
                <w:sz w:val="20"/>
                <w:szCs w:val="20"/>
              </w:rPr>
            </w:pPr>
            <w:r>
              <w:rPr>
                <w:sz w:val="20"/>
                <w:szCs w:val="20"/>
              </w:rPr>
              <w:t>46,602</w:t>
            </w:r>
          </w:p>
        </w:tc>
        <w:tc>
          <w:tcPr>
            <w:tcW w:w="1454" w:type="dxa"/>
            <w:tcBorders>
              <w:top w:val="single" w:sz="4" w:space="0" w:color="auto"/>
              <w:bottom w:val="single" w:sz="4" w:space="0" w:color="auto"/>
            </w:tcBorders>
          </w:tcPr>
          <w:p w14:paraId="55E82A12" w14:textId="715754CD" w:rsidR="00054872" w:rsidRPr="00F82840" w:rsidRDefault="00C84610" w:rsidP="00C84610">
            <w:pPr>
              <w:jc w:val="center"/>
              <w:rPr>
                <w:sz w:val="20"/>
                <w:szCs w:val="20"/>
              </w:rPr>
            </w:pPr>
            <w:r>
              <w:rPr>
                <w:sz w:val="20"/>
                <w:szCs w:val="20"/>
              </w:rPr>
              <w:t>326,494</w:t>
            </w:r>
          </w:p>
        </w:tc>
      </w:tr>
      <w:tr w:rsidR="00054872" w:rsidRPr="00F82840" w14:paraId="627C23D6" w14:textId="77777777" w:rsidTr="00054872">
        <w:tc>
          <w:tcPr>
            <w:tcW w:w="2801" w:type="dxa"/>
          </w:tcPr>
          <w:p w14:paraId="6E55B699" w14:textId="77777777" w:rsidR="00054872" w:rsidRPr="00F82840" w:rsidRDefault="00054872" w:rsidP="00D651FB">
            <w:pPr>
              <w:rPr>
                <w:sz w:val="20"/>
                <w:szCs w:val="20"/>
              </w:rPr>
            </w:pPr>
          </w:p>
          <w:p w14:paraId="694B00D8" w14:textId="15B4BB39" w:rsidR="00054872" w:rsidRPr="00F82840" w:rsidRDefault="00054872" w:rsidP="00D651FB">
            <w:pPr>
              <w:rPr>
                <w:sz w:val="20"/>
                <w:szCs w:val="20"/>
              </w:rPr>
            </w:pPr>
            <w:r w:rsidRPr="00F82840">
              <w:rPr>
                <w:sz w:val="20"/>
                <w:szCs w:val="20"/>
              </w:rPr>
              <w:t xml:space="preserve">Net book value at </w:t>
            </w:r>
            <w:r>
              <w:rPr>
                <w:sz w:val="20"/>
                <w:szCs w:val="20"/>
              </w:rPr>
              <w:t>31 March 202</w:t>
            </w:r>
            <w:r w:rsidR="00C84610">
              <w:rPr>
                <w:sz w:val="20"/>
                <w:szCs w:val="20"/>
              </w:rPr>
              <w:t>3</w:t>
            </w:r>
          </w:p>
        </w:tc>
        <w:tc>
          <w:tcPr>
            <w:tcW w:w="1701" w:type="dxa"/>
            <w:tcBorders>
              <w:top w:val="single" w:sz="4" w:space="0" w:color="auto"/>
              <w:bottom w:val="single" w:sz="4" w:space="0" w:color="auto"/>
            </w:tcBorders>
          </w:tcPr>
          <w:p w14:paraId="7D6C42A5" w14:textId="77777777" w:rsidR="00054872" w:rsidRDefault="00054872" w:rsidP="00C84610">
            <w:pPr>
              <w:jc w:val="center"/>
              <w:rPr>
                <w:sz w:val="20"/>
                <w:szCs w:val="20"/>
              </w:rPr>
            </w:pPr>
          </w:p>
          <w:p w14:paraId="3D45AE86" w14:textId="77777777" w:rsidR="00054872" w:rsidRDefault="00054872" w:rsidP="00C84610">
            <w:pPr>
              <w:jc w:val="center"/>
              <w:rPr>
                <w:sz w:val="20"/>
                <w:szCs w:val="20"/>
              </w:rPr>
            </w:pPr>
          </w:p>
          <w:p w14:paraId="35452AD0" w14:textId="4ACB4992" w:rsidR="00054872" w:rsidRPr="00F82840" w:rsidRDefault="00054872" w:rsidP="00C84610">
            <w:pPr>
              <w:jc w:val="center"/>
              <w:rPr>
                <w:sz w:val="20"/>
                <w:szCs w:val="20"/>
              </w:rPr>
            </w:pPr>
            <w:r>
              <w:rPr>
                <w:sz w:val="20"/>
                <w:szCs w:val="20"/>
              </w:rPr>
              <w:t>4</w:t>
            </w:r>
            <w:r w:rsidR="00C84610">
              <w:rPr>
                <w:sz w:val="20"/>
                <w:szCs w:val="20"/>
              </w:rPr>
              <w:t>24,262</w:t>
            </w:r>
          </w:p>
        </w:tc>
        <w:tc>
          <w:tcPr>
            <w:tcW w:w="1417" w:type="dxa"/>
            <w:tcBorders>
              <w:top w:val="single" w:sz="4" w:space="0" w:color="auto"/>
              <w:bottom w:val="single" w:sz="4" w:space="0" w:color="auto"/>
            </w:tcBorders>
          </w:tcPr>
          <w:p w14:paraId="39884920" w14:textId="77777777" w:rsidR="00054872" w:rsidRDefault="00054872" w:rsidP="00C84610">
            <w:pPr>
              <w:jc w:val="center"/>
              <w:rPr>
                <w:sz w:val="20"/>
                <w:szCs w:val="20"/>
              </w:rPr>
            </w:pPr>
          </w:p>
          <w:p w14:paraId="3C6A291E" w14:textId="77777777" w:rsidR="00054872" w:rsidRDefault="00054872" w:rsidP="00C84610">
            <w:pPr>
              <w:jc w:val="center"/>
              <w:rPr>
                <w:sz w:val="20"/>
                <w:szCs w:val="20"/>
              </w:rPr>
            </w:pPr>
          </w:p>
          <w:p w14:paraId="4FB82B3B" w14:textId="51DC7CCB" w:rsidR="00054872" w:rsidRPr="00F82840" w:rsidRDefault="00C84610" w:rsidP="00C84610">
            <w:pPr>
              <w:jc w:val="center"/>
              <w:rPr>
                <w:sz w:val="20"/>
                <w:szCs w:val="20"/>
              </w:rPr>
            </w:pPr>
            <w:r>
              <w:rPr>
                <w:sz w:val="20"/>
                <w:szCs w:val="20"/>
              </w:rPr>
              <w:t>9,032</w:t>
            </w:r>
          </w:p>
        </w:tc>
        <w:tc>
          <w:tcPr>
            <w:tcW w:w="1133" w:type="dxa"/>
            <w:tcBorders>
              <w:top w:val="single" w:sz="4" w:space="0" w:color="auto"/>
              <w:bottom w:val="single" w:sz="4" w:space="0" w:color="auto"/>
            </w:tcBorders>
          </w:tcPr>
          <w:p w14:paraId="675F4D46" w14:textId="77777777" w:rsidR="00054872" w:rsidRDefault="00054872" w:rsidP="00C84610">
            <w:pPr>
              <w:jc w:val="center"/>
              <w:rPr>
                <w:sz w:val="20"/>
                <w:szCs w:val="20"/>
              </w:rPr>
            </w:pPr>
          </w:p>
          <w:p w14:paraId="4E246446" w14:textId="77777777" w:rsidR="00054872" w:rsidRDefault="00054872" w:rsidP="00C84610">
            <w:pPr>
              <w:jc w:val="center"/>
              <w:rPr>
                <w:sz w:val="20"/>
                <w:szCs w:val="20"/>
              </w:rPr>
            </w:pPr>
          </w:p>
          <w:p w14:paraId="6527B635" w14:textId="16307F01" w:rsidR="00054872" w:rsidRPr="00F82840" w:rsidRDefault="00C84610" w:rsidP="00C84610">
            <w:pPr>
              <w:jc w:val="center"/>
              <w:rPr>
                <w:sz w:val="20"/>
                <w:szCs w:val="20"/>
              </w:rPr>
            </w:pPr>
            <w:r>
              <w:rPr>
                <w:sz w:val="20"/>
                <w:szCs w:val="20"/>
              </w:rPr>
              <w:t>46,791</w:t>
            </w:r>
          </w:p>
        </w:tc>
        <w:tc>
          <w:tcPr>
            <w:tcW w:w="1454" w:type="dxa"/>
            <w:tcBorders>
              <w:top w:val="single" w:sz="4" w:space="0" w:color="auto"/>
              <w:bottom w:val="single" w:sz="4" w:space="0" w:color="auto"/>
            </w:tcBorders>
          </w:tcPr>
          <w:p w14:paraId="767AB8E6" w14:textId="77777777" w:rsidR="00054872" w:rsidRDefault="00054872" w:rsidP="00C84610">
            <w:pPr>
              <w:jc w:val="center"/>
              <w:rPr>
                <w:sz w:val="20"/>
                <w:szCs w:val="20"/>
              </w:rPr>
            </w:pPr>
          </w:p>
          <w:p w14:paraId="5D145839" w14:textId="77777777" w:rsidR="00054872" w:rsidRDefault="00054872" w:rsidP="00C84610">
            <w:pPr>
              <w:jc w:val="center"/>
              <w:rPr>
                <w:sz w:val="20"/>
                <w:szCs w:val="20"/>
              </w:rPr>
            </w:pPr>
          </w:p>
          <w:p w14:paraId="70896888" w14:textId="78D99178" w:rsidR="00054872" w:rsidRPr="00F82840" w:rsidRDefault="00C84610" w:rsidP="00C84610">
            <w:pPr>
              <w:jc w:val="center"/>
              <w:rPr>
                <w:sz w:val="20"/>
                <w:szCs w:val="20"/>
              </w:rPr>
            </w:pPr>
            <w:r>
              <w:rPr>
                <w:sz w:val="20"/>
                <w:szCs w:val="20"/>
              </w:rPr>
              <w:t>480,085</w:t>
            </w:r>
          </w:p>
        </w:tc>
      </w:tr>
      <w:tr w:rsidR="00054872" w:rsidRPr="00F82840" w14:paraId="1A510AB7" w14:textId="77777777" w:rsidTr="00054872">
        <w:tc>
          <w:tcPr>
            <w:tcW w:w="2801" w:type="dxa"/>
          </w:tcPr>
          <w:p w14:paraId="4F77C173" w14:textId="77777777" w:rsidR="00054872" w:rsidRPr="00F82840" w:rsidRDefault="00054872" w:rsidP="00D651FB">
            <w:pPr>
              <w:rPr>
                <w:sz w:val="20"/>
                <w:szCs w:val="20"/>
              </w:rPr>
            </w:pPr>
          </w:p>
          <w:p w14:paraId="40454A85" w14:textId="1A2E30A2" w:rsidR="00054872" w:rsidRPr="00F82840" w:rsidRDefault="00054872" w:rsidP="00D651FB">
            <w:pPr>
              <w:rPr>
                <w:sz w:val="20"/>
                <w:szCs w:val="20"/>
              </w:rPr>
            </w:pPr>
            <w:r>
              <w:rPr>
                <w:sz w:val="20"/>
                <w:szCs w:val="20"/>
              </w:rPr>
              <w:t>Net book value at 31 March 202</w:t>
            </w:r>
            <w:r w:rsidR="00C84610">
              <w:rPr>
                <w:sz w:val="20"/>
                <w:szCs w:val="20"/>
              </w:rPr>
              <w:t>2</w:t>
            </w:r>
          </w:p>
        </w:tc>
        <w:tc>
          <w:tcPr>
            <w:tcW w:w="1701" w:type="dxa"/>
            <w:tcBorders>
              <w:top w:val="single" w:sz="4" w:space="0" w:color="auto"/>
              <w:bottom w:val="single" w:sz="4" w:space="0" w:color="auto"/>
            </w:tcBorders>
          </w:tcPr>
          <w:p w14:paraId="3D489FD1" w14:textId="77777777" w:rsidR="00054872" w:rsidRDefault="00054872" w:rsidP="00C84610">
            <w:pPr>
              <w:jc w:val="center"/>
              <w:rPr>
                <w:sz w:val="20"/>
                <w:szCs w:val="20"/>
              </w:rPr>
            </w:pPr>
          </w:p>
          <w:p w14:paraId="2627E40D" w14:textId="77777777" w:rsidR="00054872" w:rsidRDefault="00054872" w:rsidP="00C84610">
            <w:pPr>
              <w:jc w:val="center"/>
              <w:rPr>
                <w:sz w:val="20"/>
                <w:szCs w:val="20"/>
              </w:rPr>
            </w:pPr>
          </w:p>
          <w:p w14:paraId="6364995E" w14:textId="0AEE7763" w:rsidR="00054872" w:rsidRPr="00F82840" w:rsidRDefault="00C84610" w:rsidP="00C84610">
            <w:pPr>
              <w:jc w:val="center"/>
              <w:rPr>
                <w:sz w:val="20"/>
                <w:szCs w:val="20"/>
              </w:rPr>
            </w:pPr>
            <w:r>
              <w:rPr>
                <w:sz w:val="20"/>
                <w:szCs w:val="20"/>
              </w:rPr>
              <w:t>454,235</w:t>
            </w:r>
          </w:p>
        </w:tc>
        <w:tc>
          <w:tcPr>
            <w:tcW w:w="1417" w:type="dxa"/>
            <w:tcBorders>
              <w:top w:val="single" w:sz="4" w:space="0" w:color="auto"/>
              <w:bottom w:val="single" w:sz="4" w:space="0" w:color="auto"/>
            </w:tcBorders>
          </w:tcPr>
          <w:p w14:paraId="255C9267" w14:textId="77777777" w:rsidR="00054872" w:rsidRDefault="00054872" w:rsidP="00C84610">
            <w:pPr>
              <w:jc w:val="center"/>
              <w:rPr>
                <w:sz w:val="20"/>
                <w:szCs w:val="20"/>
              </w:rPr>
            </w:pPr>
          </w:p>
          <w:p w14:paraId="6B69386E" w14:textId="77777777" w:rsidR="00054872" w:rsidRDefault="00054872" w:rsidP="00C84610">
            <w:pPr>
              <w:jc w:val="center"/>
              <w:rPr>
                <w:sz w:val="20"/>
                <w:szCs w:val="20"/>
              </w:rPr>
            </w:pPr>
          </w:p>
          <w:p w14:paraId="3EA6CAF3" w14:textId="0A0446C1" w:rsidR="00054872" w:rsidRPr="00F82840" w:rsidRDefault="00054872" w:rsidP="00C84610">
            <w:pPr>
              <w:jc w:val="center"/>
              <w:rPr>
                <w:sz w:val="20"/>
                <w:szCs w:val="20"/>
              </w:rPr>
            </w:pPr>
            <w:r>
              <w:rPr>
                <w:sz w:val="20"/>
                <w:szCs w:val="20"/>
              </w:rPr>
              <w:t>1</w:t>
            </w:r>
            <w:r w:rsidR="00C84610">
              <w:rPr>
                <w:sz w:val="20"/>
                <w:szCs w:val="20"/>
              </w:rPr>
              <w:t>7,644</w:t>
            </w:r>
          </w:p>
        </w:tc>
        <w:tc>
          <w:tcPr>
            <w:tcW w:w="1133" w:type="dxa"/>
            <w:tcBorders>
              <w:top w:val="single" w:sz="4" w:space="0" w:color="auto"/>
              <w:bottom w:val="single" w:sz="4" w:space="0" w:color="auto"/>
            </w:tcBorders>
          </w:tcPr>
          <w:p w14:paraId="1FC490D7" w14:textId="77777777" w:rsidR="00054872" w:rsidRDefault="00054872" w:rsidP="00C84610">
            <w:pPr>
              <w:jc w:val="center"/>
              <w:rPr>
                <w:sz w:val="20"/>
                <w:szCs w:val="20"/>
              </w:rPr>
            </w:pPr>
          </w:p>
          <w:p w14:paraId="52F5434C" w14:textId="77777777" w:rsidR="00054872" w:rsidRDefault="00054872" w:rsidP="00C84610">
            <w:pPr>
              <w:jc w:val="center"/>
              <w:rPr>
                <w:sz w:val="20"/>
                <w:szCs w:val="20"/>
              </w:rPr>
            </w:pPr>
          </w:p>
          <w:p w14:paraId="2623A77B" w14:textId="20849E7E" w:rsidR="00054872" w:rsidRPr="00F82840" w:rsidRDefault="00C84610" w:rsidP="00C84610">
            <w:pPr>
              <w:jc w:val="center"/>
              <w:rPr>
                <w:sz w:val="20"/>
                <w:szCs w:val="20"/>
              </w:rPr>
            </w:pPr>
            <w:r>
              <w:rPr>
                <w:sz w:val="20"/>
                <w:szCs w:val="20"/>
              </w:rPr>
              <w:t>65,037</w:t>
            </w:r>
          </w:p>
        </w:tc>
        <w:tc>
          <w:tcPr>
            <w:tcW w:w="1454" w:type="dxa"/>
            <w:tcBorders>
              <w:top w:val="single" w:sz="4" w:space="0" w:color="auto"/>
              <w:bottom w:val="single" w:sz="4" w:space="0" w:color="auto"/>
            </w:tcBorders>
          </w:tcPr>
          <w:p w14:paraId="37907576" w14:textId="77777777" w:rsidR="00054872" w:rsidRDefault="00054872" w:rsidP="00C84610">
            <w:pPr>
              <w:jc w:val="center"/>
              <w:rPr>
                <w:sz w:val="20"/>
                <w:szCs w:val="20"/>
              </w:rPr>
            </w:pPr>
          </w:p>
          <w:p w14:paraId="3BF6F973" w14:textId="77777777" w:rsidR="00054872" w:rsidRDefault="00054872" w:rsidP="00C84610">
            <w:pPr>
              <w:jc w:val="center"/>
              <w:rPr>
                <w:sz w:val="20"/>
                <w:szCs w:val="20"/>
              </w:rPr>
            </w:pPr>
          </w:p>
          <w:p w14:paraId="0CCC727E" w14:textId="6635769E" w:rsidR="00054872" w:rsidRPr="00F82840" w:rsidRDefault="00054872" w:rsidP="00C84610">
            <w:pPr>
              <w:jc w:val="center"/>
              <w:rPr>
                <w:sz w:val="20"/>
                <w:szCs w:val="20"/>
              </w:rPr>
            </w:pPr>
            <w:r>
              <w:rPr>
                <w:sz w:val="20"/>
                <w:szCs w:val="20"/>
              </w:rPr>
              <w:t>5</w:t>
            </w:r>
            <w:r w:rsidR="00C84610">
              <w:rPr>
                <w:sz w:val="20"/>
                <w:szCs w:val="20"/>
              </w:rPr>
              <w:t>36,916</w:t>
            </w:r>
          </w:p>
        </w:tc>
      </w:tr>
      <w:tr w:rsidR="00054872" w:rsidRPr="00F82840" w14:paraId="3DB836E4" w14:textId="77777777" w:rsidTr="00054872">
        <w:tc>
          <w:tcPr>
            <w:tcW w:w="2801" w:type="dxa"/>
          </w:tcPr>
          <w:p w14:paraId="3214D823" w14:textId="77777777" w:rsidR="00054872" w:rsidRPr="00F82840" w:rsidRDefault="00054872" w:rsidP="00D651FB">
            <w:pPr>
              <w:rPr>
                <w:sz w:val="20"/>
                <w:szCs w:val="20"/>
              </w:rPr>
            </w:pPr>
          </w:p>
        </w:tc>
        <w:tc>
          <w:tcPr>
            <w:tcW w:w="1701" w:type="dxa"/>
            <w:tcBorders>
              <w:top w:val="single" w:sz="4" w:space="0" w:color="auto"/>
            </w:tcBorders>
          </w:tcPr>
          <w:p w14:paraId="64B47F65" w14:textId="77777777" w:rsidR="00054872" w:rsidRPr="00F82840" w:rsidRDefault="00054872" w:rsidP="00C84610">
            <w:pPr>
              <w:jc w:val="center"/>
              <w:rPr>
                <w:sz w:val="20"/>
                <w:szCs w:val="20"/>
              </w:rPr>
            </w:pPr>
          </w:p>
        </w:tc>
        <w:tc>
          <w:tcPr>
            <w:tcW w:w="1417" w:type="dxa"/>
            <w:tcBorders>
              <w:top w:val="single" w:sz="4" w:space="0" w:color="auto"/>
            </w:tcBorders>
          </w:tcPr>
          <w:p w14:paraId="7B8826DF" w14:textId="77777777" w:rsidR="00054872" w:rsidRPr="00F82840" w:rsidRDefault="00054872" w:rsidP="00C84610">
            <w:pPr>
              <w:jc w:val="center"/>
              <w:rPr>
                <w:sz w:val="20"/>
                <w:szCs w:val="20"/>
              </w:rPr>
            </w:pPr>
          </w:p>
        </w:tc>
        <w:tc>
          <w:tcPr>
            <w:tcW w:w="1133" w:type="dxa"/>
            <w:tcBorders>
              <w:top w:val="single" w:sz="4" w:space="0" w:color="auto"/>
            </w:tcBorders>
          </w:tcPr>
          <w:p w14:paraId="31482968" w14:textId="77777777" w:rsidR="00054872" w:rsidRPr="00F82840" w:rsidRDefault="00054872" w:rsidP="00C84610">
            <w:pPr>
              <w:jc w:val="center"/>
              <w:rPr>
                <w:sz w:val="20"/>
                <w:szCs w:val="20"/>
              </w:rPr>
            </w:pPr>
          </w:p>
        </w:tc>
        <w:tc>
          <w:tcPr>
            <w:tcW w:w="1454" w:type="dxa"/>
            <w:tcBorders>
              <w:top w:val="single" w:sz="4" w:space="0" w:color="auto"/>
            </w:tcBorders>
          </w:tcPr>
          <w:p w14:paraId="38C6CD21" w14:textId="77777777" w:rsidR="00054872" w:rsidRPr="00F82840" w:rsidRDefault="00054872" w:rsidP="00C84610">
            <w:pPr>
              <w:jc w:val="center"/>
              <w:rPr>
                <w:sz w:val="20"/>
                <w:szCs w:val="20"/>
              </w:rPr>
            </w:pPr>
          </w:p>
        </w:tc>
      </w:tr>
    </w:tbl>
    <w:p w14:paraId="0AEE9EAC" w14:textId="77777777" w:rsidR="00250101" w:rsidRDefault="00250101" w:rsidP="00250101">
      <w:pPr>
        <w:rPr>
          <w:b/>
        </w:rPr>
      </w:pPr>
    </w:p>
    <w:p w14:paraId="31EF2BBD" w14:textId="77777777" w:rsidR="001E2AA0" w:rsidRDefault="001E2AA0" w:rsidP="00250101">
      <w:pPr>
        <w:rPr>
          <w:b/>
        </w:rPr>
      </w:pPr>
    </w:p>
    <w:p w14:paraId="6E5C21C1" w14:textId="77777777" w:rsidR="001E2AA0" w:rsidRDefault="001E2AA0" w:rsidP="00250101">
      <w:pPr>
        <w:rPr>
          <w:b/>
        </w:rPr>
      </w:pPr>
    </w:p>
    <w:p w14:paraId="60AD06F7" w14:textId="47EF3CCB" w:rsidR="001E2AA0" w:rsidRDefault="001E2AA0" w:rsidP="00250101">
      <w:pPr>
        <w:rPr>
          <w:b/>
        </w:rPr>
      </w:pPr>
      <w:r w:rsidRPr="00676064">
        <w:rPr>
          <w:b/>
        </w:rPr>
        <w:lastRenderedPageBreak/>
        <w:t>6.</w:t>
      </w:r>
      <w:r w:rsidRPr="00676064">
        <w:rPr>
          <w:b/>
        </w:rPr>
        <w:tab/>
        <w:t>Property, plant and equipment</w:t>
      </w:r>
      <w:r>
        <w:rPr>
          <w:b/>
        </w:rPr>
        <w:t xml:space="preserve"> (cont.)</w:t>
      </w:r>
    </w:p>
    <w:p w14:paraId="7BC99D46" w14:textId="77777777" w:rsidR="001E2AA0" w:rsidRDefault="001E2AA0" w:rsidP="00250101">
      <w:pPr>
        <w:rPr>
          <w:b/>
        </w:rPr>
      </w:pPr>
    </w:p>
    <w:tbl>
      <w:tblPr>
        <w:tblW w:w="8967" w:type="dxa"/>
        <w:tblInd w:w="-142" w:type="dxa"/>
        <w:tblLayout w:type="fixed"/>
        <w:tblLook w:val="01E0" w:firstRow="1" w:lastRow="1" w:firstColumn="1" w:lastColumn="1" w:noHBand="0" w:noVBand="0"/>
      </w:tblPr>
      <w:tblGrid>
        <w:gridCol w:w="2694"/>
        <w:gridCol w:w="1950"/>
        <w:gridCol w:w="1417"/>
        <w:gridCol w:w="1452"/>
        <w:gridCol w:w="1454"/>
      </w:tblGrid>
      <w:tr w:rsidR="00C84610" w:rsidRPr="00F267CA" w14:paraId="4063E8DF" w14:textId="77777777" w:rsidTr="00C84610">
        <w:tc>
          <w:tcPr>
            <w:tcW w:w="2694" w:type="dxa"/>
          </w:tcPr>
          <w:p w14:paraId="6A540FDC" w14:textId="53E923FF" w:rsidR="00C84610" w:rsidRPr="00D35926" w:rsidRDefault="00C84610" w:rsidP="001B27EA">
            <w:pPr>
              <w:rPr>
                <w:b/>
                <w:sz w:val="22"/>
                <w:szCs w:val="22"/>
              </w:rPr>
            </w:pPr>
            <w:r>
              <w:br w:type="page"/>
            </w:r>
            <w:r>
              <w:rPr>
                <w:b/>
                <w:sz w:val="22"/>
                <w:szCs w:val="22"/>
              </w:rPr>
              <w:t>2021-22</w:t>
            </w:r>
          </w:p>
        </w:tc>
        <w:tc>
          <w:tcPr>
            <w:tcW w:w="1950" w:type="dxa"/>
          </w:tcPr>
          <w:p w14:paraId="35F15AB7" w14:textId="77777777" w:rsidR="00C84610" w:rsidRPr="00F267CA" w:rsidRDefault="00C84610" w:rsidP="00C84610">
            <w:pPr>
              <w:ind w:right="-171"/>
              <w:jc w:val="center"/>
              <w:rPr>
                <w:rFonts w:cs="Arial"/>
                <w:b/>
                <w:sz w:val="16"/>
                <w:szCs w:val="16"/>
              </w:rPr>
            </w:pPr>
            <w:r w:rsidRPr="00F267CA">
              <w:rPr>
                <w:rFonts w:cs="Arial"/>
                <w:b/>
                <w:sz w:val="16"/>
                <w:szCs w:val="16"/>
              </w:rPr>
              <w:t>Leasehold Improvements</w:t>
            </w:r>
          </w:p>
        </w:tc>
        <w:tc>
          <w:tcPr>
            <w:tcW w:w="1417" w:type="dxa"/>
          </w:tcPr>
          <w:p w14:paraId="0731F89F" w14:textId="77777777" w:rsidR="00C84610" w:rsidRPr="00F267CA" w:rsidRDefault="00C84610" w:rsidP="00C84610">
            <w:pPr>
              <w:jc w:val="center"/>
              <w:rPr>
                <w:b/>
                <w:sz w:val="16"/>
                <w:szCs w:val="16"/>
              </w:rPr>
            </w:pPr>
            <w:r w:rsidRPr="00F267CA">
              <w:rPr>
                <w:b/>
                <w:sz w:val="16"/>
                <w:szCs w:val="16"/>
              </w:rPr>
              <w:t>Information technology</w:t>
            </w:r>
          </w:p>
        </w:tc>
        <w:tc>
          <w:tcPr>
            <w:tcW w:w="1452" w:type="dxa"/>
          </w:tcPr>
          <w:p w14:paraId="231BB2F2" w14:textId="401FACE4" w:rsidR="00C84610" w:rsidRDefault="00C84610" w:rsidP="00C84610">
            <w:pPr>
              <w:ind w:right="-284"/>
              <w:jc w:val="center"/>
              <w:rPr>
                <w:b/>
                <w:sz w:val="16"/>
                <w:szCs w:val="16"/>
              </w:rPr>
            </w:pPr>
            <w:r w:rsidRPr="00F267CA">
              <w:rPr>
                <w:b/>
                <w:sz w:val="16"/>
                <w:szCs w:val="16"/>
              </w:rPr>
              <w:t>Furniture</w:t>
            </w:r>
          </w:p>
          <w:p w14:paraId="78ACB6D1" w14:textId="77777777" w:rsidR="00C84610" w:rsidRPr="00F267CA" w:rsidRDefault="00C84610" w:rsidP="00C84610">
            <w:pPr>
              <w:ind w:right="-426"/>
              <w:jc w:val="center"/>
              <w:rPr>
                <w:b/>
                <w:sz w:val="16"/>
                <w:szCs w:val="16"/>
              </w:rPr>
            </w:pPr>
            <w:r w:rsidRPr="00F267CA">
              <w:rPr>
                <w:b/>
                <w:sz w:val="16"/>
                <w:szCs w:val="16"/>
              </w:rPr>
              <w:t>&amp; fittings</w:t>
            </w:r>
          </w:p>
        </w:tc>
        <w:tc>
          <w:tcPr>
            <w:tcW w:w="1454" w:type="dxa"/>
          </w:tcPr>
          <w:p w14:paraId="18CC651F" w14:textId="77777777" w:rsidR="00C84610" w:rsidRPr="00F267CA" w:rsidRDefault="00C84610" w:rsidP="00C84610">
            <w:pPr>
              <w:jc w:val="center"/>
              <w:rPr>
                <w:b/>
                <w:sz w:val="16"/>
                <w:szCs w:val="16"/>
              </w:rPr>
            </w:pPr>
            <w:r w:rsidRPr="00F267CA">
              <w:rPr>
                <w:b/>
                <w:sz w:val="16"/>
                <w:szCs w:val="16"/>
              </w:rPr>
              <w:t>Total</w:t>
            </w:r>
          </w:p>
          <w:p w14:paraId="74501C8B" w14:textId="77777777" w:rsidR="00C84610" w:rsidRPr="00F267CA" w:rsidRDefault="00C84610" w:rsidP="00C84610">
            <w:pPr>
              <w:jc w:val="center"/>
              <w:rPr>
                <w:b/>
                <w:sz w:val="16"/>
                <w:szCs w:val="16"/>
              </w:rPr>
            </w:pPr>
          </w:p>
        </w:tc>
      </w:tr>
      <w:tr w:rsidR="00C84610" w:rsidRPr="00863EC6" w14:paraId="407A4BA5" w14:textId="77777777" w:rsidTr="00C84610">
        <w:tc>
          <w:tcPr>
            <w:tcW w:w="2694" w:type="dxa"/>
          </w:tcPr>
          <w:p w14:paraId="53E98DE6" w14:textId="77777777" w:rsidR="00C84610" w:rsidRPr="00863EC6" w:rsidRDefault="00C84610" w:rsidP="001B27EA">
            <w:pPr>
              <w:rPr>
                <w:b/>
                <w:sz w:val="20"/>
                <w:szCs w:val="20"/>
              </w:rPr>
            </w:pPr>
            <w:r w:rsidRPr="00863EC6">
              <w:rPr>
                <w:b/>
                <w:sz w:val="20"/>
                <w:szCs w:val="20"/>
              </w:rPr>
              <w:t xml:space="preserve">Cost or valuation </w:t>
            </w:r>
          </w:p>
        </w:tc>
        <w:tc>
          <w:tcPr>
            <w:tcW w:w="1950" w:type="dxa"/>
          </w:tcPr>
          <w:p w14:paraId="41F5970F" w14:textId="77777777" w:rsidR="00C84610" w:rsidRPr="00863EC6" w:rsidRDefault="00C84610" w:rsidP="00C84610">
            <w:pPr>
              <w:jc w:val="center"/>
              <w:rPr>
                <w:b/>
                <w:sz w:val="20"/>
                <w:szCs w:val="20"/>
              </w:rPr>
            </w:pPr>
            <w:r w:rsidRPr="00863EC6">
              <w:rPr>
                <w:b/>
                <w:sz w:val="20"/>
                <w:szCs w:val="20"/>
              </w:rPr>
              <w:t>£</w:t>
            </w:r>
          </w:p>
        </w:tc>
        <w:tc>
          <w:tcPr>
            <w:tcW w:w="1417" w:type="dxa"/>
          </w:tcPr>
          <w:p w14:paraId="05B0E083" w14:textId="77777777" w:rsidR="00C84610" w:rsidRPr="00863EC6" w:rsidRDefault="00C84610" w:rsidP="00C84610">
            <w:pPr>
              <w:jc w:val="center"/>
              <w:rPr>
                <w:b/>
                <w:sz w:val="20"/>
                <w:szCs w:val="20"/>
              </w:rPr>
            </w:pPr>
            <w:r w:rsidRPr="00863EC6">
              <w:rPr>
                <w:b/>
                <w:sz w:val="20"/>
                <w:szCs w:val="20"/>
              </w:rPr>
              <w:t>£</w:t>
            </w:r>
          </w:p>
        </w:tc>
        <w:tc>
          <w:tcPr>
            <w:tcW w:w="1452" w:type="dxa"/>
          </w:tcPr>
          <w:p w14:paraId="6DA1AEB2" w14:textId="77777777" w:rsidR="00C84610" w:rsidRPr="00863EC6" w:rsidRDefault="00C84610" w:rsidP="00C84610">
            <w:pPr>
              <w:jc w:val="center"/>
              <w:rPr>
                <w:b/>
                <w:sz w:val="20"/>
                <w:szCs w:val="20"/>
              </w:rPr>
            </w:pPr>
            <w:r w:rsidRPr="00863EC6">
              <w:rPr>
                <w:b/>
                <w:sz w:val="20"/>
                <w:szCs w:val="20"/>
              </w:rPr>
              <w:t>£</w:t>
            </w:r>
          </w:p>
        </w:tc>
        <w:tc>
          <w:tcPr>
            <w:tcW w:w="1454" w:type="dxa"/>
          </w:tcPr>
          <w:p w14:paraId="1BC71B98" w14:textId="77777777" w:rsidR="00C84610" w:rsidRPr="00863EC6" w:rsidRDefault="00C84610" w:rsidP="00C84610">
            <w:pPr>
              <w:jc w:val="center"/>
              <w:rPr>
                <w:b/>
                <w:sz w:val="20"/>
                <w:szCs w:val="20"/>
              </w:rPr>
            </w:pPr>
            <w:r w:rsidRPr="00863EC6">
              <w:rPr>
                <w:b/>
                <w:sz w:val="20"/>
                <w:szCs w:val="20"/>
              </w:rPr>
              <w:t>£</w:t>
            </w:r>
          </w:p>
        </w:tc>
      </w:tr>
      <w:tr w:rsidR="00C84610" w:rsidRPr="00863EC6" w14:paraId="5B4DB702" w14:textId="77777777" w:rsidTr="00C84610">
        <w:tc>
          <w:tcPr>
            <w:tcW w:w="2694" w:type="dxa"/>
          </w:tcPr>
          <w:p w14:paraId="2EB4BFFA" w14:textId="12859D18" w:rsidR="00C84610" w:rsidRPr="00863EC6" w:rsidRDefault="00C84610" w:rsidP="001B27EA">
            <w:pPr>
              <w:rPr>
                <w:sz w:val="20"/>
                <w:szCs w:val="20"/>
              </w:rPr>
            </w:pPr>
            <w:r w:rsidRPr="00863EC6">
              <w:rPr>
                <w:sz w:val="20"/>
                <w:szCs w:val="20"/>
              </w:rPr>
              <w:t>At 1 April 20</w:t>
            </w:r>
            <w:r>
              <w:rPr>
                <w:sz w:val="20"/>
                <w:szCs w:val="20"/>
              </w:rPr>
              <w:t>21</w:t>
            </w:r>
          </w:p>
        </w:tc>
        <w:tc>
          <w:tcPr>
            <w:tcW w:w="1950" w:type="dxa"/>
          </w:tcPr>
          <w:p w14:paraId="673594C9" w14:textId="0D2F2382" w:rsidR="00C84610" w:rsidRPr="00863EC6" w:rsidRDefault="00092A71" w:rsidP="00C84610">
            <w:pPr>
              <w:jc w:val="center"/>
              <w:rPr>
                <w:sz w:val="20"/>
                <w:szCs w:val="20"/>
              </w:rPr>
            </w:pPr>
            <w:r>
              <w:rPr>
                <w:sz w:val="20"/>
                <w:szCs w:val="20"/>
              </w:rPr>
              <w:t>550,034</w:t>
            </w:r>
          </w:p>
        </w:tc>
        <w:tc>
          <w:tcPr>
            <w:tcW w:w="1417" w:type="dxa"/>
          </w:tcPr>
          <w:p w14:paraId="0D99E15A" w14:textId="333F8A0A" w:rsidR="00C84610" w:rsidRPr="00863EC6" w:rsidRDefault="00092A71" w:rsidP="00C84610">
            <w:pPr>
              <w:jc w:val="center"/>
              <w:rPr>
                <w:sz w:val="20"/>
                <w:szCs w:val="20"/>
              </w:rPr>
            </w:pPr>
            <w:r>
              <w:rPr>
                <w:sz w:val="20"/>
                <w:szCs w:val="20"/>
              </w:rPr>
              <w:t>80,521</w:t>
            </w:r>
          </w:p>
        </w:tc>
        <w:tc>
          <w:tcPr>
            <w:tcW w:w="1452" w:type="dxa"/>
          </w:tcPr>
          <w:p w14:paraId="6366F69C" w14:textId="782D4FB4" w:rsidR="00C84610" w:rsidRPr="00863EC6" w:rsidRDefault="00092A71" w:rsidP="00C84610">
            <w:pPr>
              <w:jc w:val="center"/>
              <w:rPr>
                <w:sz w:val="20"/>
                <w:szCs w:val="20"/>
              </w:rPr>
            </w:pPr>
            <w:r>
              <w:rPr>
                <w:sz w:val="20"/>
                <w:szCs w:val="20"/>
              </w:rPr>
              <w:t>93,393</w:t>
            </w:r>
          </w:p>
        </w:tc>
        <w:tc>
          <w:tcPr>
            <w:tcW w:w="1454" w:type="dxa"/>
          </w:tcPr>
          <w:p w14:paraId="753A5EA4" w14:textId="2E8D6461" w:rsidR="00C84610" w:rsidRPr="00863EC6" w:rsidRDefault="00092A71" w:rsidP="00C84610">
            <w:pPr>
              <w:jc w:val="center"/>
              <w:rPr>
                <w:sz w:val="20"/>
                <w:szCs w:val="20"/>
              </w:rPr>
            </w:pPr>
            <w:r>
              <w:rPr>
                <w:sz w:val="20"/>
                <w:szCs w:val="20"/>
              </w:rPr>
              <w:t>723,948</w:t>
            </w:r>
          </w:p>
        </w:tc>
      </w:tr>
      <w:tr w:rsidR="00C84610" w:rsidRPr="00863EC6" w14:paraId="60979147" w14:textId="77777777" w:rsidTr="00C84610">
        <w:tc>
          <w:tcPr>
            <w:tcW w:w="2694" w:type="dxa"/>
          </w:tcPr>
          <w:p w14:paraId="4F72B1E6" w14:textId="77777777" w:rsidR="00C84610" w:rsidRPr="00863EC6" w:rsidRDefault="00C84610" w:rsidP="001B27EA">
            <w:pPr>
              <w:rPr>
                <w:sz w:val="20"/>
                <w:szCs w:val="20"/>
              </w:rPr>
            </w:pPr>
            <w:r w:rsidRPr="00863EC6">
              <w:rPr>
                <w:sz w:val="20"/>
                <w:szCs w:val="20"/>
              </w:rPr>
              <w:t>Additions</w:t>
            </w:r>
          </w:p>
        </w:tc>
        <w:tc>
          <w:tcPr>
            <w:tcW w:w="1950" w:type="dxa"/>
          </w:tcPr>
          <w:p w14:paraId="7E1FAD27" w14:textId="40C933BC" w:rsidR="00C84610" w:rsidRPr="00863EC6" w:rsidRDefault="00092A71" w:rsidP="00C84610">
            <w:pPr>
              <w:jc w:val="center"/>
              <w:rPr>
                <w:sz w:val="20"/>
                <w:szCs w:val="20"/>
              </w:rPr>
            </w:pPr>
            <w:r>
              <w:rPr>
                <w:sz w:val="20"/>
                <w:szCs w:val="20"/>
              </w:rPr>
              <w:t>0</w:t>
            </w:r>
          </w:p>
        </w:tc>
        <w:tc>
          <w:tcPr>
            <w:tcW w:w="1417" w:type="dxa"/>
          </w:tcPr>
          <w:p w14:paraId="2042A0E3" w14:textId="13DCFF16" w:rsidR="00C84610" w:rsidRPr="00863EC6" w:rsidRDefault="00092A71" w:rsidP="00C84610">
            <w:pPr>
              <w:jc w:val="center"/>
              <w:rPr>
                <w:sz w:val="20"/>
                <w:szCs w:val="20"/>
              </w:rPr>
            </w:pPr>
            <w:r>
              <w:rPr>
                <w:sz w:val="20"/>
                <w:szCs w:val="20"/>
              </w:rPr>
              <w:t>10,972</w:t>
            </w:r>
          </w:p>
        </w:tc>
        <w:tc>
          <w:tcPr>
            <w:tcW w:w="1452" w:type="dxa"/>
          </w:tcPr>
          <w:p w14:paraId="3722F7B6" w14:textId="13452EBC" w:rsidR="00C84610" w:rsidRPr="00863EC6" w:rsidRDefault="00092A71" w:rsidP="00C84610">
            <w:pPr>
              <w:jc w:val="center"/>
              <w:rPr>
                <w:sz w:val="20"/>
                <w:szCs w:val="20"/>
              </w:rPr>
            </w:pPr>
            <w:r>
              <w:rPr>
                <w:sz w:val="20"/>
                <w:szCs w:val="20"/>
              </w:rPr>
              <w:t>0</w:t>
            </w:r>
          </w:p>
        </w:tc>
        <w:tc>
          <w:tcPr>
            <w:tcW w:w="1454" w:type="dxa"/>
          </w:tcPr>
          <w:p w14:paraId="500B67BD" w14:textId="5AD47DAE" w:rsidR="00C84610" w:rsidRPr="00863EC6" w:rsidRDefault="00092A71" w:rsidP="00C84610">
            <w:pPr>
              <w:jc w:val="center"/>
              <w:rPr>
                <w:sz w:val="20"/>
                <w:szCs w:val="20"/>
              </w:rPr>
            </w:pPr>
            <w:r>
              <w:rPr>
                <w:sz w:val="20"/>
                <w:szCs w:val="20"/>
              </w:rPr>
              <w:t>10,972</w:t>
            </w:r>
          </w:p>
        </w:tc>
      </w:tr>
      <w:tr w:rsidR="00C84610" w14:paraId="102E5BDD" w14:textId="77777777" w:rsidTr="00C84610">
        <w:tc>
          <w:tcPr>
            <w:tcW w:w="2694" w:type="dxa"/>
          </w:tcPr>
          <w:p w14:paraId="5A968AB4" w14:textId="41C6A193" w:rsidR="00C84610" w:rsidRDefault="00092A71" w:rsidP="001B27EA">
            <w:pPr>
              <w:rPr>
                <w:sz w:val="20"/>
                <w:szCs w:val="20"/>
              </w:rPr>
            </w:pPr>
            <w:r>
              <w:rPr>
                <w:sz w:val="20"/>
                <w:szCs w:val="20"/>
              </w:rPr>
              <w:t>Revaluation</w:t>
            </w:r>
          </w:p>
        </w:tc>
        <w:tc>
          <w:tcPr>
            <w:tcW w:w="1950" w:type="dxa"/>
          </w:tcPr>
          <w:p w14:paraId="5C5402B7" w14:textId="633AE420" w:rsidR="00C84610" w:rsidRDefault="00092A71" w:rsidP="00C84610">
            <w:pPr>
              <w:jc w:val="center"/>
              <w:rPr>
                <w:sz w:val="20"/>
                <w:szCs w:val="20"/>
              </w:rPr>
            </w:pPr>
            <w:r>
              <w:rPr>
                <w:sz w:val="20"/>
                <w:szCs w:val="20"/>
              </w:rPr>
              <w:t>29,800</w:t>
            </w:r>
          </w:p>
        </w:tc>
        <w:tc>
          <w:tcPr>
            <w:tcW w:w="1417" w:type="dxa"/>
          </w:tcPr>
          <w:p w14:paraId="1DF912D4" w14:textId="77777777" w:rsidR="00C84610" w:rsidRDefault="00C84610" w:rsidP="00C84610">
            <w:pPr>
              <w:jc w:val="center"/>
              <w:rPr>
                <w:sz w:val="20"/>
                <w:szCs w:val="20"/>
              </w:rPr>
            </w:pPr>
            <w:r>
              <w:rPr>
                <w:sz w:val="20"/>
                <w:szCs w:val="20"/>
              </w:rPr>
              <w:t>0</w:t>
            </w:r>
          </w:p>
        </w:tc>
        <w:tc>
          <w:tcPr>
            <w:tcW w:w="1452" w:type="dxa"/>
          </w:tcPr>
          <w:p w14:paraId="77541B84" w14:textId="70B03D98" w:rsidR="00C84610" w:rsidRDefault="00C84610" w:rsidP="00C84610">
            <w:pPr>
              <w:jc w:val="center"/>
              <w:rPr>
                <w:sz w:val="20"/>
                <w:szCs w:val="20"/>
              </w:rPr>
            </w:pPr>
            <w:r>
              <w:rPr>
                <w:sz w:val="20"/>
                <w:szCs w:val="20"/>
              </w:rPr>
              <w:t>0</w:t>
            </w:r>
          </w:p>
        </w:tc>
        <w:tc>
          <w:tcPr>
            <w:tcW w:w="1454" w:type="dxa"/>
          </w:tcPr>
          <w:p w14:paraId="3E81AF49" w14:textId="1B5C9EB8" w:rsidR="00C84610" w:rsidRDefault="00092A71" w:rsidP="00C84610">
            <w:pPr>
              <w:jc w:val="center"/>
              <w:rPr>
                <w:sz w:val="20"/>
                <w:szCs w:val="20"/>
              </w:rPr>
            </w:pPr>
            <w:r>
              <w:rPr>
                <w:sz w:val="20"/>
                <w:szCs w:val="20"/>
              </w:rPr>
              <w:t>29,800</w:t>
            </w:r>
          </w:p>
        </w:tc>
      </w:tr>
      <w:tr w:rsidR="00C84610" w:rsidRPr="00863EC6" w14:paraId="0959773C" w14:textId="77777777" w:rsidTr="00C84610">
        <w:tc>
          <w:tcPr>
            <w:tcW w:w="2694" w:type="dxa"/>
          </w:tcPr>
          <w:p w14:paraId="5D86E6AE" w14:textId="2F4FA2DF" w:rsidR="00C84610" w:rsidRPr="00863EC6" w:rsidRDefault="00C84610" w:rsidP="001B27EA">
            <w:pPr>
              <w:rPr>
                <w:sz w:val="20"/>
                <w:szCs w:val="20"/>
              </w:rPr>
            </w:pPr>
            <w:r w:rsidRPr="00863EC6">
              <w:rPr>
                <w:sz w:val="20"/>
                <w:szCs w:val="20"/>
              </w:rPr>
              <w:t xml:space="preserve">At </w:t>
            </w:r>
            <w:r>
              <w:rPr>
                <w:sz w:val="20"/>
                <w:szCs w:val="20"/>
              </w:rPr>
              <w:t>31 March 2022</w:t>
            </w:r>
          </w:p>
        </w:tc>
        <w:tc>
          <w:tcPr>
            <w:tcW w:w="1950" w:type="dxa"/>
            <w:tcBorders>
              <w:top w:val="single" w:sz="4" w:space="0" w:color="auto"/>
              <w:bottom w:val="single" w:sz="4" w:space="0" w:color="auto"/>
            </w:tcBorders>
          </w:tcPr>
          <w:p w14:paraId="1B4C804C" w14:textId="51DFCAD2" w:rsidR="00C84610" w:rsidRPr="00863EC6" w:rsidRDefault="00C84610" w:rsidP="00C84610">
            <w:pPr>
              <w:jc w:val="center"/>
              <w:rPr>
                <w:sz w:val="20"/>
                <w:szCs w:val="20"/>
              </w:rPr>
            </w:pPr>
            <w:r>
              <w:rPr>
                <w:sz w:val="20"/>
                <w:szCs w:val="20"/>
              </w:rPr>
              <w:t>5</w:t>
            </w:r>
            <w:r w:rsidR="00092A71">
              <w:rPr>
                <w:sz w:val="20"/>
                <w:szCs w:val="20"/>
              </w:rPr>
              <w:t>79,834</w:t>
            </w:r>
          </w:p>
        </w:tc>
        <w:tc>
          <w:tcPr>
            <w:tcW w:w="1417" w:type="dxa"/>
            <w:tcBorders>
              <w:top w:val="single" w:sz="4" w:space="0" w:color="auto"/>
              <w:bottom w:val="single" w:sz="4" w:space="0" w:color="auto"/>
            </w:tcBorders>
          </w:tcPr>
          <w:p w14:paraId="60E2AA57" w14:textId="42BD1003" w:rsidR="00C84610" w:rsidRPr="00863EC6" w:rsidRDefault="00092A71" w:rsidP="00C84610">
            <w:pPr>
              <w:jc w:val="center"/>
              <w:rPr>
                <w:sz w:val="20"/>
                <w:szCs w:val="20"/>
              </w:rPr>
            </w:pPr>
            <w:r>
              <w:rPr>
                <w:sz w:val="20"/>
                <w:szCs w:val="20"/>
              </w:rPr>
              <w:t>91,493</w:t>
            </w:r>
          </w:p>
        </w:tc>
        <w:tc>
          <w:tcPr>
            <w:tcW w:w="1452" w:type="dxa"/>
            <w:tcBorders>
              <w:top w:val="single" w:sz="4" w:space="0" w:color="auto"/>
              <w:bottom w:val="single" w:sz="4" w:space="0" w:color="auto"/>
            </w:tcBorders>
          </w:tcPr>
          <w:p w14:paraId="72ADB76D" w14:textId="62117AD4" w:rsidR="00C84610" w:rsidRPr="00863EC6" w:rsidRDefault="00C84610" w:rsidP="00C84610">
            <w:pPr>
              <w:jc w:val="center"/>
              <w:rPr>
                <w:sz w:val="20"/>
                <w:szCs w:val="20"/>
              </w:rPr>
            </w:pPr>
            <w:r>
              <w:rPr>
                <w:sz w:val="20"/>
                <w:szCs w:val="20"/>
              </w:rPr>
              <w:t>93,393</w:t>
            </w:r>
          </w:p>
        </w:tc>
        <w:tc>
          <w:tcPr>
            <w:tcW w:w="1454" w:type="dxa"/>
            <w:tcBorders>
              <w:top w:val="single" w:sz="4" w:space="0" w:color="auto"/>
              <w:bottom w:val="single" w:sz="4" w:space="0" w:color="auto"/>
            </w:tcBorders>
          </w:tcPr>
          <w:p w14:paraId="1F61E34B" w14:textId="36E346D4" w:rsidR="00C84610" w:rsidRPr="00863EC6" w:rsidRDefault="00C84610" w:rsidP="00C84610">
            <w:pPr>
              <w:jc w:val="center"/>
              <w:rPr>
                <w:sz w:val="20"/>
                <w:szCs w:val="20"/>
              </w:rPr>
            </w:pPr>
            <w:r>
              <w:rPr>
                <w:sz w:val="20"/>
                <w:szCs w:val="20"/>
              </w:rPr>
              <w:t>7</w:t>
            </w:r>
            <w:r w:rsidR="00092A71">
              <w:rPr>
                <w:sz w:val="20"/>
                <w:szCs w:val="20"/>
              </w:rPr>
              <w:t>64,720</w:t>
            </w:r>
          </w:p>
        </w:tc>
      </w:tr>
      <w:tr w:rsidR="00C84610" w:rsidRPr="00863EC6" w14:paraId="647499A9" w14:textId="77777777" w:rsidTr="00C84610">
        <w:tc>
          <w:tcPr>
            <w:tcW w:w="2694" w:type="dxa"/>
          </w:tcPr>
          <w:p w14:paraId="7F9B11D9" w14:textId="77777777" w:rsidR="00092A71" w:rsidRDefault="00092A71" w:rsidP="001B27EA">
            <w:pPr>
              <w:rPr>
                <w:b/>
                <w:sz w:val="20"/>
                <w:szCs w:val="20"/>
              </w:rPr>
            </w:pPr>
          </w:p>
          <w:p w14:paraId="483FFB1C" w14:textId="785C14E8" w:rsidR="00C84610" w:rsidRPr="00863EC6" w:rsidRDefault="00C84610" w:rsidP="001B27EA">
            <w:pPr>
              <w:rPr>
                <w:b/>
                <w:sz w:val="20"/>
                <w:szCs w:val="20"/>
              </w:rPr>
            </w:pPr>
            <w:r w:rsidRPr="00863EC6">
              <w:rPr>
                <w:b/>
                <w:sz w:val="20"/>
                <w:szCs w:val="20"/>
              </w:rPr>
              <w:t>Depreciation</w:t>
            </w:r>
          </w:p>
        </w:tc>
        <w:tc>
          <w:tcPr>
            <w:tcW w:w="1950" w:type="dxa"/>
          </w:tcPr>
          <w:p w14:paraId="5991317E" w14:textId="77777777" w:rsidR="00C84610" w:rsidRPr="00863EC6" w:rsidRDefault="00C84610" w:rsidP="00C84610">
            <w:pPr>
              <w:jc w:val="center"/>
              <w:rPr>
                <w:sz w:val="20"/>
                <w:szCs w:val="20"/>
              </w:rPr>
            </w:pPr>
          </w:p>
        </w:tc>
        <w:tc>
          <w:tcPr>
            <w:tcW w:w="1417" w:type="dxa"/>
          </w:tcPr>
          <w:p w14:paraId="3224A430" w14:textId="77777777" w:rsidR="00C84610" w:rsidRPr="00863EC6" w:rsidRDefault="00C84610" w:rsidP="00C84610">
            <w:pPr>
              <w:jc w:val="center"/>
              <w:rPr>
                <w:sz w:val="20"/>
                <w:szCs w:val="20"/>
              </w:rPr>
            </w:pPr>
          </w:p>
        </w:tc>
        <w:tc>
          <w:tcPr>
            <w:tcW w:w="1452" w:type="dxa"/>
          </w:tcPr>
          <w:p w14:paraId="42BB911E" w14:textId="77777777" w:rsidR="00C84610" w:rsidRPr="00863EC6" w:rsidRDefault="00C84610" w:rsidP="00C84610">
            <w:pPr>
              <w:jc w:val="center"/>
              <w:rPr>
                <w:sz w:val="20"/>
                <w:szCs w:val="20"/>
              </w:rPr>
            </w:pPr>
          </w:p>
        </w:tc>
        <w:tc>
          <w:tcPr>
            <w:tcW w:w="1454" w:type="dxa"/>
          </w:tcPr>
          <w:p w14:paraId="0EB8D94A" w14:textId="77777777" w:rsidR="00C84610" w:rsidRPr="00863EC6" w:rsidRDefault="00C84610" w:rsidP="00C84610">
            <w:pPr>
              <w:jc w:val="center"/>
              <w:rPr>
                <w:sz w:val="20"/>
                <w:szCs w:val="20"/>
              </w:rPr>
            </w:pPr>
          </w:p>
        </w:tc>
      </w:tr>
      <w:tr w:rsidR="00C84610" w:rsidRPr="00863EC6" w14:paraId="36074DCC" w14:textId="77777777" w:rsidTr="00C84610">
        <w:tc>
          <w:tcPr>
            <w:tcW w:w="2694" w:type="dxa"/>
          </w:tcPr>
          <w:p w14:paraId="6837E7EC" w14:textId="23ADCB7A" w:rsidR="00C84610" w:rsidRPr="00863EC6" w:rsidRDefault="00C84610" w:rsidP="001B27EA">
            <w:pPr>
              <w:rPr>
                <w:sz w:val="20"/>
                <w:szCs w:val="20"/>
              </w:rPr>
            </w:pPr>
            <w:r w:rsidRPr="00863EC6">
              <w:rPr>
                <w:sz w:val="20"/>
                <w:szCs w:val="20"/>
              </w:rPr>
              <w:t>At 1 April 20</w:t>
            </w:r>
            <w:r>
              <w:rPr>
                <w:sz w:val="20"/>
                <w:szCs w:val="20"/>
              </w:rPr>
              <w:t>21</w:t>
            </w:r>
          </w:p>
        </w:tc>
        <w:tc>
          <w:tcPr>
            <w:tcW w:w="1950" w:type="dxa"/>
          </w:tcPr>
          <w:p w14:paraId="43C9286B" w14:textId="2A389F43" w:rsidR="00C84610" w:rsidRPr="00863EC6" w:rsidRDefault="00092A71" w:rsidP="00C84610">
            <w:pPr>
              <w:jc w:val="center"/>
              <w:rPr>
                <w:sz w:val="20"/>
                <w:szCs w:val="20"/>
              </w:rPr>
            </w:pPr>
            <w:r>
              <w:rPr>
                <w:sz w:val="20"/>
                <w:szCs w:val="20"/>
              </w:rPr>
              <w:t>59,959</w:t>
            </w:r>
          </w:p>
        </w:tc>
        <w:tc>
          <w:tcPr>
            <w:tcW w:w="1417" w:type="dxa"/>
          </w:tcPr>
          <w:p w14:paraId="172068FD" w14:textId="172EE58A" w:rsidR="00C84610" w:rsidRPr="00863EC6" w:rsidRDefault="00092A71" w:rsidP="00C84610">
            <w:pPr>
              <w:jc w:val="center"/>
              <w:rPr>
                <w:sz w:val="20"/>
                <w:szCs w:val="20"/>
              </w:rPr>
            </w:pPr>
            <w:r>
              <w:rPr>
                <w:sz w:val="20"/>
                <w:szCs w:val="20"/>
              </w:rPr>
              <w:t>68,862</w:t>
            </w:r>
          </w:p>
        </w:tc>
        <w:tc>
          <w:tcPr>
            <w:tcW w:w="1452" w:type="dxa"/>
          </w:tcPr>
          <w:p w14:paraId="51687CC3" w14:textId="4B00598D" w:rsidR="00C84610" w:rsidRPr="00863EC6" w:rsidRDefault="00C84610" w:rsidP="00C84610">
            <w:pPr>
              <w:jc w:val="center"/>
              <w:rPr>
                <w:sz w:val="20"/>
                <w:szCs w:val="20"/>
              </w:rPr>
            </w:pPr>
            <w:r>
              <w:rPr>
                <w:sz w:val="20"/>
                <w:szCs w:val="20"/>
              </w:rPr>
              <w:t>1</w:t>
            </w:r>
            <w:r w:rsidR="00092A71">
              <w:rPr>
                <w:sz w:val="20"/>
                <w:szCs w:val="20"/>
              </w:rPr>
              <w:t>1,430</w:t>
            </w:r>
          </w:p>
        </w:tc>
        <w:tc>
          <w:tcPr>
            <w:tcW w:w="1454" w:type="dxa"/>
          </w:tcPr>
          <w:p w14:paraId="4D544C7E" w14:textId="446F54B4" w:rsidR="00C84610" w:rsidRPr="00863EC6" w:rsidRDefault="00092A71" w:rsidP="00C84610">
            <w:pPr>
              <w:jc w:val="center"/>
              <w:rPr>
                <w:sz w:val="20"/>
                <w:szCs w:val="20"/>
              </w:rPr>
            </w:pPr>
            <w:r>
              <w:rPr>
                <w:sz w:val="20"/>
                <w:szCs w:val="20"/>
              </w:rPr>
              <w:t>140,251</w:t>
            </w:r>
          </w:p>
        </w:tc>
      </w:tr>
      <w:tr w:rsidR="00C84610" w:rsidRPr="00863EC6" w14:paraId="1A80CBA8" w14:textId="77777777" w:rsidTr="00C84610">
        <w:tc>
          <w:tcPr>
            <w:tcW w:w="2694" w:type="dxa"/>
          </w:tcPr>
          <w:p w14:paraId="514064A6" w14:textId="77777777" w:rsidR="00C84610" w:rsidRPr="00863EC6" w:rsidRDefault="00C84610" w:rsidP="001B27EA">
            <w:pPr>
              <w:rPr>
                <w:sz w:val="20"/>
                <w:szCs w:val="20"/>
              </w:rPr>
            </w:pPr>
            <w:r w:rsidRPr="00863EC6">
              <w:rPr>
                <w:sz w:val="20"/>
                <w:szCs w:val="20"/>
              </w:rPr>
              <w:t>Charged in year</w:t>
            </w:r>
          </w:p>
        </w:tc>
        <w:tc>
          <w:tcPr>
            <w:tcW w:w="1950" w:type="dxa"/>
          </w:tcPr>
          <w:p w14:paraId="2E621078" w14:textId="32E71C22" w:rsidR="00C84610" w:rsidRPr="00863EC6" w:rsidRDefault="00092A71" w:rsidP="00C84610">
            <w:pPr>
              <w:jc w:val="center"/>
              <w:rPr>
                <w:sz w:val="20"/>
                <w:szCs w:val="20"/>
              </w:rPr>
            </w:pPr>
            <w:r>
              <w:rPr>
                <w:sz w:val="20"/>
                <w:szCs w:val="20"/>
              </w:rPr>
              <w:t>65,244</w:t>
            </w:r>
          </w:p>
        </w:tc>
        <w:tc>
          <w:tcPr>
            <w:tcW w:w="1417" w:type="dxa"/>
          </w:tcPr>
          <w:p w14:paraId="031E8F1C" w14:textId="1D95794F" w:rsidR="00C84610" w:rsidRPr="00863EC6" w:rsidRDefault="00092A71" w:rsidP="00C84610">
            <w:pPr>
              <w:jc w:val="center"/>
              <w:rPr>
                <w:sz w:val="20"/>
                <w:szCs w:val="20"/>
              </w:rPr>
            </w:pPr>
            <w:r>
              <w:rPr>
                <w:sz w:val="20"/>
                <w:szCs w:val="20"/>
              </w:rPr>
              <w:t>4,987</w:t>
            </w:r>
          </w:p>
        </w:tc>
        <w:tc>
          <w:tcPr>
            <w:tcW w:w="1452" w:type="dxa"/>
          </w:tcPr>
          <w:p w14:paraId="4664CB89" w14:textId="52334E1F" w:rsidR="00C84610" w:rsidRPr="00863EC6" w:rsidRDefault="00092A71" w:rsidP="00C84610">
            <w:pPr>
              <w:jc w:val="center"/>
              <w:rPr>
                <w:sz w:val="20"/>
                <w:szCs w:val="20"/>
              </w:rPr>
            </w:pPr>
            <w:r>
              <w:rPr>
                <w:sz w:val="20"/>
                <w:szCs w:val="20"/>
              </w:rPr>
              <w:t>16,926</w:t>
            </w:r>
          </w:p>
        </w:tc>
        <w:tc>
          <w:tcPr>
            <w:tcW w:w="1454" w:type="dxa"/>
          </w:tcPr>
          <w:p w14:paraId="0EACE95A" w14:textId="7A94B473" w:rsidR="00C84610" w:rsidRPr="00863EC6" w:rsidRDefault="00092A71" w:rsidP="00C84610">
            <w:pPr>
              <w:jc w:val="center"/>
              <w:rPr>
                <w:sz w:val="20"/>
                <w:szCs w:val="20"/>
              </w:rPr>
            </w:pPr>
            <w:r>
              <w:rPr>
                <w:sz w:val="20"/>
                <w:szCs w:val="20"/>
              </w:rPr>
              <w:t>87,157</w:t>
            </w:r>
          </w:p>
        </w:tc>
      </w:tr>
      <w:tr w:rsidR="00C84610" w14:paraId="30CFC4FC" w14:textId="77777777" w:rsidTr="00C84610">
        <w:tc>
          <w:tcPr>
            <w:tcW w:w="2694" w:type="dxa"/>
          </w:tcPr>
          <w:p w14:paraId="5A11BB14" w14:textId="3521AABD" w:rsidR="00C84610" w:rsidRPr="00F82840" w:rsidRDefault="00092A71" w:rsidP="001B27EA">
            <w:pPr>
              <w:rPr>
                <w:sz w:val="20"/>
                <w:szCs w:val="20"/>
              </w:rPr>
            </w:pPr>
            <w:r>
              <w:rPr>
                <w:sz w:val="20"/>
                <w:szCs w:val="20"/>
              </w:rPr>
              <w:t>Revaluation</w:t>
            </w:r>
          </w:p>
        </w:tc>
        <w:tc>
          <w:tcPr>
            <w:tcW w:w="1950" w:type="dxa"/>
          </w:tcPr>
          <w:p w14:paraId="7542E04E" w14:textId="69B9B210" w:rsidR="00C84610" w:rsidRDefault="00092A71" w:rsidP="00C84610">
            <w:pPr>
              <w:jc w:val="center"/>
              <w:rPr>
                <w:sz w:val="20"/>
                <w:szCs w:val="20"/>
              </w:rPr>
            </w:pPr>
            <w:r>
              <w:rPr>
                <w:sz w:val="20"/>
                <w:szCs w:val="20"/>
              </w:rPr>
              <w:t>396</w:t>
            </w:r>
          </w:p>
        </w:tc>
        <w:tc>
          <w:tcPr>
            <w:tcW w:w="1417" w:type="dxa"/>
          </w:tcPr>
          <w:p w14:paraId="21A3FBB6" w14:textId="77777777" w:rsidR="00C84610" w:rsidRPr="00F82840" w:rsidRDefault="00C84610" w:rsidP="00C84610">
            <w:pPr>
              <w:jc w:val="center"/>
              <w:rPr>
                <w:sz w:val="20"/>
                <w:szCs w:val="20"/>
              </w:rPr>
            </w:pPr>
            <w:r>
              <w:rPr>
                <w:sz w:val="20"/>
                <w:szCs w:val="20"/>
              </w:rPr>
              <w:t>0</w:t>
            </w:r>
          </w:p>
        </w:tc>
        <w:tc>
          <w:tcPr>
            <w:tcW w:w="1452" w:type="dxa"/>
          </w:tcPr>
          <w:p w14:paraId="2AFC33D5" w14:textId="0E07BE39" w:rsidR="00C84610" w:rsidRPr="00F82840" w:rsidRDefault="00092A71" w:rsidP="00C84610">
            <w:pPr>
              <w:jc w:val="center"/>
              <w:rPr>
                <w:sz w:val="20"/>
                <w:szCs w:val="20"/>
              </w:rPr>
            </w:pPr>
            <w:r>
              <w:rPr>
                <w:sz w:val="20"/>
                <w:szCs w:val="20"/>
              </w:rPr>
              <w:t>0</w:t>
            </w:r>
          </w:p>
        </w:tc>
        <w:tc>
          <w:tcPr>
            <w:tcW w:w="1454" w:type="dxa"/>
          </w:tcPr>
          <w:p w14:paraId="1E72AFD2" w14:textId="1E55C169" w:rsidR="00C84610" w:rsidRDefault="00092A71" w:rsidP="00C84610">
            <w:pPr>
              <w:jc w:val="center"/>
              <w:rPr>
                <w:sz w:val="20"/>
                <w:szCs w:val="20"/>
              </w:rPr>
            </w:pPr>
            <w:r>
              <w:rPr>
                <w:sz w:val="20"/>
                <w:szCs w:val="20"/>
              </w:rPr>
              <w:t>396</w:t>
            </w:r>
          </w:p>
        </w:tc>
      </w:tr>
      <w:tr w:rsidR="00C84610" w:rsidRPr="00F82840" w14:paraId="55C77E9B" w14:textId="77777777" w:rsidTr="00C84610">
        <w:tc>
          <w:tcPr>
            <w:tcW w:w="2694" w:type="dxa"/>
          </w:tcPr>
          <w:p w14:paraId="648A7647" w14:textId="5A23C630" w:rsidR="00C84610" w:rsidRPr="00F82840" w:rsidRDefault="00C84610" w:rsidP="001B27EA">
            <w:pPr>
              <w:rPr>
                <w:sz w:val="20"/>
                <w:szCs w:val="20"/>
              </w:rPr>
            </w:pPr>
            <w:r w:rsidRPr="00F82840">
              <w:rPr>
                <w:sz w:val="20"/>
                <w:szCs w:val="20"/>
              </w:rPr>
              <w:t xml:space="preserve">At </w:t>
            </w:r>
            <w:r>
              <w:rPr>
                <w:sz w:val="20"/>
                <w:szCs w:val="20"/>
              </w:rPr>
              <w:t>31 March 2022</w:t>
            </w:r>
          </w:p>
        </w:tc>
        <w:tc>
          <w:tcPr>
            <w:tcW w:w="1950" w:type="dxa"/>
            <w:tcBorders>
              <w:top w:val="single" w:sz="4" w:space="0" w:color="auto"/>
              <w:bottom w:val="single" w:sz="4" w:space="0" w:color="auto"/>
            </w:tcBorders>
          </w:tcPr>
          <w:p w14:paraId="2EE868BF" w14:textId="455D5ADC" w:rsidR="00C84610" w:rsidRPr="00F82840" w:rsidRDefault="00092A71" w:rsidP="00C84610">
            <w:pPr>
              <w:jc w:val="center"/>
              <w:rPr>
                <w:sz w:val="20"/>
                <w:szCs w:val="20"/>
              </w:rPr>
            </w:pPr>
            <w:r>
              <w:rPr>
                <w:sz w:val="20"/>
                <w:szCs w:val="20"/>
              </w:rPr>
              <w:t>125,599</w:t>
            </w:r>
          </w:p>
        </w:tc>
        <w:tc>
          <w:tcPr>
            <w:tcW w:w="1417" w:type="dxa"/>
            <w:tcBorders>
              <w:top w:val="single" w:sz="4" w:space="0" w:color="auto"/>
              <w:bottom w:val="single" w:sz="4" w:space="0" w:color="auto"/>
            </w:tcBorders>
          </w:tcPr>
          <w:p w14:paraId="250730E5" w14:textId="7FA20F5F" w:rsidR="00C84610" w:rsidRPr="00F82840" w:rsidRDefault="00092A71" w:rsidP="00C84610">
            <w:pPr>
              <w:jc w:val="center"/>
              <w:rPr>
                <w:sz w:val="20"/>
                <w:szCs w:val="20"/>
              </w:rPr>
            </w:pPr>
            <w:r>
              <w:rPr>
                <w:sz w:val="20"/>
                <w:szCs w:val="20"/>
              </w:rPr>
              <w:t>73,849</w:t>
            </w:r>
          </w:p>
        </w:tc>
        <w:tc>
          <w:tcPr>
            <w:tcW w:w="1452" w:type="dxa"/>
            <w:tcBorders>
              <w:top w:val="single" w:sz="4" w:space="0" w:color="auto"/>
              <w:bottom w:val="single" w:sz="4" w:space="0" w:color="auto"/>
            </w:tcBorders>
          </w:tcPr>
          <w:p w14:paraId="1FEB7BF0" w14:textId="4CF5749F" w:rsidR="00C84610" w:rsidRPr="00F82840" w:rsidRDefault="00092A71" w:rsidP="00C84610">
            <w:pPr>
              <w:jc w:val="center"/>
              <w:rPr>
                <w:sz w:val="20"/>
                <w:szCs w:val="20"/>
              </w:rPr>
            </w:pPr>
            <w:r>
              <w:rPr>
                <w:sz w:val="20"/>
                <w:szCs w:val="20"/>
              </w:rPr>
              <w:t>28,356</w:t>
            </w:r>
          </w:p>
        </w:tc>
        <w:tc>
          <w:tcPr>
            <w:tcW w:w="1454" w:type="dxa"/>
            <w:tcBorders>
              <w:top w:val="single" w:sz="4" w:space="0" w:color="auto"/>
              <w:bottom w:val="single" w:sz="4" w:space="0" w:color="auto"/>
            </w:tcBorders>
          </w:tcPr>
          <w:p w14:paraId="66188587" w14:textId="78D97EAB" w:rsidR="00C84610" w:rsidRPr="00F82840" w:rsidRDefault="00092A71" w:rsidP="00C84610">
            <w:pPr>
              <w:jc w:val="center"/>
              <w:rPr>
                <w:sz w:val="20"/>
                <w:szCs w:val="20"/>
              </w:rPr>
            </w:pPr>
            <w:r>
              <w:rPr>
                <w:sz w:val="20"/>
                <w:szCs w:val="20"/>
              </w:rPr>
              <w:t>227,804</w:t>
            </w:r>
          </w:p>
        </w:tc>
      </w:tr>
      <w:tr w:rsidR="00C84610" w:rsidRPr="00F82840" w14:paraId="2611D8B6" w14:textId="77777777" w:rsidTr="00C84610">
        <w:tc>
          <w:tcPr>
            <w:tcW w:w="2694" w:type="dxa"/>
          </w:tcPr>
          <w:p w14:paraId="6150F618" w14:textId="77777777" w:rsidR="00C84610" w:rsidRPr="00F82840" w:rsidRDefault="00C84610" w:rsidP="001B27EA">
            <w:pPr>
              <w:rPr>
                <w:sz w:val="20"/>
                <w:szCs w:val="20"/>
              </w:rPr>
            </w:pPr>
          </w:p>
          <w:p w14:paraId="79FDE53C" w14:textId="56E68C34" w:rsidR="00C84610" w:rsidRPr="00F82840" w:rsidRDefault="00C84610" w:rsidP="001B27EA">
            <w:pPr>
              <w:rPr>
                <w:sz w:val="20"/>
                <w:szCs w:val="20"/>
              </w:rPr>
            </w:pPr>
            <w:r w:rsidRPr="00F82840">
              <w:rPr>
                <w:sz w:val="20"/>
                <w:szCs w:val="20"/>
              </w:rPr>
              <w:t xml:space="preserve">Net book value at </w:t>
            </w:r>
            <w:r>
              <w:rPr>
                <w:sz w:val="20"/>
                <w:szCs w:val="20"/>
              </w:rPr>
              <w:t>31 March 2022</w:t>
            </w:r>
          </w:p>
        </w:tc>
        <w:tc>
          <w:tcPr>
            <w:tcW w:w="1950" w:type="dxa"/>
            <w:tcBorders>
              <w:top w:val="single" w:sz="4" w:space="0" w:color="auto"/>
              <w:bottom w:val="single" w:sz="4" w:space="0" w:color="auto"/>
            </w:tcBorders>
          </w:tcPr>
          <w:p w14:paraId="1C502BEE" w14:textId="77777777" w:rsidR="00C84610" w:rsidRDefault="00C84610" w:rsidP="00C84610">
            <w:pPr>
              <w:jc w:val="center"/>
              <w:rPr>
                <w:sz w:val="20"/>
                <w:szCs w:val="20"/>
              </w:rPr>
            </w:pPr>
          </w:p>
          <w:p w14:paraId="4AB20A20" w14:textId="77777777" w:rsidR="00C84610" w:rsidRDefault="00C84610" w:rsidP="00C84610">
            <w:pPr>
              <w:jc w:val="center"/>
              <w:rPr>
                <w:sz w:val="20"/>
                <w:szCs w:val="20"/>
              </w:rPr>
            </w:pPr>
          </w:p>
          <w:p w14:paraId="2B3B3E19" w14:textId="67785FF1" w:rsidR="00C84610" w:rsidRPr="00F82840" w:rsidRDefault="00C84610" w:rsidP="00C84610">
            <w:pPr>
              <w:jc w:val="center"/>
              <w:rPr>
                <w:sz w:val="20"/>
                <w:szCs w:val="20"/>
              </w:rPr>
            </w:pPr>
            <w:r>
              <w:rPr>
                <w:sz w:val="20"/>
                <w:szCs w:val="20"/>
              </w:rPr>
              <w:t>4</w:t>
            </w:r>
            <w:r w:rsidR="00092A71">
              <w:rPr>
                <w:sz w:val="20"/>
                <w:szCs w:val="20"/>
              </w:rPr>
              <w:t>54,235</w:t>
            </w:r>
          </w:p>
        </w:tc>
        <w:tc>
          <w:tcPr>
            <w:tcW w:w="1417" w:type="dxa"/>
            <w:tcBorders>
              <w:top w:val="single" w:sz="4" w:space="0" w:color="auto"/>
              <w:bottom w:val="single" w:sz="4" w:space="0" w:color="auto"/>
            </w:tcBorders>
          </w:tcPr>
          <w:p w14:paraId="1ACA2212" w14:textId="77777777" w:rsidR="00C84610" w:rsidRDefault="00C84610" w:rsidP="00C84610">
            <w:pPr>
              <w:jc w:val="center"/>
              <w:rPr>
                <w:sz w:val="20"/>
                <w:szCs w:val="20"/>
              </w:rPr>
            </w:pPr>
          </w:p>
          <w:p w14:paraId="5789CFF9" w14:textId="77777777" w:rsidR="00C84610" w:rsidRDefault="00C84610" w:rsidP="00C84610">
            <w:pPr>
              <w:jc w:val="center"/>
              <w:rPr>
                <w:sz w:val="20"/>
                <w:szCs w:val="20"/>
              </w:rPr>
            </w:pPr>
          </w:p>
          <w:p w14:paraId="5CFC6F94" w14:textId="7BAB4BAE" w:rsidR="00C84610" w:rsidRPr="00F82840" w:rsidRDefault="00C84610" w:rsidP="00C84610">
            <w:pPr>
              <w:jc w:val="center"/>
              <w:rPr>
                <w:sz w:val="20"/>
                <w:szCs w:val="20"/>
              </w:rPr>
            </w:pPr>
            <w:r>
              <w:rPr>
                <w:sz w:val="20"/>
                <w:szCs w:val="20"/>
              </w:rPr>
              <w:t>1</w:t>
            </w:r>
            <w:r w:rsidR="00092A71">
              <w:rPr>
                <w:sz w:val="20"/>
                <w:szCs w:val="20"/>
              </w:rPr>
              <w:t>7,644</w:t>
            </w:r>
          </w:p>
        </w:tc>
        <w:tc>
          <w:tcPr>
            <w:tcW w:w="1452" w:type="dxa"/>
            <w:tcBorders>
              <w:top w:val="single" w:sz="4" w:space="0" w:color="auto"/>
              <w:bottom w:val="single" w:sz="4" w:space="0" w:color="auto"/>
            </w:tcBorders>
          </w:tcPr>
          <w:p w14:paraId="5B515EB9" w14:textId="77777777" w:rsidR="00C84610" w:rsidRDefault="00C84610" w:rsidP="00C84610">
            <w:pPr>
              <w:jc w:val="center"/>
              <w:rPr>
                <w:sz w:val="20"/>
                <w:szCs w:val="20"/>
              </w:rPr>
            </w:pPr>
          </w:p>
          <w:p w14:paraId="5BABD6DE" w14:textId="77777777" w:rsidR="00C84610" w:rsidRDefault="00C84610" w:rsidP="00C84610">
            <w:pPr>
              <w:jc w:val="center"/>
              <w:rPr>
                <w:sz w:val="20"/>
                <w:szCs w:val="20"/>
              </w:rPr>
            </w:pPr>
          </w:p>
          <w:p w14:paraId="6A5EDF8F" w14:textId="461E8212" w:rsidR="00C84610" w:rsidRPr="00F82840" w:rsidRDefault="00092A71" w:rsidP="00C84610">
            <w:pPr>
              <w:jc w:val="center"/>
              <w:rPr>
                <w:sz w:val="20"/>
                <w:szCs w:val="20"/>
              </w:rPr>
            </w:pPr>
            <w:r>
              <w:rPr>
                <w:sz w:val="20"/>
                <w:szCs w:val="20"/>
              </w:rPr>
              <w:t>65,037</w:t>
            </w:r>
          </w:p>
        </w:tc>
        <w:tc>
          <w:tcPr>
            <w:tcW w:w="1454" w:type="dxa"/>
            <w:tcBorders>
              <w:top w:val="single" w:sz="4" w:space="0" w:color="auto"/>
              <w:bottom w:val="single" w:sz="4" w:space="0" w:color="auto"/>
            </w:tcBorders>
          </w:tcPr>
          <w:p w14:paraId="385F19F4" w14:textId="77777777" w:rsidR="00C84610" w:rsidRDefault="00C84610" w:rsidP="00C84610">
            <w:pPr>
              <w:jc w:val="center"/>
              <w:rPr>
                <w:sz w:val="20"/>
                <w:szCs w:val="20"/>
              </w:rPr>
            </w:pPr>
          </w:p>
          <w:p w14:paraId="337377C3" w14:textId="77777777" w:rsidR="00C84610" w:rsidRDefault="00C84610" w:rsidP="00C84610">
            <w:pPr>
              <w:jc w:val="center"/>
              <w:rPr>
                <w:sz w:val="20"/>
                <w:szCs w:val="20"/>
              </w:rPr>
            </w:pPr>
          </w:p>
          <w:p w14:paraId="6FC650AC" w14:textId="25AAA47C" w:rsidR="00C84610" w:rsidRPr="00F82840" w:rsidRDefault="00C84610" w:rsidP="00C84610">
            <w:pPr>
              <w:jc w:val="center"/>
              <w:rPr>
                <w:sz w:val="20"/>
                <w:szCs w:val="20"/>
              </w:rPr>
            </w:pPr>
            <w:r>
              <w:rPr>
                <w:sz w:val="20"/>
                <w:szCs w:val="20"/>
              </w:rPr>
              <w:t>5</w:t>
            </w:r>
            <w:r w:rsidR="00092A71">
              <w:rPr>
                <w:sz w:val="20"/>
                <w:szCs w:val="20"/>
              </w:rPr>
              <w:t>36,916</w:t>
            </w:r>
          </w:p>
        </w:tc>
      </w:tr>
      <w:tr w:rsidR="00C84610" w:rsidRPr="00F82840" w14:paraId="2A2E53D1" w14:textId="77777777" w:rsidTr="00C84610">
        <w:tc>
          <w:tcPr>
            <w:tcW w:w="2694" w:type="dxa"/>
          </w:tcPr>
          <w:p w14:paraId="15B38C45" w14:textId="77777777" w:rsidR="00C84610" w:rsidRPr="00F82840" w:rsidRDefault="00C84610" w:rsidP="001B27EA">
            <w:pPr>
              <w:rPr>
                <w:sz w:val="20"/>
                <w:szCs w:val="20"/>
              </w:rPr>
            </w:pPr>
          </w:p>
          <w:p w14:paraId="2418F7DA" w14:textId="6585E16F" w:rsidR="00C84610" w:rsidRPr="00F82840" w:rsidRDefault="00C84610" w:rsidP="001B27EA">
            <w:pPr>
              <w:rPr>
                <w:sz w:val="20"/>
                <w:szCs w:val="20"/>
              </w:rPr>
            </w:pPr>
            <w:r>
              <w:rPr>
                <w:sz w:val="20"/>
                <w:szCs w:val="20"/>
              </w:rPr>
              <w:t>Net book value at 31 March 2021</w:t>
            </w:r>
          </w:p>
        </w:tc>
        <w:tc>
          <w:tcPr>
            <w:tcW w:w="1950" w:type="dxa"/>
            <w:tcBorders>
              <w:top w:val="single" w:sz="4" w:space="0" w:color="auto"/>
              <w:bottom w:val="single" w:sz="4" w:space="0" w:color="auto"/>
            </w:tcBorders>
          </w:tcPr>
          <w:p w14:paraId="6CE9364B" w14:textId="77777777" w:rsidR="00C84610" w:rsidRDefault="00C84610" w:rsidP="00C84610">
            <w:pPr>
              <w:jc w:val="center"/>
              <w:rPr>
                <w:sz w:val="20"/>
                <w:szCs w:val="20"/>
              </w:rPr>
            </w:pPr>
          </w:p>
          <w:p w14:paraId="49D4BBC1" w14:textId="77777777" w:rsidR="00C84610" w:rsidRDefault="00C84610" w:rsidP="00C84610">
            <w:pPr>
              <w:jc w:val="center"/>
              <w:rPr>
                <w:sz w:val="20"/>
                <w:szCs w:val="20"/>
              </w:rPr>
            </w:pPr>
          </w:p>
          <w:p w14:paraId="0133B328" w14:textId="7CF771CA" w:rsidR="00C84610" w:rsidRPr="00F82840" w:rsidRDefault="00092A71" w:rsidP="00C84610">
            <w:pPr>
              <w:jc w:val="center"/>
              <w:rPr>
                <w:sz w:val="20"/>
                <w:szCs w:val="20"/>
              </w:rPr>
            </w:pPr>
            <w:r>
              <w:rPr>
                <w:sz w:val="20"/>
                <w:szCs w:val="20"/>
              </w:rPr>
              <w:t>490,075</w:t>
            </w:r>
          </w:p>
        </w:tc>
        <w:tc>
          <w:tcPr>
            <w:tcW w:w="1417" w:type="dxa"/>
            <w:tcBorders>
              <w:top w:val="single" w:sz="4" w:space="0" w:color="auto"/>
              <w:bottom w:val="single" w:sz="4" w:space="0" w:color="auto"/>
            </w:tcBorders>
          </w:tcPr>
          <w:p w14:paraId="376CC96B" w14:textId="77777777" w:rsidR="00C84610" w:rsidRDefault="00C84610" w:rsidP="00C84610">
            <w:pPr>
              <w:jc w:val="center"/>
              <w:rPr>
                <w:sz w:val="20"/>
                <w:szCs w:val="20"/>
              </w:rPr>
            </w:pPr>
          </w:p>
          <w:p w14:paraId="6377D713" w14:textId="77777777" w:rsidR="00C84610" w:rsidRDefault="00C84610" w:rsidP="00C84610">
            <w:pPr>
              <w:jc w:val="center"/>
              <w:rPr>
                <w:sz w:val="20"/>
                <w:szCs w:val="20"/>
              </w:rPr>
            </w:pPr>
          </w:p>
          <w:p w14:paraId="0782EAF8" w14:textId="451D833E" w:rsidR="00C84610" w:rsidRPr="00F82840" w:rsidRDefault="00092A71" w:rsidP="00C84610">
            <w:pPr>
              <w:jc w:val="center"/>
              <w:rPr>
                <w:sz w:val="20"/>
                <w:szCs w:val="20"/>
              </w:rPr>
            </w:pPr>
            <w:r>
              <w:rPr>
                <w:sz w:val="20"/>
                <w:szCs w:val="20"/>
              </w:rPr>
              <w:t>11,659</w:t>
            </w:r>
          </w:p>
        </w:tc>
        <w:tc>
          <w:tcPr>
            <w:tcW w:w="1452" w:type="dxa"/>
            <w:tcBorders>
              <w:top w:val="single" w:sz="4" w:space="0" w:color="auto"/>
              <w:bottom w:val="single" w:sz="4" w:space="0" w:color="auto"/>
            </w:tcBorders>
          </w:tcPr>
          <w:p w14:paraId="447CD142" w14:textId="77777777" w:rsidR="00C84610" w:rsidRDefault="00C84610" w:rsidP="00C84610">
            <w:pPr>
              <w:jc w:val="center"/>
              <w:rPr>
                <w:sz w:val="20"/>
                <w:szCs w:val="20"/>
              </w:rPr>
            </w:pPr>
          </w:p>
          <w:p w14:paraId="0374AE6B" w14:textId="77777777" w:rsidR="00C84610" w:rsidRDefault="00C84610" w:rsidP="00C84610">
            <w:pPr>
              <w:jc w:val="center"/>
              <w:rPr>
                <w:sz w:val="20"/>
                <w:szCs w:val="20"/>
              </w:rPr>
            </w:pPr>
          </w:p>
          <w:p w14:paraId="2E53DF64" w14:textId="3493E82A" w:rsidR="00C84610" w:rsidRPr="00F82840" w:rsidRDefault="00092A71" w:rsidP="00C84610">
            <w:pPr>
              <w:jc w:val="center"/>
              <w:rPr>
                <w:sz w:val="20"/>
                <w:szCs w:val="20"/>
              </w:rPr>
            </w:pPr>
            <w:r>
              <w:rPr>
                <w:sz w:val="20"/>
                <w:szCs w:val="20"/>
              </w:rPr>
              <w:t>81,963</w:t>
            </w:r>
          </w:p>
        </w:tc>
        <w:tc>
          <w:tcPr>
            <w:tcW w:w="1454" w:type="dxa"/>
            <w:tcBorders>
              <w:top w:val="single" w:sz="4" w:space="0" w:color="auto"/>
              <w:bottom w:val="single" w:sz="4" w:space="0" w:color="auto"/>
            </w:tcBorders>
          </w:tcPr>
          <w:p w14:paraId="7C0A2000" w14:textId="77777777" w:rsidR="00C84610" w:rsidRDefault="00C84610" w:rsidP="00C84610">
            <w:pPr>
              <w:jc w:val="center"/>
              <w:rPr>
                <w:sz w:val="20"/>
                <w:szCs w:val="20"/>
              </w:rPr>
            </w:pPr>
          </w:p>
          <w:p w14:paraId="2B7A8E39" w14:textId="77777777" w:rsidR="00C84610" w:rsidRDefault="00C84610" w:rsidP="00C84610">
            <w:pPr>
              <w:jc w:val="center"/>
              <w:rPr>
                <w:sz w:val="20"/>
                <w:szCs w:val="20"/>
              </w:rPr>
            </w:pPr>
          </w:p>
          <w:p w14:paraId="17AEDBAE" w14:textId="1D1375D3" w:rsidR="00C84610" w:rsidRPr="00F82840" w:rsidRDefault="00C84610" w:rsidP="00C84610">
            <w:pPr>
              <w:jc w:val="center"/>
              <w:rPr>
                <w:sz w:val="20"/>
                <w:szCs w:val="20"/>
              </w:rPr>
            </w:pPr>
            <w:r>
              <w:rPr>
                <w:sz w:val="20"/>
                <w:szCs w:val="20"/>
              </w:rPr>
              <w:t>5</w:t>
            </w:r>
            <w:r w:rsidR="00092A71">
              <w:rPr>
                <w:sz w:val="20"/>
                <w:szCs w:val="20"/>
              </w:rPr>
              <w:t>83,697</w:t>
            </w:r>
          </w:p>
        </w:tc>
      </w:tr>
      <w:tr w:rsidR="00C84610" w:rsidRPr="00F82840" w14:paraId="4FA6A1C4" w14:textId="77777777" w:rsidTr="00C84610">
        <w:tc>
          <w:tcPr>
            <w:tcW w:w="2694" w:type="dxa"/>
          </w:tcPr>
          <w:p w14:paraId="4E5235D8" w14:textId="77777777" w:rsidR="00C84610" w:rsidRPr="00F82840" w:rsidRDefault="00C84610" w:rsidP="001B27EA">
            <w:pPr>
              <w:rPr>
                <w:sz w:val="20"/>
                <w:szCs w:val="20"/>
              </w:rPr>
            </w:pPr>
          </w:p>
        </w:tc>
        <w:tc>
          <w:tcPr>
            <w:tcW w:w="1950" w:type="dxa"/>
            <w:tcBorders>
              <w:top w:val="single" w:sz="4" w:space="0" w:color="auto"/>
            </w:tcBorders>
          </w:tcPr>
          <w:p w14:paraId="42E86CCB" w14:textId="77777777" w:rsidR="00C84610" w:rsidRPr="00F82840" w:rsidRDefault="00C84610" w:rsidP="00C84610">
            <w:pPr>
              <w:jc w:val="center"/>
              <w:rPr>
                <w:sz w:val="20"/>
                <w:szCs w:val="20"/>
              </w:rPr>
            </w:pPr>
          </w:p>
        </w:tc>
        <w:tc>
          <w:tcPr>
            <w:tcW w:w="1417" w:type="dxa"/>
            <w:tcBorders>
              <w:top w:val="single" w:sz="4" w:space="0" w:color="auto"/>
            </w:tcBorders>
          </w:tcPr>
          <w:p w14:paraId="69A292F7" w14:textId="77777777" w:rsidR="00C84610" w:rsidRPr="00F82840" w:rsidRDefault="00C84610" w:rsidP="00C84610">
            <w:pPr>
              <w:jc w:val="center"/>
              <w:rPr>
                <w:sz w:val="20"/>
                <w:szCs w:val="20"/>
              </w:rPr>
            </w:pPr>
          </w:p>
        </w:tc>
        <w:tc>
          <w:tcPr>
            <w:tcW w:w="1452" w:type="dxa"/>
            <w:tcBorders>
              <w:top w:val="single" w:sz="4" w:space="0" w:color="auto"/>
            </w:tcBorders>
          </w:tcPr>
          <w:p w14:paraId="1CED0B2A" w14:textId="77777777" w:rsidR="00C84610" w:rsidRPr="00F82840" w:rsidRDefault="00C84610" w:rsidP="00C84610">
            <w:pPr>
              <w:jc w:val="center"/>
              <w:rPr>
                <w:sz w:val="20"/>
                <w:szCs w:val="20"/>
              </w:rPr>
            </w:pPr>
          </w:p>
        </w:tc>
        <w:tc>
          <w:tcPr>
            <w:tcW w:w="1454" w:type="dxa"/>
            <w:tcBorders>
              <w:top w:val="single" w:sz="4" w:space="0" w:color="auto"/>
            </w:tcBorders>
          </w:tcPr>
          <w:p w14:paraId="2F61A293" w14:textId="77777777" w:rsidR="00C84610" w:rsidRPr="00F82840" w:rsidRDefault="00C84610" w:rsidP="00C84610">
            <w:pPr>
              <w:jc w:val="center"/>
              <w:rPr>
                <w:sz w:val="20"/>
                <w:szCs w:val="20"/>
              </w:rPr>
            </w:pPr>
          </w:p>
        </w:tc>
      </w:tr>
      <w:tr w:rsidR="00C84610" w:rsidRPr="00F82840" w14:paraId="344BCDDA" w14:textId="77777777" w:rsidTr="00C84610">
        <w:tc>
          <w:tcPr>
            <w:tcW w:w="2694" w:type="dxa"/>
          </w:tcPr>
          <w:p w14:paraId="4698B72A" w14:textId="77777777" w:rsidR="00C84610" w:rsidRPr="00F82840" w:rsidRDefault="00C84610" w:rsidP="001B27EA">
            <w:pPr>
              <w:rPr>
                <w:sz w:val="20"/>
                <w:szCs w:val="20"/>
              </w:rPr>
            </w:pPr>
            <w:r w:rsidRPr="00F82840">
              <w:rPr>
                <w:sz w:val="20"/>
                <w:szCs w:val="20"/>
              </w:rPr>
              <w:t>Asset financing:</w:t>
            </w:r>
          </w:p>
        </w:tc>
        <w:tc>
          <w:tcPr>
            <w:tcW w:w="1950" w:type="dxa"/>
          </w:tcPr>
          <w:p w14:paraId="6BB7B3BA" w14:textId="77777777" w:rsidR="00C84610" w:rsidRPr="00F82840" w:rsidRDefault="00C84610" w:rsidP="00C84610">
            <w:pPr>
              <w:jc w:val="center"/>
              <w:rPr>
                <w:sz w:val="20"/>
                <w:szCs w:val="20"/>
              </w:rPr>
            </w:pPr>
          </w:p>
        </w:tc>
        <w:tc>
          <w:tcPr>
            <w:tcW w:w="1417" w:type="dxa"/>
          </w:tcPr>
          <w:p w14:paraId="0176CEE0" w14:textId="77777777" w:rsidR="00C84610" w:rsidRPr="00F82840" w:rsidRDefault="00C84610" w:rsidP="00C84610">
            <w:pPr>
              <w:jc w:val="center"/>
              <w:rPr>
                <w:sz w:val="20"/>
                <w:szCs w:val="20"/>
              </w:rPr>
            </w:pPr>
          </w:p>
        </w:tc>
        <w:tc>
          <w:tcPr>
            <w:tcW w:w="1452" w:type="dxa"/>
          </w:tcPr>
          <w:p w14:paraId="45EB14DB" w14:textId="77777777" w:rsidR="00C84610" w:rsidRPr="00F82840" w:rsidRDefault="00C84610" w:rsidP="00C84610">
            <w:pPr>
              <w:jc w:val="center"/>
              <w:rPr>
                <w:sz w:val="20"/>
                <w:szCs w:val="20"/>
              </w:rPr>
            </w:pPr>
          </w:p>
        </w:tc>
        <w:tc>
          <w:tcPr>
            <w:tcW w:w="1454" w:type="dxa"/>
          </w:tcPr>
          <w:p w14:paraId="22E48840" w14:textId="77777777" w:rsidR="00C84610" w:rsidRPr="00F82840" w:rsidRDefault="00C84610" w:rsidP="00C84610">
            <w:pPr>
              <w:jc w:val="center"/>
              <w:rPr>
                <w:sz w:val="20"/>
                <w:szCs w:val="20"/>
              </w:rPr>
            </w:pPr>
          </w:p>
        </w:tc>
      </w:tr>
      <w:tr w:rsidR="00C84610" w:rsidRPr="00F82840" w14:paraId="4B77C2E7" w14:textId="77777777" w:rsidTr="00C84610">
        <w:tc>
          <w:tcPr>
            <w:tcW w:w="2694" w:type="dxa"/>
          </w:tcPr>
          <w:p w14:paraId="5B24EC6D" w14:textId="77777777" w:rsidR="00C84610" w:rsidRPr="00F82840" w:rsidRDefault="00C84610" w:rsidP="001B27EA">
            <w:pPr>
              <w:rPr>
                <w:sz w:val="20"/>
                <w:szCs w:val="20"/>
              </w:rPr>
            </w:pPr>
            <w:r w:rsidRPr="00F82840">
              <w:rPr>
                <w:sz w:val="20"/>
                <w:szCs w:val="20"/>
              </w:rPr>
              <w:t>Owned</w:t>
            </w:r>
          </w:p>
        </w:tc>
        <w:tc>
          <w:tcPr>
            <w:tcW w:w="1950" w:type="dxa"/>
          </w:tcPr>
          <w:p w14:paraId="328EEF56" w14:textId="5F6971CF" w:rsidR="00C84610" w:rsidRPr="00F82840" w:rsidRDefault="00C84610" w:rsidP="00C84610">
            <w:pPr>
              <w:jc w:val="center"/>
              <w:rPr>
                <w:sz w:val="20"/>
                <w:szCs w:val="20"/>
              </w:rPr>
            </w:pPr>
            <w:r>
              <w:rPr>
                <w:sz w:val="20"/>
                <w:szCs w:val="20"/>
              </w:rPr>
              <w:t>4</w:t>
            </w:r>
            <w:r w:rsidR="00092A71">
              <w:rPr>
                <w:sz w:val="20"/>
                <w:szCs w:val="20"/>
              </w:rPr>
              <w:t>54,235</w:t>
            </w:r>
          </w:p>
        </w:tc>
        <w:tc>
          <w:tcPr>
            <w:tcW w:w="1417" w:type="dxa"/>
          </w:tcPr>
          <w:p w14:paraId="308072A3" w14:textId="6A3FE6FA" w:rsidR="00C84610" w:rsidRPr="00F82840" w:rsidRDefault="00C84610" w:rsidP="00C84610">
            <w:pPr>
              <w:jc w:val="center"/>
              <w:rPr>
                <w:sz w:val="20"/>
                <w:szCs w:val="20"/>
              </w:rPr>
            </w:pPr>
            <w:r>
              <w:rPr>
                <w:sz w:val="20"/>
                <w:szCs w:val="20"/>
              </w:rPr>
              <w:t>1</w:t>
            </w:r>
            <w:r w:rsidR="00092A71">
              <w:rPr>
                <w:sz w:val="20"/>
                <w:szCs w:val="20"/>
              </w:rPr>
              <w:t>7,644</w:t>
            </w:r>
          </w:p>
        </w:tc>
        <w:tc>
          <w:tcPr>
            <w:tcW w:w="1452" w:type="dxa"/>
          </w:tcPr>
          <w:p w14:paraId="4ABA9A20" w14:textId="76617534" w:rsidR="00C84610" w:rsidRPr="00F82840" w:rsidRDefault="00A36F2F" w:rsidP="00C84610">
            <w:pPr>
              <w:jc w:val="center"/>
              <w:rPr>
                <w:sz w:val="20"/>
                <w:szCs w:val="20"/>
              </w:rPr>
            </w:pPr>
            <w:r>
              <w:rPr>
                <w:sz w:val="20"/>
                <w:szCs w:val="20"/>
              </w:rPr>
              <w:t>65,037</w:t>
            </w:r>
          </w:p>
        </w:tc>
        <w:tc>
          <w:tcPr>
            <w:tcW w:w="1454" w:type="dxa"/>
          </w:tcPr>
          <w:p w14:paraId="66685452" w14:textId="5FCB5868" w:rsidR="00C84610" w:rsidRPr="00F82840" w:rsidRDefault="00C84610" w:rsidP="00C84610">
            <w:pPr>
              <w:jc w:val="center"/>
              <w:rPr>
                <w:sz w:val="20"/>
                <w:szCs w:val="20"/>
              </w:rPr>
            </w:pPr>
            <w:r>
              <w:rPr>
                <w:sz w:val="20"/>
                <w:szCs w:val="20"/>
              </w:rPr>
              <w:t>5</w:t>
            </w:r>
            <w:r w:rsidR="00A36F2F">
              <w:rPr>
                <w:sz w:val="20"/>
                <w:szCs w:val="20"/>
              </w:rPr>
              <w:t>36,916</w:t>
            </w:r>
          </w:p>
        </w:tc>
      </w:tr>
      <w:tr w:rsidR="00C84610" w:rsidRPr="00F82840" w14:paraId="4B457C9F" w14:textId="77777777" w:rsidTr="00C84610">
        <w:tc>
          <w:tcPr>
            <w:tcW w:w="2694" w:type="dxa"/>
          </w:tcPr>
          <w:p w14:paraId="4C7CEE16" w14:textId="77777777" w:rsidR="00C84610" w:rsidRPr="00F82840" w:rsidRDefault="00C84610" w:rsidP="001B27EA">
            <w:pPr>
              <w:rPr>
                <w:sz w:val="20"/>
                <w:szCs w:val="20"/>
              </w:rPr>
            </w:pPr>
            <w:r w:rsidRPr="00F82840">
              <w:rPr>
                <w:sz w:val="20"/>
                <w:szCs w:val="20"/>
              </w:rPr>
              <w:t>Finance leased</w:t>
            </w:r>
          </w:p>
        </w:tc>
        <w:tc>
          <w:tcPr>
            <w:tcW w:w="1950" w:type="dxa"/>
          </w:tcPr>
          <w:p w14:paraId="6FC6977C" w14:textId="7AC77847" w:rsidR="00C84610" w:rsidRPr="00F82840" w:rsidRDefault="00C84610" w:rsidP="00C84610">
            <w:pPr>
              <w:jc w:val="center"/>
              <w:rPr>
                <w:sz w:val="20"/>
                <w:szCs w:val="20"/>
              </w:rPr>
            </w:pPr>
            <w:r>
              <w:rPr>
                <w:sz w:val="20"/>
                <w:szCs w:val="20"/>
              </w:rPr>
              <w:t>0</w:t>
            </w:r>
          </w:p>
        </w:tc>
        <w:tc>
          <w:tcPr>
            <w:tcW w:w="1417" w:type="dxa"/>
          </w:tcPr>
          <w:p w14:paraId="30AE538E" w14:textId="7EECF45D" w:rsidR="00C84610" w:rsidRPr="00F82840" w:rsidRDefault="00C84610" w:rsidP="00C84610">
            <w:pPr>
              <w:jc w:val="center"/>
              <w:rPr>
                <w:sz w:val="20"/>
                <w:szCs w:val="20"/>
              </w:rPr>
            </w:pPr>
            <w:r>
              <w:rPr>
                <w:sz w:val="20"/>
                <w:szCs w:val="20"/>
              </w:rPr>
              <w:t>0</w:t>
            </w:r>
          </w:p>
        </w:tc>
        <w:tc>
          <w:tcPr>
            <w:tcW w:w="1452" w:type="dxa"/>
          </w:tcPr>
          <w:p w14:paraId="2AC82A75" w14:textId="189697CC" w:rsidR="00C84610" w:rsidRPr="00F82840" w:rsidRDefault="00C84610" w:rsidP="00C84610">
            <w:pPr>
              <w:jc w:val="center"/>
              <w:rPr>
                <w:sz w:val="20"/>
                <w:szCs w:val="20"/>
              </w:rPr>
            </w:pPr>
            <w:r>
              <w:rPr>
                <w:sz w:val="20"/>
                <w:szCs w:val="20"/>
              </w:rPr>
              <w:t>0</w:t>
            </w:r>
          </w:p>
        </w:tc>
        <w:tc>
          <w:tcPr>
            <w:tcW w:w="1454" w:type="dxa"/>
          </w:tcPr>
          <w:p w14:paraId="26DB6F31" w14:textId="5AA1E672" w:rsidR="00C84610" w:rsidRPr="00F82840" w:rsidRDefault="00C84610" w:rsidP="00C84610">
            <w:pPr>
              <w:jc w:val="center"/>
              <w:rPr>
                <w:sz w:val="20"/>
                <w:szCs w:val="20"/>
              </w:rPr>
            </w:pPr>
            <w:r>
              <w:rPr>
                <w:sz w:val="20"/>
                <w:szCs w:val="20"/>
              </w:rPr>
              <w:t>0</w:t>
            </w:r>
          </w:p>
        </w:tc>
      </w:tr>
      <w:tr w:rsidR="00C84610" w:rsidRPr="00F82840" w14:paraId="7C95C7B3" w14:textId="77777777" w:rsidTr="00C84610">
        <w:tc>
          <w:tcPr>
            <w:tcW w:w="2694" w:type="dxa"/>
          </w:tcPr>
          <w:p w14:paraId="43CAC717" w14:textId="77777777" w:rsidR="00C84610" w:rsidRPr="00F82840" w:rsidRDefault="00C84610" w:rsidP="001B27EA">
            <w:pPr>
              <w:rPr>
                <w:sz w:val="20"/>
                <w:szCs w:val="20"/>
              </w:rPr>
            </w:pPr>
          </w:p>
          <w:p w14:paraId="55448356" w14:textId="424C07D8" w:rsidR="00C84610" w:rsidRPr="00F82840" w:rsidRDefault="00C84610" w:rsidP="001B27EA">
            <w:pPr>
              <w:rPr>
                <w:sz w:val="20"/>
                <w:szCs w:val="20"/>
              </w:rPr>
            </w:pPr>
            <w:r w:rsidRPr="00F82840">
              <w:rPr>
                <w:sz w:val="20"/>
                <w:szCs w:val="20"/>
              </w:rPr>
              <w:t xml:space="preserve">Net book value at </w:t>
            </w:r>
            <w:r>
              <w:rPr>
                <w:sz w:val="20"/>
                <w:szCs w:val="20"/>
              </w:rPr>
              <w:t>31 March 2022</w:t>
            </w:r>
          </w:p>
        </w:tc>
        <w:tc>
          <w:tcPr>
            <w:tcW w:w="1950" w:type="dxa"/>
            <w:tcBorders>
              <w:top w:val="single" w:sz="4" w:space="0" w:color="auto"/>
              <w:bottom w:val="single" w:sz="4" w:space="0" w:color="auto"/>
            </w:tcBorders>
          </w:tcPr>
          <w:p w14:paraId="406F6D1C" w14:textId="77777777" w:rsidR="00C84610" w:rsidRDefault="00C84610" w:rsidP="00C84610">
            <w:pPr>
              <w:jc w:val="center"/>
              <w:rPr>
                <w:sz w:val="20"/>
                <w:szCs w:val="20"/>
              </w:rPr>
            </w:pPr>
          </w:p>
          <w:p w14:paraId="0DB9901C" w14:textId="77777777" w:rsidR="00C84610" w:rsidRDefault="00C84610" w:rsidP="00C84610">
            <w:pPr>
              <w:jc w:val="center"/>
              <w:rPr>
                <w:sz w:val="20"/>
                <w:szCs w:val="20"/>
              </w:rPr>
            </w:pPr>
          </w:p>
          <w:p w14:paraId="22DA39D9" w14:textId="3DB60092" w:rsidR="00C84610" w:rsidRPr="00F82840" w:rsidRDefault="00C84610" w:rsidP="00C84610">
            <w:pPr>
              <w:jc w:val="center"/>
              <w:rPr>
                <w:sz w:val="20"/>
                <w:szCs w:val="20"/>
              </w:rPr>
            </w:pPr>
            <w:r>
              <w:rPr>
                <w:sz w:val="20"/>
                <w:szCs w:val="20"/>
              </w:rPr>
              <w:t>4</w:t>
            </w:r>
            <w:r w:rsidR="00092A71">
              <w:rPr>
                <w:sz w:val="20"/>
                <w:szCs w:val="20"/>
              </w:rPr>
              <w:t>54,235</w:t>
            </w:r>
          </w:p>
        </w:tc>
        <w:tc>
          <w:tcPr>
            <w:tcW w:w="1417" w:type="dxa"/>
            <w:tcBorders>
              <w:top w:val="single" w:sz="4" w:space="0" w:color="auto"/>
              <w:bottom w:val="single" w:sz="4" w:space="0" w:color="auto"/>
            </w:tcBorders>
          </w:tcPr>
          <w:p w14:paraId="28E9EBBC" w14:textId="77777777" w:rsidR="00C84610" w:rsidRDefault="00C84610" w:rsidP="00C84610">
            <w:pPr>
              <w:jc w:val="center"/>
              <w:rPr>
                <w:sz w:val="20"/>
                <w:szCs w:val="20"/>
              </w:rPr>
            </w:pPr>
          </w:p>
          <w:p w14:paraId="31056417" w14:textId="77777777" w:rsidR="00C84610" w:rsidRDefault="00C84610" w:rsidP="00C84610">
            <w:pPr>
              <w:jc w:val="center"/>
              <w:rPr>
                <w:sz w:val="20"/>
                <w:szCs w:val="20"/>
              </w:rPr>
            </w:pPr>
          </w:p>
          <w:p w14:paraId="36DD8333" w14:textId="76CEDC50" w:rsidR="00C84610" w:rsidRPr="00F82840" w:rsidRDefault="00C84610" w:rsidP="00C84610">
            <w:pPr>
              <w:jc w:val="center"/>
              <w:rPr>
                <w:sz w:val="20"/>
                <w:szCs w:val="20"/>
              </w:rPr>
            </w:pPr>
            <w:r>
              <w:rPr>
                <w:sz w:val="20"/>
                <w:szCs w:val="20"/>
              </w:rPr>
              <w:t>1</w:t>
            </w:r>
            <w:r w:rsidR="00092A71">
              <w:rPr>
                <w:sz w:val="20"/>
                <w:szCs w:val="20"/>
              </w:rPr>
              <w:t>7,644</w:t>
            </w:r>
          </w:p>
        </w:tc>
        <w:tc>
          <w:tcPr>
            <w:tcW w:w="1452" w:type="dxa"/>
            <w:tcBorders>
              <w:top w:val="single" w:sz="4" w:space="0" w:color="auto"/>
              <w:bottom w:val="single" w:sz="4" w:space="0" w:color="auto"/>
            </w:tcBorders>
          </w:tcPr>
          <w:p w14:paraId="6AFF01E2" w14:textId="77777777" w:rsidR="00C84610" w:rsidRDefault="00C84610" w:rsidP="00C84610">
            <w:pPr>
              <w:jc w:val="center"/>
              <w:rPr>
                <w:sz w:val="20"/>
                <w:szCs w:val="20"/>
              </w:rPr>
            </w:pPr>
          </w:p>
          <w:p w14:paraId="53F82A72" w14:textId="77777777" w:rsidR="00C84610" w:rsidRDefault="00C84610" w:rsidP="00C84610">
            <w:pPr>
              <w:jc w:val="center"/>
              <w:rPr>
                <w:sz w:val="20"/>
                <w:szCs w:val="20"/>
              </w:rPr>
            </w:pPr>
          </w:p>
          <w:p w14:paraId="72812E41" w14:textId="5226FF5E" w:rsidR="00C84610" w:rsidRPr="00F82840" w:rsidRDefault="00A36F2F" w:rsidP="00C84610">
            <w:pPr>
              <w:jc w:val="center"/>
              <w:rPr>
                <w:sz w:val="20"/>
                <w:szCs w:val="20"/>
              </w:rPr>
            </w:pPr>
            <w:r>
              <w:rPr>
                <w:sz w:val="20"/>
                <w:szCs w:val="20"/>
              </w:rPr>
              <w:t>65,037</w:t>
            </w:r>
          </w:p>
        </w:tc>
        <w:tc>
          <w:tcPr>
            <w:tcW w:w="1454" w:type="dxa"/>
            <w:tcBorders>
              <w:top w:val="single" w:sz="4" w:space="0" w:color="auto"/>
              <w:bottom w:val="single" w:sz="4" w:space="0" w:color="auto"/>
            </w:tcBorders>
          </w:tcPr>
          <w:p w14:paraId="4AA9D8C9" w14:textId="77777777" w:rsidR="00C84610" w:rsidRDefault="00C84610" w:rsidP="00C84610">
            <w:pPr>
              <w:jc w:val="center"/>
              <w:rPr>
                <w:sz w:val="20"/>
                <w:szCs w:val="20"/>
              </w:rPr>
            </w:pPr>
          </w:p>
          <w:p w14:paraId="70EE7653" w14:textId="77777777" w:rsidR="00C84610" w:rsidRDefault="00C84610" w:rsidP="00C84610">
            <w:pPr>
              <w:jc w:val="center"/>
              <w:rPr>
                <w:sz w:val="20"/>
                <w:szCs w:val="20"/>
              </w:rPr>
            </w:pPr>
          </w:p>
          <w:p w14:paraId="073E5028" w14:textId="7AEEA2CF" w:rsidR="00C84610" w:rsidRPr="00F82840" w:rsidRDefault="00C84610" w:rsidP="00C84610">
            <w:pPr>
              <w:jc w:val="center"/>
              <w:rPr>
                <w:sz w:val="20"/>
                <w:szCs w:val="20"/>
              </w:rPr>
            </w:pPr>
            <w:r>
              <w:rPr>
                <w:sz w:val="20"/>
                <w:szCs w:val="20"/>
              </w:rPr>
              <w:t>5</w:t>
            </w:r>
            <w:r w:rsidR="00A36F2F">
              <w:rPr>
                <w:sz w:val="20"/>
                <w:szCs w:val="20"/>
              </w:rPr>
              <w:t>36,916</w:t>
            </w:r>
          </w:p>
        </w:tc>
      </w:tr>
    </w:tbl>
    <w:p w14:paraId="6C8A57F3" w14:textId="77777777" w:rsidR="006C0AAA" w:rsidRDefault="006C0AAA" w:rsidP="00A36F2F">
      <w:pPr>
        <w:rPr>
          <w:b/>
        </w:rPr>
      </w:pPr>
    </w:p>
    <w:p w14:paraId="473D7203" w14:textId="68D6C3EB" w:rsidR="00A36F2F" w:rsidRPr="00EF4A8A" w:rsidRDefault="000B0A57" w:rsidP="00EF4A8A">
      <w:pPr>
        <w:pStyle w:val="ListParagraph"/>
        <w:numPr>
          <w:ilvl w:val="0"/>
          <w:numId w:val="38"/>
        </w:numPr>
        <w:rPr>
          <w:b/>
        </w:rPr>
      </w:pPr>
      <w:r>
        <w:rPr>
          <w:b/>
        </w:rPr>
        <w:t>Leases</w:t>
      </w:r>
    </w:p>
    <w:p w14:paraId="3F2C65E4" w14:textId="77777777" w:rsidR="00E34F6F" w:rsidRDefault="00E34F6F" w:rsidP="00E34F6F">
      <w:pPr>
        <w:rPr>
          <w:b/>
        </w:rPr>
      </w:pPr>
    </w:p>
    <w:p w14:paraId="0298B05E" w14:textId="20AAB7FF" w:rsidR="00245C91" w:rsidRDefault="00245C91" w:rsidP="00245C91">
      <w:pPr>
        <w:rPr>
          <w:bCs/>
        </w:rPr>
      </w:pPr>
      <w:r>
        <w:rPr>
          <w:bCs/>
        </w:rPr>
        <w:t>Following the adoption of IFRS16 in the 2022-23 financial accounts, the Commission’s leases are now recognised on the balance sheet, with the exception of those leases which are exempt by having less than 12 months to run from 31 March 2022 or are considered low value (less than £1,000).</w:t>
      </w:r>
    </w:p>
    <w:p w14:paraId="50468A02" w14:textId="77777777" w:rsidR="00097903" w:rsidRDefault="00097903" w:rsidP="00E34F6F">
      <w:pPr>
        <w:rPr>
          <w:bCs/>
        </w:rPr>
      </w:pPr>
    </w:p>
    <w:p w14:paraId="2366792B" w14:textId="1F5665EA" w:rsidR="00097903" w:rsidRDefault="00097903" w:rsidP="00E34F6F">
      <w:pPr>
        <w:rPr>
          <w:bCs/>
        </w:rPr>
      </w:pPr>
      <w:r>
        <w:rPr>
          <w:bCs/>
        </w:rPr>
        <w:t>The finance lease is recognised as an asset and a corresponding lease liability at the net present value of future lease payments.  Lease payments are apportioned between the finance charge and the reduction of the outstanding liability.</w:t>
      </w:r>
    </w:p>
    <w:p w14:paraId="257C89C3" w14:textId="77777777" w:rsidR="00097903" w:rsidRDefault="00097903" w:rsidP="00E34F6F">
      <w:pPr>
        <w:rPr>
          <w:bCs/>
        </w:rPr>
      </w:pPr>
    </w:p>
    <w:p w14:paraId="39C61FB3" w14:textId="119C9CE5" w:rsidR="00097903" w:rsidRDefault="00097903" w:rsidP="00E34F6F">
      <w:pPr>
        <w:rPr>
          <w:bCs/>
        </w:rPr>
      </w:pPr>
      <w:r>
        <w:rPr>
          <w:bCs/>
        </w:rPr>
        <w:t>A discount rate of 1.27% has been applied in the calculation on lease liabilities.  As at 31 March 2023 the Commission was committed to making the following payments in respect of finance leases:</w:t>
      </w:r>
    </w:p>
    <w:p w14:paraId="38EE7028" w14:textId="77777777" w:rsidR="001E2AA0" w:rsidRDefault="001E2AA0" w:rsidP="00E34F6F">
      <w:pPr>
        <w:rPr>
          <w:bCs/>
        </w:rPr>
      </w:pPr>
    </w:p>
    <w:p w14:paraId="06D5AE1D" w14:textId="77777777" w:rsidR="001E2AA0" w:rsidRDefault="001E2AA0" w:rsidP="00E34F6F">
      <w:pPr>
        <w:rPr>
          <w:bCs/>
        </w:rPr>
      </w:pPr>
    </w:p>
    <w:p w14:paraId="687627F1" w14:textId="77777777" w:rsidR="001E2AA0" w:rsidRDefault="001E2AA0" w:rsidP="00E34F6F">
      <w:pPr>
        <w:rPr>
          <w:bCs/>
        </w:rPr>
      </w:pPr>
    </w:p>
    <w:p w14:paraId="1CA89F44" w14:textId="77777777" w:rsidR="001E2AA0" w:rsidRDefault="001E2AA0" w:rsidP="00E34F6F">
      <w:pPr>
        <w:rPr>
          <w:bCs/>
        </w:rPr>
      </w:pPr>
    </w:p>
    <w:p w14:paraId="77E1B76C" w14:textId="77777777" w:rsidR="001E2AA0" w:rsidRDefault="001E2AA0" w:rsidP="00E34F6F">
      <w:pPr>
        <w:rPr>
          <w:bCs/>
        </w:rPr>
      </w:pPr>
    </w:p>
    <w:p w14:paraId="15648F44" w14:textId="77777777" w:rsidR="001E2AA0" w:rsidRDefault="001E2AA0" w:rsidP="00E34F6F">
      <w:pPr>
        <w:rPr>
          <w:bCs/>
        </w:rPr>
      </w:pPr>
    </w:p>
    <w:p w14:paraId="1B4BA4E0" w14:textId="77777777" w:rsidR="00A36F2F" w:rsidRDefault="00A36F2F" w:rsidP="00A36F2F">
      <w:pPr>
        <w:rPr>
          <w:b/>
        </w:rPr>
      </w:pPr>
    </w:p>
    <w:tbl>
      <w:tblPr>
        <w:tblW w:w="8741" w:type="dxa"/>
        <w:tblLayout w:type="fixed"/>
        <w:tblLook w:val="01E0" w:firstRow="1" w:lastRow="1" w:firstColumn="1" w:lastColumn="1" w:noHBand="0" w:noVBand="0"/>
      </w:tblPr>
      <w:tblGrid>
        <w:gridCol w:w="2835"/>
        <w:gridCol w:w="1843"/>
        <w:gridCol w:w="1541"/>
        <w:gridCol w:w="18"/>
        <w:gridCol w:w="2268"/>
        <w:gridCol w:w="236"/>
      </w:tblGrid>
      <w:tr w:rsidR="00A36F2F" w:rsidRPr="00863EC6" w14:paraId="632426AA" w14:textId="77777777" w:rsidTr="00F7114B">
        <w:trPr>
          <w:gridAfter w:val="1"/>
          <w:wAfter w:w="236" w:type="dxa"/>
        </w:trPr>
        <w:tc>
          <w:tcPr>
            <w:tcW w:w="2835" w:type="dxa"/>
          </w:tcPr>
          <w:p w14:paraId="4000D94D" w14:textId="7B70B2B0" w:rsidR="00A36F2F" w:rsidRPr="00D35926" w:rsidRDefault="00A36F2F" w:rsidP="001958BD">
            <w:pPr>
              <w:rPr>
                <w:b/>
                <w:sz w:val="22"/>
                <w:szCs w:val="22"/>
              </w:rPr>
            </w:pPr>
            <w:r>
              <w:rPr>
                <w:b/>
                <w:sz w:val="22"/>
                <w:szCs w:val="22"/>
              </w:rPr>
              <w:lastRenderedPageBreak/>
              <w:t>2022-23</w:t>
            </w:r>
          </w:p>
        </w:tc>
        <w:tc>
          <w:tcPr>
            <w:tcW w:w="1843" w:type="dxa"/>
          </w:tcPr>
          <w:p w14:paraId="7B9D3416" w14:textId="77777777" w:rsidR="00A36F2F" w:rsidRPr="00F267CA" w:rsidRDefault="00A36F2F" w:rsidP="001958BD">
            <w:pPr>
              <w:ind w:right="-171"/>
              <w:jc w:val="center"/>
              <w:rPr>
                <w:rFonts w:cs="Arial"/>
                <w:b/>
                <w:sz w:val="16"/>
                <w:szCs w:val="16"/>
              </w:rPr>
            </w:pPr>
            <w:r w:rsidRPr="00F267CA">
              <w:rPr>
                <w:rFonts w:cs="Arial"/>
                <w:b/>
                <w:sz w:val="16"/>
                <w:szCs w:val="16"/>
              </w:rPr>
              <w:t>Leasehold Improvements</w:t>
            </w:r>
          </w:p>
        </w:tc>
        <w:tc>
          <w:tcPr>
            <w:tcW w:w="1559" w:type="dxa"/>
            <w:gridSpan w:val="2"/>
          </w:tcPr>
          <w:p w14:paraId="4713A926" w14:textId="77777777" w:rsidR="00A36F2F" w:rsidRPr="00F267CA" w:rsidRDefault="00A36F2F" w:rsidP="001958BD">
            <w:pPr>
              <w:jc w:val="center"/>
              <w:rPr>
                <w:b/>
                <w:sz w:val="16"/>
                <w:szCs w:val="16"/>
              </w:rPr>
            </w:pPr>
            <w:r w:rsidRPr="00F267CA">
              <w:rPr>
                <w:b/>
                <w:sz w:val="16"/>
                <w:szCs w:val="16"/>
              </w:rPr>
              <w:t>Furniture &amp; fittings</w:t>
            </w:r>
          </w:p>
        </w:tc>
        <w:tc>
          <w:tcPr>
            <w:tcW w:w="2268" w:type="dxa"/>
          </w:tcPr>
          <w:p w14:paraId="584CFAC2" w14:textId="77777777" w:rsidR="00A36F2F" w:rsidRPr="00F267CA" w:rsidRDefault="00A36F2F" w:rsidP="001958BD">
            <w:pPr>
              <w:jc w:val="center"/>
              <w:rPr>
                <w:b/>
                <w:sz w:val="16"/>
                <w:szCs w:val="16"/>
              </w:rPr>
            </w:pPr>
            <w:r w:rsidRPr="00F267CA">
              <w:rPr>
                <w:b/>
                <w:sz w:val="16"/>
                <w:szCs w:val="16"/>
              </w:rPr>
              <w:t>Total</w:t>
            </w:r>
          </w:p>
          <w:p w14:paraId="1C3CCA28" w14:textId="77777777" w:rsidR="00A36F2F" w:rsidRPr="00F267CA" w:rsidRDefault="00A36F2F" w:rsidP="001958BD">
            <w:pPr>
              <w:jc w:val="center"/>
              <w:rPr>
                <w:b/>
                <w:sz w:val="16"/>
                <w:szCs w:val="16"/>
              </w:rPr>
            </w:pPr>
          </w:p>
        </w:tc>
      </w:tr>
      <w:tr w:rsidR="00A36F2F" w:rsidRPr="00863EC6" w14:paraId="656C234E" w14:textId="77777777" w:rsidTr="00F7114B">
        <w:trPr>
          <w:gridAfter w:val="1"/>
          <w:wAfter w:w="236" w:type="dxa"/>
        </w:trPr>
        <w:tc>
          <w:tcPr>
            <w:tcW w:w="2835" w:type="dxa"/>
          </w:tcPr>
          <w:p w14:paraId="4326A2F2" w14:textId="7908B7C9" w:rsidR="0040613A" w:rsidRDefault="0040613A" w:rsidP="001958BD">
            <w:pPr>
              <w:rPr>
                <w:b/>
                <w:sz w:val="20"/>
                <w:szCs w:val="20"/>
              </w:rPr>
            </w:pPr>
            <w:r>
              <w:rPr>
                <w:b/>
                <w:sz w:val="20"/>
                <w:szCs w:val="20"/>
              </w:rPr>
              <w:t>Right of use asse</w:t>
            </w:r>
            <w:r w:rsidR="005C7A16">
              <w:rPr>
                <w:b/>
                <w:sz w:val="20"/>
                <w:szCs w:val="20"/>
              </w:rPr>
              <w:t>ts</w:t>
            </w:r>
          </w:p>
          <w:p w14:paraId="7CEC2231" w14:textId="141D4D2E" w:rsidR="00A36F2F" w:rsidRPr="00863EC6" w:rsidRDefault="00A36F2F" w:rsidP="001958BD">
            <w:pPr>
              <w:rPr>
                <w:b/>
                <w:sz w:val="20"/>
                <w:szCs w:val="20"/>
              </w:rPr>
            </w:pPr>
            <w:r w:rsidRPr="00863EC6">
              <w:rPr>
                <w:b/>
                <w:sz w:val="20"/>
                <w:szCs w:val="20"/>
              </w:rPr>
              <w:t xml:space="preserve">Cost or valuation </w:t>
            </w:r>
          </w:p>
        </w:tc>
        <w:tc>
          <w:tcPr>
            <w:tcW w:w="1843" w:type="dxa"/>
          </w:tcPr>
          <w:p w14:paraId="09E8BB39" w14:textId="77777777" w:rsidR="00A36F2F" w:rsidRPr="00863EC6" w:rsidRDefault="00A36F2F" w:rsidP="001958BD">
            <w:pPr>
              <w:jc w:val="center"/>
              <w:rPr>
                <w:b/>
                <w:sz w:val="20"/>
                <w:szCs w:val="20"/>
              </w:rPr>
            </w:pPr>
            <w:r w:rsidRPr="00863EC6">
              <w:rPr>
                <w:b/>
                <w:sz w:val="20"/>
                <w:szCs w:val="20"/>
              </w:rPr>
              <w:t>£</w:t>
            </w:r>
          </w:p>
        </w:tc>
        <w:tc>
          <w:tcPr>
            <w:tcW w:w="1559" w:type="dxa"/>
            <w:gridSpan w:val="2"/>
          </w:tcPr>
          <w:p w14:paraId="388CACF4" w14:textId="77777777" w:rsidR="00A36F2F" w:rsidRPr="00863EC6" w:rsidRDefault="00A36F2F" w:rsidP="001958BD">
            <w:pPr>
              <w:jc w:val="center"/>
              <w:rPr>
                <w:b/>
                <w:sz w:val="20"/>
                <w:szCs w:val="20"/>
              </w:rPr>
            </w:pPr>
            <w:r w:rsidRPr="00863EC6">
              <w:rPr>
                <w:b/>
                <w:sz w:val="20"/>
                <w:szCs w:val="20"/>
              </w:rPr>
              <w:t>£</w:t>
            </w:r>
          </w:p>
        </w:tc>
        <w:tc>
          <w:tcPr>
            <w:tcW w:w="2268" w:type="dxa"/>
          </w:tcPr>
          <w:p w14:paraId="07D3DA58" w14:textId="77777777" w:rsidR="00A36F2F" w:rsidRPr="00863EC6" w:rsidRDefault="00A36F2F" w:rsidP="001958BD">
            <w:pPr>
              <w:jc w:val="center"/>
              <w:rPr>
                <w:b/>
                <w:sz w:val="20"/>
                <w:szCs w:val="20"/>
              </w:rPr>
            </w:pPr>
            <w:r w:rsidRPr="00863EC6">
              <w:rPr>
                <w:b/>
                <w:sz w:val="20"/>
                <w:szCs w:val="20"/>
              </w:rPr>
              <w:t>£</w:t>
            </w:r>
          </w:p>
        </w:tc>
      </w:tr>
      <w:tr w:rsidR="00A36F2F" w:rsidRPr="00863EC6" w14:paraId="723F1B34" w14:textId="77777777" w:rsidTr="00F7114B">
        <w:trPr>
          <w:gridAfter w:val="1"/>
          <w:wAfter w:w="236" w:type="dxa"/>
        </w:trPr>
        <w:tc>
          <w:tcPr>
            <w:tcW w:w="2835" w:type="dxa"/>
          </w:tcPr>
          <w:p w14:paraId="0093502A" w14:textId="77777777" w:rsidR="00A36F2F" w:rsidRPr="00863EC6" w:rsidRDefault="00A36F2F" w:rsidP="001958BD">
            <w:pPr>
              <w:rPr>
                <w:sz w:val="20"/>
                <w:szCs w:val="20"/>
              </w:rPr>
            </w:pPr>
            <w:r w:rsidRPr="00863EC6">
              <w:rPr>
                <w:sz w:val="20"/>
                <w:szCs w:val="20"/>
              </w:rPr>
              <w:t>At 1 April 20</w:t>
            </w:r>
            <w:r>
              <w:rPr>
                <w:sz w:val="20"/>
                <w:szCs w:val="20"/>
              </w:rPr>
              <w:t>22</w:t>
            </w:r>
          </w:p>
        </w:tc>
        <w:tc>
          <w:tcPr>
            <w:tcW w:w="1843" w:type="dxa"/>
          </w:tcPr>
          <w:p w14:paraId="2E771328" w14:textId="375B8736" w:rsidR="00A36F2F" w:rsidRPr="00863EC6" w:rsidRDefault="00A36F2F" w:rsidP="001958BD">
            <w:pPr>
              <w:jc w:val="center"/>
              <w:rPr>
                <w:sz w:val="20"/>
                <w:szCs w:val="20"/>
              </w:rPr>
            </w:pPr>
            <w:r>
              <w:rPr>
                <w:sz w:val="20"/>
                <w:szCs w:val="20"/>
              </w:rPr>
              <w:t>0</w:t>
            </w:r>
          </w:p>
        </w:tc>
        <w:tc>
          <w:tcPr>
            <w:tcW w:w="1559" w:type="dxa"/>
            <w:gridSpan w:val="2"/>
          </w:tcPr>
          <w:p w14:paraId="4BAE5D89" w14:textId="0A6999C9" w:rsidR="00A36F2F" w:rsidRPr="00863EC6" w:rsidRDefault="00A36F2F" w:rsidP="001958BD">
            <w:pPr>
              <w:jc w:val="center"/>
              <w:rPr>
                <w:sz w:val="20"/>
                <w:szCs w:val="20"/>
              </w:rPr>
            </w:pPr>
            <w:r>
              <w:rPr>
                <w:sz w:val="20"/>
                <w:szCs w:val="20"/>
              </w:rPr>
              <w:t>0</w:t>
            </w:r>
          </w:p>
        </w:tc>
        <w:tc>
          <w:tcPr>
            <w:tcW w:w="2268" w:type="dxa"/>
          </w:tcPr>
          <w:p w14:paraId="7B471D61" w14:textId="3A11A05D" w:rsidR="00A36F2F" w:rsidRPr="00863EC6" w:rsidRDefault="00A36F2F" w:rsidP="001958BD">
            <w:pPr>
              <w:jc w:val="center"/>
              <w:rPr>
                <w:sz w:val="20"/>
                <w:szCs w:val="20"/>
              </w:rPr>
            </w:pPr>
            <w:r>
              <w:rPr>
                <w:sz w:val="20"/>
                <w:szCs w:val="20"/>
              </w:rPr>
              <w:t>0</w:t>
            </w:r>
          </w:p>
        </w:tc>
      </w:tr>
      <w:tr w:rsidR="00A36F2F" w:rsidRPr="00863EC6" w14:paraId="6C5C08D0" w14:textId="77777777" w:rsidTr="00F7114B">
        <w:trPr>
          <w:gridAfter w:val="1"/>
          <w:wAfter w:w="236" w:type="dxa"/>
        </w:trPr>
        <w:tc>
          <w:tcPr>
            <w:tcW w:w="2835" w:type="dxa"/>
          </w:tcPr>
          <w:p w14:paraId="7A039B97" w14:textId="12270C7B" w:rsidR="00A36F2F" w:rsidRPr="00863EC6" w:rsidRDefault="00B262FC" w:rsidP="001958BD">
            <w:pPr>
              <w:rPr>
                <w:sz w:val="20"/>
                <w:szCs w:val="20"/>
              </w:rPr>
            </w:pPr>
            <w:r>
              <w:rPr>
                <w:sz w:val="20"/>
                <w:szCs w:val="20"/>
              </w:rPr>
              <w:t>Impact of first-time adoption of IFRS16</w:t>
            </w:r>
          </w:p>
        </w:tc>
        <w:tc>
          <w:tcPr>
            <w:tcW w:w="1843" w:type="dxa"/>
          </w:tcPr>
          <w:p w14:paraId="7774D9E0" w14:textId="3B492013" w:rsidR="00A36F2F" w:rsidRPr="00863EC6" w:rsidRDefault="008D01FB" w:rsidP="001958BD">
            <w:pPr>
              <w:jc w:val="center"/>
              <w:rPr>
                <w:sz w:val="20"/>
                <w:szCs w:val="20"/>
              </w:rPr>
            </w:pPr>
            <w:r>
              <w:rPr>
                <w:sz w:val="20"/>
                <w:szCs w:val="20"/>
              </w:rPr>
              <w:t>593,068</w:t>
            </w:r>
          </w:p>
        </w:tc>
        <w:tc>
          <w:tcPr>
            <w:tcW w:w="1559" w:type="dxa"/>
            <w:gridSpan w:val="2"/>
          </w:tcPr>
          <w:p w14:paraId="5AA98BF6" w14:textId="2B9D3519" w:rsidR="00A36F2F" w:rsidRPr="00863EC6" w:rsidRDefault="008D01FB" w:rsidP="001958BD">
            <w:pPr>
              <w:jc w:val="center"/>
              <w:rPr>
                <w:sz w:val="20"/>
                <w:szCs w:val="20"/>
              </w:rPr>
            </w:pPr>
            <w:r>
              <w:rPr>
                <w:sz w:val="20"/>
                <w:szCs w:val="20"/>
              </w:rPr>
              <w:t>2,815</w:t>
            </w:r>
          </w:p>
        </w:tc>
        <w:tc>
          <w:tcPr>
            <w:tcW w:w="2268" w:type="dxa"/>
          </w:tcPr>
          <w:p w14:paraId="356B31A3" w14:textId="0D80A002" w:rsidR="00A36F2F" w:rsidRPr="00863EC6" w:rsidRDefault="008D01FB" w:rsidP="001958BD">
            <w:pPr>
              <w:jc w:val="center"/>
              <w:rPr>
                <w:sz w:val="20"/>
                <w:szCs w:val="20"/>
              </w:rPr>
            </w:pPr>
            <w:r>
              <w:rPr>
                <w:sz w:val="20"/>
                <w:szCs w:val="20"/>
              </w:rPr>
              <w:t>595,883</w:t>
            </w:r>
          </w:p>
        </w:tc>
      </w:tr>
      <w:tr w:rsidR="00A36F2F" w:rsidRPr="00863EC6" w14:paraId="5D3FE552" w14:textId="77777777" w:rsidTr="00F7114B">
        <w:trPr>
          <w:gridAfter w:val="1"/>
          <w:wAfter w:w="236" w:type="dxa"/>
        </w:trPr>
        <w:tc>
          <w:tcPr>
            <w:tcW w:w="2835" w:type="dxa"/>
          </w:tcPr>
          <w:p w14:paraId="717ED216" w14:textId="77777777" w:rsidR="00A36F2F" w:rsidRPr="00863EC6" w:rsidRDefault="00A36F2F" w:rsidP="001958BD">
            <w:pPr>
              <w:rPr>
                <w:sz w:val="20"/>
                <w:szCs w:val="20"/>
              </w:rPr>
            </w:pPr>
            <w:r w:rsidRPr="00863EC6">
              <w:rPr>
                <w:sz w:val="20"/>
                <w:szCs w:val="20"/>
              </w:rPr>
              <w:t xml:space="preserve">At </w:t>
            </w:r>
            <w:r>
              <w:rPr>
                <w:sz w:val="20"/>
                <w:szCs w:val="20"/>
              </w:rPr>
              <w:t>31 March 2023</w:t>
            </w:r>
          </w:p>
        </w:tc>
        <w:tc>
          <w:tcPr>
            <w:tcW w:w="1843" w:type="dxa"/>
            <w:tcBorders>
              <w:top w:val="single" w:sz="4" w:space="0" w:color="auto"/>
              <w:bottom w:val="single" w:sz="4" w:space="0" w:color="auto"/>
            </w:tcBorders>
          </w:tcPr>
          <w:p w14:paraId="294E8B8E" w14:textId="64CB380E" w:rsidR="00A36F2F" w:rsidRPr="00863EC6" w:rsidRDefault="008D01FB" w:rsidP="001958BD">
            <w:pPr>
              <w:jc w:val="center"/>
              <w:rPr>
                <w:sz w:val="20"/>
                <w:szCs w:val="20"/>
              </w:rPr>
            </w:pPr>
            <w:r>
              <w:rPr>
                <w:sz w:val="20"/>
                <w:szCs w:val="20"/>
              </w:rPr>
              <w:t>593,068</w:t>
            </w:r>
          </w:p>
        </w:tc>
        <w:tc>
          <w:tcPr>
            <w:tcW w:w="1559" w:type="dxa"/>
            <w:gridSpan w:val="2"/>
            <w:tcBorders>
              <w:top w:val="single" w:sz="4" w:space="0" w:color="auto"/>
              <w:bottom w:val="single" w:sz="4" w:space="0" w:color="auto"/>
            </w:tcBorders>
          </w:tcPr>
          <w:p w14:paraId="27AD8788" w14:textId="478D7470" w:rsidR="00A36F2F" w:rsidRPr="00863EC6" w:rsidRDefault="008D01FB" w:rsidP="001958BD">
            <w:pPr>
              <w:jc w:val="center"/>
              <w:rPr>
                <w:sz w:val="20"/>
                <w:szCs w:val="20"/>
              </w:rPr>
            </w:pPr>
            <w:r>
              <w:rPr>
                <w:sz w:val="20"/>
                <w:szCs w:val="20"/>
              </w:rPr>
              <w:t>2,815</w:t>
            </w:r>
          </w:p>
        </w:tc>
        <w:tc>
          <w:tcPr>
            <w:tcW w:w="2268" w:type="dxa"/>
            <w:tcBorders>
              <w:top w:val="single" w:sz="4" w:space="0" w:color="auto"/>
              <w:bottom w:val="single" w:sz="4" w:space="0" w:color="auto"/>
            </w:tcBorders>
          </w:tcPr>
          <w:p w14:paraId="473527AD" w14:textId="319FDFDA" w:rsidR="00A36F2F" w:rsidRPr="00863EC6" w:rsidRDefault="008D01FB" w:rsidP="001958BD">
            <w:pPr>
              <w:jc w:val="center"/>
              <w:rPr>
                <w:sz w:val="20"/>
                <w:szCs w:val="20"/>
              </w:rPr>
            </w:pPr>
            <w:r>
              <w:rPr>
                <w:sz w:val="20"/>
                <w:szCs w:val="20"/>
              </w:rPr>
              <w:t>595,883</w:t>
            </w:r>
          </w:p>
        </w:tc>
      </w:tr>
      <w:tr w:rsidR="00A36F2F" w:rsidRPr="00863EC6" w14:paraId="543C96C6" w14:textId="77777777" w:rsidTr="00F7114B">
        <w:tc>
          <w:tcPr>
            <w:tcW w:w="2835" w:type="dxa"/>
          </w:tcPr>
          <w:p w14:paraId="774D73F2" w14:textId="77777777" w:rsidR="00A36F2F" w:rsidRDefault="00A36F2F" w:rsidP="001958BD">
            <w:pPr>
              <w:rPr>
                <w:b/>
                <w:sz w:val="20"/>
                <w:szCs w:val="20"/>
              </w:rPr>
            </w:pPr>
          </w:p>
          <w:p w14:paraId="71660019" w14:textId="77777777" w:rsidR="00A36F2F" w:rsidRPr="00863EC6" w:rsidRDefault="00A36F2F" w:rsidP="001958BD">
            <w:pPr>
              <w:rPr>
                <w:b/>
                <w:sz w:val="20"/>
                <w:szCs w:val="20"/>
              </w:rPr>
            </w:pPr>
            <w:r w:rsidRPr="00863EC6">
              <w:rPr>
                <w:b/>
                <w:sz w:val="20"/>
                <w:szCs w:val="20"/>
              </w:rPr>
              <w:t>Depreciation</w:t>
            </w:r>
          </w:p>
        </w:tc>
        <w:tc>
          <w:tcPr>
            <w:tcW w:w="1843" w:type="dxa"/>
          </w:tcPr>
          <w:p w14:paraId="711EC294" w14:textId="77777777" w:rsidR="00A36F2F" w:rsidRPr="00863EC6" w:rsidRDefault="00A36F2F" w:rsidP="001958BD">
            <w:pPr>
              <w:jc w:val="center"/>
              <w:rPr>
                <w:sz w:val="20"/>
                <w:szCs w:val="20"/>
              </w:rPr>
            </w:pPr>
          </w:p>
        </w:tc>
        <w:tc>
          <w:tcPr>
            <w:tcW w:w="1541" w:type="dxa"/>
          </w:tcPr>
          <w:p w14:paraId="441B9F93" w14:textId="77777777" w:rsidR="00A36F2F" w:rsidRPr="00863EC6" w:rsidRDefault="00A36F2F" w:rsidP="001958BD">
            <w:pPr>
              <w:jc w:val="center"/>
              <w:rPr>
                <w:sz w:val="20"/>
                <w:szCs w:val="20"/>
              </w:rPr>
            </w:pPr>
          </w:p>
        </w:tc>
        <w:tc>
          <w:tcPr>
            <w:tcW w:w="2286" w:type="dxa"/>
            <w:gridSpan w:val="2"/>
          </w:tcPr>
          <w:p w14:paraId="72C5B552" w14:textId="77777777" w:rsidR="00A36F2F" w:rsidRPr="00863EC6" w:rsidRDefault="00A36F2F" w:rsidP="001958BD">
            <w:pPr>
              <w:jc w:val="center"/>
              <w:rPr>
                <w:sz w:val="20"/>
                <w:szCs w:val="20"/>
              </w:rPr>
            </w:pPr>
          </w:p>
        </w:tc>
        <w:tc>
          <w:tcPr>
            <w:tcW w:w="236" w:type="dxa"/>
          </w:tcPr>
          <w:p w14:paraId="25CA12B6" w14:textId="77777777" w:rsidR="00A36F2F" w:rsidRPr="00863EC6" w:rsidRDefault="00A36F2F" w:rsidP="001958BD">
            <w:pPr>
              <w:jc w:val="center"/>
              <w:rPr>
                <w:sz w:val="20"/>
                <w:szCs w:val="20"/>
              </w:rPr>
            </w:pPr>
          </w:p>
        </w:tc>
      </w:tr>
      <w:tr w:rsidR="00A36F2F" w:rsidRPr="00863EC6" w14:paraId="235F89A2" w14:textId="77777777" w:rsidTr="00F7114B">
        <w:trPr>
          <w:gridAfter w:val="1"/>
          <w:wAfter w:w="236" w:type="dxa"/>
        </w:trPr>
        <w:tc>
          <w:tcPr>
            <w:tcW w:w="2835" w:type="dxa"/>
          </w:tcPr>
          <w:p w14:paraId="33710EC9" w14:textId="77777777" w:rsidR="00A36F2F" w:rsidRPr="00863EC6" w:rsidRDefault="00A36F2F" w:rsidP="001958BD">
            <w:pPr>
              <w:rPr>
                <w:sz w:val="20"/>
                <w:szCs w:val="20"/>
              </w:rPr>
            </w:pPr>
            <w:r w:rsidRPr="00863EC6">
              <w:rPr>
                <w:sz w:val="20"/>
                <w:szCs w:val="20"/>
              </w:rPr>
              <w:t>At 1 April 20</w:t>
            </w:r>
            <w:r>
              <w:rPr>
                <w:sz w:val="20"/>
                <w:szCs w:val="20"/>
              </w:rPr>
              <w:t>22</w:t>
            </w:r>
          </w:p>
        </w:tc>
        <w:tc>
          <w:tcPr>
            <w:tcW w:w="1843" w:type="dxa"/>
          </w:tcPr>
          <w:p w14:paraId="1350FB3B" w14:textId="5113742C" w:rsidR="00A36F2F" w:rsidRPr="00863EC6" w:rsidRDefault="00A36F2F" w:rsidP="001958BD">
            <w:pPr>
              <w:jc w:val="center"/>
              <w:rPr>
                <w:sz w:val="20"/>
                <w:szCs w:val="20"/>
              </w:rPr>
            </w:pPr>
            <w:r>
              <w:rPr>
                <w:sz w:val="20"/>
                <w:szCs w:val="20"/>
              </w:rPr>
              <w:t>0</w:t>
            </w:r>
          </w:p>
        </w:tc>
        <w:tc>
          <w:tcPr>
            <w:tcW w:w="1559" w:type="dxa"/>
            <w:gridSpan w:val="2"/>
          </w:tcPr>
          <w:p w14:paraId="5E854441" w14:textId="53F5AA91" w:rsidR="00A36F2F" w:rsidRPr="00863EC6" w:rsidRDefault="00A36F2F" w:rsidP="001958BD">
            <w:pPr>
              <w:jc w:val="center"/>
              <w:rPr>
                <w:sz w:val="20"/>
                <w:szCs w:val="20"/>
              </w:rPr>
            </w:pPr>
            <w:r>
              <w:rPr>
                <w:sz w:val="20"/>
                <w:szCs w:val="20"/>
              </w:rPr>
              <w:t>0</w:t>
            </w:r>
          </w:p>
        </w:tc>
        <w:tc>
          <w:tcPr>
            <w:tcW w:w="2268" w:type="dxa"/>
          </w:tcPr>
          <w:p w14:paraId="399850C6" w14:textId="592C399F" w:rsidR="00A36F2F" w:rsidRPr="00863EC6" w:rsidRDefault="00A36F2F" w:rsidP="001958BD">
            <w:pPr>
              <w:jc w:val="center"/>
              <w:rPr>
                <w:sz w:val="20"/>
                <w:szCs w:val="20"/>
              </w:rPr>
            </w:pPr>
            <w:r>
              <w:rPr>
                <w:sz w:val="20"/>
                <w:szCs w:val="20"/>
              </w:rPr>
              <w:t>0</w:t>
            </w:r>
          </w:p>
        </w:tc>
      </w:tr>
      <w:tr w:rsidR="00A36F2F" w:rsidRPr="00863EC6" w14:paraId="0E9CF33F" w14:textId="77777777" w:rsidTr="00F7114B">
        <w:trPr>
          <w:gridAfter w:val="1"/>
          <w:wAfter w:w="236" w:type="dxa"/>
        </w:trPr>
        <w:tc>
          <w:tcPr>
            <w:tcW w:w="2835" w:type="dxa"/>
          </w:tcPr>
          <w:p w14:paraId="232FCD31" w14:textId="77777777" w:rsidR="00A36F2F" w:rsidRPr="00863EC6" w:rsidRDefault="00A36F2F" w:rsidP="001958BD">
            <w:pPr>
              <w:rPr>
                <w:sz w:val="20"/>
                <w:szCs w:val="20"/>
              </w:rPr>
            </w:pPr>
            <w:r w:rsidRPr="00863EC6">
              <w:rPr>
                <w:sz w:val="20"/>
                <w:szCs w:val="20"/>
              </w:rPr>
              <w:t>Charged in year</w:t>
            </w:r>
          </w:p>
        </w:tc>
        <w:tc>
          <w:tcPr>
            <w:tcW w:w="1843" w:type="dxa"/>
          </w:tcPr>
          <w:p w14:paraId="7BDF9342" w14:textId="62EA8DF8" w:rsidR="00A36F2F" w:rsidRPr="00863EC6" w:rsidRDefault="008D01FB" w:rsidP="001958BD">
            <w:pPr>
              <w:jc w:val="center"/>
              <w:rPr>
                <w:sz w:val="20"/>
                <w:szCs w:val="20"/>
              </w:rPr>
            </w:pPr>
            <w:r>
              <w:rPr>
                <w:sz w:val="20"/>
                <w:szCs w:val="20"/>
              </w:rPr>
              <w:t>74,465</w:t>
            </w:r>
          </w:p>
        </w:tc>
        <w:tc>
          <w:tcPr>
            <w:tcW w:w="1559" w:type="dxa"/>
            <w:gridSpan w:val="2"/>
          </w:tcPr>
          <w:p w14:paraId="57F78DE7" w14:textId="14430BAF" w:rsidR="00A36F2F" w:rsidRPr="00863EC6" w:rsidRDefault="008D01FB" w:rsidP="001958BD">
            <w:pPr>
              <w:jc w:val="center"/>
              <w:rPr>
                <w:sz w:val="20"/>
                <w:szCs w:val="20"/>
              </w:rPr>
            </w:pPr>
            <w:r>
              <w:rPr>
                <w:sz w:val="20"/>
                <w:szCs w:val="20"/>
              </w:rPr>
              <w:t>966</w:t>
            </w:r>
          </w:p>
        </w:tc>
        <w:tc>
          <w:tcPr>
            <w:tcW w:w="2268" w:type="dxa"/>
          </w:tcPr>
          <w:p w14:paraId="4F0BB148" w14:textId="69F25765" w:rsidR="00A36F2F" w:rsidRPr="00863EC6" w:rsidRDefault="008D01FB" w:rsidP="001958BD">
            <w:pPr>
              <w:jc w:val="center"/>
              <w:rPr>
                <w:sz w:val="20"/>
                <w:szCs w:val="20"/>
              </w:rPr>
            </w:pPr>
            <w:r>
              <w:rPr>
                <w:sz w:val="20"/>
                <w:szCs w:val="20"/>
              </w:rPr>
              <w:t>75,431</w:t>
            </w:r>
          </w:p>
        </w:tc>
      </w:tr>
      <w:tr w:rsidR="00A36F2F" w:rsidRPr="00F82840" w14:paraId="5F2DA801" w14:textId="77777777" w:rsidTr="00F7114B">
        <w:trPr>
          <w:gridAfter w:val="1"/>
          <w:wAfter w:w="236" w:type="dxa"/>
        </w:trPr>
        <w:tc>
          <w:tcPr>
            <w:tcW w:w="2835" w:type="dxa"/>
          </w:tcPr>
          <w:p w14:paraId="1D84F285" w14:textId="77777777" w:rsidR="00A36F2F" w:rsidRPr="00F82840" w:rsidRDefault="00A36F2F" w:rsidP="001958BD">
            <w:pPr>
              <w:rPr>
                <w:sz w:val="20"/>
                <w:szCs w:val="20"/>
              </w:rPr>
            </w:pPr>
            <w:r w:rsidRPr="00F82840">
              <w:rPr>
                <w:sz w:val="20"/>
                <w:szCs w:val="20"/>
              </w:rPr>
              <w:t xml:space="preserve">At </w:t>
            </w:r>
            <w:r>
              <w:rPr>
                <w:sz w:val="20"/>
                <w:szCs w:val="20"/>
              </w:rPr>
              <w:t>31 March 2022</w:t>
            </w:r>
          </w:p>
        </w:tc>
        <w:tc>
          <w:tcPr>
            <w:tcW w:w="1843" w:type="dxa"/>
            <w:tcBorders>
              <w:top w:val="single" w:sz="4" w:space="0" w:color="auto"/>
              <w:bottom w:val="single" w:sz="4" w:space="0" w:color="auto"/>
            </w:tcBorders>
          </w:tcPr>
          <w:p w14:paraId="1058A6EB" w14:textId="4E76234D" w:rsidR="00A36F2F" w:rsidRPr="00F82840" w:rsidRDefault="008D01FB" w:rsidP="001958BD">
            <w:pPr>
              <w:jc w:val="center"/>
              <w:rPr>
                <w:sz w:val="20"/>
                <w:szCs w:val="20"/>
              </w:rPr>
            </w:pPr>
            <w:r>
              <w:rPr>
                <w:sz w:val="20"/>
                <w:szCs w:val="20"/>
              </w:rPr>
              <w:t>74,465</w:t>
            </w:r>
          </w:p>
        </w:tc>
        <w:tc>
          <w:tcPr>
            <w:tcW w:w="1559" w:type="dxa"/>
            <w:gridSpan w:val="2"/>
            <w:tcBorders>
              <w:top w:val="single" w:sz="4" w:space="0" w:color="auto"/>
              <w:bottom w:val="single" w:sz="4" w:space="0" w:color="auto"/>
            </w:tcBorders>
          </w:tcPr>
          <w:p w14:paraId="3D95EAAE" w14:textId="609F175B" w:rsidR="00A36F2F" w:rsidRPr="00F82840" w:rsidRDefault="008D01FB" w:rsidP="001958BD">
            <w:pPr>
              <w:jc w:val="center"/>
              <w:rPr>
                <w:sz w:val="20"/>
                <w:szCs w:val="20"/>
              </w:rPr>
            </w:pPr>
            <w:r>
              <w:rPr>
                <w:sz w:val="20"/>
                <w:szCs w:val="20"/>
              </w:rPr>
              <w:t>966</w:t>
            </w:r>
          </w:p>
        </w:tc>
        <w:tc>
          <w:tcPr>
            <w:tcW w:w="2268" w:type="dxa"/>
            <w:tcBorders>
              <w:top w:val="single" w:sz="4" w:space="0" w:color="auto"/>
              <w:bottom w:val="single" w:sz="4" w:space="0" w:color="auto"/>
            </w:tcBorders>
          </w:tcPr>
          <w:p w14:paraId="3B58F7F8" w14:textId="34A179DA" w:rsidR="00A36F2F" w:rsidRPr="00F82840" w:rsidRDefault="008D01FB" w:rsidP="001958BD">
            <w:pPr>
              <w:jc w:val="center"/>
              <w:rPr>
                <w:sz w:val="20"/>
                <w:szCs w:val="20"/>
              </w:rPr>
            </w:pPr>
            <w:r>
              <w:rPr>
                <w:sz w:val="20"/>
                <w:szCs w:val="20"/>
              </w:rPr>
              <w:t>75,431</w:t>
            </w:r>
          </w:p>
        </w:tc>
      </w:tr>
      <w:tr w:rsidR="00A36F2F" w:rsidRPr="00F82840" w14:paraId="42FA5DB4" w14:textId="77777777" w:rsidTr="00F7114B">
        <w:trPr>
          <w:gridAfter w:val="1"/>
          <w:wAfter w:w="236" w:type="dxa"/>
        </w:trPr>
        <w:tc>
          <w:tcPr>
            <w:tcW w:w="2835" w:type="dxa"/>
          </w:tcPr>
          <w:p w14:paraId="75931011" w14:textId="77777777" w:rsidR="00A36F2F" w:rsidRPr="00F82840" w:rsidRDefault="00A36F2F" w:rsidP="001958BD">
            <w:pPr>
              <w:rPr>
                <w:sz w:val="20"/>
                <w:szCs w:val="20"/>
              </w:rPr>
            </w:pPr>
          </w:p>
          <w:p w14:paraId="25DC56FC" w14:textId="77777777" w:rsidR="00A36F2F" w:rsidRPr="004520CE" w:rsidRDefault="00A36F2F" w:rsidP="001958BD">
            <w:pPr>
              <w:rPr>
                <w:b/>
                <w:bCs/>
                <w:sz w:val="20"/>
                <w:szCs w:val="20"/>
              </w:rPr>
            </w:pPr>
            <w:r w:rsidRPr="004520CE">
              <w:rPr>
                <w:b/>
                <w:bCs/>
                <w:sz w:val="20"/>
                <w:szCs w:val="20"/>
              </w:rPr>
              <w:t>Net book value at 31 March 2023</w:t>
            </w:r>
          </w:p>
        </w:tc>
        <w:tc>
          <w:tcPr>
            <w:tcW w:w="1843" w:type="dxa"/>
            <w:tcBorders>
              <w:top w:val="single" w:sz="4" w:space="0" w:color="auto"/>
              <w:bottom w:val="single" w:sz="4" w:space="0" w:color="auto"/>
            </w:tcBorders>
          </w:tcPr>
          <w:p w14:paraId="1101D04D" w14:textId="77777777" w:rsidR="00A36F2F" w:rsidRDefault="00A36F2F" w:rsidP="001958BD">
            <w:pPr>
              <w:jc w:val="center"/>
              <w:rPr>
                <w:sz w:val="20"/>
                <w:szCs w:val="20"/>
              </w:rPr>
            </w:pPr>
          </w:p>
          <w:p w14:paraId="0DA0C9C8" w14:textId="77777777" w:rsidR="00A36F2F" w:rsidRDefault="00A36F2F" w:rsidP="001958BD">
            <w:pPr>
              <w:jc w:val="center"/>
              <w:rPr>
                <w:sz w:val="20"/>
                <w:szCs w:val="20"/>
              </w:rPr>
            </w:pPr>
          </w:p>
          <w:p w14:paraId="6C69ACC9" w14:textId="166C042E" w:rsidR="00A36F2F" w:rsidRPr="00F82840" w:rsidRDefault="008D01FB" w:rsidP="001958BD">
            <w:pPr>
              <w:jc w:val="center"/>
              <w:rPr>
                <w:sz w:val="20"/>
                <w:szCs w:val="20"/>
              </w:rPr>
            </w:pPr>
            <w:r>
              <w:rPr>
                <w:sz w:val="20"/>
                <w:szCs w:val="20"/>
              </w:rPr>
              <w:t>518,603</w:t>
            </w:r>
          </w:p>
        </w:tc>
        <w:tc>
          <w:tcPr>
            <w:tcW w:w="1559" w:type="dxa"/>
            <w:gridSpan w:val="2"/>
            <w:tcBorders>
              <w:top w:val="single" w:sz="4" w:space="0" w:color="auto"/>
              <w:bottom w:val="single" w:sz="4" w:space="0" w:color="auto"/>
            </w:tcBorders>
          </w:tcPr>
          <w:p w14:paraId="0DB1CE0F" w14:textId="77777777" w:rsidR="00A36F2F" w:rsidRDefault="00A36F2F" w:rsidP="001958BD">
            <w:pPr>
              <w:jc w:val="center"/>
              <w:rPr>
                <w:sz w:val="20"/>
                <w:szCs w:val="20"/>
              </w:rPr>
            </w:pPr>
          </w:p>
          <w:p w14:paraId="793AC0E8" w14:textId="77777777" w:rsidR="00A36F2F" w:rsidRDefault="00A36F2F" w:rsidP="001958BD">
            <w:pPr>
              <w:jc w:val="center"/>
              <w:rPr>
                <w:sz w:val="20"/>
                <w:szCs w:val="20"/>
              </w:rPr>
            </w:pPr>
          </w:p>
          <w:p w14:paraId="5E076B9B" w14:textId="04D7729A" w:rsidR="00A36F2F" w:rsidRPr="00F82840" w:rsidRDefault="008D01FB" w:rsidP="001958BD">
            <w:pPr>
              <w:jc w:val="center"/>
              <w:rPr>
                <w:sz w:val="20"/>
                <w:szCs w:val="20"/>
              </w:rPr>
            </w:pPr>
            <w:r>
              <w:rPr>
                <w:sz w:val="20"/>
                <w:szCs w:val="20"/>
              </w:rPr>
              <w:t>1,849</w:t>
            </w:r>
          </w:p>
        </w:tc>
        <w:tc>
          <w:tcPr>
            <w:tcW w:w="2268" w:type="dxa"/>
            <w:tcBorders>
              <w:top w:val="single" w:sz="4" w:space="0" w:color="auto"/>
              <w:bottom w:val="single" w:sz="4" w:space="0" w:color="auto"/>
            </w:tcBorders>
          </w:tcPr>
          <w:p w14:paraId="5DB805BA" w14:textId="77777777" w:rsidR="00A36F2F" w:rsidRDefault="00A36F2F" w:rsidP="001958BD">
            <w:pPr>
              <w:jc w:val="center"/>
              <w:rPr>
                <w:sz w:val="20"/>
                <w:szCs w:val="20"/>
              </w:rPr>
            </w:pPr>
          </w:p>
          <w:p w14:paraId="77C0AA67" w14:textId="77777777" w:rsidR="00A36F2F" w:rsidRDefault="00A36F2F" w:rsidP="001958BD">
            <w:pPr>
              <w:jc w:val="center"/>
              <w:rPr>
                <w:sz w:val="20"/>
                <w:szCs w:val="20"/>
              </w:rPr>
            </w:pPr>
          </w:p>
          <w:p w14:paraId="35561898" w14:textId="17B1F66B" w:rsidR="00A36F2F" w:rsidRPr="00F82840" w:rsidRDefault="008D01FB" w:rsidP="001958BD">
            <w:pPr>
              <w:jc w:val="center"/>
              <w:rPr>
                <w:sz w:val="20"/>
                <w:szCs w:val="20"/>
              </w:rPr>
            </w:pPr>
            <w:r>
              <w:rPr>
                <w:sz w:val="20"/>
                <w:szCs w:val="20"/>
              </w:rPr>
              <w:t>520,452</w:t>
            </w:r>
          </w:p>
        </w:tc>
      </w:tr>
      <w:tr w:rsidR="00097903" w:rsidRPr="00F82840" w14:paraId="6104020C" w14:textId="77777777" w:rsidTr="00F7114B">
        <w:trPr>
          <w:gridAfter w:val="1"/>
          <w:wAfter w:w="236" w:type="dxa"/>
        </w:trPr>
        <w:tc>
          <w:tcPr>
            <w:tcW w:w="2835" w:type="dxa"/>
          </w:tcPr>
          <w:p w14:paraId="58516E07" w14:textId="77777777" w:rsidR="00097903" w:rsidRPr="00F82840" w:rsidRDefault="00097903" w:rsidP="001958BD">
            <w:pPr>
              <w:rPr>
                <w:sz w:val="20"/>
                <w:szCs w:val="20"/>
              </w:rPr>
            </w:pPr>
          </w:p>
        </w:tc>
        <w:tc>
          <w:tcPr>
            <w:tcW w:w="1843" w:type="dxa"/>
            <w:tcBorders>
              <w:top w:val="single" w:sz="4" w:space="0" w:color="auto"/>
            </w:tcBorders>
          </w:tcPr>
          <w:p w14:paraId="46F6E573" w14:textId="77777777" w:rsidR="00097903" w:rsidRPr="00F82840" w:rsidRDefault="00097903" w:rsidP="001958BD">
            <w:pPr>
              <w:jc w:val="center"/>
              <w:rPr>
                <w:sz w:val="20"/>
                <w:szCs w:val="20"/>
              </w:rPr>
            </w:pPr>
          </w:p>
        </w:tc>
        <w:tc>
          <w:tcPr>
            <w:tcW w:w="1541" w:type="dxa"/>
            <w:tcBorders>
              <w:top w:val="single" w:sz="4" w:space="0" w:color="auto"/>
            </w:tcBorders>
          </w:tcPr>
          <w:p w14:paraId="08CD3DA1" w14:textId="77777777" w:rsidR="00097903" w:rsidRPr="00F82840" w:rsidRDefault="00097903" w:rsidP="001958BD">
            <w:pPr>
              <w:jc w:val="center"/>
              <w:rPr>
                <w:sz w:val="20"/>
                <w:szCs w:val="20"/>
              </w:rPr>
            </w:pPr>
          </w:p>
        </w:tc>
        <w:tc>
          <w:tcPr>
            <w:tcW w:w="2286" w:type="dxa"/>
            <w:gridSpan w:val="2"/>
            <w:tcBorders>
              <w:top w:val="single" w:sz="4" w:space="0" w:color="auto"/>
            </w:tcBorders>
          </w:tcPr>
          <w:p w14:paraId="44C1FC97" w14:textId="77777777" w:rsidR="00097903" w:rsidRPr="00F82840" w:rsidRDefault="00097903" w:rsidP="001958BD">
            <w:pPr>
              <w:jc w:val="center"/>
              <w:rPr>
                <w:sz w:val="20"/>
                <w:szCs w:val="20"/>
              </w:rPr>
            </w:pPr>
          </w:p>
        </w:tc>
      </w:tr>
    </w:tbl>
    <w:p w14:paraId="0B8391D8" w14:textId="77777777" w:rsidR="00BF7ED8" w:rsidRDefault="00BF7ED8"/>
    <w:tbl>
      <w:tblPr>
        <w:tblW w:w="8506" w:type="dxa"/>
        <w:tblLayout w:type="fixed"/>
        <w:tblLook w:val="01E0" w:firstRow="1" w:lastRow="1" w:firstColumn="1" w:lastColumn="1" w:noHBand="0" w:noVBand="0"/>
      </w:tblPr>
      <w:tblGrid>
        <w:gridCol w:w="2871"/>
        <w:gridCol w:w="1758"/>
        <w:gridCol w:w="1546"/>
        <w:gridCol w:w="2331"/>
      </w:tblGrid>
      <w:tr w:rsidR="00097903" w:rsidRPr="00F267CA" w14:paraId="7B553912" w14:textId="77777777" w:rsidTr="004520CE">
        <w:tc>
          <w:tcPr>
            <w:tcW w:w="2871" w:type="dxa"/>
          </w:tcPr>
          <w:p w14:paraId="4208F3D4" w14:textId="77777777" w:rsidR="00097903" w:rsidRPr="00D35926" w:rsidRDefault="00097903" w:rsidP="00A508CB">
            <w:pPr>
              <w:rPr>
                <w:b/>
                <w:sz w:val="22"/>
                <w:szCs w:val="22"/>
              </w:rPr>
            </w:pPr>
            <w:r>
              <w:rPr>
                <w:b/>
                <w:sz w:val="22"/>
                <w:szCs w:val="22"/>
              </w:rPr>
              <w:t>2022-23</w:t>
            </w:r>
          </w:p>
        </w:tc>
        <w:tc>
          <w:tcPr>
            <w:tcW w:w="1758" w:type="dxa"/>
          </w:tcPr>
          <w:p w14:paraId="6C7EF49D" w14:textId="77777777" w:rsidR="00097903" w:rsidRPr="00F267CA" w:rsidRDefault="00097903" w:rsidP="00A508CB">
            <w:pPr>
              <w:ind w:right="-171"/>
              <w:jc w:val="center"/>
              <w:rPr>
                <w:rFonts w:cs="Arial"/>
                <w:b/>
                <w:sz w:val="16"/>
                <w:szCs w:val="16"/>
              </w:rPr>
            </w:pPr>
            <w:r w:rsidRPr="00F267CA">
              <w:rPr>
                <w:rFonts w:cs="Arial"/>
                <w:b/>
                <w:sz w:val="16"/>
                <w:szCs w:val="16"/>
              </w:rPr>
              <w:t>Leasehold Improvements</w:t>
            </w:r>
          </w:p>
        </w:tc>
        <w:tc>
          <w:tcPr>
            <w:tcW w:w="1546" w:type="dxa"/>
          </w:tcPr>
          <w:p w14:paraId="5D7B1AC0" w14:textId="77777777" w:rsidR="00097903" w:rsidRPr="00F267CA" w:rsidRDefault="00097903" w:rsidP="00A508CB">
            <w:pPr>
              <w:jc w:val="center"/>
              <w:rPr>
                <w:b/>
                <w:sz w:val="16"/>
                <w:szCs w:val="16"/>
              </w:rPr>
            </w:pPr>
            <w:r w:rsidRPr="00F267CA">
              <w:rPr>
                <w:b/>
                <w:sz w:val="16"/>
                <w:szCs w:val="16"/>
              </w:rPr>
              <w:t>Furniture &amp; fittings</w:t>
            </w:r>
          </w:p>
        </w:tc>
        <w:tc>
          <w:tcPr>
            <w:tcW w:w="2331" w:type="dxa"/>
          </w:tcPr>
          <w:p w14:paraId="56BE315C" w14:textId="77777777" w:rsidR="00097903" w:rsidRPr="00F267CA" w:rsidRDefault="00097903" w:rsidP="00A508CB">
            <w:pPr>
              <w:jc w:val="center"/>
              <w:rPr>
                <w:b/>
                <w:sz w:val="16"/>
                <w:szCs w:val="16"/>
              </w:rPr>
            </w:pPr>
            <w:r w:rsidRPr="00F267CA">
              <w:rPr>
                <w:b/>
                <w:sz w:val="16"/>
                <w:szCs w:val="16"/>
              </w:rPr>
              <w:t>Total</w:t>
            </w:r>
          </w:p>
          <w:p w14:paraId="597868B1" w14:textId="77777777" w:rsidR="00097903" w:rsidRPr="00F267CA" w:rsidRDefault="00097903" w:rsidP="00A508CB">
            <w:pPr>
              <w:jc w:val="center"/>
              <w:rPr>
                <w:b/>
                <w:sz w:val="16"/>
                <w:szCs w:val="16"/>
              </w:rPr>
            </w:pPr>
          </w:p>
        </w:tc>
      </w:tr>
      <w:tr w:rsidR="00097903" w:rsidRPr="00863EC6" w14:paraId="6B6B9F43" w14:textId="77777777" w:rsidTr="004520CE">
        <w:tc>
          <w:tcPr>
            <w:tcW w:w="2871" w:type="dxa"/>
          </w:tcPr>
          <w:p w14:paraId="0F7B6187" w14:textId="2B88B43D" w:rsidR="00097903" w:rsidRPr="00863EC6" w:rsidRDefault="00097903" w:rsidP="00A508CB">
            <w:pPr>
              <w:rPr>
                <w:b/>
                <w:sz w:val="20"/>
                <w:szCs w:val="20"/>
              </w:rPr>
            </w:pPr>
            <w:r>
              <w:rPr>
                <w:b/>
                <w:sz w:val="20"/>
                <w:szCs w:val="20"/>
              </w:rPr>
              <w:t>Lease Liabilities</w:t>
            </w:r>
            <w:r w:rsidRPr="00863EC6">
              <w:rPr>
                <w:b/>
                <w:sz w:val="20"/>
                <w:szCs w:val="20"/>
              </w:rPr>
              <w:t xml:space="preserve"> </w:t>
            </w:r>
          </w:p>
        </w:tc>
        <w:tc>
          <w:tcPr>
            <w:tcW w:w="1758" w:type="dxa"/>
          </w:tcPr>
          <w:p w14:paraId="0B59206F" w14:textId="77777777" w:rsidR="00097903" w:rsidRPr="00863EC6" w:rsidRDefault="00097903" w:rsidP="00A508CB">
            <w:pPr>
              <w:jc w:val="center"/>
              <w:rPr>
                <w:b/>
                <w:sz w:val="20"/>
                <w:szCs w:val="20"/>
              </w:rPr>
            </w:pPr>
            <w:r w:rsidRPr="00863EC6">
              <w:rPr>
                <w:b/>
                <w:sz w:val="20"/>
                <w:szCs w:val="20"/>
              </w:rPr>
              <w:t>£</w:t>
            </w:r>
          </w:p>
        </w:tc>
        <w:tc>
          <w:tcPr>
            <w:tcW w:w="1546" w:type="dxa"/>
          </w:tcPr>
          <w:p w14:paraId="753DF220" w14:textId="77777777" w:rsidR="00097903" w:rsidRPr="00863EC6" w:rsidRDefault="00097903" w:rsidP="00A508CB">
            <w:pPr>
              <w:jc w:val="center"/>
              <w:rPr>
                <w:b/>
                <w:sz w:val="20"/>
                <w:szCs w:val="20"/>
              </w:rPr>
            </w:pPr>
            <w:r w:rsidRPr="00863EC6">
              <w:rPr>
                <w:b/>
                <w:sz w:val="20"/>
                <w:szCs w:val="20"/>
              </w:rPr>
              <w:t>£</w:t>
            </w:r>
          </w:p>
        </w:tc>
        <w:tc>
          <w:tcPr>
            <w:tcW w:w="2331" w:type="dxa"/>
          </w:tcPr>
          <w:p w14:paraId="647EB17B" w14:textId="77777777" w:rsidR="00097903" w:rsidRPr="00863EC6" w:rsidRDefault="00097903" w:rsidP="00A508CB">
            <w:pPr>
              <w:jc w:val="center"/>
              <w:rPr>
                <w:b/>
                <w:sz w:val="20"/>
                <w:szCs w:val="20"/>
              </w:rPr>
            </w:pPr>
            <w:r w:rsidRPr="00863EC6">
              <w:rPr>
                <w:b/>
                <w:sz w:val="20"/>
                <w:szCs w:val="20"/>
              </w:rPr>
              <w:t>£</w:t>
            </w:r>
          </w:p>
        </w:tc>
      </w:tr>
      <w:tr w:rsidR="00097903" w:rsidRPr="00863EC6" w14:paraId="3CC5C3E6" w14:textId="77777777" w:rsidTr="004520CE">
        <w:tc>
          <w:tcPr>
            <w:tcW w:w="2871" w:type="dxa"/>
          </w:tcPr>
          <w:p w14:paraId="1AC9B68B" w14:textId="77777777" w:rsidR="00097903" w:rsidRPr="00863EC6" w:rsidRDefault="00097903" w:rsidP="00A508CB">
            <w:pPr>
              <w:rPr>
                <w:sz w:val="20"/>
                <w:szCs w:val="20"/>
              </w:rPr>
            </w:pPr>
            <w:r w:rsidRPr="00863EC6">
              <w:rPr>
                <w:sz w:val="20"/>
                <w:szCs w:val="20"/>
              </w:rPr>
              <w:t>At 1 April 20</w:t>
            </w:r>
            <w:r>
              <w:rPr>
                <w:sz w:val="20"/>
                <w:szCs w:val="20"/>
              </w:rPr>
              <w:t>22</w:t>
            </w:r>
          </w:p>
        </w:tc>
        <w:tc>
          <w:tcPr>
            <w:tcW w:w="1758" w:type="dxa"/>
          </w:tcPr>
          <w:p w14:paraId="476CA6DF" w14:textId="77777777" w:rsidR="00097903" w:rsidRPr="00863EC6" w:rsidRDefault="00097903" w:rsidP="00A508CB">
            <w:pPr>
              <w:jc w:val="center"/>
              <w:rPr>
                <w:sz w:val="20"/>
                <w:szCs w:val="20"/>
              </w:rPr>
            </w:pPr>
            <w:r>
              <w:rPr>
                <w:sz w:val="20"/>
                <w:szCs w:val="20"/>
              </w:rPr>
              <w:t>0</w:t>
            </w:r>
          </w:p>
        </w:tc>
        <w:tc>
          <w:tcPr>
            <w:tcW w:w="1546" w:type="dxa"/>
          </w:tcPr>
          <w:p w14:paraId="2E4A9194" w14:textId="77777777" w:rsidR="00097903" w:rsidRPr="00863EC6" w:rsidRDefault="00097903" w:rsidP="00A508CB">
            <w:pPr>
              <w:jc w:val="center"/>
              <w:rPr>
                <w:sz w:val="20"/>
                <w:szCs w:val="20"/>
              </w:rPr>
            </w:pPr>
            <w:r>
              <w:rPr>
                <w:sz w:val="20"/>
                <w:szCs w:val="20"/>
              </w:rPr>
              <w:t>0</w:t>
            </w:r>
          </w:p>
        </w:tc>
        <w:tc>
          <w:tcPr>
            <w:tcW w:w="2331" w:type="dxa"/>
          </w:tcPr>
          <w:p w14:paraId="7DBFA910" w14:textId="77777777" w:rsidR="00097903" w:rsidRPr="00863EC6" w:rsidRDefault="00097903" w:rsidP="00A508CB">
            <w:pPr>
              <w:jc w:val="center"/>
              <w:rPr>
                <w:sz w:val="20"/>
                <w:szCs w:val="20"/>
              </w:rPr>
            </w:pPr>
            <w:r>
              <w:rPr>
                <w:sz w:val="20"/>
                <w:szCs w:val="20"/>
              </w:rPr>
              <w:t>0</w:t>
            </w:r>
          </w:p>
        </w:tc>
      </w:tr>
      <w:tr w:rsidR="00097903" w:rsidRPr="00863EC6" w14:paraId="0455039A" w14:textId="77777777" w:rsidTr="004520CE">
        <w:tc>
          <w:tcPr>
            <w:tcW w:w="2871" w:type="dxa"/>
          </w:tcPr>
          <w:p w14:paraId="09F9166A" w14:textId="77777777" w:rsidR="00097903" w:rsidRPr="00863EC6" w:rsidRDefault="00097903" w:rsidP="00A508CB">
            <w:pPr>
              <w:rPr>
                <w:sz w:val="20"/>
                <w:szCs w:val="20"/>
              </w:rPr>
            </w:pPr>
            <w:r w:rsidRPr="00863EC6">
              <w:rPr>
                <w:sz w:val="20"/>
                <w:szCs w:val="20"/>
              </w:rPr>
              <w:t>Additions</w:t>
            </w:r>
          </w:p>
        </w:tc>
        <w:tc>
          <w:tcPr>
            <w:tcW w:w="1758" w:type="dxa"/>
          </w:tcPr>
          <w:p w14:paraId="33DD9B67" w14:textId="7551A275" w:rsidR="00097903" w:rsidRPr="00863EC6" w:rsidRDefault="00097903" w:rsidP="00A508CB">
            <w:pPr>
              <w:jc w:val="center"/>
              <w:rPr>
                <w:sz w:val="20"/>
                <w:szCs w:val="20"/>
              </w:rPr>
            </w:pPr>
            <w:r>
              <w:rPr>
                <w:sz w:val="20"/>
                <w:szCs w:val="20"/>
              </w:rPr>
              <w:t>(</w:t>
            </w:r>
            <w:r w:rsidR="008D01FB">
              <w:rPr>
                <w:sz w:val="20"/>
                <w:szCs w:val="20"/>
              </w:rPr>
              <w:t>593,068</w:t>
            </w:r>
            <w:r>
              <w:rPr>
                <w:sz w:val="20"/>
                <w:szCs w:val="20"/>
              </w:rPr>
              <w:t>)</w:t>
            </w:r>
          </w:p>
        </w:tc>
        <w:tc>
          <w:tcPr>
            <w:tcW w:w="1546" w:type="dxa"/>
          </w:tcPr>
          <w:p w14:paraId="579F8F6A" w14:textId="6F625027" w:rsidR="00097903" w:rsidRPr="00863EC6" w:rsidRDefault="00097903" w:rsidP="00097903">
            <w:pPr>
              <w:jc w:val="center"/>
              <w:rPr>
                <w:sz w:val="20"/>
                <w:szCs w:val="20"/>
              </w:rPr>
            </w:pPr>
            <w:r>
              <w:rPr>
                <w:sz w:val="20"/>
                <w:szCs w:val="20"/>
              </w:rPr>
              <w:t>(</w:t>
            </w:r>
            <w:r w:rsidR="008D01FB">
              <w:rPr>
                <w:sz w:val="20"/>
                <w:szCs w:val="20"/>
              </w:rPr>
              <w:t>2,815</w:t>
            </w:r>
            <w:r>
              <w:rPr>
                <w:sz w:val="20"/>
                <w:szCs w:val="20"/>
              </w:rPr>
              <w:t>)</w:t>
            </w:r>
          </w:p>
        </w:tc>
        <w:tc>
          <w:tcPr>
            <w:tcW w:w="2331" w:type="dxa"/>
          </w:tcPr>
          <w:p w14:paraId="1F4DBCE9" w14:textId="7163953A" w:rsidR="00097903" w:rsidRPr="00863EC6" w:rsidRDefault="00097903" w:rsidP="00A508CB">
            <w:pPr>
              <w:jc w:val="center"/>
              <w:rPr>
                <w:sz w:val="20"/>
                <w:szCs w:val="20"/>
              </w:rPr>
            </w:pPr>
            <w:r>
              <w:rPr>
                <w:sz w:val="20"/>
                <w:szCs w:val="20"/>
              </w:rPr>
              <w:t>(</w:t>
            </w:r>
            <w:r w:rsidR="008D01FB">
              <w:rPr>
                <w:sz w:val="20"/>
                <w:szCs w:val="20"/>
              </w:rPr>
              <w:t>595,883</w:t>
            </w:r>
            <w:r>
              <w:rPr>
                <w:sz w:val="20"/>
                <w:szCs w:val="20"/>
              </w:rPr>
              <w:t>)</w:t>
            </w:r>
          </w:p>
        </w:tc>
      </w:tr>
      <w:tr w:rsidR="00097903" w:rsidRPr="00863EC6" w14:paraId="174EBC3A" w14:textId="77777777" w:rsidTr="004520CE">
        <w:tc>
          <w:tcPr>
            <w:tcW w:w="2871" w:type="dxa"/>
          </w:tcPr>
          <w:p w14:paraId="7D66C161" w14:textId="245E1C0E" w:rsidR="00097903" w:rsidRPr="00863EC6" w:rsidRDefault="00097903" w:rsidP="00A508CB">
            <w:pPr>
              <w:rPr>
                <w:sz w:val="20"/>
                <w:szCs w:val="20"/>
              </w:rPr>
            </w:pPr>
            <w:r>
              <w:rPr>
                <w:sz w:val="20"/>
                <w:szCs w:val="20"/>
              </w:rPr>
              <w:t>Interest on lease liabilities @ 1.27%</w:t>
            </w:r>
          </w:p>
        </w:tc>
        <w:tc>
          <w:tcPr>
            <w:tcW w:w="1758" w:type="dxa"/>
          </w:tcPr>
          <w:p w14:paraId="3487F4B3" w14:textId="738C1AC9" w:rsidR="00097903" w:rsidRDefault="00097903" w:rsidP="00A508CB">
            <w:pPr>
              <w:jc w:val="center"/>
              <w:rPr>
                <w:sz w:val="20"/>
                <w:szCs w:val="20"/>
              </w:rPr>
            </w:pPr>
            <w:r>
              <w:rPr>
                <w:sz w:val="20"/>
                <w:szCs w:val="20"/>
              </w:rPr>
              <w:t>(</w:t>
            </w:r>
            <w:r w:rsidR="008D01FB">
              <w:rPr>
                <w:sz w:val="20"/>
                <w:szCs w:val="20"/>
              </w:rPr>
              <w:t>7,532</w:t>
            </w:r>
            <w:r>
              <w:rPr>
                <w:sz w:val="20"/>
                <w:szCs w:val="20"/>
              </w:rPr>
              <w:t>)</w:t>
            </w:r>
          </w:p>
          <w:p w14:paraId="6A159428" w14:textId="15E28AC5" w:rsidR="00097903" w:rsidRDefault="00097903" w:rsidP="00A508CB">
            <w:pPr>
              <w:jc w:val="center"/>
              <w:rPr>
                <w:sz w:val="20"/>
                <w:szCs w:val="20"/>
              </w:rPr>
            </w:pPr>
          </w:p>
        </w:tc>
        <w:tc>
          <w:tcPr>
            <w:tcW w:w="1546" w:type="dxa"/>
          </w:tcPr>
          <w:p w14:paraId="58E1AE5A" w14:textId="5415B4A6" w:rsidR="00097903" w:rsidRDefault="00097903" w:rsidP="00A508CB">
            <w:pPr>
              <w:jc w:val="center"/>
              <w:rPr>
                <w:sz w:val="20"/>
                <w:szCs w:val="20"/>
              </w:rPr>
            </w:pPr>
            <w:r>
              <w:rPr>
                <w:sz w:val="20"/>
                <w:szCs w:val="20"/>
              </w:rPr>
              <w:t>(</w:t>
            </w:r>
            <w:r w:rsidR="008D01FB">
              <w:rPr>
                <w:sz w:val="20"/>
                <w:szCs w:val="20"/>
              </w:rPr>
              <w:t>36</w:t>
            </w:r>
            <w:r>
              <w:rPr>
                <w:sz w:val="20"/>
                <w:szCs w:val="20"/>
              </w:rPr>
              <w:t>)</w:t>
            </w:r>
          </w:p>
        </w:tc>
        <w:tc>
          <w:tcPr>
            <w:tcW w:w="2331" w:type="dxa"/>
          </w:tcPr>
          <w:p w14:paraId="64EA9B25" w14:textId="439F95E8" w:rsidR="00097903" w:rsidRDefault="00097903" w:rsidP="00A508CB">
            <w:pPr>
              <w:jc w:val="center"/>
              <w:rPr>
                <w:sz w:val="20"/>
                <w:szCs w:val="20"/>
              </w:rPr>
            </w:pPr>
            <w:r>
              <w:rPr>
                <w:sz w:val="20"/>
                <w:szCs w:val="20"/>
              </w:rPr>
              <w:t>(</w:t>
            </w:r>
            <w:r w:rsidR="00CC54C1">
              <w:rPr>
                <w:sz w:val="20"/>
                <w:szCs w:val="20"/>
              </w:rPr>
              <w:t>7,568</w:t>
            </w:r>
            <w:r>
              <w:rPr>
                <w:sz w:val="20"/>
                <w:szCs w:val="20"/>
              </w:rPr>
              <w:t>)</w:t>
            </w:r>
          </w:p>
        </w:tc>
      </w:tr>
      <w:tr w:rsidR="00097903" w:rsidRPr="00863EC6" w14:paraId="30554455" w14:textId="77777777" w:rsidTr="004520CE">
        <w:tc>
          <w:tcPr>
            <w:tcW w:w="2871" w:type="dxa"/>
          </w:tcPr>
          <w:p w14:paraId="7E339509" w14:textId="0FCCFE59" w:rsidR="00097903" w:rsidRPr="00863EC6" w:rsidRDefault="00097903" w:rsidP="00A508CB">
            <w:pPr>
              <w:rPr>
                <w:sz w:val="20"/>
                <w:szCs w:val="20"/>
              </w:rPr>
            </w:pPr>
            <w:r>
              <w:rPr>
                <w:sz w:val="20"/>
                <w:szCs w:val="20"/>
              </w:rPr>
              <w:t>Cash Payment</w:t>
            </w:r>
          </w:p>
        </w:tc>
        <w:tc>
          <w:tcPr>
            <w:tcW w:w="1758" w:type="dxa"/>
          </w:tcPr>
          <w:p w14:paraId="1BE97F0C" w14:textId="10A32710" w:rsidR="00097903" w:rsidRDefault="008D01FB" w:rsidP="00A508CB">
            <w:pPr>
              <w:jc w:val="center"/>
              <w:rPr>
                <w:sz w:val="20"/>
                <w:szCs w:val="20"/>
              </w:rPr>
            </w:pPr>
            <w:r>
              <w:rPr>
                <w:sz w:val="20"/>
                <w:szCs w:val="20"/>
              </w:rPr>
              <w:t>78,768</w:t>
            </w:r>
          </w:p>
        </w:tc>
        <w:tc>
          <w:tcPr>
            <w:tcW w:w="1546" w:type="dxa"/>
          </w:tcPr>
          <w:p w14:paraId="67BB9DBD" w14:textId="0C806EBD" w:rsidR="00097903" w:rsidRDefault="008D01FB" w:rsidP="00A508CB">
            <w:pPr>
              <w:jc w:val="center"/>
              <w:rPr>
                <w:sz w:val="20"/>
                <w:szCs w:val="20"/>
              </w:rPr>
            </w:pPr>
            <w:r>
              <w:rPr>
                <w:sz w:val="20"/>
                <w:szCs w:val="20"/>
              </w:rPr>
              <w:t>990</w:t>
            </w:r>
          </w:p>
        </w:tc>
        <w:tc>
          <w:tcPr>
            <w:tcW w:w="2331" w:type="dxa"/>
          </w:tcPr>
          <w:p w14:paraId="239F4636" w14:textId="2D3E19BC" w:rsidR="00097903" w:rsidRDefault="00CC54C1" w:rsidP="00A508CB">
            <w:pPr>
              <w:jc w:val="center"/>
              <w:rPr>
                <w:sz w:val="20"/>
                <w:szCs w:val="20"/>
              </w:rPr>
            </w:pPr>
            <w:r>
              <w:rPr>
                <w:sz w:val="20"/>
                <w:szCs w:val="20"/>
              </w:rPr>
              <w:t>79,758</w:t>
            </w:r>
          </w:p>
        </w:tc>
      </w:tr>
      <w:tr w:rsidR="00097903" w:rsidRPr="00863EC6" w14:paraId="63CA53E4" w14:textId="77777777" w:rsidTr="004520CE">
        <w:tc>
          <w:tcPr>
            <w:tcW w:w="2871" w:type="dxa"/>
          </w:tcPr>
          <w:p w14:paraId="4C77CCF6" w14:textId="77777777" w:rsidR="00097903" w:rsidRPr="00863EC6" w:rsidRDefault="00097903" w:rsidP="00A508CB">
            <w:pPr>
              <w:rPr>
                <w:sz w:val="20"/>
                <w:szCs w:val="20"/>
              </w:rPr>
            </w:pPr>
            <w:r w:rsidRPr="00863EC6">
              <w:rPr>
                <w:sz w:val="20"/>
                <w:szCs w:val="20"/>
              </w:rPr>
              <w:t xml:space="preserve">At </w:t>
            </w:r>
            <w:r>
              <w:rPr>
                <w:sz w:val="20"/>
                <w:szCs w:val="20"/>
              </w:rPr>
              <w:t>31 March 2023</w:t>
            </w:r>
          </w:p>
        </w:tc>
        <w:tc>
          <w:tcPr>
            <w:tcW w:w="1758" w:type="dxa"/>
            <w:tcBorders>
              <w:top w:val="single" w:sz="4" w:space="0" w:color="auto"/>
              <w:bottom w:val="single" w:sz="4" w:space="0" w:color="auto"/>
            </w:tcBorders>
          </w:tcPr>
          <w:p w14:paraId="2AFEE50A" w14:textId="39652F5B" w:rsidR="00097903" w:rsidRPr="00863EC6" w:rsidRDefault="00097903" w:rsidP="00A508CB">
            <w:pPr>
              <w:jc w:val="center"/>
              <w:rPr>
                <w:sz w:val="20"/>
                <w:szCs w:val="20"/>
              </w:rPr>
            </w:pPr>
            <w:r>
              <w:rPr>
                <w:sz w:val="20"/>
                <w:szCs w:val="20"/>
              </w:rPr>
              <w:t>(</w:t>
            </w:r>
            <w:r w:rsidR="008D01FB">
              <w:rPr>
                <w:sz w:val="20"/>
                <w:szCs w:val="20"/>
              </w:rPr>
              <w:t>521,832</w:t>
            </w:r>
            <w:r>
              <w:rPr>
                <w:sz w:val="20"/>
                <w:szCs w:val="20"/>
              </w:rPr>
              <w:t>)</w:t>
            </w:r>
          </w:p>
        </w:tc>
        <w:tc>
          <w:tcPr>
            <w:tcW w:w="1546" w:type="dxa"/>
            <w:tcBorders>
              <w:top w:val="single" w:sz="4" w:space="0" w:color="auto"/>
              <w:bottom w:val="single" w:sz="4" w:space="0" w:color="auto"/>
            </w:tcBorders>
          </w:tcPr>
          <w:p w14:paraId="0FA58B26" w14:textId="41E96E13" w:rsidR="00097903" w:rsidRPr="00863EC6" w:rsidRDefault="00097903" w:rsidP="00A508CB">
            <w:pPr>
              <w:jc w:val="center"/>
              <w:rPr>
                <w:sz w:val="20"/>
                <w:szCs w:val="20"/>
              </w:rPr>
            </w:pPr>
            <w:r>
              <w:rPr>
                <w:sz w:val="20"/>
                <w:szCs w:val="20"/>
              </w:rPr>
              <w:t>(</w:t>
            </w:r>
            <w:r w:rsidR="008D01FB">
              <w:rPr>
                <w:sz w:val="20"/>
                <w:szCs w:val="20"/>
              </w:rPr>
              <w:t>1,861</w:t>
            </w:r>
            <w:r>
              <w:rPr>
                <w:sz w:val="20"/>
                <w:szCs w:val="20"/>
              </w:rPr>
              <w:t>)</w:t>
            </w:r>
          </w:p>
        </w:tc>
        <w:tc>
          <w:tcPr>
            <w:tcW w:w="2331" w:type="dxa"/>
            <w:tcBorders>
              <w:top w:val="single" w:sz="4" w:space="0" w:color="auto"/>
              <w:bottom w:val="single" w:sz="4" w:space="0" w:color="auto"/>
            </w:tcBorders>
          </w:tcPr>
          <w:p w14:paraId="5CD7F477" w14:textId="56E63E72" w:rsidR="00097903" w:rsidRPr="00863EC6" w:rsidRDefault="00097903" w:rsidP="00A508CB">
            <w:pPr>
              <w:jc w:val="center"/>
              <w:rPr>
                <w:sz w:val="20"/>
                <w:szCs w:val="20"/>
              </w:rPr>
            </w:pPr>
            <w:r>
              <w:rPr>
                <w:sz w:val="20"/>
                <w:szCs w:val="20"/>
              </w:rPr>
              <w:t>(</w:t>
            </w:r>
            <w:r w:rsidR="00CC54C1">
              <w:rPr>
                <w:sz w:val="20"/>
                <w:szCs w:val="20"/>
              </w:rPr>
              <w:t>523,693</w:t>
            </w:r>
            <w:r>
              <w:rPr>
                <w:sz w:val="20"/>
                <w:szCs w:val="20"/>
              </w:rPr>
              <w:t>)</w:t>
            </w:r>
          </w:p>
        </w:tc>
      </w:tr>
      <w:tr w:rsidR="004520CE" w:rsidRPr="00F82840" w14:paraId="18D79ABB" w14:textId="77777777" w:rsidTr="00BF11B7">
        <w:tc>
          <w:tcPr>
            <w:tcW w:w="8506" w:type="dxa"/>
            <w:gridSpan w:val="4"/>
          </w:tcPr>
          <w:p w14:paraId="2D2A130F" w14:textId="77777777" w:rsidR="004520CE" w:rsidRDefault="004520CE" w:rsidP="004520CE">
            <w:pPr>
              <w:rPr>
                <w:b/>
                <w:bCs/>
                <w:sz w:val="20"/>
                <w:szCs w:val="20"/>
              </w:rPr>
            </w:pPr>
          </w:p>
          <w:p w14:paraId="36313554" w14:textId="3222A4DF" w:rsidR="004520CE" w:rsidRPr="00F7114B" w:rsidRDefault="004520CE" w:rsidP="004520CE">
            <w:pPr>
              <w:rPr>
                <w:b/>
                <w:bCs/>
                <w:sz w:val="20"/>
                <w:szCs w:val="20"/>
              </w:rPr>
            </w:pPr>
            <w:r w:rsidRPr="004520CE">
              <w:rPr>
                <w:b/>
                <w:bCs/>
                <w:sz w:val="20"/>
                <w:szCs w:val="20"/>
              </w:rPr>
              <w:t>Total future lease payments under leases are given in the table below for each of the following periods:</w:t>
            </w:r>
          </w:p>
        </w:tc>
      </w:tr>
      <w:tr w:rsidR="00097903" w14:paraId="7B620B2C" w14:textId="77777777" w:rsidTr="004520CE">
        <w:tc>
          <w:tcPr>
            <w:tcW w:w="2871" w:type="dxa"/>
          </w:tcPr>
          <w:p w14:paraId="2257A8CA" w14:textId="77777777" w:rsidR="00097903" w:rsidRPr="00F82840" w:rsidRDefault="00097903" w:rsidP="00A508CB">
            <w:pPr>
              <w:rPr>
                <w:sz w:val="20"/>
                <w:szCs w:val="20"/>
              </w:rPr>
            </w:pPr>
            <w:r>
              <w:rPr>
                <w:sz w:val="20"/>
                <w:szCs w:val="20"/>
              </w:rPr>
              <w:t>No later than one year</w:t>
            </w:r>
          </w:p>
        </w:tc>
        <w:tc>
          <w:tcPr>
            <w:tcW w:w="1758" w:type="dxa"/>
            <w:tcBorders>
              <w:top w:val="single" w:sz="4" w:space="0" w:color="auto"/>
              <w:bottom w:val="single" w:sz="4" w:space="0" w:color="auto"/>
            </w:tcBorders>
          </w:tcPr>
          <w:p w14:paraId="17F31158" w14:textId="77777777" w:rsidR="00097903" w:rsidRDefault="00097903" w:rsidP="00A508CB">
            <w:pPr>
              <w:jc w:val="center"/>
              <w:rPr>
                <w:sz w:val="20"/>
                <w:szCs w:val="20"/>
              </w:rPr>
            </w:pPr>
          </w:p>
          <w:p w14:paraId="62ED2D24" w14:textId="001F6326" w:rsidR="00097903" w:rsidRDefault="004520CE" w:rsidP="00A508CB">
            <w:pPr>
              <w:jc w:val="center"/>
              <w:rPr>
                <w:sz w:val="20"/>
                <w:szCs w:val="20"/>
              </w:rPr>
            </w:pPr>
            <w:r>
              <w:rPr>
                <w:sz w:val="20"/>
                <w:szCs w:val="20"/>
              </w:rPr>
              <w:t>(</w:t>
            </w:r>
            <w:r w:rsidR="00CC54C1">
              <w:rPr>
                <w:sz w:val="20"/>
                <w:szCs w:val="20"/>
              </w:rPr>
              <w:t>72,141</w:t>
            </w:r>
            <w:r>
              <w:rPr>
                <w:sz w:val="20"/>
                <w:szCs w:val="20"/>
              </w:rPr>
              <w:t>)</w:t>
            </w:r>
          </w:p>
        </w:tc>
        <w:tc>
          <w:tcPr>
            <w:tcW w:w="1546" w:type="dxa"/>
            <w:tcBorders>
              <w:top w:val="single" w:sz="4" w:space="0" w:color="auto"/>
              <w:bottom w:val="single" w:sz="4" w:space="0" w:color="auto"/>
            </w:tcBorders>
          </w:tcPr>
          <w:p w14:paraId="3FE9A58E" w14:textId="77777777" w:rsidR="00097903" w:rsidRDefault="00097903" w:rsidP="00A508CB">
            <w:pPr>
              <w:jc w:val="center"/>
              <w:rPr>
                <w:sz w:val="20"/>
                <w:szCs w:val="20"/>
              </w:rPr>
            </w:pPr>
          </w:p>
          <w:p w14:paraId="01810C82" w14:textId="5CAC3A7E" w:rsidR="00097903" w:rsidRDefault="004520CE" w:rsidP="00A508CB">
            <w:pPr>
              <w:jc w:val="center"/>
              <w:rPr>
                <w:sz w:val="20"/>
                <w:szCs w:val="20"/>
              </w:rPr>
            </w:pPr>
            <w:r>
              <w:rPr>
                <w:sz w:val="20"/>
                <w:szCs w:val="20"/>
              </w:rPr>
              <w:t>(</w:t>
            </w:r>
            <w:r w:rsidR="00CC54C1">
              <w:rPr>
                <w:sz w:val="20"/>
                <w:szCs w:val="20"/>
              </w:rPr>
              <w:t>966</w:t>
            </w:r>
            <w:r>
              <w:rPr>
                <w:sz w:val="20"/>
                <w:szCs w:val="20"/>
              </w:rPr>
              <w:t>)</w:t>
            </w:r>
          </w:p>
        </w:tc>
        <w:tc>
          <w:tcPr>
            <w:tcW w:w="2331" w:type="dxa"/>
            <w:tcBorders>
              <w:top w:val="single" w:sz="4" w:space="0" w:color="auto"/>
              <w:bottom w:val="single" w:sz="4" w:space="0" w:color="auto"/>
            </w:tcBorders>
          </w:tcPr>
          <w:p w14:paraId="4EC99B7C" w14:textId="77777777" w:rsidR="00097903" w:rsidRDefault="00097903" w:rsidP="00A508CB">
            <w:pPr>
              <w:jc w:val="center"/>
              <w:rPr>
                <w:sz w:val="20"/>
                <w:szCs w:val="20"/>
              </w:rPr>
            </w:pPr>
          </w:p>
          <w:p w14:paraId="275ED019" w14:textId="5154A97D" w:rsidR="00097903" w:rsidRDefault="004520CE" w:rsidP="00A508CB">
            <w:pPr>
              <w:jc w:val="center"/>
              <w:rPr>
                <w:sz w:val="20"/>
                <w:szCs w:val="20"/>
              </w:rPr>
            </w:pPr>
            <w:r>
              <w:rPr>
                <w:sz w:val="20"/>
                <w:szCs w:val="20"/>
              </w:rPr>
              <w:t>(</w:t>
            </w:r>
            <w:r w:rsidR="00CC54C1">
              <w:rPr>
                <w:sz w:val="20"/>
                <w:szCs w:val="20"/>
              </w:rPr>
              <w:t>73,107</w:t>
            </w:r>
            <w:r>
              <w:rPr>
                <w:sz w:val="20"/>
                <w:szCs w:val="20"/>
              </w:rPr>
              <w:t>)</w:t>
            </w:r>
          </w:p>
        </w:tc>
      </w:tr>
      <w:tr w:rsidR="00097903" w14:paraId="216E92E0" w14:textId="77777777" w:rsidTr="004520CE">
        <w:tc>
          <w:tcPr>
            <w:tcW w:w="2871" w:type="dxa"/>
          </w:tcPr>
          <w:p w14:paraId="7B538ABF" w14:textId="77777777" w:rsidR="00097903" w:rsidRPr="00F82840" w:rsidRDefault="00097903" w:rsidP="00A508CB">
            <w:pPr>
              <w:rPr>
                <w:sz w:val="20"/>
                <w:szCs w:val="20"/>
              </w:rPr>
            </w:pPr>
            <w:r>
              <w:rPr>
                <w:sz w:val="20"/>
                <w:szCs w:val="20"/>
              </w:rPr>
              <w:t>Later than one year and not later than five years</w:t>
            </w:r>
          </w:p>
        </w:tc>
        <w:tc>
          <w:tcPr>
            <w:tcW w:w="1758" w:type="dxa"/>
            <w:tcBorders>
              <w:top w:val="single" w:sz="4" w:space="0" w:color="auto"/>
              <w:bottom w:val="single" w:sz="4" w:space="0" w:color="auto"/>
            </w:tcBorders>
          </w:tcPr>
          <w:p w14:paraId="4EFEB3A7" w14:textId="77777777" w:rsidR="00097903" w:rsidRDefault="00097903" w:rsidP="00A508CB">
            <w:pPr>
              <w:jc w:val="center"/>
              <w:rPr>
                <w:sz w:val="20"/>
                <w:szCs w:val="20"/>
              </w:rPr>
            </w:pPr>
          </w:p>
          <w:p w14:paraId="1C3EE7A9" w14:textId="77777777" w:rsidR="00097903" w:rsidRDefault="00097903" w:rsidP="00A508CB">
            <w:pPr>
              <w:jc w:val="center"/>
              <w:rPr>
                <w:sz w:val="20"/>
                <w:szCs w:val="20"/>
              </w:rPr>
            </w:pPr>
          </w:p>
          <w:p w14:paraId="3449F7A4" w14:textId="6A393BBD" w:rsidR="00097903" w:rsidRDefault="004520CE" w:rsidP="00A508CB">
            <w:pPr>
              <w:jc w:val="center"/>
              <w:rPr>
                <w:sz w:val="20"/>
                <w:szCs w:val="20"/>
              </w:rPr>
            </w:pPr>
            <w:r>
              <w:rPr>
                <w:sz w:val="20"/>
                <w:szCs w:val="20"/>
              </w:rPr>
              <w:t>(</w:t>
            </w:r>
            <w:r w:rsidR="00CC54C1">
              <w:rPr>
                <w:sz w:val="20"/>
                <w:szCs w:val="20"/>
              </w:rPr>
              <w:t>297,842</w:t>
            </w:r>
            <w:r>
              <w:rPr>
                <w:sz w:val="20"/>
                <w:szCs w:val="20"/>
              </w:rPr>
              <w:t>)</w:t>
            </w:r>
          </w:p>
        </w:tc>
        <w:tc>
          <w:tcPr>
            <w:tcW w:w="1546" w:type="dxa"/>
            <w:tcBorders>
              <w:top w:val="single" w:sz="4" w:space="0" w:color="auto"/>
              <w:bottom w:val="single" w:sz="4" w:space="0" w:color="auto"/>
            </w:tcBorders>
          </w:tcPr>
          <w:p w14:paraId="14AE1FBA" w14:textId="77777777" w:rsidR="00097903" w:rsidRDefault="00097903" w:rsidP="00A508CB">
            <w:pPr>
              <w:jc w:val="center"/>
              <w:rPr>
                <w:sz w:val="20"/>
                <w:szCs w:val="20"/>
              </w:rPr>
            </w:pPr>
          </w:p>
          <w:p w14:paraId="7703F18B" w14:textId="77777777" w:rsidR="00097903" w:rsidRDefault="00097903" w:rsidP="00A508CB">
            <w:pPr>
              <w:jc w:val="center"/>
              <w:rPr>
                <w:sz w:val="20"/>
                <w:szCs w:val="20"/>
              </w:rPr>
            </w:pPr>
          </w:p>
          <w:p w14:paraId="6D564C91" w14:textId="10CD7025" w:rsidR="00097903" w:rsidRDefault="004520CE" w:rsidP="00A508CB">
            <w:pPr>
              <w:jc w:val="center"/>
              <w:rPr>
                <w:sz w:val="20"/>
                <w:szCs w:val="20"/>
              </w:rPr>
            </w:pPr>
            <w:r>
              <w:rPr>
                <w:sz w:val="20"/>
                <w:szCs w:val="20"/>
              </w:rPr>
              <w:t>(</w:t>
            </w:r>
            <w:r w:rsidR="00CC54C1">
              <w:rPr>
                <w:sz w:val="20"/>
                <w:szCs w:val="20"/>
              </w:rPr>
              <w:t>895</w:t>
            </w:r>
            <w:r>
              <w:rPr>
                <w:sz w:val="20"/>
                <w:szCs w:val="20"/>
              </w:rPr>
              <w:t>)</w:t>
            </w:r>
          </w:p>
        </w:tc>
        <w:tc>
          <w:tcPr>
            <w:tcW w:w="2331" w:type="dxa"/>
            <w:tcBorders>
              <w:top w:val="single" w:sz="4" w:space="0" w:color="auto"/>
              <w:bottom w:val="single" w:sz="4" w:space="0" w:color="auto"/>
            </w:tcBorders>
          </w:tcPr>
          <w:p w14:paraId="22C4463F" w14:textId="77777777" w:rsidR="00097903" w:rsidRDefault="00097903" w:rsidP="00A508CB">
            <w:pPr>
              <w:jc w:val="center"/>
              <w:rPr>
                <w:sz w:val="20"/>
                <w:szCs w:val="20"/>
              </w:rPr>
            </w:pPr>
          </w:p>
          <w:p w14:paraId="5EC7A432" w14:textId="77777777" w:rsidR="00097903" w:rsidRDefault="00097903" w:rsidP="00A508CB">
            <w:pPr>
              <w:jc w:val="center"/>
              <w:rPr>
                <w:sz w:val="20"/>
                <w:szCs w:val="20"/>
              </w:rPr>
            </w:pPr>
          </w:p>
          <w:p w14:paraId="2BF2ECAE" w14:textId="74D130CB" w:rsidR="00097903" w:rsidRDefault="004520CE" w:rsidP="00A508CB">
            <w:pPr>
              <w:jc w:val="center"/>
              <w:rPr>
                <w:sz w:val="20"/>
                <w:szCs w:val="20"/>
              </w:rPr>
            </w:pPr>
            <w:r>
              <w:rPr>
                <w:sz w:val="20"/>
                <w:szCs w:val="20"/>
              </w:rPr>
              <w:t>(</w:t>
            </w:r>
            <w:r w:rsidR="00CC54C1">
              <w:rPr>
                <w:sz w:val="20"/>
                <w:szCs w:val="20"/>
              </w:rPr>
              <w:t>298,737</w:t>
            </w:r>
            <w:r>
              <w:rPr>
                <w:sz w:val="20"/>
                <w:szCs w:val="20"/>
              </w:rPr>
              <w:t>)</w:t>
            </w:r>
          </w:p>
        </w:tc>
      </w:tr>
      <w:tr w:rsidR="00097903" w14:paraId="31B12B4E" w14:textId="77777777" w:rsidTr="004520CE">
        <w:tc>
          <w:tcPr>
            <w:tcW w:w="2871" w:type="dxa"/>
          </w:tcPr>
          <w:p w14:paraId="2A054FAD" w14:textId="77777777" w:rsidR="00097903" w:rsidRDefault="00097903" w:rsidP="00A508CB">
            <w:pPr>
              <w:rPr>
                <w:sz w:val="20"/>
                <w:szCs w:val="20"/>
              </w:rPr>
            </w:pPr>
            <w:r>
              <w:rPr>
                <w:sz w:val="20"/>
                <w:szCs w:val="20"/>
              </w:rPr>
              <w:t>Later than five years</w:t>
            </w:r>
          </w:p>
          <w:p w14:paraId="28CE7172" w14:textId="77777777" w:rsidR="00097903" w:rsidRPr="00F82840" w:rsidRDefault="00097903" w:rsidP="00A508CB">
            <w:pPr>
              <w:rPr>
                <w:sz w:val="20"/>
                <w:szCs w:val="20"/>
              </w:rPr>
            </w:pPr>
          </w:p>
        </w:tc>
        <w:tc>
          <w:tcPr>
            <w:tcW w:w="1758" w:type="dxa"/>
            <w:tcBorders>
              <w:top w:val="single" w:sz="4" w:space="0" w:color="auto"/>
              <w:bottom w:val="single" w:sz="4" w:space="0" w:color="auto"/>
            </w:tcBorders>
          </w:tcPr>
          <w:p w14:paraId="12E2F4D7" w14:textId="77777777" w:rsidR="00097903" w:rsidRDefault="00097903" w:rsidP="00A508CB">
            <w:pPr>
              <w:jc w:val="center"/>
              <w:rPr>
                <w:sz w:val="20"/>
                <w:szCs w:val="20"/>
              </w:rPr>
            </w:pPr>
          </w:p>
          <w:p w14:paraId="27D78817" w14:textId="3914DE8C" w:rsidR="00097903" w:rsidRDefault="004520CE" w:rsidP="00A508CB">
            <w:pPr>
              <w:jc w:val="center"/>
              <w:rPr>
                <w:sz w:val="20"/>
                <w:szCs w:val="20"/>
              </w:rPr>
            </w:pPr>
            <w:r>
              <w:rPr>
                <w:sz w:val="20"/>
                <w:szCs w:val="20"/>
              </w:rPr>
              <w:t>(1</w:t>
            </w:r>
            <w:r w:rsidR="00CC54C1">
              <w:rPr>
                <w:sz w:val="20"/>
                <w:szCs w:val="20"/>
              </w:rPr>
              <w:t>51,849</w:t>
            </w:r>
            <w:r>
              <w:rPr>
                <w:sz w:val="20"/>
                <w:szCs w:val="20"/>
              </w:rPr>
              <w:t>)</w:t>
            </w:r>
          </w:p>
        </w:tc>
        <w:tc>
          <w:tcPr>
            <w:tcW w:w="1546" w:type="dxa"/>
            <w:tcBorders>
              <w:top w:val="single" w:sz="4" w:space="0" w:color="auto"/>
              <w:bottom w:val="single" w:sz="4" w:space="0" w:color="auto"/>
            </w:tcBorders>
          </w:tcPr>
          <w:p w14:paraId="128CA5BD" w14:textId="77777777" w:rsidR="00097903" w:rsidRDefault="00097903" w:rsidP="00A508CB">
            <w:pPr>
              <w:jc w:val="center"/>
              <w:rPr>
                <w:sz w:val="20"/>
                <w:szCs w:val="20"/>
              </w:rPr>
            </w:pPr>
          </w:p>
          <w:p w14:paraId="38BEECCC" w14:textId="77777777" w:rsidR="00097903" w:rsidRDefault="00097903" w:rsidP="00A508CB">
            <w:pPr>
              <w:jc w:val="center"/>
              <w:rPr>
                <w:sz w:val="20"/>
                <w:szCs w:val="20"/>
              </w:rPr>
            </w:pPr>
            <w:r>
              <w:rPr>
                <w:sz w:val="20"/>
                <w:szCs w:val="20"/>
              </w:rPr>
              <w:t>0</w:t>
            </w:r>
          </w:p>
        </w:tc>
        <w:tc>
          <w:tcPr>
            <w:tcW w:w="2331" w:type="dxa"/>
            <w:tcBorders>
              <w:top w:val="single" w:sz="4" w:space="0" w:color="auto"/>
              <w:bottom w:val="single" w:sz="4" w:space="0" w:color="auto"/>
            </w:tcBorders>
          </w:tcPr>
          <w:p w14:paraId="0F8F1D3D" w14:textId="77777777" w:rsidR="00097903" w:rsidRDefault="00097903" w:rsidP="00A508CB">
            <w:pPr>
              <w:jc w:val="center"/>
              <w:rPr>
                <w:sz w:val="20"/>
                <w:szCs w:val="20"/>
              </w:rPr>
            </w:pPr>
          </w:p>
          <w:p w14:paraId="00615972" w14:textId="0BE202F5" w:rsidR="00097903" w:rsidRDefault="004520CE" w:rsidP="00A508CB">
            <w:pPr>
              <w:jc w:val="center"/>
              <w:rPr>
                <w:sz w:val="20"/>
                <w:szCs w:val="20"/>
              </w:rPr>
            </w:pPr>
            <w:r>
              <w:rPr>
                <w:sz w:val="20"/>
                <w:szCs w:val="20"/>
              </w:rPr>
              <w:t>(</w:t>
            </w:r>
            <w:r w:rsidR="00CC54C1">
              <w:rPr>
                <w:sz w:val="20"/>
                <w:szCs w:val="20"/>
              </w:rPr>
              <w:t>151,849</w:t>
            </w:r>
            <w:r>
              <w:rPr>
                <w:sz w:val="20"/>
                <w:szCs w:val="20"/>
              </w:rPr>
              <w:t>)</w:t>
            </w:r>
          </w:p>
        </w:tc>
      </w:tr>
      <w:tr w:rsidR="004520CE" w:rsidRPr="00F82840" w14:paraId="531C615E" w14:textId="77777777" w:rsidTr="004520CE">
        <w:tc>
          <w:tcPr>
            <w:tcW w:w="2871" w:type="dxa"/>
          </w:tcPr>
          <w:p w14:paraId="2527A58C" w14:textId="0331E920" w:rsidR="004520CE" w:rsidRPr="004520CE" w:rsidRDefault="004520CE" w:rsidP="00A508CB">
            <w:pPr>
              <w:rPr>
                <w:b/>
                <w:bCs/>
                <w:sz w:val="20"/>
                <w:szCs w:val="20"/>
              </w:rPr>
            </w:pPr>
            <w:r w:rsidRPr="004520CE">
              <w:rPr>
                <w:b/>
                <w:bCs/>
                <w:sz w:val="20"/>
                <w:szCs w:val="20"/>
              </w:rPr>
              <w:t>Balance at 31 March 2023</w:t>
            </w:r>
          </w:p>
        </w:tc>
        <w:tc>
          <w:tcPr>
            <w:tcW w:w="1758" w:type="dxa"/>
            <w:tcBorders>
              <w:top w:val="single" w:sz="4" w:space="0" w:color="auto"/>
              <w:bottom w:val="single" w:sz="4" w:space="0" w:color="auto"/>
            </w:tcBorders>
          </w:tcPr>
          <w:p w14:paraId="7D06A0FB" w14:textId="77777777" w:rsidR="004520CE" w:rsidRDefault="004520CE" w:rsidP="004520CE">
            <w:pPr>
              <w:rPr>
                <w:sz w:val="20"/>
                <w:szCs w:val="20"/>
              </w:rPr>
            </w:pPr>
          </w:p>
          <w:p w14:paraId="025AB513" w14:textId="2BB8BD45" w:rsidR="004520CE" w:rsidRPr="00F82840" w:rsidRDefault="004520CE" w:rsidP="00A508CB">
            <w:pPr>
              <w:jc w:val="center"/>
              <w:rPr>
                <w:sz w:val="20"/>
                <w:szCs w:val="20"/>
              </w:rPr>
            </w:pPr>
            <w:r>
              <w:rPr>
                <w:sz w:val="20"/>
                <w:szCs w:val="20"/>
              </w:rPr>
              <w:t>(</w:t>
            </w:r>
            <w:r w:rsidR="00CC54C1">
              <w:rPr>
                <w:sz w:val="20"/>
                <w:szCs w:val="20"/>
              </w:rPr>
              <w:t>521,832</w:t>
            </w:r>
            <w:r>
              <w:rPr>
                <w:sz w:val="20"/>
                <w:szCs w:val="20"/>
              </w:rPr>
              <w:t>)</w:t>
            </w:r>
          </w:p>
        </w:tc>
        <w:tc>
          <w:tcPr>
            <w:tcW w:w="1546" w:type="dxa"/>
            <w:tcBorders>
              <w:top w:val="single" w:sz="4" w:space="0" w:color="auto"/>
              <w:bottom w:val="single" w:sz="4" w:space="0" w:color="auto"/>
            </w:tcBorders>
          </w:tcPr>
          <w:p w14:paraId="6CE13EFD" w14:textId="77777777" w:rsidR="004520CE" w:rsidRDefault="004520CE" w:rsidP="00A508CB">
            <w:pPr>
              <w:jc w:val="center"/>
              <w:rPr>
                <w:sz w:val="20"/>
                <w:szCs w:val="20"/>
              </w:rPr>
            </w:pPr>
          </w:p>
          <w:p w14:paraId="183A6CBF" w14:textId="700E1497" w:rsidR="004520CE" w:rsidRPr="00F82840" w:rsidRDefault="004520CE" w:rsidP="00A508CB">
            <w:pPr>
              <w:jc w:val="center"/>
              <w:rPr>
                <w:sz w:val="20"/>
                <w:szCs w:val="20"/>
              </w:rPr>
            </w:pPr>
            <w:r>
              <w:rPr>
                <w:sz w:val="20"/>
                <w:szCs w:val="20"/>
              </w:rPr>
              <w:t>(</w:t>
            </w:r>
            <w:r w:rsidR="00CC54C1">
              <w:rPr>
                <w:sz w:val="20"/>
                <w:szCs w:val="20"/>
              </w:rPr>
              <w:t>1</w:t>
            </w:r>
            <w:r w:rsidR="0034131C">
              <w:rPr>
                <w:sz w:val="20"/>
                <w:szCs w:val="20"/>
              </w:rPr>
              <w:t>,</w:t>
            </w:r>
            <w:r w:rsidR="00CC54C1">
              <w:rPr>
                <w:sz w:val="20"/>
                <w:szCs w:val="20"/>
              </w:rPr>
              <w:t>861</w:t>
            </w:r>
            <w:r>
              <w:rPr>
                <w:sz w:val="20"/>
                <w:szCs w:val="20"/>
              </w:rPr>
              <w:t>)</w:t>
            </w:r>
          </w:p>
        </w:tc>
        <w:tc>
          <w:tcPr>
            <w:tcW w:w="2331" w:type="dxa"/>
            <w:tcBorders>
              <w:top w:val="single" w:sz="4" w:space="0" w:color="auto"/>
              <w:bottom w:val="single" w:sz="4" w:space="0" w:color="auto"/>
            </w:tcBorders>
          </w:tcPr>
          <w:p w14:paraId="146A971C" w14:textId="77777777" w:rsidR="004520CE" w:rsidRDefault="004520CE" w:rsidP="00A508CB">
            <w:pPr>
              <w:jc w:val="center"/>
              <w:rPr>
                <w:sz w:val="20"/>
                <w:szCs w:val="20"/>
              </w:rPr>
            </w:pPr>
          </w:p>
          <w:p w14:paraId="5833B7BB" w14:textId="7C686AFE" w:rsidR="004520CE" w:rsidRPr="00F82840" w:rsidRDefault="004520CE" w:rsidP="00A508CB">
            <w:pPr>
              <w:jc w:val="center"/>
              <w:rPr>
                <w:sz w:val="20"/>
                <w:szCs w:val="20"/>
              </w:rPr>
            </w:pPr>
            <w:r>
              <w:rPr>
                <w:sz w:val="20"/>
                <w:szCs w:val="20"/>
              </w:rPr>
              <w:t>(</w:t>
            </w:r>
            <w:r w:rsidR="00CC54C1">
              <w:rPr>
                <w:sz w:val="20"/>
                <w:szCs w:val="20"/>
              </w:rPr>
              <w:t>523,693</w:t>
            </w:r>
            <w:r>
              <w:rPr>
                <w:sz w:val="20"/>
                <w:szCs w:val="20"/>
              </w:rPr>
              <w:t>)</w:t>
            </w:r>
          </w:p>
        </w:tc>
      </w:tr>
    </w:tbl>
    <w:p w14:paraId="52C674C8" w14:textId="77777777" w:rsidR="00A36F2F" w:rsidRDefault="00A36F2F" w:rsidP="00567379">
      <w:pPr>
        <w:rPr>
          <w:rFonts w:cs="Arial"/>
          <w:b/>
          <w:bCs/>
        </w:rPr>
      </w:pPr>
    </w:p>
    <w:p w14:paraId="0A84B5D6" w14:textId="77777777" w:rsidR="00F7114B" w:rsidRDefault="00F7114B" w:rsidP="00567379">
      <w:pPr>
        <w:rPr>
          <w:rFonts w:cs="Arial"/>
          <w:b/>
          <w:bCs/>
        </w:rPr>
      </w:pPr>
    </w:p>
    <w:p w14:paraId="4FB08E5B" w14:textId="77777777" w:rsidR="00EF4A8A" w:rsidRDefault="00EF4A8A" w:rsidP="00EF4A8A">
      <w:r>
        <w:t>The lease for the Alfred Street premises ends in March 2030 with a five-year break clause.</w:t>
      </w:r>
    </w:p>
    <w:p w14:paraId="4F5D99D7" w14:textId="77777777" w:rsidR="00EF4A8A" w:rsidRDefault="00EF4A8A" w:rsidP="00EF4A8A"/>
    <w:p w14:paraId="40C27B2C" w14:textId="48ED36D6" w:rsidR="00EF4A8A" w:rsidRDefault="00EF4A8A" w:rsidP="00EF4A8A">
      <w:r>
        <w:t>The lease for a photocopier at Alfred Street ends in February 2025.</w:t>
      </w:r>
    </w:p>
    <w:p w14:paraId="08B3D490" w14:textId="77777777" w:rsidR="00EF4A8A" w:rsidRDefault="00EF4A8A" w:rsidP="00EF4A8A"/>
    <w:p w14:paraId="068F8FD0" w14:textId="38156B69" w:rsidR="00EF4A8A" w:rsidRDefault="00EF4A8A" w:rsidP="00EF4A8A">
      <w:r>
        <w:t>IFRS16 was adopted on 1 April 2022 without restating prior year figures.  As a result, the financial statements are shown on an IFRS16 basis for 31 March 2023 and an IAS 17 basis for 31 March 2022.  Note 1.</w:t>
      </w:r>
      <w:r w:rsidR="003B6BEC">
        <w:t>3</w:t>
      </w:r>
      <w:r>
        <w:t xml:space="preserve"> provides a reconciliation of the two measures.</w:t>
      </w:r>
    </w:p>
    <w:p w14:paraId="6B896598" w14:textId="77777777" w:rsidR="00FD0AA4" w:rsidRDefault="00FD0AA4" w:rsidP="00567379">
      <w:pPr>
        <w:rPr>
          <w:rFonts w:cs="Arial"/>
          <w:b/>
          <w:bCs/>
        </w:rPr>
      </w:pPr>
    </w:p>
    <w:p w14:paraId="1259762C" w14:textId="77777777" w:rsidR="001E2AA0" w:rsidRDefault="001E2AA0" w:rsidP="00567379">
      <w:pPr>
        <w:rPr>
          <w:rFonts w:cs="Arial"/>
          <w:b/>
          <w:bCs/>
        </w:rPr>
      </w:pPr>
    </w:p>
    <w:p w14:paraId="4C67C7FF" w14:textId="77777777" w:rsidR="001E2AA0" w:rsidRDefault="001E2AA0" w:rsidP="00567379">
      <w:pPr>
        <w:rPr>
          <w:rFonts w:cs="Arial"/>
          <w:b/>
          <w:bCs/>
        </w:rPr>
      </w:pPr>
    </w:p>
    <w:p w14:paraId="259D470E" w14:textId="77777777" w:rsidR="001E2AA0" w:rsidRDefault="001E2AA0" w:rsidP="00567379">
      <w:pPr>
        <w:rPr>
          <w:rFonts w:cs="Arial"/>
          <w:b/>
          <w:bCs/>
        </w:rPr>
      </w:pPr>
    </w:p>
    <w:p w14:paraId="2178288C" w14:textId="77777777" w:rsidR="001E2AA0" w:rsidRDefault="001E2AA0" w:rsidP="00567379">
      <w:pPr>
        <w:rPr>
          <w:rFonts w:cs="Arial"/>
          <w:b/>
          <w:bCs/>
        </w:rPr>
      </w:pPr>
    </w:p>
    <w:p w14:paraId="12CA8628" w14:textId="3D8F8F94" w:rsidR="000C2A54" w:rsidRPr="00676064" w:rsidRDefault="002A5A05" w:rsidP="001E2AA0">
      <w:pPr>
        <w:rPr>
          <w:rFonts w:cs="Arial"/>
          <w:b/>
          <w:bCs/>
        </w:rPr>
      </w:pPr>
      <w:r>
        <w:rPr>
          <w:rFonts w:cs="Arial"/>
          <w:b/>
          <w:bCs/>
        </w:rPr>
        <w:lastRenderedPageBreak/>
        <w:t>8</w:t>
      </w:r>
      <w:r w:rsidR="000C2A54" w:rsidRPr="00676064">
        <w:rPr>
          <w:rFonts w:cs="Arial"/>
          <w:b/>
          <w:bCs/>
        </w:rPr>
        <w:t>.</w:t>
      </w:r>
      <w:r w:rsidR="000C2A54" w:rsidRPr="00676064">
        <w:rPr>
          <w:rFonts w:cs="Arial"/>
          <w:b/>
          <w:bCs/>
        </w:rPr>
        <w:tab/>
        <w:t>Intangible Assets</w:t>
      </w:r>
    </w:p>
    <w:tbl>
      <w:tblPr>
        <w:tblStyle w:val="TableGrid"/>
        <w:tblW w:w="850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9"/>
        <w:gridCol w:w="1820"/>
        <w:gridCol w:w="2055"/>
      </w:tblGrid>
      <w:tr w:rsidR="00A73CBF" w:rsidRPr="00676064" w14:paraId="4227AB26" w14:textId="77777777" w:rsidTr="00A73CBF">
        <w:tc>
          <w:tcPr>
            <w:tcW w:w="4629" w:type="dxa"/>
          </w:tcPr>
          <w:p w14:paraId="7E8954EA" w14:textId="77777777" w:rsidR="00A73CBF" w:rsidRPr="00676064" w:rsidRDefault="00A73CBF" w:rsidP="00A73CBF">
            <w:pPr>
              <w:widowControl w:val="0"/>
              <w:autoSpaceDE w:val="0"/>
              <w:autoSpaceDN w:val="0"/>
              <w:adjustRightInd w:val="0"/>
              <w:rPr>
                <w:rFonts w:cs="Arial"/>
                <w:b/>
                <w:bCs/>
              </w:rPr>
            </w:pPr>
          </w:p>
        </w:tc>
        <w:tc>
          <w:tcPr>
            <w:tcW w:w="1820" w:type="dxa"/>
          </w:tcPr>
          <w:p w14:paraId="758B9189" w14:textId="77777777" w:rsidR="00A73CBF" w:rsidRPr="003061F1" w:rsidRDefault="00A73CBF" w:rsidP="00A73CBF">
            <w:pPr>
              <w:widowControl w:val="0"/>
              <w:autoSpaceDE w:val="0"/>
              <w:autoSpaceDN w:val="0"/>
              <w:adjustRightInd w:val="0"/>
              <w:jc w:val="right"/>
              <w:rPr>
                <w:rFonts w:cs="Arial"/>
                <w:b/>
                <w:bCs/>
                <w:sz w:val="20"/>
                <w:szCs w:val="20"/>
              </w:rPr>
            </w:pPr>
            <w:r w:rsidRPr="003061F1">
              <w:rPr>
                <w:rFonts w:cs="Arial"/>
                <w:b/>
                <w:bCs/>
                <w:sz w:val="20"/>
                <w:szCs w:val="20"/>
              </w:rPr>
              <w:t>Software &amp; Licences</w:t>
            </w:r>
          </w:p>
          <w:p w14:paraId="065B30C8" w14:textId="4490FB5D" w:rsidR="00A73CBF" w:rsidRPr="003061F1" w:rsidRDefault="00567379" w:rsidP="00A73CBF">
            <w:pPr>
              <w:widowControl w:val="0"/>
              <w:autoSpaceDE w:val="0"/>
              <w:autoSpaceDN w:val="0"/>
              <w:adjustRightInd w:val="0"/>
              <w:jc w:val="right"/>
              <w:rPr>
                <w:rFonts w:cs="Arial"/>
                <w:b/>
                <w:bCs/>
                <w:sz w:val="20"/>
                <w:szCs w:val="20"/>
              </w:rPr>
            </w:pPr>
            <w:r>
              <w:rPr>
                <w:rFonts w:cs="Arial"/>
                <w:b/>
                <w:bCs/>
                <w:sz w:val="20"/>
                <w:szCs w:val="20"/>
              </w:rPr>
              <w:t>202</w:t>
            </w:r>
            <w:r w:rsidR="00A36F2F">
              <w:rPr>
                <w:rFonts w:cs="Arial"/>
                <w:b/>
                <w:bCs/>
                <w:sz w:val="20"/>
                <w:szCs w:val="20"/>
              </w:rPr>
              <w:t>2</w:t>
            </w:r>
            <w:r>
              <w:rPr>
                <w:rFonts w:cs="Arial"/>
                <w:b/>
                <w:bCs/>
                <w:sz w:val="20"/>
                <w:szCs w:val="20"/>
              </w:rPr>
              <w:t>-2</w:t>
            </w:r>
            <w:r w:rsidR="00A36F2F">
              <w:rPr>
                <w:rFonts w:cs="Arial"/>
                <w:b/>
                <w:bCs/>
                <w:sz w:val="20"/>
                <w:szCs w:val="20"/>
              </w:rPr>
              <w:t>3</w:t>
            </w:r>
          </w:p>
        </w:tc>
        <w:tc>
          <w:tcPr>
            <w:tcW w:w="2055" w:type="dxa"/>
          </w:tcPr>
          <w:p w14:paraId="736B0D71" w14:textId="77777777" w:rsidR="00A73CBF" w:rsidRPr="003061F1" w:rsidRDefault="00A73CBF" w:rsidP="00A73CBF">
            <w:pPr>
              <w:widowControl w:val="0"/>
              <w:autoSpaceDE w:val="0"/>
              <w:autoSpaceDN w:val="0"/>
              <w:adjustRightInd w:val="0"/>
              <w:jc w:val="right"/>
              <w:rPr>
                <w:rFonts w:cs="Arial"/>
                <w:b/>
                <w:bCs/>
                <w:sz w:val="20"/>
                <w:szCs w:val="20"/>
              </w:rPr>
            </w:pPr>
            <w:r w:rsidRPr="003061F1">
              <w:rPr>
                <w:rFonts w:cs="Arial"/>
                <w:b/>
                <w:bCs/>
                <w:sz w:val="20"/>
                <w:szCs w:val="20"/>
              </w:rPr>
              <w:t>Software &amp; Licences</w:t>
            </w:r>
          </w:p>
          <w:p w14:paraId="6CEFAF5E" w14:textId="474C2137" w:rsidR="00A73CBF" w:rsidRPr="003061F1" w:rsidRDefault="00567379" w:rsidP="00A73CBF">
            <w:pPr>
              <w:widowControl w:val="0"/>
              <w:autoSpaceDE w:val="0"/>
              <w:autoSpaceDN w:val="0"/>
              <w:adjustRightInd w:val="0"/>
              <w:jc w:val="right"/>
              <w:rPr>
                <w:rFonts w:cs="Arial"/>
                <w:b/>
                <w:bCs/>
                <w:sz w:val="20"/>
                <w:szCs w:val="20"/>
              </w:rPr>
            </w:pPr>
            <w:r>
              <w:rPr>
                <w:rFonts w:cs="Arial"/>
                <w:b/>
                <w:bCs/>
                <w:sz w:val="20"/>
                <w:szCs w:val="20"/>
              </w:rPr>
              <w:t>202</w:t>
            </w:r>
            <w:r w:rsidR="00A36F2F">
              <w:rPr>
                <w:rFonts w:cs="Arial"/>
                <w:b/>
                <w:bCs/>
                <w:sz w:val="20"/>
                <w:szCs w:val="20"/>
              </w:rPr>
              <w:t>1</w:t>
            </w:r>
            <w:r>
              <w:rPr>
                <w:rFonts w:cs="Arial"/>
                <w:b/>
                <w:bCs/>
                <w:sz w:val="20"/>
                <w:szCs w:val="20"/>
              </w:rPr>
              <w:t>-2</w:t>
            </w:r>
            <w:r w:rsidR="00A36F2F">
              <w:rPr>
                <w:rFonts w:cs="Arial"/>
                <w:b/>
                <w:bCs/>
                <w:sz w:val="20"/>
                <w:szCs w:val="20"/>
              </w:rPr>
              <w:t>2</w:t>
            </w:r>
          </w:p>
        </w:tc>
      </w:tr>
      <w:tr w:rsidR="00A73CBF" w:rsidRPr="00676064" w14:paraId="0279483D" w14:textId="77777777" w:rsidTr="00A73CBF">
        <w:tc>
          <w:tcPr>
            <w:tcW w:w="4629" w:type="dxa"/>
          </w:tcPr>
          <w:p w14:paraId="06DDB058" w14:textId="77777777" w:rsidR="00A73CBF" w:rsidRPr="003061F1" w:rsidRDefault="00A73CBF" w:rsidP="00A73CBF">
            <w:pPr>
              <w:widowControl w:val="0"/>
              <w:autoSpaceDE w:val="0"/>
              <w:autoSpaceDN w:val="0"/>
              <w:adjustRightInd w:val="0"/>
              <w:rPr>
                <w:rFonts w:cs="Arial"/>
                <w:b/>
                <w:bCs/>
                <w:sz w:val="20"/>
                <w:szCs w:val="20"/>
              </w:rPr>
            </w:pPr>
            <w:r w:rsidRPr="003061F1">
              <w:rPr>
                <w:rFonts w:cs="Arial"/>
                <w:b/>
                <w:bCs/>
                <w:sz w:val="20"/>
                <w:szCs w:val="20"/>
              </w:rPr>
              <w:t>Cost or valuation</w:t>
            </w:r>
          </w:p>
        </w:tc>
        <w:tc>
          <w:tcPr>
            <w:tcW w:w="1820" w:type="dxa"/>
          </w:tcPr>
          <w:p w14:paraId="01C2C3CA" w14:textId="77777777" w:rsidR="00A73CBF" w:rsidRPr="003061F1" w:rsidRDefault="00A73CBF" w:rsidP="00A73CBF">
            <w:pPr>
              <w:widowControl w:val="0"/>
              <w:autoSpaceDE w:val="0"/>
              <w:autoSpaceDN w:val="0"/>
              <w:adjustRightInd w:val="0"/>
              <w:jc w:val="right"/>
              <w:rPr>
                <w:rFonts w:cs="Arial"/>
                <w:b/>
                <w:bCs/>
                <w:sz w:val="20"/>
                <w:szCs w:val="20"/>
              </w:rPr>
            </w:pPr>
            <w:r w:rsidRPr="003061F1">
              <w:rPr>
                <w:rFonts w:cs="Arial"/>
                <w:b/>
                <w:bCs/>
                <w:sz w:val="20"/>
                <w:szCs w:val="20"/>
              </w:rPr>
              <w:t>£</w:t>
            </w:r>
          </w:p>
        </w:tc>
        <w:tc>
          <w:tcPr>
            <w:tcW w:w="2055" w:type="dxa"/>
          </w:tcPr>
          <w:p w14:paraId="27DDC91E" w14:textId="77777777" w:rsidR="00A73CBF" w:rsidRPr="003061F1" w:rsidRDefault="00A73CBF" w:rsidP="00A73CBF">
            <w:pPr>
              <w:widowControl w:val="0"/>
              <w:autoSpaceDE w:val="0"/>
              <w:autoSpaceDN w:val="0"/>
              <w:adjustRightInd w:val="0"/>
              <w:jc w:val="right"/>
              <w:rPr>
                <w:rFonts w:cs="Arial"/>
                <w:b/>
                <w:bCs/>
                <w:sz w:val="20"/>
                <w:szCs w:val="20"/>
              </w:rPr>
            </w:pPr>
            <w:r w:rsidRPr="003061F1">
              <w:rPr>
                <w:rFonts w:cs="Arial"/>
                <w:b/>
                <w:bCs/>
                <w:sz w:val="20"/>
                <w:szCs w:val="20"/>
              </w:rPr>
              <w:t>£</w:t>
            </w:r>
          </w:p>
        </w:tc>
      </w:tr>
      <w:tr w:rsidR="00A73CBF" w:rsidRPr="00676064" w14:paraId="51E5E6A3" w14:textId="77777777" w:rsidTr="00A73CBF">
        <w:tc>
          <w:tcPr>
            <w:tcW w:w="4629" w:type="dxa"/>
          </w:tcPr>
          <w:p w14:paraId="01D50975" w14:textId="0ED59DD7" w:rsidR="00A73CBF" w:rsidRPr="003061F1" w:rsidRDefault="00A73CBF" w:rsidP="00A73CBF">
            <w:pPr>
              <w:widowControl w:val="0"/>
              <w:autoSpaceDE w:val="0"/>
              <w:autoSpaceDN w:val="0"/>
              <w:adjustRightInd w:val="0"/>
              <w:rPr>
                <w:rFonts w:cs="Arial"/>
                <w:bCs/>
                <w:sz w:val="20"/>
                <w:szCs w:val="20"/>
              </w:rPr>
            </w:pPr>
            <w:r w:rsidRPr="003061F1">
              <w:rPr>
                <w:rFonts w:cs="Arial"/>
                <w:bCs/>
                <w:sz w:val="20"/>
                <w:szCs w:val="20"/>
              </w:rPr>
              <w:t>at 1 April</w:t>
            </w:r>
            <w:r w:rsidR="00A36F2F">
              <w:rPr>
                <w:rFonts w:cs="Arial"/>
                <w:bCs/>
                <w:sz w:val="20"/>
                <w:szCs w:val="20"/>
              </w:rPr>
              <w:t xml:space="preserve"> </w:t>
            </w:r>
          </w:p>
        </w:tc>
        <w:tc>
          <w:tcPr>
            <w:tcW w:w="1820" w:type="dxa"/>
          </w:tcPr>
          <w:p w14:paraId="64D870F2" w14:textId="77777777" w:rsidR="00DD02ED" w:rsidRPr="003061F1" w:rsidRDefault="00144D0C" w:rsidP="007B1A0B">
            <w:pPr>
              <w:widowControl w:val="0"/>
              <w:autoSpaceDE w:val="0"/>
              <w:autoSpaceDN w:val="0"/>
              <w:adjustRightInd w:val="0"/>
              <w:jc w:val="right"/>
              <w:rPr>
                <w:rFonts w:cs="Arial"/>
                <w:bCs/>
                <w:sz w:val="20"/>
                <w:szCs w:val="20"/>
              </w:rPr>
            </w:pPr>
            <w:r>
              <w:rPr>
                <w:rFonts w:cs="Arial"/>
                <w:bCs/>
                <w:sz w:val="20"/>
                <w:szCs w:val="20"/>
              </w:rPr>
              <w:t xml:space="preserve">        </w:t>
            </w:r>
            <w:r w:rsidR="00963912">
              <w:rPr>
                <w:rFonts w:cs="Arial"/>
                <w:bCs/>
                <w:sz w:val="20"/>
                <w:szCs w:val="20"/>
              </w:rPr>
              <w:t>44,103</w:t>
            </w:r>
            <w:r>
              <w:rPr>
                <w:rFonts w:cs="Arial"/>
                <w:bCs/>
                <w:sz w:val="20"/>
                <w:szCs w:val="20"/>
              </w:rPr>
              <w:t xml:space="preserve"> </w:t>
            </w:r>
          </w:p>
        </w:tc>
        <w:tc>
          <w:tcPr>
            <w:tcW w:w="2055" w:type="dxa"/>
          </w:tcPr>
          <w:p w14:paraId="5E71E187" w14:textId="40BD734C" w:rsidR="00A73CBF" w:rsidRPr="003061F1" w:rsidRDefault="00567379" w:rsidP="00A73CBF">
            <w:pPr>
              <w:widowControl w:val="0"/>
              <w:autoSpaceDE w:val="0"/>
              <w:autoSpaceDN w:val="0"/>
              <w:adjustRightInd w:val="0"/>
              <w:jc w:val="right"/>
              <w:rPr>
                <w:rFonts w:cs="Arial"/>
                <w:bCs/>
                <w:sz w:val="20"/>
                <w:szCs w:val="20"/>
              </w:rPr>
            </w:pPr>
            <w:r>
              <w:rPr>
                <w:rFonts w:cs="Arial"/>
                <w:bCs/>
                <w:sz w:val="20"/>
                <w:szCs w:val="20"/>
              </w:rPr>
              <w:t>44</w:t>
            </w:r>
            <w:r w:rsidR="00A36F2F">
              <w:rPr>
                <w:rFonts w:cs="Arial"/>
                <w:bCs/>
                <w:sz w:val="20"/>
                <w:szCs w:val="20"/>
              </w:rPr>
              <w:t>,</w:t>
            </w:r>
            <w:r>
              <w:rPr>
                <w:rFonts w:cs="Arial"/>
                <w:bCs/>
                <w:sz w:val="20"/>
                <w:szCs w:val="20"/>
              </w:rPr>
              <w:t>103</w:t>
            </w:r>
          </w:p>
        </w:tc>
      </w:tr>
      <w:tr w:rsidR="00A73CBF" w:rsidRPr="00676064" w14:paraId="7DB55F28" w14:textId="77777777" w:rsidTr="00A73CBF">
        <w:tc>
          <w:tcPr>
            <w:tcW w:w="4629" w:type="dxa"/>
          </w:tcPr>
          <w:p w14:paraId="7BCDD8F2" w14:textId="77777777" w:rsidR="00A73CBF" w:rsidRPr="003061F1" w:rsidRDefault="00A73CBF" w:rsidP="00A73CBF">
            <w:pPr>
              <w:widowControl w:val="0"/>
              <w:autoSpaceDE w:val="0"/>
              <w:autoSpaceDN w:val="0"/>
              <w:adjustRightInd w:val="0"/>
              <w:rPr>
                <w:rFonts w:cs="Arial"/>
                <w:bCs/>
                <w:sz w:val="20"/>
                <w:szCs w:val="20"/>
              </w:rPr>
            </w:pPr>
            <w:r w:rsidRPr="003061F1">
              <w:rPr>
                <w:rFonts w:cs="Arial"/>
                <w:bCs/>
                <w:sz w:val="20"/>
                <w:szCs w:val="20"/>
              </w:rPr>
              <w:t>Additions</w:t>
            </w:r>
          </w:p>
        </w:tc>
        <w:tc>
          <w:tcPr>
            <w:tcW w:w="1820" w:type="dxa"/>
          </w:tcPr>
          <w:p w14:paraId="2308C509" w14:textId="77777777" w:rsidR="00A73CBF" w:rsidRPr="003061F1" w:rsidRDefault="007B1A0B" w:rsidP="00A73CBF">
            <w:pPr>
              <w:widowControl w:val="0"/>
              <w:autoSpaceDE w:val="0"/>
              <w:autoSpaceDN w:val="0"/>
              <w:adjustRightInd w:val="0"/>
              <w:jc w:val="right"/>
              <w:rPr>
                <w:rFonts w:cs="Arial"/>
                <w:bCs/>
                <w:sz w:val="20"/>
                <w:szCs w:val="20"/>
              </w:rPr>
            </w:pPr>
            <w:r>
              <w:rPr>
                <w:rFonts w:cs="Arial"/>
                <w:bCs/>
                <w:sz w:val="20"/>
                <w:szCs w:val="20"/>
              </w:rPr>
              <w:t>0</w:t>
            </w:r>
          </w:p>
        </w:tc>
        <w:tc>
          <w:tcPr>
            <w:tcW w:w="2055" w:type="dxa"/>
          </w:tcPr>
          <w:p w14:paraId="227BAD55" w14:textId="77777777" w:rsidR="00A73CBF" w:rsidRPr="003061F1" w:rsidRDefault="00567379" w:rsidP="00A73CBF">
            <w:pPr>
              <w:widowControl w:val="0"/>
              <w:autoSpaceDE w:val="0"/>
              <w:autoSpaceDN w:val="0"/>
              <w:adjustRightInd w:val="0"/>
              <w:jc w:val="right"/>
              <w:rPr>
                <w:rFonts w:cs="Arial"/>
                <w:bCs/>
                <w:sz w:val="20"/>
                <w:szCs w:val="20"/>
              </w:rPr>
            </w:pPr>
            <w:r>
              <w:rPr>
                <w:rFonts w:cs="Arial"/>
                <w:bCs/>
                <w:sz w:val="20"/>
                <w:szCs w:val="20"/>
              </w:rPr>
              <w:t>0</w:t>
            </w:r>
          </w:p>
        </w:tc>
      </w:tr>
      <w:tr w:rsidR="00A36F2F" w:rsidRPr="00676064" w14:paraId="147DD590" w14:textId="77777777" w:rsidTr="00A73CBF">
        <w:tc>
          <w:tcPr>
            <w:tcW w:w="4629" w:type="dxa"/>
          </w:tcPr>
          <w:p w14:paraId="4CCCD253" w14:textId="50E57AD7" w:rsidR="00A36F2F" w:rsidRPr="003061F1" w:rsidRDefault="00A36F2F" w:rsidP="00A73CBF">
            <w:pPr>
              <w:widowControl w:val="0"/>
              <w:autoSpaceDE w:val="0"/>
              <w:autoSpaceDN w:val="0"/>
              <w:adjustRightInd w:val="0"/>
              <w:rPr>
                <w:rFonts w:cs="Arial"/>
                <w:bCs/>
                <w:sz w:val="20"/>
                <w:szCs w:val="20"/>
              </w:rPr>
            </w:pPr>
            <w:r>
              <w:rPr>
                <w:rFonts w:cs="Arial"/>
                <w:bCs/>
                <w:sz w:val="20"/>
                <w:szCs w:val="20"/>
              </w:rPr>
              <w:t>Disposals</w:t>
            </w:r>
          </w:p>
        </w:tc>
        <w:tc>
          <w:tcPr>
            <w:tcW w:w="1820" w:type="dxa"/>
          </w:tcPr>
          <w:p w14:paraId="68AD9EC7" w14:textId="48F54B4A" w:rsidR="00A36F2F" w:rsidRDefault="00A36F2F" w:rsidP="00A73CBF">
            <w:pPr>
              <w:widowControl w:val="0"/>
              <w:autoSpaceDE w:val="0"/>
              <w:autoSpaceDN w:val="0"/>
              <w:adjustRightInd w:val="0"/>
              <w:jc w:val="right"/>
              <w:rPr>
                <w:rFonts w:cs="Arial"/>
                <w:bCs/>
                <w:sz w:val="20"/>
                <w:szCs w:val="20"/>
              </w:rPr>
            </w:pPr>
            <w:r>
              <w:rPr>
                <w:rFonts w:cs="Arial"/>
                <w:bCs/>
                <w:sz w:val="20"/>
                <w:szCs w:val="20"/>
              </w:rPr>
              <w:t>(10,525)</w:t>
            </w:r>
          </w:p>
        </w:tc>
        <w:tc>
          <w:tcPr>
            <w:tcW w:w="2055" w:type="dxa"/>
          </w:tcPr>
          <w:p w14:paraId="67B13652" w14:textId="4DE7A9B4" w:rsidR="00A36F2F" w:rsidRDefault="00A36F2F" w:rsidP="00A73CBF">
            <w:pPr>
              <w:widowControl w:val="0"/>
              <w:autoSpaceDE w:val="0"/>
              <w:autoSpaceDN w:val="0"/>
              <w:adjustRightInd w:val="0"/>
              <w:jc w:val="right"/>
              <w:rPr>
                <w:rFonts w:cs="Arial"/>
                <w:bCs/>
                <w:sz w:val="20"/>
                <w:szCs w:val="20"/>
              </w:rPr>
            </w:pPr>
            <w:r>
              <w:rPr>
                <w:rFonts w:cs="Arial"/>
                <w:bCs/>
                <w:sz w:val="20"/>
                <w:szCs w:val="20"/>
              </w:rPr>
              <w:t>0</w:t>
            </w:r>
          </w:p>
        </w:tc>
      </w:tr>
      <w:tr w:rsidR="00A73CBF" w:rsidRPr="00676064" w14:paraId="09D40943" w14:textId="77777777" w:rsidTr="00A73CBF">
        <w:tc>
          <w:tcPr>
            <w:tcW w:w="4629" w:type="dxa"/>
          </w:tcPr>
          <w:p w14:paraId="32107419" w14:textId="5959663B" w:rsidR="00A73CBF" w:rsidRPr="003061F1" w:rsidRDefault="00A73CBF" w:rsidP="00A73CBF">
            <w:pPr>
              <w:widowControl w:val="0"/>
              <w:autoSpaceDE w:val="0"/>
              <w:autoSpaceDN w:val="0"/>
              <w:adjustRightInd w:val="0"/>
              <w:rPr>
                <w:rFonts w:cs="Arial"/>
                <w:bCs/>
                <w:sz w:val="20"/>
                <w:szCs w:val="20"/>
              </w:rPr>
            </w:pPr>
            <w:r w:rsidRPr="003061F1">
              <w:rPr>
                <w:rFonts w:cs="Arial"/>
                <w:bCs/>
                <w:sz w:val="20"/>
                <w:szCs w:val="20"/>
              </w:rPr>
              <w:t>at 31 March</w:t>
            </w:r>
            <w:r w:rsidR="00A36F2F">
              <w:rPr>
                <w:rFonts w:cs="Arial"/>
                <w:bCs/>
                <w:sz w:val="20"/>
                <w:szCs w:val="20"/>
              </w:rPr>
              <w:t xml:space="preserve"> </w:t>
            </w:r>
          </w:p>
        </w:tc>
        <w:tc>
          <w:tcPr>
            <w:tcW w:w="1820" w:type="dxa"/>
            <w:tcBorders>
              <w:top w:val="single" w:sz="4" w:space="0" w:color="auto"/>
              <w:bottom w:val="single" w:sz="4" w:space="0" w:color="auto"/>
            </w:tcBorders>
          </w:tcPr>
          <w:p w14:paraId="3C42B295" w14:textId="227DC47D" w:rsidR="00BF0DCC" w:rsidRPr="003061F1" w:rsidRDefault="00A36F2F" w:rsidP="007B1A0B">
            <w:pPr>
              <w:widowControl w:val="0"/>
              <w:autoSpaceDE w:val="0"/>
              <w:autoSpaceDN w:val="0"/>
              <w:adjustRightInd w:val="0"/>
              <w:jc w:val="right"/>
              <w:rPr>
                <w:rFonts w:cs="Arial"/>
                <w:bCs/>
                <w:sz w:val="20"/>
                <w:szCs w:val="20"/>
              </w:rPr>
            </w:pPr>
            <w:r>
              <w:rPr>
                <w:rFonts w:cs="Arial"/>
                <w:bCs/>
                <w:sz w:val="20"/>
                <w:szCs w:val="20"/>
              </w:rPr>
              <w:t>33,578</w:t>
            </w:r>
          </w:p>
        </w:tc>
        <w:tc>
          <w:tcPr>
            <w:tcW w:w="2055" w:type="dxa"/>
            <w:tcBorders>
              <w:top w:val="single" w:sz="4" w:space="0" w:color="auto"/>
              <w:bottom w:val="single" w:sz="4" w:space="0" w:color="auto"/>
            </w:tcBorders>
          </w:tcPr>
          <w:p w14:paraId="65C9CD40" w14:textId="77777777" w:rsidR="00A73CBF" w:rsidRPr="003061F1" w:rsidRDefault="00642BF8" w:rsidP="00A73CBF">
            <w:pPr>
              <w:widowControl w:val="0"/>
              <w:autoSpaceDE w:val="0"/>
              <w:autoSpaceDN w:val="0"/>
              <w:adjustRightInd w:val="0"/>
              <w:jc w:val="right"/>
              <w:rPr>
                <w:rFonts w:cs="Arial"/>
                <w:bCs/>
                <w:sz w:val="20"/>
                <w:szCs w:val="20"/>
              </w:rPr>
            </w:pPr>
            <w:r>
              <w:rPr>
                <w:rFonts w:cs="Arial"/>
                <w:bCs/>
                <w:sz w:val="20"/>
                <w:szCs w:val="20"/>
              </w:rPr>
              <w:t>44,103</w:t>
            </w:r>
          </w:p>
        </w:tc>
      </w:tr>
      <w:tr w:rsidR="00A73CBF" w:rsidRPr="00676064" w14:paraId="2543A5FB" w14:textId="77777777" w:rsidTr="00A73CBF">
        <w:tc>
          <w:tcPr>
            <w:tcW w:w="4629" w:type="dxa"/>
          </w:tcPr>
          <w:p w14:paraId="2674103B" w14:textId="77777777" w:rsidR="00A73CBF" w:rsidRPr="003061F1" w:rsidRDefault="00A73CBF" w:rsidP="00A73CBF">
            <w:pPr>
              <w:widowControl w:val="0"/>
              <w:autoSpaceDE w:val="0"/>
              <w:autoSpaceDN w:val="0"/>
              <w:adjustRightInd w:val="0"/>
              <w:rPr>
                <w:rFonts w:cs="Arial"/>
                <w:bCs/>
                <w:sz w:val="20"/>
                <w:szCs w:val="20"/>
              </w:rPr>
            </w:pPr>
          </w:p>
        </w:tc>
        <w:tc>
          <w:tcPr>
            <w:tcW w:w="1820" w:type="dxa"/>
            <w:tcBorders>
              <w:top w:val="single" w:sz="4" w:space="0" w:color="auto"/>
            </w:tcBorders>
          </w:tcPr>
          <w:p w14:paraId="4D9F6673" w14:textId="77777777" w:rsidR="00A73CBF" w:rsidRPr="003061F1" w:rsidRDefault="00A73CBF" w:rsidP="00A73CBF">
            <w:pPr>
              <w:widowControl w:val="0"/>
              <w:autoSpaceDE w:val="0"/>
              <w:autoSpaceDN w:val="0"/>
              <w:adjustRightInd w:val="0"/>
              <w:jc w:val="right"/>
              <w:rPr>
                <w:rFonts w:cs="Arial"/>
                <w:bCs/>
                <w:sz w:val="20"/>
                <w:szCs w:val="20"/>
              </w:rPr>
            </w:pPr>
          </w:p>
        </w:tc>
        <w:tc>
          <w:tcPr>
            <w:tcW w:w="2055" w:type="dxa"/>
            <w:tcBorders>
              <w:top w:val="single" w:sz="4" w:space="0" w:color="auto"/>
            </w:tcBorders>
          </w:tcPr>
          <w:p w14:paraId="772A1A66" w14:textId="77777777" w:rsidR="00A73CBF" w:rsidRPr="003061F1" w:rsidRDefault="00A73CBF" w:rsidP="00A73CBF">
            <w:pPr>
              <w:widowControl w:val="0"/>
              <w:autoSpaceDE w:val="0"/>
              <w:autoSpaceDN w:val="0"/>
              <w:adjustRightInd w:val="0"/>
              <w:jc w:val="right"/>
              <w:rPr>
                <w:rFonts w:cs="Arial"/>
                <w:bCs/>
                <w:sz w:val="20"/>
                <w:szCs w:val="20"/>
              </w:rPr>
            </w:pPr>
          </w:p>
        </w:tc>
      </w:tr>
      <w:tr w:rsidR="00A73CBF" w:rsidRPr="00676064" w14:paraId="2F1520FD" w14:textId="77777777" w:rsidTr="00A73CBF">
        <w:tc>
          <w:tcPr>
            <w:tcW w:w="4629" w:type="dxa"/>
          </w:tcPr>
          <w:p w14:paraId="2F434974" w14:textId="77777777" w:rsidR="00A73CBF" w:rsidRPr="003061F1" w:rsidRDefault="00A73CBF" w:rsidP="00A73CBF">
            <w:pPr>
              <w:widowControl w:val="0"/>
              <w:autoSpaceDE w:val="0"/>
              <w:autoSpaceDN w:val="0"/>
              <w:adjustRightInd w:val="0"/>
              <w:rPr>
                <w:rFonts w:cs="Arial"/>
                <w:b/>
                <w:bCs/>
                <w:sz w:val="20"/>
                <w:szCs w:val="20"/>
              </w:rPr>
            </w:pPr>
            <w:r w:rsidRPr="003061F1">
              <w:rPr>
                <w:rFonts w:cs="Arial"/>
                <w:b/>
                <w:bCs/>
                <w:sz w:val="20"/>
                <w:szCs w:val="20"/>
              </w:rPr>
              <w:t>Amortisation</w:t>
            </w:r>
          </w:p>
        </w:tc>
        <w:tc>
          <w:tcPr>
            <w:tcW w:w="1820" w:type="dxa"/>
          </w:tcPr>
          <w:p w14:paraId="4365B49E" w14:textId="77777777" w:rsidR="00A73CBF" w:rsidRPr="003061F1" w:rsidRDefault="00A73CBF" w:rsidP="00A73CBF">
            <w:pPr>
              <w:widowControl w:val="0"/>
              <w:autoSpaceDE w:val="0"/>
              <w:autoSpaceDN w:val="0"/>
              <w:adjustRightInd w:val="0"/>
              <w:jc w:val="right"/>
              <w:rPr>
                <w:rFonts w:cs="Arial"/>
                <w:b/>
                <w:bCs/>
                <w:sz w:val="20"/>
                <w:szCs w:val="20"/>
              </w:rPr>
            </w:pPr>
          </w:p>
        </w:tc>
        <w:tc>
          <w:tcPr>
            <w:tcW w:w="2055" w:type="dxa"/>
          </w:tcPr>
          <w:p w14:paraId="2FCEE432" w14:textId="77777777" w:rsidR="00A73CBF" w:rsidRPr="003061F1" w:rsidRDefault="00A73CBF" w:rsidP="00A73CBF">
            <w:pPr>
              <w:widowControl w:val="0"/>
              <w:autoSpaceDE w:val="0"/>
              <w:autoSpaceDN w:val="0"/>
              <w:adjustRightInd w:val="0"/>
              <w:jc w:val="right"/>
              <w:rPr>
                <w:rFonts w:cs="Arial"/>
                <w:bCs/>
                <w:sz w:val="20"/>
                <w:szCs w:val="20"/>
              </w:rPr>
            </w:pPr>
          </w:p>
        </w:tc>
      </w:tr>
      <w:tr w:rsidR="00A73CBF" w:rsidRPr="00676064" w14:paraId="5F95F758" w14:textId="77777777" w:rsidTr="00A73CBF">
        <w:tc>
          <w:tcPr>
            <w:tcW w:w="4629" w:type="dxa"/>
          </w:tcPr>
          <w:p w14:paraId="589F670B" w14:textId="71A3DFF2" w:rsidR="00A73CBF" w:rsidRPr="003061F1" w:rsidRDefault="00A73CBF" w:rsidP="00A73CBF">
            <w:pPr>
              <w:widowControl w:val="0"/>
              <w:autoSpaceDE w:val="0"/>
              <w:autoSpaceDN w:val="0"/>
              <w:adjustRightInd w:val="0"/>
              <w:rPr>
                <w:rFonts w:cs="Arial"/>
                <w:bCs/>
                <w:sz w:val="20"/>
                <w:szCs w:val="20"/>
              </w:rPr>
            </w:pPr>
            <w:r w:rsidRPr="003061F1">
              <w:rPr>
                <w:rFonts w:cs="Arial"/>
                <w:bCs/>
                <w:sz w:val="20"/>
                <w:szCs w:val="20"/>
              </w:rPr>
              <w:t>at 1 April</w:t>
            </w:r>
            <w:r w:rsidR="00A36F2F">
              <w:rPr>
                <w:rFonts w:cs="Arial"/>
                <w:bCs/>
                <w:sz w:val="20"/>
                <w:szCs w:val="20"/>
              </w:rPr>
              <w:t xml:space="preserve"> </w:t>
            </w:r>
          </w:p>
        </w:tc>
        <w:tc>
          <w:tcPr>
            <w:tcW w:w="1820" w:type="dxa"/>
          </w:tcPr>
          <w:p w14:paraId="764108BA" w14:textId="7293BF98" w:rsidR="00A73CBF" w:rsidRPr="003061F1" w:rsidRDefault="00A36F2F" w:rsidP="007B1A0B">
            <w:pPr>
              <w:widowControl w:val="0"/>
              <w:autoSpaceDE w:val="0"/>
              <w:autoSpaceDN w:val="0"/>
              <w:adjustRightInd w:val="0"/>
              <w:jc w:val="right"/>
              <w:rPr>
                <w:rFonts w:cs="Arial"/>
                <w:bCs/>
                <w:sz w:val="20"/>
                <w:szCs w:val="20"/>
              </w:rPr>
            </w:pPr>
            <w:r>
              <w:rPr>
                <w:rFonts w:cs="Arial"/>
                <w:bCs/>
                <w:sz w:val="20"/>
                <w:szCs w:val="20"/>
              </w:rPr>
              <w:t>40,881</w:t>
            </w:r>
          </w:p>
        </w:tc>
        <w:tc>
          <w:tcPr>
            <w:tcW w:w="2055" w:type="dxa"/>
          </w:tcPr>
          <w:p w14:paraId="37F8D1D0" w14:textId="2B66244C" w:rsidR="00A73CBF" w:rsidRPr="003061F1" w:rsidRDefault="002A5A05" w:rsidP="00A73CBF">
            <w:pPr>
              <w:widowControl w:val="0"/>
              <w:autoSpaceDE w:val="0"/>
              <w:autoSpaceDN w:val="0"/>
              <w:adjustRightInd w:val="0"/>
              <w:jc w:val="right"/>
              <w:rPr>
                <w:rFonts w:cs="Arial"/>
                <w:bCs/>
                <w:sz w:val="20"/>
                <w:szCs w:val="20"/>
              </w:rPr>
            </w:pPr>
            <w:r>
              <w:rPr>
                <w:rFonts w:cs="Arial"/>
                <w:bCs/>
                <w:sz w:val="20"/>
                <w:szCs w:val="20"/>
              </w:rPr>
              <w:t>36,798</w:t>
            </w:r>
          </w:p>
        </w:tc>
      </w:tr>
      <w:tr w:rsidR="00A73CBF" w:rsidRPr="00676064" w14:paraId="5C1E2C24" w14:textId="77777777" w:rsidTr="00A73CBF">
        <w:tc>
          <w:tcPr>
            <w:tcW w:w="4629" w:type="dxa"/>
          </w:tcPr>
          <w:p w14:paraId="173EE28F" w14:textId="77777777" w:rsidR="00A73CBF" w:rsidRPr="003061F1" w:rsidRDefault="00A73CBF" w:rsidP="00A73CBF">
            <w:pPr>
              <w:widowControl w:val="0"/>
              <w:autoSpaceDE w:val="0"/>
              <w:autoSpaceDN w:val="0"/>
              <w:adjustRightInd w:val="0"/>
              <w:rPr>
                <w:rFonts w:cs="Arial"/>
                <w:bCs/>
                <w:sz w:val="20"/>
                <w:szCs w:val="20"/>
              </w:rPr>
            </w:pPr>
            <w:r w:rsidRPr="003061F1">
              <w:rPr>
                <w:rFonts w:cs="Arial"/>
                <w:bCs/>
                <w:sz w:val="20"/>
                <w:szCs w:val="20"/>
              </w:rPr>
              <w:t>Charged in year</w:t>
            </w:r>
          </w:p>
        </w:tc>
        <w:tc>
          <w:tcPr>
            <w:tcW w:w="1820" w:type="dxa"/>
          </w:tcPr>
          <w:p w14:paraId="62863787" w14:textId="4557C75F" w:rsidR="00A73CBF" w:rsidRPr="003061F1" w:rsidRDefault="00A36F2F" w:rsidP="007B1A0B">
            <w:pPr>
              <w:widowControl w:val="0"/>
              <w:autoSpaceDE w:val="0"/>
              <w:autoSpaceDN w:val="0"/>
              <w:adjustRightInd w:val="0"/>
              <w:jc w:val="right"/>
              <w:rPr>
                <w:rFonts w:cs="Arial"/>
                <w:bCs/>
                <w:sz w:val="20"/>
                <w:szCs w:val="20"/>
              </w:rPr>
            </w:pPr>
            <w:r>
              <w:rPr>
                <w:rFonts w:cs="Arial"/>
                <w:bCs/>
                <w:sz w:val="20"/>
                <w:szCs w:val="20"/>
              </w:rPr>
              <w:t>2,427</w:t>
            </w:r>
          </w:p>
        </w:tc>
        <w:tc>
          <w:tcPr>
            <w:tcW w:w="2055" w:type="dxa"/>
          </w:tcPr>
          <w:p w14:paraId="520D1CFE" w14:textId="4E0D6036" w:rsidR="00A73CBF" w:rsidRPr="003061F1" w:rsidRDefault="002A5A05" w:rsidP="00A73CBF">
            <w:pPr>
              <w:widowControl w:val="0"/>
              <w:autoSpaceDE w:val="0"/>
              <w:autoSpaceDN w:val="0"/>
              <w:adjustRightInd w:val="0"/>
              <w:jc w:val="right"/>
              <w:rPr>
                <w:rFonts w:cs="Arial"/>
                <w:bCs/>
                <w:sz w:val="20"/>
                <w:szCs w:val="20"/>
              </w:rPr>
            </w:pPr>
            <w:r>
              <w:rPr>
                <w:rFonts w:cs="Arial"/>
                <w:bCs/>
                <w:sz w:val="20"/>
                <w:szCs w:val="20"/>
              </w:rPr>
              <w:t>4,083</w:t>
            </w:r>
          </w:p>
        </w:tc>
      </w:tr>
      <w:tr w:rsidR="00A36F2F" w:rsidRPr="00676064" w14:paraId="7458F9F1" w14:textId="77777777" w:rsidTr="00A73CBF">
        <w:tc>
          <w:tcPr>
            <w:tcW w:w="4629" w:type="dxa"/>
          </w:tcPr>
          <w:p w14:paraId="4CC7B73E" w14:textId="0BFB4DBF" w:rsidR="00A36F2F" w:rsidRPr="003061F1" w:rsidRDefault="00A36F2F" w:rsidP="00A73CBF">
            <w:pPr>
              <w:widowControl w:val="0"/>
              <w:autoSpaceDE w:val="0"/>
              <w:autoSpaceDN w:val="0"/>
              <w:adjustRightInd w:val="0"/>
              <w:rPr>
                <w:rFonts w:cs="Arial"/>
                <w:bCs/>
                <w:sz w:val="20"/>
                <w:szCs w:val="20"/>
              </w:rPr>
            </w:pPr>
            <w:r>
              <w:rPr>
                <w:rFonts w:cs="Arial"/>
                <w:bCs/>
                <w:sz w:val="20"/>
                <w:szCs w:val="20"/>
              </w:rPr>
              <w:t>Disposals</w:t>
            </w:r>
          </w:p>
        </w:tc>
        <w:tc>
          <w:tcPr>
            <w:tcW w:w="1820" w:type="dxa"/>
          </w:tcPr>
          <w:p w14:paraId="24CDA62F" w14:textId="2098A809" w:rsidR="00A36F2F" w:rsidRDefault="00A36F2F" w:rsidP="007B1A0B">
            <w:pPr>
              <w:widowControl w:val="0"/>
              <w:autoSpaceDE w:val="0"/>
              <w:autoSpaceDN w:val="0"/>
              <w:adjustRightInd w:val="0"/>
              <w:jc w:val="right"/>
              <w:rPr>
                <w:rFonts w:cs="Arial"/>
                <w:bCs/>
                <w:sz w:val="20"/>
                <w:szCs w:val="20"/>
              </w:rPr>
            </w:pPr>
            <w:r>
              <w:rPr>
                <w:rFonts w:cs="Arial"/>
                <w:bCs/>
                <w:sz w:val="20"/>
                <w:szCs w:val="20"/>
              </w:rPr>
              <w:t>(10,525)</w:t>
            </w:r>
          </w:p>
        </w:tc>
        <w:tc>
          <w:tcPr>
            <w:tcW w:w="2055" w:type="dxa"/>
          </w:tcPr>
          <w:p w14:paraId="006D18B1" w14:textId="7230CD55" w:rsidR="00A36F2F" w:rsidRDefault="002A5A05" w:rsidP="00A73CBF">
            <w:pPr>
              <w:widowControl w:val="0"/>
              <w:autoSpaceDE w:val="0"/>
              <w:autoSpaceDN w:val="0"/>
              <w:adjustRightInd w:val="0"/>
              <w:jc w:val="right"/>
              <w:rPr>
                <w:rFonts w:cs="Arial"/>
                <w:bCs/>
                <w:sz w:val="20"/>
                <w:szCs w:val="20"/>
              </w:rPr>
            </w:pPr>
            <w:r>
              <w:rPr>
                <w:rFonts w:cs="Arial"/>
                <w:bCs/>
                <w:sz w:val="20"/>
                <w:szCs w:val="20"/>
              </w:rPr>
              <w:t>0</w:t>
            </w:r>
          </w:p>
        </w:tc>
      </w:tr>
      <w:tr w:rsidR="00A73CBF" w:rsidRPr="00676064" w14:paraId="16A15DDC" w14:textId="77777777" w:rsidTr="00A73CBF">
        <w:tc>
          <w:tcPr>
            <w:tcW w:w="4629" w:type="dxa"/>
          </w:tcPr>
          <w:p w14:paraId="0C904230" w14:textId="463A6A28" w:rsidR="00A73CBF" w:rsidRPr="003061F1" w:rsidRDefault="00A73CBF" w:rsidP="00A73CBF">
            <w:pPr>
              <w:widowControl w:val="0"/>
              <w:autoSpaceDE w:val="0"/>
              <w:autoSpaceDN w:val="0"/>
              <w:adjustRightInd w:val="0"/>
              <w:rPr>
                <w:rFonts w:cs="Arial"/>
                <w:bCs/>
                <w:sz w:val="20"/>
                <w:szCs w:val="20"/>
              </w:rPr>
            </w:pPr>
            <w:r w:rsidRPr="003061F1">
              <w:rPr>
                <w:rFonts w:cs="Arial"/>
                <w:bCs/>
                <w:sz w:val="20"/>
                <w:szCs w:val="20"/>
              </w:rPr>
              <w:t>at 31 March</w:t>
            </w:r>
          </w:p>
        </w:tc>
        <w:tc>
          <w:tcPr>
            <w:tcW w:w="1820" w:type="dxa"/>
            <w:tcBorders>
              <w:top w:val="single" w:sz="4" w:space="0" w:color="auto"/>
              <w:bottom w:val="single" w:sz="4" w:space="0" w:color="auto"/>
            </w:tcBorders>
          </w:tcPr>
          <w:p w14:paraId="1547EE80" w14:textId="301048B9" w:rsidR="00A73CBF" w:rsidRPr="003061F1" w:rsidRDefault="00A36F2F" w:rsidP="007B1A0B">
            <w:pPr>
              <w:widowControl w:val="0"/>
              <w:autoSpaceDE w:val="0"/>
              <w:autoSpaceDN w:val="0"/>
              <w:adjustRightInd w:val="0"/>
              <w:jc w:val="right"/>
              <w:rPr>
                <w:rFonts w:cs="Arial"/>
                <w:bCs/>
                <w:sz w:val="20"/>
                <w:szCs w:val="20"/>
              </w:rPr>
            </w:pPr>
            <w:r>
              <w:rPr>
                <w:rFonts w:cs="Arial"/>
                <w:bCs/>
                <w:sz w:val="20"/>
                <w:szCs w:val="20"/>
              </w:rPr>
              <w:t>32,783</w:t>
            </w:r>
          </w:p>
        </w:tc>
        <w:tc>
          <w:tcPr>
            <w:tcW w:w="2055" w:type="dxa"/>
            <w:tcBorders>
              <w:top w:val="single" w:sz="4" w:space="0" w:color="auto"/>
              <w:bottom w:val="single" w:sz="4" w:space="0" w:color="auto"/>
            </w:tcBorders>
          </w:tcPr>
          <w:p w14:paraId="03956DC9" w14:textId="46DF764D" w:rsidR="00A73CBF" w:rsidRPr="003061F1" w:rsidRDefault="002A5A05" w:rsidP="00A73CBF">
            <w:pPr>
              <w:widowControl w:val="0"/>
              <w:autoSpaceDE w:val="0"/>
              <w:autoSpaceDN w:val="0"/>
              <w:adjustRightInd w:val="0"/>
              <w:jc w:val="right"/>
              <w:rPr>
                <w:rFonts w:cs="Arial"/>
                <w:bCs/>
                <w:sz w:val="20"/>
                <w:szCs w:val="20"/>
              </w:rPr>
            </w:pPr>
            <w:r>
              <w:rPr>
                <w:rFonts w:cs="Arial"/>
                <w:bCs/>
                <w:sz w:val="20"/>
                <w:szCs w:val="20"/>
              </w:rPr>
              <w:t>40,881</w:t>
            </w:r>
          </w:p>
        </w:tc>
      </w:tr>
      <w:tr w:rsidR="00A73CBF" w:rsidRPr="00676064" w14:paraId="6D640D39" w14:textId="77777777" w:rsidTr="00A73CBF">
        <w:tc>
          <w:tcPr>
            <w:tcW w:w="4629" w:type="dxa"/>
          </w:tcPr>
          <w:p w14:paraId="479A9059" w14:textId="77777777" w:rsidR="00A73CBF" w:rsidRPr="003061F1" w:rsidRDefault="00A73CBF" w:rsidP="00A73CBF">
            <w:pPr>
              <w:widowControl w:val="0"/>
              <w:autoSpaceDE w:val="0"/>
              <w:autoSpaceDN w:val="0"/>
              <w:adjustRightInd w:val="0"/>
              <w:rPr>
                <w:rFonts w:cs="Arial"/>
                <w:bCs/>
                <w:sz w:val="20"/>
                <w:szCs w:val="20"/>
              </w:rPr>
            </w:pPr>
          </w:p>
        </w:tc>
        <w:tc>
          <w:tcPr>
            <w:tcW w:w="1820" w:type="dxa"/>
            <w:tcBorders>
              <w:top w:val="single" w:sz="4" w:space="0" w:color="auto"/>
              <w:bottom w:val="single" w:sz="4" w:space="0" w:color="auto"/>
            </w:tcBorders>
          </w:tcPr>
          <w:p w14:paraId="0FA06E7E" w14:textId="77777777" w:rsidR="00A73CBF" w:rsidRPr="003061F1" w:rsidRDefault="00A73CBF" w:rsidP="00A73CBF">
            <w:pPr>
              <w:widowControl w:val="0"/>
              <w:autoSpaceDE w:val="0"/>
              <w:autoSpaceDN w:val="0"/>
              <w:adjustRightInd w:val="0"/>
              <w:jc w:val="right"/>
              <w:rPr>
                <w:rFonts w:cs="Arial"/>
                <w:bCs/>
                <w:sz w:val="20"/>
                <w:szCs w:val="20"/>
              </w:rPr>
            </w:pPr>
          </w:p>
        </w:tc>
        <w:tc>
          <w:tcPr>
            <w:tcW w:w="2055" w:type="dxa"/>
            <w:tcBorders>
              <w:top w:val="single" w:sz="4" w:space="0" w:color="auto"/>
              <w:bottom w:val="single" w:sz="4" w:space="0" w:color="auto"/>
            </w:tcBorders>
          </w:tcPr>
          <w:p w14:paraId="18BB882E" w14:textId="77777777" w:rsidR="00A73CBF" w:rsidRPr="003061F1" w:rsidRDefault="00A73CBF" w:rsidP="00A73CBF">
            <w:pPr>
              <w:widowControl w:val="0"/>
              <w:autoSpaceDE w:val="0"/>
              <w:autoSpaceDN w:val="0"/>
              <w:adjustRightInd w:val="0"/>
              <w:jc w:val="right"/>
              <w:rPr>
                <w:rFonts w:cs="Arial"/>
                <w:bCs/>
                <w:sz w:val="20"/>
                <w:szCs w:val="20"/>
              </w:rPr>
            </w:pPr>
          </w:p>
        </w:tc>
      </w:tr>
      <w:tr w:rsidR="00A73CBF" w:rsidRPr="00676064" w14:paraId="4A5E2817" w14:textId="77777777" w:rsidTr="00A73CBF">
        <w:tc>
          <w:tcPr>
            <w:tcW w:w="4629" w:type="dxa"/>
          </w:tcPr>
          <w:p w14:paraId="325C2C9C" w14:textId="5131ADFF" w:rsidR="00A73CBF" w:rsidRPr="003061F1" w:rsidRDefault="00A73CBF" w:rsidP="00A73CBF">
            <w:pPr>
              <w:widowControl w:val="0"/>
              <w:autoSpaceDE w:val="0"/>
              <w:autoSpaceDN w:val="0"/>
              <w:adjustRightInd w:val="0"/>
              <w:rPr>
                <w:rFonts w:cs="Arial"/>
                <w:bCs/>
                <w:sz w:val="20"/>
                <w:szCs w:val="20"/>
              </w:rPr>
            </w:pPr>
            <w:r w:rsidRPr="003061F1">
              <w:rPr>
                <w:rFonts w:cs="Arial"/>
                <w:bCs/>
                <w:sz w:val="20"/>
                <w:szCs w:val="20"/>
              </w:rPr>
              <w:t>Net book value at 31 March</w:t>
            </w:r>
            <w:r w:rsidR="00A36F2F">
              <w:rPr>
                <w:rFonts w:cs="Arial"/>
                <w:bCs/>
                <w:sz w:val="20"/>
                <w:szCs w:val="20"/>
              </w:rPr>
              <w:t xml:space="preserve"> </w:t>
            </w:r>
          </w:p>
        </w:tc>
        <w:tc>
          <w:tcPr>
            <w:tcW w:w="1820" w:type="dxa"/>
            <w:tcBorders>
              <w:top w:val="single" w:sz="4" w:space="0" w:color="auto"/>
              <w:bottom w:val="single" w:sz="4" w:space="0" w:color="auto"/>
            </w:tcBorders>
          </w:tcPr>
          <w:p w14:paraId="15281B8A" w14:textId="7F4BF8E7" w:rsidR="00A73CBF" w:rsidRPr="003061F1" w:rsidRDefault="00A36F2F" w:rsidP="007B1A0B">
            <w:pPr>
              <w:widowControl w:val="0"/>
              <w:autoSpaceDE w:val="0"/>
              <w:autoSpaceDN w:val="0"/>
              <w:adjustRightInd w:val="0"/>
              <w:jc w:val="right"/>
              <w:rPr>
                <w:rFonts w:cs="Arial"/>
                <w:bCs/>
                <w:sz w:val="20"/>
                <w:szCs w:val="20"/>
              </w:rPr>
            </w:pPr>
            <w:r>
              <w:rPr>
                <w:rFonts w:cs="Arial"/>
                <w:bCs/>
                <w:sz w:val="20"/>
                <w:szCs w:val="20"/>
              </w:rPr>
              <w:t>795</w:t>
            </w:r>
          </w:p>
        </w:tc>
        <w:tc>
          <w:tcPr>
            <w:tcW w:w="2055" w:type="dxa"/>
            <w:tcBorders>
              <w:top w:val="single" w:sz="4" w:space="0" w:color="auto"/>
              <w:bottom w:val="single" w:sz="4" w:space="0" w:color="auto"/>
            </w:tcBorders>
          </w:tcPr>
          <w:p w14:paraId="3EB53FD2" w14:textId="40EE7AAE" w:rsidR="00A73CBF" w:rsidRPr="003061F1" w:rsidRDefault="002A5A05" w:rsidP="00A73CBF">
            <w:pPr>
              <w:widowControl w:val="0"/>
              <w:autoSpaceDE w:val="0"/>
              <w:autoSpaceDN w:val="0"/>
              <w:adjustRightInd w:val="0"/>
              <w:jc w:val="right"/>
              <w:rPr>
                <w:rFonts w:cs="Arial"/>
                <w:bCs/>
                <w:sz w:val="20"/>
                <w:szCs w:val="20"/>
              </w:rPr>
            </w:pPr>
            <w:r>
              <w:rPr>
                <w:rFonts w:cs="Arial"/>
                <w:bCs/>
                <w:sz w:val="20"/>
                <w:szCs w:val="20"/>
              </w:rPr>
              <w:t>3,222</w:t>
            </w:r>
          </w:p>
        </w:tc>
      </w:tr>
      <w:tr w:rsidR="00F7114B" w:rsidRPr="00676064" w14:paraId="1A8C06FB" w14:textId="77777777" w:rsidTr="00A73CBF">
        <w:tc>
          <w:tcPr>
            <w:tcW w:w="4629" w:type="dxa"/>
          </w:tcPr>
          <w:p w14:paraId="310C6B37" w14:textId="77777777" w:rsidR="00F7114B" w:rsidRPr="003061F1" w:rsidRDefault="00F7114B" w:rsidP="00A73CBF">
            <w:pPr>
              <w:widowControl w:val="0"/>
              <w:autoSpaceDE w:val="0"/>
              <w:autoSpaceDN w:val="0"/>
              <w:adjustRightInd w:val="0"/>
              <w:rPr>
                <w:rFonts w:cs="Arial"/>
                <w:bCs/>
                <w:sz w:val="20"/>
                <w:szCs w:val="20"/>
              </w:rPr>
            </w:pPr>
          </w:p>
        </w:tc>
        <w:tc>
          <w:tcPr>
            <w:tcW w:w="1820" w:type="dxa"/>
            <w:tcBorders>
              <w:top w:val="single" w:sz="4" w:space="0" w:color="auto"/>
              <w:bottom w:val="single" w:sz="4" w:space="0" w:color="auto"/>
            </w:tcBorders>
          </w:tcPr>
          <w:p w14:paraId="4479FB77" w14:textId="77777777" w:rsidR="00F7114B" w:rsidRDefault="00F7114B" w:rsidP="007B1A0B">
            <w:pPr>
              <w:widowControl w:val="0"/>
              <w:autoSpaceDE w:val="0"/>
              <w:autoSpaceDN w:val="0"/>
              <w:adjustRightInd w:val="0"/>
              <w:jc w:val="right"/>
              <w:rPr>
                <w:rFonts w:cs="Arial"/>
                <w:bCs/>
                <w:sz w:val="20"/>
                <w:szCs w:val="20"/>
              </w:rPr>
            </w:pPr>
          </w:p>
        </w:tc>
        <w:tc>
          <w:tcPr>
            <w:tcW w:w="2055" w:type="dxa"/>
            <w:tcBorders>
              <w:top w:val="single" w:sz="4" w:space="0" w:color="auto"/>
              <w:bottom w:val="single" w:sz="4" w:space="0" w:color="auto"/>
            </w:tcBorders>
          </w:tcPr>
          <w:p w14:paraId="16B0DFF2" w14:textId="77777777" w:rsidR="00F7114B" w:rsidRDefault="00F7114B" w:rsidP="00A73CBF">
            <w:pPr>
              <w:widowControl w:val="0"/>
              <w:autoSpaceDE w:val="0"/>
              <w:autoSpaceDN w:val="0"/>
              <w:adjustRightInd w:val="0"/>
              <w:jc w:val="right"/>
              <w:rPr>
                <w:rFonts w:cs="Arial"/>
                <w:bCs/>
                <w:sz w:val="20"/>
                <w:szCs w:val="20"/>
              </w:rPr>
            </w:pPr>
          </w:p>
        </w:tc>
      </w:tr>
    </w:tbl>
    <w:p w14:paraId="7BDA89F6" w14:textId="6558D300" w:rsidR="000C2A54" w:rsidRPr="00676064" w:rsidRDefault="002A5A05" w:rsidP="000C2A54">
      <w:pPr>
        <w:widowControl w:val="0"/>
        <w:tabs>
          <w:tab w:val="left" w:pos="567"/>
        </w:tabs>
        <w:autoSpaceDE w:val="0"/>
        <w:autoSpaceDN w:val="0"/>
        <w:adjustRightInd w:val="0"/>
        <w:rPr>
          <w:rFonts w:cs="Arial"/>
          <w:b/>
          <w:bCs/>
        </w:rPr>
      </w:pPr>
      <w:r>
        <w:rPr>
          <w:rFonts w:cs="Arial"/>
          <w:b/>
          <w:bCs/>
        </w:rPr>
        <w:t>9</w:t>
      </w:r>
      <w:r w:rsidR="000C2A54">
        <w:rPr>
          <w:rFonts w:cs="Arial"/>
          <w:b/>
          <w:bCs/>
        </w:rPr>
        <w:t>.</w:t>
      </w:r>
      <w:r w:rsidR="000C2A54">
        <w:rPr>
          <w:rFonts w:cs="Arial"/>
          <w:b/>
          <w:bCs/>
        </w:rPr>
        <w:tab/>
      </w:r>
      <w:r w:rsidR="000C2A54" w:rsidRPr="00676064">
        <w:rPr>
          <w:rFonts w:cs="Arial"/>
          <w:b/>
          <w:bCs/>
        </w:rPr>
        <w:t>Financial instruments</w:t>
      </w:r>
    </w:p>
    <w:p w14:paraId="09EB9370" w14:textId="77777777" w:rsidR="000C2A54" w:rsidRPr="00676064" w:rsidRDefault="000C2A54" w:rsidP="000C2A54">
      <w:pPr>
        <w:widowControl w:val="0"/>
        <w:autoSpaceDE w:val="0"/>
        <w:autoSpaceDN w:val="0"/>
        <w:adjustRightInd w:val="0"/>
      </w:pPr>
    </w:p>
    <w:p w14:paraId="2D83E6E9" w14:textId="77777777" w:rsidR="000C2A54" w:rsidRPr="00676064" w:rsidRDefault="000C2A54" w:rsidP="000C2A54">
      <w:pPr>
        <w:pStyle w:val="BodyTextIndent"/>
        <w:spacing w:after="0"/>
        <w:ind w:left="567"/>
        <w:rPr>
          <w:rFonts w:cs="Arial"/>
          <w:bCs/>
        </w:rPr>
      </w:pPr>
      <w:r w:rsidRPr="00676064">
        <w:rPr>
          <w:rFonts w:cs="Arial"/>
          <w:bCs/>
        </w:rPr>
        <w:t xml:space="preserve">As the cash requirements of the Commission are met through </w:t>
      </w:r>
    </w:p>
    <w:p w14:paraId="383E4D77" w14:textId="77777777" w:rsidR="000C2A54" w:rsidRPr="00676064" w:rsidRDefault="000C2A54" w:rsidP="000C2A54">
      <w:pPr>
        <w:pStyle w:val="BodyTextIndent"/>
        <w:spacing w:after="0"/>
        <w:ind w:left="567"/>
        <w:rPr>
          <w:rFonts w:cs="Arial"/>
          <w:bCs/>
        </w:rPr>
      </w:pPr>
      <w:r w:rsidRPr="00676064">
        <w:rPr>
          <w:rFonts w:cs="Arial"/>
          <w:bCs/>
        </w:rPr>
        <w:t xml:space="preserve">grant-in-aid provided by </w:t>
      </w:r>
      <w:r w:rsidRPr="00676064">
        <w:rPr>
          <w:lang w:val="en-US"/>
        </w:rPr>
        <w:t>the Northern Ireland Office</w:t>
      </w:r>
      <w:r w:rsidRPr="00676064">
        <w:rPr>
          <w:rFonts w:cs="Arial"/>
          <w:bCs/>
        </w:rPr>
        <w:t>, financial instruments play a more limited role in creating and managing risk than would apply to a non-public sector body.  The majority of financial instruments relate to contracts to buy non</w:t>
      </w:r>
      <w:r w:rsidRPr="00676064">
        <w:t>-</w:t>
      </w:r>
      <w:r w:rsidRPr="00676064">
        <w:rPr>
          <w:rFonts w:cs="Arial"/>
          <w:bCs/>
        </w:rPr>
        <w:t xml:space="preserve">financial items in line with the </w:t>
      </w:r>
      <w:r w:rsidRPr="00676064">
        <w:t>Commission’s</w:t>
      </w:r>
      <w:r w:rsidRPr="00676064">
        <w:rPr>
          <w:rFonts w:cs="Arial"/>
          <w:bCs/>
        </w:rPr>
        <w:t xml:space="preserve"> expected purchase and usage requirements and the </w:t>
      </w:r>
      <w:r w:rsidRPr="00676064">
        <w:t>Commission</w:t>
      </w:r>
      <w:r w:rsidRPr="00676064">
        <w:rPr>
          <w:rFonts w:cs="Arial"/>
          <w:bCs/>
        </w:rPr>
        <w:t xml:space="preserve"> is therefore exposed to little credit, liquidity or market risk. </w:t>
      </w:r>
    </w:p>
    <w:p w14:paraId="6149C7A2" w14:textId="77777777" w:rsidR="00F7114B" w:rsidRPr="00676064" w:rsidRDefault="00F7114B" w:rsidP="000C2A54">
      <w:pPr>
        <w:pStyle w:val="BodyTextIndent"/>
        <w:spacing w:after="0"/>
        <w:ind w:left="0"/>
      </w:pPr>
    </w:p>
    <w:p w14:paraId="0F10BA71" w14:textId="0F58F326" w:rsidR="000C2A54" w:rsidRPr="00676064" w:rsidRDefault="002A5A05" w:rsidP="000C2A54">
      <w:pPr>
        <w:tabs>
          <w:tab w:val="left" w:pos="567"/>
        </w:tabs>
        <w:rPr>
          <w:rFonts w:cs="Arial"/>
          <w:b/>
          <w:bCs/>
        </w:rPr>
      </w:pPr>
      <w:r>
        <w:rPr>
          <w:rFonts w:cs="Arial"/>
          <w:b/>
          <w:bCs/>
        </w:rPr>
        <w:t>10</w:t>
      </w:r>
      <w:r w:rsidR="000C2A54" w:rsidRPr="00676064">
        <w:rPr>
          <w:rFonts w:cs="Arial"/>
          <w:b/>
          <w:bCs/>
        </w:rPr>
        <w:t>.</w:t>
      </w:r>
      <w:r w:rsidR="000C2A54">
        <w:rPr>
          <w:rFonts w:cs="Arial"/>
          <w:b/>
          <w:bCs/>
        </w:rPr>
        <w:tab/>
      </w:r>
      <w:r w:rsidR="000C2A54" w:rsidRPr="00676064">
        <w:rPr>
          <w:rFonts w:cs="Arial"/>
          <w:b/>
          <w:bCs/>
        </w:rPr>
        <w:t>Trade receivables and other current assets</w:t>
      </w:r>
    </w:p>
    <w:p w14:paraId="0FCD2C36" w14:textId="77777777" w:rsidR="000C2A54" w:rsidRPr="00676064" w:rsidRDefault="000C2A54" w:rsidP="000C2A54">
      <w:pPr>
        <w:widowControl w:val="0"/>
        <w:tabs>
          <w:tab w:val="left" w:pos="567"/>
          <w:tab w:val="right" w:pos="7371"/>
          <w:tab w:val="right" w:pos="9356"/>
        </w:tabs>
        <w:autoSpaceDE w:val="0"/>
        <w:autoSpaceDN w:val="0"/>
        <w:adjustRightInd w:val="0"/>
        <w:rPr>
          <w:rFonts w:cs="Arial"/>
          <w:b/>
          <w:bCs/>
        </w:rPr>
      </w:pPr>
    </w:p>
    <w:tbl>
      <w:tblPr>
        <w:tblW w:w="8527" w:type="dxa"/>
        <w:jc w:val="right"/>
        <w:tblLook w:val="01E0" w:firstRow="1" w:lastRow="1" w:firstColumn="1" w:lastColumn="1" w:noHBand="0" w:noVBand="0"/>
      </w:tblPr>
      <w:tblGrid>
        <w:gridCol w:w="5760"/>
        <w:gridCol w:w="1440"/>
        <w:gridCol w:w="1327"/>
      </w:tblGrid>
      <w:tr w:rsidR="000C2A54" w:rsidRPr="00676064" w14:paraId="33A11FF5" w14:textId="77777777" w:rsidTr="009264D8">
        <w:trPr>
          <w:jc w:val="right"/>
        </w:trPr>
        <w:tc>
          <w:tcPr>
            <w:tcW w:w="5760" w:type="dxa"/>
          </w:tcPr>
          <w:p w14:paraId="4D25DF12" w14:textId="77777777" w:rsidR="000C2A54" w:rsidRPr="00676064" w:rsidRDefault="000C2A54" w:rsidP="000C2A54">
            <w:pPr>
              <w:widowControl w:val="0"/>
              <w:tabs>
                <w:tab w:val="left" w:pos="567"/>
                <w:tab w:val="right" w:pos="7371"/>
                <w:tab w:val="right" w:pos="9356"/>
              </w:tabs>
              <w:autoSpaceDE w:val="0"/>
              <w:autoSpaceDN w:val="0"/>
              <w:adjustRightInd w:val="0"/>
              <w:jc w:val="right"/>
              <w:rPr>
                <w:rFonts w:cs="Arial"/>
                <w:b/>
                <w:bCs/>
              </w:rPr>
            </w:pPr>
          </w:p>
        </w:tc>
        <w:tc>
          <w:tcPr>
            <w:tcW w:w="1440" w:type="dxa"/>
          </w:tcPr>
          <w:p w14:paraId="40EB8C02" w14:textId="355103B3" w:rsidR="000C2A54"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202</w:t>
            </w:r>
            <w:r w:rsidR="002A5A05">
              <w:rPr>
                <w:rFonts w:cs="Arial"/>
                <w:b/>
                <w:bCs/>
                <w:sz w:val="20"/>
                <w:szCs w:val="20"/>
              </w:rPr>
              <w:t>2</w:t>
            </w:r>
            <w:r>
              <w:rPr>
                <w:rFonts w:cs="Arial"/>
                <w:b/>
                <w:bCs/>
                <w:sz w:val="20"/>
                <w:szCs w:val="20"/>
              </w:rPr>
              <w:t>-2</w:t>
            </w:r>
            <w:r w:rsidR="002A5A05">
              <w:rPr>
                <w:rFonts w:cs="Arial"/>
                <w:b/>
                <w:bCs/>
                <w:sz w:val="20"/>
                <w:szCs w:val="20"/>
              </w:rPr>
              <w:t>3</w:t>
            </w:r>
          </w:p>
        </w:tc>
        <w:tc>
          <w:tcPr>
            <w:tcW w:w="1327" w:type="dxa"/>
          </w:tcPr>
          <w:p w14:paraId="2766F3BB" w14:textId="1FC41307" w:rsidR="000C2A54"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202</w:t>
            </w:r>
            <w:r w:rsidR="002A5A05">
              <w:rPr>
                <w:rFonts w:cs="Arial"/>
                <w:b/>
                <w:bCs/>
                <w:sz w:val="20"/>
                <w:szCs w:val="20"/>
              </w:rPr>
              <w:t>1</w:t>
            </w:r>
            <w:r>
              <w:rPr>
                <w:rFonts w:cs="Arial"/>
                <w:b/>
                <w:bCs/>
                <w:sz w:val="20"/>
                <w:szCs w:val="20"/>
              </w:rPr>
              <w:t>-2</w:t>
            </w:r>
            <w:r w:rsidR="002A5A05">
              <w:rPr>
                <w:rFonts w:cs="Arial"/>
                <w:b/>
                <w:bCs/>
                <w:sz w:val="20"/>
                <w:szCs w:val="20"/>
              </w:rPr>
              <w:t>2</w:t>
            </w:r>
          </w:p>
        </w:tc>
      </w:tr>
      <w:tr w:rsidR="000C2A54" w:rsidRPr="00676064" w14:paraId="0E1211D9" w14:textId="77777777" w:rsidTr="009264D8">
        <w:trPr>
          <w:jc w:val="right"/>
        </w:trPr>
        <w:tc>
          <w:tcPr>
            <w:tcW w:w="5760" w:type="dxa"/>
          </w:tcPr>
          <w:p w14:paraId="4753B75F" w14:textId="77777777" w:rsidR="000C2A54" w:rsidRPr="00676064" w:rsidRDefault="000C2A54" w:rsidP="000C2A54">
            <w:pPr>
              <w:widowControl w:val="0"/>
              <w:tabs>
                <w:tab w:val="left" w:pos="567"/>
                <w:tab w:val="right" w:pos="7371"/>
                <w:tab w:val="right" w:pos="9356"/>
              </w:tabs>
              <w:autoSpaceDE w:val="0"/>
              <w:autoSpaceDN w:val="0"/>
              <w:adjustRightInd w:val="0"/>
              <w:rPr>
                <w:rFonts w:cs="Arial"/>
                <w:b/>
                <w:bCs/>
              </w:rPr>
            </w:pPr>
          </w:p>
        </w:tc>
        <w:tc>
          <w:tcPr>
            <w:tcW w:w="1440" w:type="dxa"/>
          </w:tcPr>
          <w:p w14:paraId="71AE8848"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r w:rsidRPr="003061F1">
              <w:rPr>
                <w:rFonts w:cs="Arial"/>
                <w:b/>
                <w:bCs/>
                <w:sz w:val="20"/>
                <w:szCs w:val="20"/>
              </w:rPr>
              <w:t>£</w:t>
            </w:r>
          </w:p>
        </w:tc>
        <w:tc>
          <w:tcPr>
            <w:tcW w:w="1327" w:type="dxa"/>
          </w:tcPr>
          <w:p w14:paraId="4FAF2B04"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r w:rsidRPr="003061F1">
              <w:rPr>
                <w:rFonts w:cs="Arial"/>
                <w:b/>
                <w:bCs/>
                <w:sz w:val="20"/>
                <w:szCs w:val="20"/>
              </w:rPr>
              <w:t>£</w:t>
            </w:r>
          </w:p>
        </w:tc>
      </w:tr>
      <w:tr w:rsidR="000C2A54" w:rsidRPr="00676064" w14:paraId="318C5EB7" w14:textId="77777777" w:rsidTr="009264D8">
        <w:trPr>
          <w:jc w:val="right"/>
        </w:trPr>
        <w:tc>
          <w:tcPr>
            <w:tcW w:w="5760" w:type="dxa"/>
          </w:tcPr>
          <w:p w14:paraId="664359B1"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r w:rsidRPr="003061F1">
              <w:rPr>
                <w:rFonts w:cs="Arial"/>
                <w:b/>
                <w:bCs/>
                <w:sz w:val="20"/>
                <w:szCs w:val="20"/>
              </w:rPr>
              <w:t>Amounts falling due within one year:</w:t>
            </w:r>
          </w:p>
        </w:tc>
        <w:tc>
          <w:tcPr>
            <w:tcW w:w="1440" w:type="dxa"/>
          </w:tcPr>
          <w:p w14:paraId="40D4CD6B"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p>
        </w:tc>
        <w:tc>
          <w:tcPr>
            <w:tcW w:w="1327" w:type="dxa"/>
          </w:tcPr>
          <w:p w14:paraId="3ED94DD9"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p>
        </w:tc>
      </w:tr>
      <w:tr w:rsidR="000C2A54" w:rsidRPr="00676064" w14:paraId="65C00AAD" w14:textId="77777777" w:rsidTr="009264D8">
        <w:trPr>
          <w:jc w:val="right"/>
        </w:trPr>
        <w:tc>
          <w:tcPr>
            <w:tcW w:w="5760" w:type="dxa"/>
          </w:tcPr>
          <w:p w14:paraId="711A66FF" w14:textId="77777777" w:rsidR="000C2A54" w:rsidRPr="003061F1" w:rsidRDefault="000C2A54" w:rsidP="000C2A54">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Trade Receivables</w:t>
            </w:r>
          </w:p>
        </w:tc>
        <w:tc>
          <w:tcPr>
            <w:tcW w:w="1440" w:type="dxa"/>
          </w:tcPr>
          <w:p w14:paraId="1CEE40A5" w14:textId="01A6C178" w:rsidR="000C2A54" w:rsidRPr="003061F1" w:rsidRDefault="002A5A05"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0</w:t>
            </w:r>
          </w:p>
        </w:tc>
        <w:tc>
          <w:tcPr>
            <w:tcW w:w="1327" w:type="dxa"/>
          </w:tcPr>
          <w:p w14:paraId="7B32C517" w14:textId="77777777" w:rsidR="000C2A54" w:rsidRPr="003061F1" w:rsidRDefault="00567379"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774</w:t>
            </w:r>
          </w:p>
        </w:tc>
      </w:tr>
      <w:tr w:rsidR="000C2A54" w:rsidRPr="00676064" w14:paraId="112E4BE8" w14:textId="77777777" w:rsidTr="009264D8">
        <w:trPr>
          <w:jc w:val="right"/>
        </w:trPr>
        <w:tc>
          <w:tcPr>
            <w:tcW w:w="5760" w:type="dxa"/>
          </w:tcPr>
          <w:p w14:paraId="13666A7D" w14:textId="77777777" w:rsidR="000C2A54" w:rsidRPr="003061F1" w:rsidRDefault="000C2A54" w:rsidP="000C2A54">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Prepayments and accrued income</w:t>
            </w:r>
          </w:p>
        </w:tc>
        <w:tc>
          <w:tcPr>
            <w:tcW w:w="1440" w:type="dxa"/>
          </w:tcPr>
          <w:p w14:paraId="5B0FF681" w14:textId="2BCCC28F" w:rsidR="000C2A54" w:rsidRPr="003061F1" w:rsidRDefault="002A5A05"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61,525</w:t>
            </w:r>
          </w:p>
        </w:tc>
        <w:tc>
          <w:tcPr>
            <w:tcW w:w="1327" w:type="dxa"/>
          </w:tcPr>
          <w:p w14:paraId="0E709C71" w14:textId="1E536FD2" w:rsidR="000C2A54" w:rsidRPr="003061F1" w:rsidRDefault="002A5A05"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60,733</w:t>
            </w:r>
          </w:p>
        </w:tc>
      </w:tr>
      <w:tr w:rsidR="000C2A54" w:rsidRPr="00676064" w14:paraId="05731E07" w14:textId="77777777" w:rsidTr="009264D8">
        <w:trPr>
          <w:jc w:val="right"/>
        </w:trPr>
        <w:tc>
          <w:tcPr>
            <w:tcW w:w="5760" w:type="dxa"/>
          </w:tcPr>
          <w:p w14:paraId="3822C73E" w14:textId="77777777" w:rsidR="000C2A54" w:rsidRPr="00676064" w:rsidRDefault="000C2A54" w:rsidP="000C2A54">
            <w:pPr>
              <w:widowControl w:val="0"/>
              <w:tabs>
                <w:tab w:val="left" w:pos="567"/>
                <w:tab w:val="right" w:pos="7371"/>
                <w:tab w:val="right" w:pos="9356"/>
              </w:tabs>
              <w:autoSpaceDE w:val="0"/>
              <w:autoSpaceDN w:val="0"/>
              <w:adjustRightInd w:val="0"/>
              <w:rPr>
                <w:rFonts w:cs="Arial"/>
                <w:b/>
                <w:bCs/>
              </w:rPr>
            </w:pPr>
          </w:p>
        </w:tc>
        <w:tc>
          <w:tcPr>
            <w:tcW w:w="1440" w:type="dxa"/>
            <w:tcBorders>
              <w:top w:val="single" w:sz="4" w:space="0" w:color="auto"/>
              <w:bottom w:val="single" w:sz="4" w:space="0" w:color="auto"/>
            </w:tcBorders>
          </w:tcPr>
          <w:p w14:paraId="294265B3" w14:textId="77777777" w:rsidR="00642BF8" w:rsidRDefault="00642BF8" w:rsidP="000C2A54">
            <w:pPr>
              <w:widowControl w:val="0"/>
              <w:tabs>
                <w:tab w:val="left" w:pos="567"/>
                <w:tab w:val="right" w:pos="7371"/>
                <w:tab w:val="right" w:pos="9356"/>
              </w:tabs>
              <w:autoSpaceDE w:val="0"/>
              <w:autoSpaceDN w:val="0"/>
              <w:adjustRightInd w:val="0"/>
              <w:jc w:val="right"/>
              <w:rPr>
                <w:rFonts w:cs="Arial"/>
                <w:b/>
                <w:bCs/>
                <w:sz w:val="20"/>
                <w:szCs w:val="20"/>
              </w:rPr>
            </w:pPr>
          </w:p>
          <w:p w14:paraId="73444523" w14:textId="7811B765" w:rsidR="00567379"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61,5</w:t>
            </w:r>
            <w:r w:rsidR="002A5A05">
              <w:rPr>
                <w:rFonts w:cs="Arial"/>
                <w:b/>
                <w:bCs/>
                <w:sz w:val="20"/>
                <w:szCs w:val="20"/>
              </w:rPr>
              <w:t>25</w:t>
            </w:r>
          </w:p>
        </w:tc>
        <w:tc>
          <w:tcPr>
            <w:tcW w:w="1327" w:type="dxa"/>
            <w:tcBorders>
              <w:top w:val="single" w:sz="4" w:space="0" w:color="auto"/>
              <w:bottom w:val="single" w:sz="4" w:space="0" w:color="auto"/>
            </w:tcBorders>
          </w:tcPr>
          <w:p w14:paraId="1D1D4A00" w14:textId="77777777" w:rsidR="00642BF8" w:rsidRDefault="00642BF8" w:rsidP="00642BF8">
            <w:pPr>
              <w:widowControl w:val="0"/>
              <w:tabs>
                <w:tab w:val="left" w:pos="567"/>
                <w:tab w:val="right" w:pos="7371"/>
                <w:tab w:val="right" w:pos="9356"/>
              </w:tabs>
              <w:autoSpaceDE w:val="0"/>
              <w:autoSpaceDN w:val="0"/>
              <w:adjustRightInd w:val="0"/>
              <w:jc w:val="right"/>
              <w:rPr>
                <w:rFonts w:cs="Arial"/>
                <w:b/>
                <w:bCs/>
                <w:sz w:val="20"/>
                <w:szCs w:val="20"/>
              </w:rPr>
            </w:pPr>
          </w:p>
          <w:p w14:paraId="07ACA643" w14:textId="78E6FA69" w:rsidR="00567379" w:rsidRPr="003061F1" w:rsidRDefault="002A5A05" w:rsidP="00642BF8">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61,507</w:t>
            </w:r>
          </w:p>
        </w:tc>
      </w:tr>
    </w:tbl>
    <w:p w14:paraId="1FA7A468" w14:textId="77777777" w:rsidR="003061F1" w:rsidRPr="00676064" w:rsidRDefault="003061F1" w:rsidP="000C2A54">
      <w:pPr>
        <w:widowControl w:val="0"/>
        <w:tabs>
          <w:tab w:val="left" w:pos="567"/>
          <w:tab w:val="right" w:pos="7371"/>
          <w:tab w:val="right" w:pos="9356"/>
        </w:tabs>
        <w:autoSpaceDE w:val="0"/>
        <w:autoSpaceDN w:val="0"/>
        <w:adjustRightInd w:val="0"/>
        <w:rPr>
          <w:rFonts w:cs="Arial"/>
          <w:b/>
          <w:bCs/>
        </w:rPr>
      </w:pPr>
    </w:p>
    <w:p w14:paraId="7D5ADFF3" w14:textId="0B8BF5FC" w:rsidR="000C2A54" w:rsidRPr="00612DE1" w:rsidRDefault="000C2A54" w:rsidP="002A5A05">
      <w:pPr>
        <w:pStyle w:val="ListParagraph"/>
        <w:numPr>
          <w:ilvl w:val="0"/>
          <w:numId w:val="28"/>
        </w:numPr>
        <w:rPr>
          <w:rFonts w:cs="Arial"/>
          <w:b/>
          <w:bCs/>
        </w:rPr>
      </w:pPr>
      <w:r w:rsidRPr="00612DE1">
        <w:rPr>
          <w:rFonts w:cs="Arial"/>
          <w:b/>
          <w:bCs/>
        </w:rPr>
        <w:t>Cash and cash equivalents</w:t>
      </w:r>
    </w:p>
    <w:p w14:paraId="224E79FF" w14:textId="77777777" w:rsidR="000C2A54" w:rsidRPr="00676064" w:rsidRDefault="000C2A54" w:rsidP="000C2A54">
      <w:pPr>
        <w:widowControl w:val="0"/>
        <w:tabs>
          <w:tab w:val="left" w:pos="567"/>
        </w:tabs>
        <w:autoSpaceDE w:val="0"/>
        <w:autoSpaceDN w:val="0"/>
        <w:adjustRightInd w:val="0"/>
        <w:rPr>
          <w:rFonts w:cs="Arial"/>
          <w:b/>
          <w:bCs/>
        </w:rPr>
      </w:pPr>
    </w:p>
    <w:tbl>
      <w:tblPr>
        <w:tblW w:w="8639" w:type="dxa"/>
        <w:jc w:val="right"/>
        <w:tblLook w:val="01E0" w:firstRow="1" w:lastRow="1" w:firstColumn="1" w:lastColumn="1" w:noHBand="0" w:noVBand="0"/>
      </w:tblPr>
      <w:tblGrid>
        <w:gridCol w:w="5760"/>
        <w:gridCol w:w="1440"/>
        <w:gridCol w:w="1439"/>
      </w:tblGrid>
      <w:tr w:rsidR="000C2A54" w:rsidRPr="00676064" w14:paraId="7ECD4C24" w14:textId="77777777" w:rsidTr="000C2A54">
        <w:trPr>
          <w:jc w:val="right"/>
        </w:trPr>
        <w:tc>
          <w:tcPr>
            <w:tcW w:w="5760" w:type="dxa"/>
          </w:tcPr>
          <w:p w14:paraId="37AAE3E9" w14:textId="77777777" w:rsidR="000C2A54" w:rsidRPr="00676064" w:rsidRDefault="000C2A54" w:rsidP="000C2A54">
            <w:pPr>
              <w:widowControl w:val="0"/>
              <w:tabs>
                <w:tab w:val="left" w:pos="567"/>
                <w:tab w:val="right" w:pos="7371"/>
                <w:tab w:val="right" w:pos="9356"/>
              </w:tabs>
              <w:autoSpaceDE w:val="0"/>
              <w:autoSpaceDN w:val="0"/>
              <w:adjustRightInd w:val="0"/>
              <w:rPr>
                <w:rFonts w:cs="Arial"/>
                <w:b/>
                <w:bCs/>
              </w:rPr>
            </w:pPr>
          </w:p>
        </w:tc>
        <w:tc>
          <w:tcPr>
            <w:tcW w:w="1440" w:type="dxa"/>
          </w:tcPr>
          <w:p w14:paraId="31F624EE" w14:textId="5D1DCA03" w:rsidR="000C2A54"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20</w:t>
            </w:r>
            <w:r w:rsidR="00642BF8">
              <w:rPr>
                <w:rFonts w:cs="Arial"/>
                <w:b/>
                <w:bCs/>
                <w:sz w:val="20"/>
                <w:szCs w:val="20"/>
              </w:rPr>
              <w:t>2</w:t>
            </w:r>
            <w:r w:rsidR="002A5A05">
              <w:rPr>
                <w:rFonts w:cs="Arial"/>
                <w:b/>
                <w:bCs/>
                <w:sz w:val="20"/>
                <w:szCs w:val="20"/>
              </w:rPr>
              <w:t>2</w:t>
            </w:r>
            <w:r>
              <w:rPr>
                <w:rFonts w:cs="Arial"/>
                <w:b/>
                <w:bCs/>
                <w:sz w:val="20"/>
                <w:szCs w:val="20"/>
              </w:rPr>
              <w:t>-2</w:t>
            </w:r>
            <w:r w:rsidR="002A5A05">
              <w:rPr>
                <w:rFonts w:cs="Arial"/>
                <w:b/>
                <w:bCs/>
                <w:sz w:val="20"/>
                <w:szCs w:val="20"/>
              </w:rPr>
              <w:t>3</w:t>
            </w:r>
          </w:p>
        </w:tc>
        <w:tc>
          <w:tcPr>
            <w:tcW w:w="1439" w:type="dxa"/>
          </w:tcPr>
          <w:p w14:paraId="4AF39CA5" w14:textId="45394889" w:rsidR="000C2A54"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202</w:t>
            </w:r>
            <w:r w:rsidR="002A5A05">
              <w:rPr>
                <w:rFonts w:cs="Arial"/>
                <w:b/>
                <w:bCs/>
                <w:sz w:val="20"/>
                <w:szCs w:val="20"/>
              </w:rPr>
              <w:t>1</w:t>
            </w:r>
            <w:r>
              <w:rPr>
                <w:rFonts w:cs="Arial"/>
                <w:b/>
                <w:bCs/>
                <w:sz w:val="20"/>
                <w:szCs w:val="20"/>
              </w:rPr>
              <w:t>-2</w:t>
            </w:r>
            <w:r w:rsidR="002A5A05">
              <w:rPr>
                <w:rFonts w:cs="Arial"/>
                <w:b/>
                <w:bCs/>
                <w:sz w:val="20"/>
                <w:szCs w:val="20"/>
              </w:rPr>
              <w:t>2</w:t>
            </w:r>
          </w:p>
        </w:tc>
      </w:tr>
      <w:tr w:rsidR="000C2A54" w:rsidRPr="00676064" w14:paraId="0B8012E8" w14:textId="77777777" w:rsidTr="000C2A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right"/>
        </w:trPr>
        <w:tc>
          <w:tcPr>
            <w:tcW w:w="5760" w:type="dxa"/>
            <w:tcBorders>
              <w:top w:val="nil"/>
              <w:left w:val="nil"/>
              <w:bottom w:val="nil"/>
              <w:right w:val="nil"/>
            </w:tcBorders>
          </w:tcPr>
          <w:p w14:paraId="24EEF7FE" w14:textId="77777777" w:rsidR="000C2A54" w:rsidRPr="00676064" w:rsidRDefault="000C2A54" w:rsidP="000C2A54">
            <w:pPr>
              <w:widowControl w:val="0"/>
              <w:tabs>
                <w:tab w:val="left" w:pos="567"/>
                <w:tab w:val="right" w:pos="7371"/>
                <w:tab w:val="right" w:pos="9356"/>
              </w:tabs>
              <w:autoSpaceDE w:val="0"/>
              <w:autoSpaceDN w:val="0"/>
              <w:adjustRightInd w:val="0"/>
              <w:rPr>
                <w:rFonts w:cs="Arial"/>
                <w:bCs/>
              </w:rPr>
            </w:pPr>
          </w:p>
        </w:tc>
        <w:tc>
          <w:tcPr>
            <w:tcW w:w="1440" w:type="dxa"/>
            <w:tcBorders>
              <w:top w:val="nil"/>
              <w:left w:val="nil"/>
              <w:bottom w:val="nil"/>
              <w:right w:val="nil"/>
            </w:tcBorders>
          </w:tcPr>
          <w:p w14:paraId="7EAC88F0"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r w:rsidRPr="003061F1">
              <w:rPr>
                <w:rFonts w:cs="Arial"/>
                <w:b/>
                <w:bCs/>
                <w:sz w:val="20"/>
                <w:szCs w:val="20"/>
              </w:rPr>
              <w:t>£</w:t>
            </w:r>
          </w:p>
        </w:tc>
        <w:tc>
          <w:tcPr>
            <w:tcW w:w="1439" w:type="dxa"/>
            <w:tcBorders>
              <w:top w:val="nil"/>
              <w:left w:val="nil"/>
              <w:bottom w:val="nil"/>
              <w:right w:val="nil"/>
            </w:tcBorders>
          </w:tcPr>
          <w:p w14:paraId="3C0E4BD6"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r w:rsidRPr="003061F1">
              <w:rPr>
                <w:rFonts w:cs="Arial"/>
                <w:b/>
                <w:bCs/>
                <w:sz w:val="20"/>
                <w:szCs w:val="20"/>
              </w:rPr>
              <w:t>£</w:t>
            </w:r>
          </w:p>
        </w:tc>
      </w:tr>
      <w:tr w:rsidR="000C2A54" w:rsidRPr="00676064" w14:paraId="7BAF2CBD" w14:textId="77777777" w:rsidTr="000C2A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right"/>
        </w:trPr>
        <w:tc>
          <w:tcPr>
            <w:tcW w:w="5760" w:type="dxa"/>
            <w:tcBorders>
              <w:top w:val="nil"/>
              <w:left w:val="nil"/>
              <w:bottom w:val="nil"/>
              <w:right w:val="nil"/>
            </w:tcBorders>
          </w:tcPr>
          <w:p w14:paraId="4B6210AB"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r w:rsidRPr="003061F1">
              <w:rPr>
                <w:rFonts w:cs="Arial"/>
                <w:b/>
                <w:bCs/>
                <w:sz w:val="20"/>
                <w:szCs w:val="20"/>
              </w:rPr>
              <w:t>Balance at 1</w:t>
            </w:r>
            <w:r w:rsidRPr="003061F1">
              <w:rPr>
                <w:rFonts w:cs="Arial"/>
                <w:b/>
                <w:bCs/>
                <w:sz w:val="20"/>
                <w:szCs w:val="20"/>
                <w:vertAlign w:val="superscript"/>
              </w:rPr>
              <w:t xml:space="preserve"> </w:t>
            </w:r>
            <w:r w:rsidRPr="003061F1">
              <w:rPr>
                <w:rFonts w:cs="Arial"/>
                <w:b/>
                <w:bCs/>
                <w:sz w:val="20"/>
                <w:szCs w:val="20"/>
              </w:rPr>
              <w:t>April</w:t>
            </w:r>
          </w:p>
        </w:tc>
        <w:tc>
          <w:tcPr>
            <w:tcW w:w="1440" w:type="dxa"/>
            <w:tcBorders>
              <w:top w:val="nil"/>
              <w:left w:val="nil"/>
              <w:bottom w:val="nil"/>
              <w:right w:val="nil"/>
            </w:tcBorders>
          </w:tcPr>
          <w:p w14:paraId="0C26476B" w14:textId="477D37EE" w:rsidR="000C2A54" w:rsidRPr="003061F1" w:rsidRDefault="002A5A05"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541,738</w:t>
            </w:r>
          </w:p>
        </w:tc>
        <w:tc>
          <w:tcPr>
            <w:tcW w:w="1439" w:type="dxa"/>
            <w:tcBorders>
              <w:top w:val="nil"/>
              <w:left w:val="nil"/>
              <w:bottom w:val="nil"/>
              <w:right w:val="nil"/>
            </w:tcBorders>
          </w:tcPr>
          <w:p w14:paraId="338E7870" w14:textId="75C94F7D" w:rsidR="000C2A54" w:rsidRPr="003061F1" w:rsidRDefault="002A5A05"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340,338</w:t>
            </w:r>
          </w:p>
        </w:tc>
      </w:tr>
      <w:tr w:rsidR="000C2A54" w:rsidRPr="00676064" w14:paraId="70416FCC" w14:textId="77777777" w:rsidTr="000C2A54">
        <w:trPr>
          <w:jc w:val="right"/>
        </w:trPr>
        <w:tc>
          <w:tcPr>
            <w:tcW w:w="5760" w:type="dxa"/>
          </w:tcPr>
          <w:p w14:paraId="0A543684" w14:textId="77777777" w:rsidR="000C2A54" w:rsidRPr="003061F1" w:rsidRDefault="000C2A54" w:rsidP="000C2A54">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Net change in cash and cash equivalent balances</w:t>
            </w:r>
          </w:p>
        </w:tc>
        <w:tc>
          <w:tcPr>
            <w:tcW w:w="1440" w:type="dxa"/>
            <w:tcBorders>
              <w:bottom w:val="single" w:sz="4" w:space="0" w:color="auto"/>
            </w:tcBorders>
          </w:tcPr>
          <w:p w14:paraId="5BBC1023" w14:textId="41497172" w:rsidR="000C2A54" w:rsidRPr="003061F1" w:rsidRDefault="002A5A05"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14,868</w:t>
            </w:r>
          </w:p>
        </w:tc>
        <w:tc>
          <w:tcPr>
            <w:tcW w:w="1439" w:type="dxa"/>
            <w:tcBorders>
              <w:bottom w:val="single" w:sz="4" w:space="0" w:color="auto"/>
            </w:tcBorders>
          </w:tcPr>
          <w:p w14:paraId="58C3F2AB" w14:textId="1ED8E482" w:rsidR="000C2A54" w:rsidRPr="003061F1" w:rsidRDefault="002A5A05"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201,400</w:t>
            </w:r>
          </w:p>
        </w:tc>
      </w:tr>
      <w:tr w:rsidR="000C2A54" w:rsidRPr="00676064" w14:paraId="71D3046F" w14:textId="77777777" w:rsidTr="000C2A54">
        <w:trPr>
          <w:jc w:val="right"/>
        </w:trPr>
        <w:tc>
          <w:tcPr>
            <w:tcW w:w="5760" w:type="dxa"/>
          </w:tcPr>
          <w:p w14:paraId="196AD19C"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p>
          <w:p w14:paraId="31F801C0"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r w:rsidRPr="003061F1">
              <w:rPr>
                <w:rFonts w:cs="Arial"/>
                <w:b/>
                <w:bCs/>
                <w:sz w:val="20"/>
                <w:szCs w:val="20"/>
              </w:rPr>
              <w:t>Balance at 31 March</w:t>
            </w:r>
          </w:p>
        </w:tc>
        <w:tc>
          <w:tcPr>
            <w:tcW w:w="1440" w:type="dxa"/>
            <w:tcBorders>
              <w:top w:val="single" w:sz="4" w:space="0" w:color="auto"/>
              <w:bottom w:val="single" w:sz="4" w:space="0" w:color="auto"/>
            </w:tcBorders>
          </w:tcPr>
          <w:p w14:paraId="1267DF72" w14:textId="77777777" w:rsidR="00642BF8" w:rsidRDefault="00642BF8" w:rsidP="00642BF8">
            <w:pPr>
              <w:widowControl w:val="0"/>
              <w:tabs>
                <w:tab w:val="left" w:pos="567"/>
                <w:tab w:val="right" w:pos="7371"/>
                <w:tab w:val="right" w:pos="9356"/>
              </w:tabs>
              <w:autoSpaceDE w:val="0"/>
              <w:autoSpaceDN w:val="0"/>
              <w:adjustRightInd w:val="0"/>
              <w:jc w:val="right"/>
              <w:rPr>
                <w:rFonts w:cs="Arial"/>
                <w:b/>
                <w:bCs/>
                <w:sz w:val="20"/>
                <w:szCs w:val="20"/>
              </w:rPr>
            </w:pPr>
          </w:p>
          <w:p w14:paraId="35F3D0D6" w14:textId="10C3174B" w:rsidR="00567379" w:rsidRPr="003061F1" w:rsidRDefault="00567379" w:rsidP="00642BF8">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5</w:t>
            </w:r>
            <w:r w:rsidR="002A5A05">
              <w:rPr>
                <w:rFonts w:cs="Arial"/>
                <w:b/>
                <w:bCs/>
                <w:sz w:val="20"/>
                <w:szCs w:val="20"/>
              </w:rPr>
              <w:t>56,606</w:t>
            </w:r>
          </w:p>
        </w:tc>
        <w:tc>
          <w:tcPr>
            <w:tcW w:w="1439" w:type="dxa"/>
            <w:tcBorders>
              <w:top w:val="single" w:sz="4" w:space="0" w:color="auto"/>
              <w:bottom w:val="single" w:sz="4" w:space="0" w:color="auto"/>
            </w:tcBorders>
          </w:tcPr>
          <w:p w14:paraId="659F72F6" w14:textId="77777777" w:rsidR="00642BF8" w:rsidRDefault="00642BF8" w:rsidP="000C2A54">
            <w:pPr>
              <w:widowControl w:val="0"/>
              <w:tabs>
                <w:tab w:val="left" w:pos="567"/>
                <w:tab w:val="right" w:pos="7371"/>
                <w:tab w:val="right" w:pos="9356"/>
              </w:tabs>
              <w:autoSpaceDE w:val="0"/>
              <w:autoSpaceDN w:val="0"/>
              <w:adjustRightInd w:val="0"/>
              <w:jc w:val="right"/>
              <w:rPr>
                <w:rFonts w:cs="Arial"/>
                <w:b/>
                <w:bCs/>
                <w:sz w:val="20"/>
                <w:szCs w:val="20"/>
              </w:rPr>
            </w:pPr>
          </w:p>
          <w:p w14:paraId="310A43AD" w14:textId="6FD24AEF" w:rsidR="00567379" w:rsidRPr="003061F1" w:rsidRDefault="002A5A05"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541,738</w:t>
            </w:r>
          </w:p>
        </w:tc>
      </w:tr>
      <w:tr w:rsidR="000C2A54" w:rsidRPr="00676064" w14:paraId="412C41ED" w14:textId="77777777" w:rsidTr="000C2A54">
        <w:trPr>
          <w:jc w:val="right"/>
        </w:trPr>
        <w:tc>
          <w:tcPr>
            <w:tcW w:w="5760" w:type="dxa"/>
          </w:tcPr>
          <w:p w14:paraId="475E0631" w14:textId="77777777" w:rsidR="000C2A54" w:rsidRPr="00676064" w:rsidRDefault="000C2A54" w:rsidP="000C2A54">
            <w:pPr>
              <w:widowControl w:val="0"/>
              <w:tabs>
                <w:tab w:val="left" w:pos="567"/>
                <w:tab w:val="right" w:pos="7371"/>
                <w:tab w:val="right" w:pos="9356"/>
              </w:tabs>
              <w:autoSpaceDE w:val="0"/>
              <w:autoSpaceDN w:val="0"/>
              <w:adjustRightInd w:val="0"/>
              <w:rPr>
                <w:rFonts w:cs="Arial"/>
                <w:bCs/>
              </w:rPr>
            </w:pPr>
          </w:p>
        </w:tc>
        <w:tc>
          <w:tcPr>
            <w:tcW w:w="1440" w:type="dxa"/>
            <w:tcBorders>
              <w:top w:val="single" w:sz="4" w:space="0" w:color="auto"/>
            </w:tcBorders>
          </w:tcPr>
          <w:p w14:paraId="7D2066FB" w14:textId="77777777" w:rsidR="000C2A54" w:rsidRPr="00676064" w:rsidRDefault="000C2A54" w:rsidP="000C2A54">
            <w:pPr>
              <w:widowControl w:val="0"/>
              <w:tabs>
                <w:tab w:val="left" w:pos="567"/>
                <w:tab w:val="right" w:pos="7371"/>
                <w:tab w:val="right" w:pos="9356"/>
              </w:tabs>
              <w:autoSpaceDE w:val="0"/>
              <w:autoSpaceDN w:val="0"/>
              <w:adjustRightInd w:val="0"/>
              <w:jc w:val="right"/>
              <w:rPr>
                <w:rFonts w:cs="Arial"/>
                <w:bCs/>
              </w:rPr>
            </w:pPr>
          </w:p>
        </w:tc>
        <w:tc>
          <w:tcPr>
            <w:tcW w:w="1439" w:type="dxa"/>
            <w:tcBorders>
              <w:top w:val="single" w:sz="4" w:space="0" w:color="auto"/>
            </w:tcBorders>
          </w:tcPr>
          <w:p w14:paraId="5F1B9B93" w14:textId="77777777" w:rsidR="000C2A54" w:rsidRPr="00676064" w:rsidRDefault="000C2A54" w:rsidP="000C2A54">
            <w:pPr>
              <w:widowControl w:val="0"/>
              <w:tabs>
                <w:tab w:val="left" w:pos="567"/>
                <w:tab w:val="right" w:pos="7371"/>
                <w:tab w:val="right" w:pos="9356"/>
              </w:tabs>
              <w:autoSpaceDE w:val="0"/>
              <w:autoSpaceDN w:val="0"/>
              <w:adjustRightInd w:val="0"/>
              <w:jc w:val="right"/>
              <w:rPr>
                <w:rFonts w:cs="Arial"/>
                <w:bCs/>
              </w:rPr>
            </w:pPr>
          </w:p>
        </w:tc>
      </w:tr>
      <w:tr w:rsidR="000C2A54" w:rsidRPr="003061F1" w14:paraId="2FD72E66" w14:textId="77777777" w:rsidTr="000C2A54">
        <w:trPr>
          <w:jc w:val="right"/>
        </w:trPr>
        <w:tc>
          <w:tcPr>
            <w:tcW w:w="5760" w:type="dxa"/>
          </w:tcPr>
          <w:p w14:paraId="59E9EDAC" w14:textId="77777777" w:rsidR="000C2A54" w:rsidRPr="003061F1" w:rsidRDefault="000C2A54" w:rsidP="000C2A54">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The following balances at 31 March were held at:</w:t>
            </w:r>
          </w:p>
        </w:tc>
        <w:tc>
          <w:tcPr>
            <w:tcW w:w="1440" w:type="dxa"/>
          </w:tcPr>
          <w:p w14:paraId="7E4FD1BF"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Cs/>
                <w:sz w:val="20"/>
                <w:szCs w:val="20"/>
              </w:rPr>
            </w:pPr>
          </w:p>
        </w:tc>
        <w:tc>
          <w:tcPr>
            <w:tcW w:w="1439" w:type="dxa"/>
          </w:tcPr>
          <w:p w14:paraId="572E8CAA"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Cs/>
                <w:sz w:val="20"/>
                <w:szCs w:val="20"/>
              </w:rPr>
            </w:pPr>
          </w:p>
        </w:tc>
      </w:tr>
      <w:tr w:rsidR="000C2A54" w:rsidRPr="003061F1" w14:paraId="70BE2392" w14:textId="77777777" w:rsidTr="000C2A54">
        <w:trPr>
          <w:jc w:val="right"/>
        </w:trPr>
        <w:tc>
          <w:tcPr>
            <w:tcW w:w="5760" w:type="dxa"/>
          </w:tcPr>
          <w:p w14:paraId="6D1BD452" w14:textId="77777777" w:rsidR="000C2A54" w:rsidRPr="003061F1" w:rsidRDefault="000C2A54" w:rsidP="000C2A54">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Commercial banks and cash in hand</w:t>
            </w:r>
          </w:p>
        </w:tc>
        <w:tc>
          <w:tcPr>
            <w:tcW w:w="1440" w:type="dxa"/>
          </w:tcPr>
          <w:p w14:paraId="5FAD42C0" w14:textId="603492B4" w:rsidR="000C2A54" w:rsidRPr="003061F1" w:rsidRDefault="00567379"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5</w:t>
            </w:r>
            <w:r w:rsidR="002A5A05">
              <w:rPr>
                <w:rFonts w:cs="Arial"/>
                <w:bCs/>
                <w:sz w:val="20"/>
                <w:szCs w:val="20"/>
              </w:rPr>
              <w:t>56,606</w:t>
            </w:r>
          </w:p>
        </w:tc>
        <w:tc>
          <w:tcPr>
            <w:tcW w:w="1439" w:type="dxa"/>
          </w:tcPr>
          <w:p w14:paraId="14E6AE6C" w14:textId="7337963C" w:rsidR="000C2A54" w:rsidRPr="003061F1" w:rsidRDefault="002A5A05"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541,738</w:t>
            </w:r>
          </w:p>
        </w:tc>
      </w:tr>
      <w:tr w:rsidR="000C2A54" w:rsidRPr="003061F1" w14:paraId="106F9318" w14:textId="77777777" w:rsidTr="000C2A54">
        <w:trPr>
          <w:jc w:val="right"/>
        </w:trPr>
        <w:tc>
          <w:tcPr>
            <w:tcW w:w="5760" w:type="dxa"/>
          </w:tcPr>
          <w:p w14:paraId="49679D09"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p>
          <w:p w14:paraId="27004BFF"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r w:rsidRPr="003061F1">
              <w:rPr>
                <w:rFonts w:cs="Arial"/>
                <w:b/>
                <w:bCs/>
                <w:sz w:val="20"/>
                <w:szCs w:val="20"/>
              </w:rPr>
              <w:t>Balance at 31 March</w:t>
            </w:r>
          </w:p>
        </w:tc>
        <w:tc>
          <w:tcPr>
            <w:tcW w:w="1440" w:type="dxa"/>
            <w:tcBorders>
              <w:top w:val="single" w:sz="4" w:space="0" w:color="auto"/>
              <w:bottom w:val="single" w:sz="4" w:space="0" w:color="auto"/>
            </w:tcBorders>
          </w:tcPr>
          <w:p w14:paraId="5170346D" w14:textId="77777777" w:rsidR="00642BF8" w:rsidRDefault="00642BF8" w:rsidP="000C2A54">
            <w:pPr>
              <w:widowControl w:val="0"/>
              <w:tabs>
                <w:tab w:val="left" w:pos="567"/>
                <w:tab w:val="right" w:pos="7371"/>
                <w:tab w:val="right" w:pos="9356"/>
              </w:tabs>
              <w:autoSpaceDE w:val="0"/>
              <w:autoSpaceDN w:val="0"/>
              <w:adjustRightInd w:val="0"/>
              <w:jc w:val="right"/>
              <w:rPr>
                <w:rFonts w:cs="Arial"/>
                <w:b/>
                <w:bCs/>
                <w:sz w:val="20"/>
                <w:szCs w:val="20"/>
              </w:rPr>
            </w:pPr>
          </w:p>
          <w:p w14:paraId="58981BAD" w14:textId="43727859" w:rsidR="00567379"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5</w:t>
            </w:r>
            <w:r w:rsidR="002A5A05">
              <w:rPr>
                <w:rFonts w:cs="Arial"/>
                <w:b/>
                <w:bCs/>
                <w:sz w:val="20"/>
                <w:szCs w:val="20"/>
              </w:rPr>
              <w:t>56,606</w:t>
            </w:r>
          </w:p>
        </w:tc>
        <w:tc>
          <w:tcPr>
            <w:tcW w:w="1439" w:type="dxa"/>
            <w:tcBorders>
              <w:top w:val="single" w:sz="4" w:space="0" w:color="auto"/>
              <w:bottom w:val="single" w:sz="4" w:space="0" w:color="auto"/>
            </w:tcBorders>
          </w:tcPr>
          <w:p w14:paraId="5E6AB322" w14:textId="77777777" w:rsidR="00642BF8" w:rsidRDefault="00642BF8" w:rsidP="000C2A54">
            <w:pPr>
              <w:widowControl w:val="0"/>
              <w:tabs>
                <w:tab w:val="left" w:pos="567"/>
                <w:tab w:val="right" w:pos="7371"/>
                <w:tab w:val="right" w:pos="9356"/>
              </w:tabs>
              <w:autoSpaceDE w:val="0"/>
              <w:autoSpaceDN w:val="0"/>
              <w:adjustRightInd w:val="0"/>
              <w:jc w:val="right"/>
              <w:rPr>
                <w:rFonts w:cs="Arial"/>
                <w:b/>
                <w:bCs/>
                <w:sz w:val="20"/>
                <w:szCs w:val="20"/>
              </w:rPr>
            </w:pPr>
          </w:p>
          <w:p w14:paraId="3E66FFC9" w14:textId="07903D62" w:rsidR="00567379" w:rsidRPr="003061F1" w:rsidRDefault="002A5A05"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541,738</w:t>
            </w:r>
          </w:p>
        </w:tc>
      </w:tr>
    </w:tbl>
    <w:p w14:paraId="7525A322" w14:textId="2CA22EFE" w:rsidR="000C2A54" w:rsidRPr="00676064" w:rsidRDefault="000C2A54" w:rsidP="001E2AA0">
      <w:pPr>
        <w:widowControl w:val="0"/>
        <w:autoSpaceDE w:val="0"/>
        <w:autoSpaceDN w:val="0"/>
        <w:adjustRightInd w:val="0"/>
        <w:rPr>
          <w:rFonts w:cs="Arial"/>
          <w:b/>
          <w:bCs/>
        </w:rPr>
      </w:pPr>
      <w:r w:rsidRPr="00676064">
        <w:rPr>
          <w:rFonts w:cs="Arial"/>
          <w:b/>
          <w:bCs/>
        </w:rPr>
        <w:lastRenderedPageBreak/>
        <w:t>1</w:t>
      </w:r>
      <w:r w:rsidR="002A5A05">
        <w:rPr>
          <w:rFonts w:cs="Arial"/>
          <w:b/>
          <w:bCs/>
        </w:rPr>
        <w:t>2</w:t>
      </w:r>
      <w:r w:rsidRPr="00676064">
        <w:rPr>
          <w:rFonts w:cs="Arial"/>
          <w:b/>
          <w:bCs/>
        </w:rPr>
        <w:t>.</w:t>
      </w:r>
      <w:r w:rsidRPr="00676064">
        <w:rPr>
          <w:rFonts w:cs="Arial"/>
          <w:b/>
          <w:bCs/>
        </w:rPr>
        <w:tab/>
        <w:t xml:space="preserve">Trade payables and other current liabilities </w:t>
      </w:r>
    </w:p>
    <w:p w14:paraId="3FF03BA0" w14:textId="77777777" w:rsidR="000C2A54" w:rsidRPr="00676064" w:rsidRDefault="000C2A54" w:rsidP="000C2A54">
      <w:pPr>
        <w:widowControl w:val="0"/>
        <w:tabs>
          <w:tab w:val="left" w:pos="567"/>
          <w:tab w:val="right" w:pos="7371"/>
          <w:tab w:val="right" w:pos="8976"/>
        </w:tabs>
        <w:autoSpaceDE w:val="0"/>
        <w:autoSpaceDN w:val="0"/>
        <w:adjustRightInd w:val="0"/>
        <w:rPr>
          <w:rFonts w:cs="Arial"/>
          <w:b/>
          <w:bCs/>
        </w:rPr>
      </w:pPr>
    </w:p>
    <w:tbl>
      <w:tblPr>
        <w:tblW w:w="8640" w:type="dxa"/>
        <w:jc w:val="right"/>
        <w:tblLook w:val="01E0" w:firstRow="1" w:lastRow="1" w:firstColumn="1" w:lastColumn="1" w:noHBand="0" w:noVBand="0"/>
      </w:tblPr>
      <w:tblGrid>
        <w:gridCol w:w="5761"/>
        <w:gridCol w:w="1440"/>
        <w:gridCol w:w="1439"/>
      </w:tblGrid>
      <w:tr w:rsidR="000C2A54" w:rsidRPr="00676064" w14:paraId="2C73EBAE" w14:textId="77777777" w:rsidTr="000C2A54">
        <w:trPr>
          <w:jc w:val="right"/>
        </w:trPr>
        <w:tc>
          <w:tcPr>
            <w:tcW w:w="5761" w:type="dxa"/>
          </w:tcPr>
          <w:p w14:paraId="7E2C2EBB"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p>
        </w:tc>
        <w:tc>
          <w:tcPr>
            <w:tcW w:w="1440" w:type="dxa"/>
          </w:tcPr>
          <w:p w14:paraId="0009B253" w14:textId="61B1CAC2" w:rsidR="000C2A54"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20</w:t>
            </w:r>
            <w:r w:rsidR="00642BF8">
              <w:rPr>
                <w:rFonts w:cs="Arial"/>
                <w:b/>
                <w:bCs/>
                <w:sz w:val="20"/>
                <w:szCs w:val="20"/>
              </w:rPr>
              <w:t>2</w:t>
            </w:r>
            <w:r w:rsidR="002A58CE">
              <w:rPr>
                <w:rFonts w:cs="Arial"/>
                <w:b/>
                <w:bCs/>
                <w:sz w:val="20"/>
                <w:szCs w:val="20"/>
              </w:rPr>
              <w:t>2</w:t>
            </w:r>
            <w:r>
              <w:rPr>
                <w:rFonts w:cs="Arial"/>
                <w:b/>
                <w:bCs/>
                <w:sz w:val="20"/>
                <w:szCs w:val="20"/>
              </w:rPr>
              <w:t>-2</w:t>
            </w:r>
            <w:r w:rsidR="002A58CE">
              <w:rPr>
                <w:rFonts w:cs="Arial"/>
                <w:b/>
                <w:bCs/>
                <w:sz w:val="20"/>
                <w:szCs w:val="20"/>
              </w:rPr>
              <w:t>3</w:t>
            </w:r>
          </w:p>
        </w:tc>
        <w:tc>
          <w:tcPr>
            <w:tcW w:w="1439" w:type="dxa"/>
          </w:tcPr>
          <w:p w14:paraId="0F0ACD55" w14:textId="5BFF9C82" w:rsidR="000C2A54"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20</w:t>
            </w:r>
            <w:r w:rsidR="00642BF8">
              <w:rPr>
                <w:rFonts w:cs="Arial"/>
                <w:b/>
                <w:bCs/>
                <w:sz w:val="20"/>
                <w:szCs w:val="20"/>
              </w:rPr>
              <w:t>2</w:t>
            </w:r>
            <w:r w:rsidR="002A58CE">
              <w:rPr>
                <w:rFonts w:cs="Arial"/>
                <w:b/>
                <w:bCs/>
                <w:sz w:val="20"/>
                <w:szCs w:val="20"/>
              </w:rPr>
              <w:t>1</w:t>
            </w:r>
            <w:r>
              <w:rPr>
                <w:rFonts w:cs="Arial"/>
                <w:b/>
                <w:bCs/>
                <w:sz w:val="20"/>
                <w:szCs w:val="20"/>
              </w:rPr>
              <w:t>-2</w:t>
            </w:r>
            <w:r w:rsidR="002A58CE">
              <w:rPr>
                <w:rFonts w:cs="Arial"/>
                <w:b/>
                <w:bCs/>
                <w:sz w:val="20"/>
                <w:szCs w:val="20"/>
              </w:rPr>
              <w:t>2</w:t>
            </w:r>
          </w:p>
        </w:tc>
      </w:tr>
      <w:tr w:rsidR="000C2A54" w:rsidRPr="00676064" w14:paraId="19B8E1C9" w14:textId="77777777" w:rsidTr="000C2A54">
        <w:trPr>
          <w:jc w:val="right"/>
        </w:trPr>
        <w:tc>
          <w:tcPr>
            <w:tcW w:w="5761" w:type="dxa"/>
          </w:tcPr>
          <w:p w14:paraId="76254360"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p>
        </w:tc>
        <w:tc>
          <w:tcPr>
            <w:tcW w:w="1440" w:type="dxa"/>
          </w:tcPr>
          <w:p w14:paraId="0E96A759"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r w:rsidRPr="003061F1">
              <w:rPr>
                <w:rFonts w:cs="Arial"/>
                <w:b/>
                <w:bCs/>
                <w:sz w:val="20"/>
                <w:szCs w:val="20"/>
              </w:rPr>
              <w:t>£</w:t>
            </w:r>
          </w:p>
        </w:tc>
        <w:tc>
          <w:tcPr>
            <w:tcW w:w="1439" w:type="dxa"/>
          </w:tcPr>
          <w:p w14:paraId="449EC358"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r w:rsidRPr="003061F1">
              <w:rPr>
                <w:rFonts w:cs="Arial"/>
                <w:b/>
                <w:bCs/>
                <w:sz w:val="20"/>
                <w:szCs w:val="20"/>
              </w:rPr>
              <w:t>£</w:t>
            </w:r>
          </w:p>
        </w:tc>
      </w:tr>
      <w:tr w:rsidR="000C2A54" w:rsidRPr="00676064" w14:paraId="4242107E" w14:textId="77777777" w:rsidTr="000C2A54">
        <w:trPr>
          <w:jc w:val="right"/>
        </w:trPr>
        <w:tc>
          <w:tcPr>
            <w:tcW w:w="5761" w:type="dxa"/>
          </w:tcPr>
          <w:p w14:paraId="64BA9530"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r w:rsidRPr="003061F1">
              <w:rPr>
                <w:rFonts w:cs="Arial"/>
                <w:b/>
                <w:bCs/>
                <w:sz w:val="20"/>
                <w:szCs w:val="20"/>
              </w:rPr>
              <w:t>Amounts falling due within one year:</w:t>
            </w:r>
          </w:p>
        </w:tc>
        <w:tc>
          <w:tcPr>
            <w:tcW w:w="1440" w:type="dxa"/>
          </w:tcPr>
          <w:p w14:paraId="64FA42FA"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p>
        </w:tc>
        <w:tc>
          <w:tcPr>
            <w:tcW w:w="1439" w:type="dxa"/>
          </w:tcPr>
          <w:p w14:paraId="6FE86A47"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p>
        </w:tc>
      </w:tr>
      <w:tr w:rsidR="002B6EF7" w:rsidRPr="00676064" w14:paraId="0EB339B9" w14:textId="77777777" w:rsidTr="000C2A54">
        <w:trPr>
          <w:jc w:val="right"/>
        </w:trPr>
        <w:tc>
          <w:tcPr>
            <w:tcW w:w="5761" w:type="dxa"/>
          </w:tcPr>
          <w:p w14:paraId="7B7F7E6C" w14:textId="77777777" w:rsidR="002B6EF7" w:rsidRPr="003061F1" w:rsidRDefault="002B6EF7" w:rsidP="002B6EF7">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Taxation and social security</w:t>
            </w:r>
          </w:p>
        </w:tc>
        <w:tc>
          <w:tcPr>
            <w:tcW w:w="1440" w:type="dxa"/>
          </w:tcPr>
          <w:p w14:paraId="6521EE77" w14:textId="5E89D652" w:rsidR="002B6EF7" w:rsidRPr="003061F1" w:rsidRDefault="00567379"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3</w:t>
            </w:r>
            <w:r w:rsidR="002A58CE">
              <w:rPr>
                <w:rFonts w:cs="Arial"/>
                <w:bCs/>
                <w:sz w:val="20"/>
                <w:szCs w:val="20"/>
              </w:rPr>
              <w:t>3,653</w:t>
            </w:r>
          </w:p>
        </w:tc>
        <w:tc>
          <w:tcPr>
            <w:tcW w:w="1439" w:type="dxa"/>
          </w:tcPr>
          <w:p w14:paraId="61C64789" w14:textId="0CA781A3" w:rsidR="002B6EF7" w:rsidRPr="003061F1" w:rsidRDefault="002A58CE"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35,058</w:t>
            </w:r>
          </w:p>
        </w:tc>
      </w:tr>
      <w:tr w:rsidR="002B6EF7" w:rsidRPr="00676064" w14:paraId="4101B7A2" w14:textId="77777777" w:rsidTr="000C2A54">
        <w:trPr>
          <w:jc w:val="right"/>
        </w:trPr>
        <w:tc>
          <w:tcPr>
            <w:tcW w:w="5761" w:type="dxa"/>
          </w:tcPr>
          <w:p w14:paraId="0CBA37B7" w14:textId="77777777" w:rsidR="002B6EF7" w:rsidRPr="003061F1" w:rsidRDefault="002B6EF7" w:rsidP="007B2D55">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Trade</w:t>
            </w:r>
            <w:r w:rsidR="00256432">
              <w:rPr>
                <w:rFonts w:cs="Arial"/>
                <w:bCs/>
                <w:sz w:val="20"/>
                <w:szCs w:val="20"/>
              </w:rPr>
              <w:t xml:space="preserve"> </w:t>
            </w:r>
            <w:r w:rsidRPr="003061F1">
              <w:rPr>
                <w:rFonts w:cs="Arial"/>
                <w:bCs/>
                <w:sz w:val="20"/>
                <w:szCs w:val="20"/>
              </w:rPr>
              <w:t>payables</w:t>
            </w:r>
          </w:p>
        </w:tc>
        <w:tc>
          <w:tcPr>
            <w:tcW w:w="1440" w:type="dxa"/>
          </w:tcPr>
          <w:p w14:paraId="5EF82239" w14:textId="5AF73513" w:rsidR="002B6EF7" w:rsidRPr="003061F1" w:rsidRDefault="002A58CE"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942</w:t>
            </w:r>
          </w:p>
        </w:tc>
        <w:tc>
          <w:tcPr>
            <w:tcW w:w="1439" w:type="dxa"/>
          </w:tcPr>
          <w:p w14:paraId="7045CE21" w14:textId="1F45803D" w:rsidR="002B6EF7" w:rsidRPr="003061F1" w:rsidRDefault="002A58CE"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948</w:t>
            </w:r>
          </w:p>
        </w:tc>
      </w:tr>
      <w:tr w:rsidR="002B6EF7" w:rsidRPr="00676064" w14:paraId="6EB8E94C" w14:textId="77777777" w:rsidTr="000C2A54">
        <w:trPr>
          <w:jc w:val="right"/>
        </w:trPr>
        <w:tc>
          <w:tcPr>
            <w:tcW w:w="5761" w:type="dxa"/>
          </w:tcPr>
          <w:p w14:paraId="79EE8E33" w14:textId="77777777" w:rsidR="002B6EF7" w:rsidRPr="003061F1" w:rsidRDefault="002B6EF7" w:rsidP="002B6EF7">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Other payables</w:t>
            </w:r>
          </w:p>
        </w:tc>
        <w:tc>
          <w:tcPr>
            <w:tcW w:w="1440" w:type="dxa"/>
          </w:tcPr>
          <w:p w14:paraId="4FD23E40" w14:textId="223CDE35" w:rsidR="002B6EF7" w:rsidRPr="003061F1" w:rsidRDefault="002A58CE"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5,252</w:t>
            </w:r>
          </w:p>
        </w:tc>
        <w:tc>
          <w:tcPr>
            <w:tcW w:w="1439" w:type="dxa"/>
          </w:tcPr>
          <w:p w14:paraId="4FAB03AD" w14:textId="3E106020" w:rsidR="002B6EF7" w:rsidRPr="003061F1" w:rsidRDefault="002A58CE"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1,158</w:t>
            </w:r>
          </w:p>
        </w:tc>
      </w:tr>
      <w:tr w:rsidR="002B6EF7" w:rsidRPr="00676064" w14:paraId="661BEB78" w14:textId="77777777" w:rsidTr="000C2A54">
        <w:trPr>
          <w:jc w:val="right"/>
        </w:trPr>
        <w:tc>
          <w:tcPr>
            <w:tcW w:w="5761" w:type="dxa"/>
          </w:tcPr>
          <w:p w14:paraId="46DB0690" w14:textId="77777777" w:rsidR="002B6EF7" w:rsidRPr="003061F1" w:rsidRDefault="002B6EF7" w:rsidP="002B6EF7">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Accruals</w:t>
            </w:r>
          </w:p>
        </w:tc>
        <w:tc>
          <w:tcPr>
            <w:tcW w:w="1440" w:type="dxa"/>
          </w:tcPr>
          <w:p w14:paraId="5B97A930" w14:textId="780DB891" w:rsidR="002B6EF7" w:rsidRPr="003061F1" w:rsidRDefault="002A58CE"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285,521</w:t>
            </w:r>
          </w:p>
        </w:tc>
        <w:tc>
          <w:tcPr>
            <w:tcW w:w="1439" w:type="dxa"/>
          </w:tcPr>
          <w:p w14:paraId="64427F56" w14:textId="556AFED0" w:rsidR="002B6EF7" w:rsidRPr="003061F1" w:rsidRDefault="002A58CE"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182,166</w:t>
            </w:r>
          </w:p>
        </w:tc>
      </w:tr>
      <w:tr w:rsidR="002B6EF7" w:rsidRPr="00676064" w14:paraId="4D2EB684" w14:textId="77777777" w:rsidTr="000C2A54">
        <w:trPr>
          <w:jc w:val="right"/>
        </w:trPr>
        <w:tc>
          <w:tcPr>
            <w:tcW w:w="5761" w:type="dxa"/>
          </w:tcPr>
          <w:p w14:paraId="582543A4" w14:textId="77777777" w:rsidR="002B6EF7" w:rsidRPr="003061F1" w:rsidRDefault="002B6EF7" w:rsidP="002B6EF7">
            <w:pPr>
              <w:widowControl w:val="0"/>
              <w:tabs>
                <w:tab w:val="left" w:pos="567"/>
                <w:tab w:val="right" w:pos="7371"/>
                <w:tab w:val="right" w:pos="9356"/>
              </w:tabs>
              <w:autoSpaceDE w:val="0"/>
              <w:autoSpaceDN w:val="0"/>
              <w:adjustRightInd w:val="0"/>
              <w:rPr>
                <w:rFonts w:cs="Arial"/>
                <w:b/>
                <w:bCs/>
                <w:sz w:val="20"/>
                <w:szCs w:val="20"/>
              </w:rPr>
            </w:pPr>
          </w:p>
          <w:p w14:paraId="28A0DDBF" w14:textId="77777777" w:rsidR="002B6EF7" w:rsidRPr="003061F1" w:rsidRDefault="002B6EF7" w:rsidP="002B6EF7">
            <w:pPr>
              <w:widowControl w:val="0"/>
              <w:tabs>
                <w:tab w:val="left" w:pos="567"/>
                <w:tab w:val="right" w:pos="7371"/>
                <w:tab w:val="right" w:pos="9356"/>
              </w:tabs>
              <w:autoSpaceDE w:val="0"/>
              <w:autoSpaceDN w:val="0"/>
              <w:adjustRightInd w:val="0"/>
              <w:rPr>
                <w:rFonts w:cs="Arial"/>
                <w:b/>
                <w:bCs/>
                <w:sz w:val="20"/>
                <w:szCs w:val="20"/>
              </w:rPr>
            </w:pPr>
          </w:p>
        </w:tc>
        <w:tc>
          <w:tcPr>
            <w:tcW w:w="1440" w:type="dxa"/>
            <w:tcBorders>
              <w:top w:val="single" w:sz="4" w:space="0" w:color="auto"/>
              <w:bottom w:val="single" w:sz="4" w:space="0" w:color="auto"/>
            </w:tcBorders>
          </w:tcPr>
          <w:p w14:paraId="3E67A2D5" w14:textId="77777777" w:rsidR="00BF0DCC" w:rsidRDefault="00BF0DCC" w:rsidP="002B6EF7">
            <w:pPr>
              <w:widowControl w:val="0"/>
              <w:tabs>
                <w:tab w:val="left" w:pos="567"/>
                <w:tab w:val="right" w:pos="7371"/>
                <w:tab w:val="right" w:pos="9356"/>
              </w:tabs>
              <w:autoSpaceDE w:val="0"/>
              <w:autoSpaceDN w:val="0"/>
              <w:adjustRightInd w:val="0"/>
              <w:jc w:val="right"/>
              <w:rPr>
                <w:rFonts w:cs="Arial"/>
                <w:b/>
                <w:bCs/>
                <w:sz w:val="20"/>
                <w:szCs w:val="20"/>
              </w:rPr>
            </w:pPr>
          </w:p>
          <w:p w14:paraId="28DE92EE" w14:textId="3337BE3C" w:rsidR="00567379" w:rsidRPr="003061F1" w:rsidRDefault="002A58CE" w:rsidP="002B6EF7">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325,368</w:t>
            </w:r>
          </w:p>
        </w:tc>
        <w:tc>
          <w:tcPr>
            <w:tcW w:w="1439" w:type="dxa"/>
            <w:tcBorders>
              <w:top w:val="single" w:sz="4" w:space="0" w:color="auto"/>
              <w:bottom w:val="single" w:sz="4" w:space="0" w:color="auto"/>
            </w:tcBorders>
          </w:tcPr>
          <w:p w14:paraId="7DB78E39" w14:textId="77777777" w:rsidR="00642BF8" w:rsidRDefault="00642BF8" w:rsidP="002B6EF7">
            <w:pPr>
              <w:widowControl w:val="0"/>
              <w:tabs>
                <w:tab w:val="left" w:pos="567"/>
                <w:tab w:val="right" w:pos="7371"/>
                <w:tab w:val="right" w:pos="9356"/>
              </w:tabs>
              <w:autoSpaceDE w:val="0"/>
              <w:autoSpaceDN w:val="0"/>
              <w:adjustRightInd w:val="0"/>
              <w:jc w:val="right"/>
              <w:rPr>
                <w:rFonts w:cs="Arial"/>
                <w:b/>
                <w:bCs/>
                <w:sz w:val="20"/>
                <w:szCs w:val="20"/>
              </w:rPr>
            </w:pPr>
          </w:p>
          <w:p w14:paraId="05D811C7" w14:textId="32B5E3AA" w:rsidR="00567379" w:rsidRPr="003061F1" w:rsidRDefault="00567379" w:rsidP="002B6EF7">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w:t>
            </w:r>
            <w:r w:rsidR="002A58CE">
              <w:rPr>
                <w:rFonts w:cs="Arial"/>
                <w:b/>
                <w:bCs/>
                <w:sz w:val="20"/>
                <w:szCs w:val="20"/>
              </w:rPr>
              <w:t>19,330</w:t>
            </w:r>
          </w:p>
        </w:tc>
      </w:tr>
    </w:tbl>
    <w:p w14:paraId="4F5E3AD5" w14:textId="57E79CBD" w:rsidR="00250101" w:rsidRDefault="00250101">
      <w:pPr>
        <w:rPr>
          <w:b/>
          <w:sz w:val="22"/>
          <w:szCs w:val="22"/>
        </w:rPr>
      </w:pPr>
    </w:p>
    <w:p w14:paraId="6BEB94FA" w14:textId="222B6625" w:rsidR="000C2A54" w:rsidRPr="00EB5423" w:rsidRDefault="000C2A54" w:rsidP="000C2A54">
      <w:pPr>
        <w:rPr>
          <w:b/>
          <w:sz w:val="22"/>
          <w:szCs w:val="22"/>
        </w:rPr>
      </w:pPr>
      <w:r w:rsidRPr="00EB5423">
        <w:rPr>
          <w:b/>
          <w:sz w:val="22"/>
          <w:szCs w:val="22"/>
        </w:rPr>
        <w:t>1</w:t>
      </w:r>
      <w:r w:rsidR="002A5A05">
        <w:rPr>
          <w:b/>
          <w:sz w:val="22"/>
          <w:szCs w:val="22"/>
        </w:rPr>
        <w:t>3</w:t>
      </w:r>
      <w:r w:rsidRPr="00EB5423">
        <w:rPr>
          <w:b/>
          <w:sz w:val="22"/>
          <w:szCs w:val="22"/>
        </w:rPr>
        <w:t xml:space="preserve">. </w:t>
      </w:r>
      <w:r w:rsidRPr="002E138D">
        <w:rPr>
          <w:b/>
        </w:rPr>
        <w:t>Provisions for liabilities and charges</w:t>
      </w:r>
    </w:p>
    <w:p w14:paraId="47BF32B5" w14:textId="77777777" w:rsidR="000C2A54" w:rsidRPr="00EB5423" w:rsidRDefault="000C2A54" w:rsidP="000C2A54">
      <w:pPr>
        <w:pStyle w:val="BodyTextIndent2"/>
        <w:spacing w:after="0" w:line="240" w:lineRule="auto"/>
        <w:ind w:left="567" w:hanging="567"/>
        <w:rPr>
          <w:rFonts w:ascii="Verdana" w:hAnsi="Verdana"/>
          <w:b/>
          <w:sz w:val="22"/>
          <w:szCs w:val="22"/>
        </w:rPr>
      </w:pP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906"/>
        <w:gridCol w:w="1559"/>
      </w:tblGrid>
      <w:tr w:rsidR="00477ABD" w14:paraId="21935AB0" w14:textId="77777777" w:rsidTr="007E1108">
        <w:tc>
          <w:tcPr>
            <w:tcW w:w="1501" w:type="dxa"/>
          </w:tcPr>
          <w:p w14:paraId="0D091536" w14:textId="77777777" w:rsidR="00477ABD" w:rsidRPr="00EA0107" w:rsidRDefault="00477ABD" w:rsidP="000C2A54">
            <w:pPr>
              <w:pStyle w:val="BodyTextIndent2"/>
              <w:spacing w:after="0" w:line="240" w:lineRule="auto"/>
              <w:ind w:left="0"/>
              <w:rPr>
                <w:rFonts w:ascii="Verdana" w:hAnsi="Verdana"/>
                <w:b/>
                <w:sz w:val="20"/>
                <w:szCs w:val="20"/>
              </w:rPr>
            </w:pPr>
          </w:p>
        </w:tc>
        <w:tc>
          <w:tcPr>
            <w:tcW w:w="1906" w:type="dxa"/>
          </w:tcPr>
          <w:p w14:paraId="307F68B9" w14:textId="770A6AFD" w:rsidR="00477ABD" w:rsidRPr="00EA0107" w:rsidRDefault="00477ABD" w:rsidP="00EA0107">
            <w:pPr>
              <w:pStyle w:val="BodyTextIndent2"/>
              <w:spacing w:after="0" w:line="240" w:lineRule="auto"/>
              <w:ind w:left="0"/>
              <w:jc w:val="center"/>
              <w:rPr>
                <w:rFonts w:ascii="Verdana" w:hAnsi="Verdana"/>
                <w:b/>
                <w:sz w:val="20"/>
                <w:szCs w:val="20"/>
              </w:rPr>
            </w:pPr>
            <w:r>
              <w:rPr>
                <w:rFonts w:ascii="Verdana" w:hAnsi="Verdana"/>
                <w:b/>
                <w:sz w:val="20"/>
                <w:szCs w:val="20"/>
              </w:rPr>
              <w:t>2022-23</w:t>
            </w:r>
          </w:p>
        </w:tc>
        <w:tc>
          <w:tcPr>
            <w:tcW w:w="1559" w:type="dxa"/>
          </w:tcPr>
          <w:p w14:paraId="22E14C36" w14:textId="54B92796" w:rsidR="00477ABD" w:rsidRPr="00EA0107" w:rsidRDefault="00477ABD" w:rsidP="00EA0107">
            <w:pPr>
              <w:pStyle w:val="BodyTextIndent2"/>
              <w:spacing w:after="0" w:line="240" w:lineRule="auto"/>
              <w:ind w:left="0"/>
              <w:jc w:val="center"/>
              <w:rPr>
                <w:rFonts w:ascii="Verdana" w:hAnsi="Verdana"/>
                <w:b/>
                <w:sz w:val="20"/>
                <w:szCs w:val="20"/>
              </w:rPr>
            </w:pPr>
            <w:r>
              <w:rPr>
                <w:rFonts w:ascii="Verdana" w:hAnsi="Verdana"/>
                <w:b/>
                <w:sz w:val="20"/>
                <w:szCs w:val="20"/>
              </w:rPr>
              <w:t>2022-23</w:t>
            </w:r>
          </w:p>
        </w:tc>
      </w:tr>
      <w:tr w:rsidR="00477ABD" w14:paraId="37874938" w14:textId="77777777" w:rsidTr="007E1108">
        <w:tc>
          <w:tcPr>
            <w:tcW w:w="1501" w:type="dxa"/>
          </w:tcPr>
          <w:p w14:paraId="2D0AE496" w14:textId="77777777" w:rsidR="00477ABD" w:rsidRPr="00EA0107" w:rsidRDefault="00477ABD" w:rsidP="000C2A54">
            <w:pPr>
              <w:pStyle w:val="BodyTextIndent2"/>
              <w:spacing w:after="0" w:line="240" w:lineRule="auto"/>
              <w:ind w:left="0"/>
              <w:rPr>
                <w:rFonts w:ascii="Verdana" w:hAnsi="Verdana"/>
                <w:b/>
                <w:sz w:val="20"/>
                <w:szCs w:val="20"/>
              </w:rPr>
            </w:pPr>
          </w:p>
        </w:tc>
        <w:tc>
          <w:tcPr>
            <w:tcW w:w="1906" w:type="dxa"/>
          </w:tcPr>
          <w:p w14:paraId="15F00F62" w14:textId="77777777" w:rsidR="00477ABD" w:rsidRPr="00EA0107" w:rsidRDefault="00477ABD" w:rsidP="00EA0107">
            <w:pPr>
              <w:pStyle w:val="BodyTextIndent2"/>
              <w:spacing w:after="0" w:line="240" w:lineRule="auto"/>
              <w:ind w:left="0"/>
              <w:jc w:val="center"/>
              <w:rPr>
                <w:rFonts w:ascii="Verdana" w:hAnsi="Verdana"/>
                <w:b/>
                <w:sz w:val="20"/>
                <w:szCs w:val="20"/>
              </w:rPr>
            </w:pPr>
            <w:r w:rsidRPr="00EA0107">
              <w:rPr>
                <w:rFonts w:ascii="Verdana" w:hAnsi="Verdana"/>
                <w:b/>
                <w:sz w:val="20"/>
                <w:szCs w:val="20"/>
              </w:rPr>
              <w:t>Other</w:t>
            </w:r>
          </w:p>
        </w:tc>
        <w:tc>
          <w:tcPr>
            <w:tcW w:w="1559" w:type="dxa"/>
          </w:tcPr>
          <w:p w14:paraId="358AE19E" w14:textId="77777777" w:rsidR="00477ABD" w:rsidRPr="00EA0107" w:rsidRDefault="00477ABD" w:rsidP="00EA0107">
            <w:pPr>
              <w:pStyle w:val="BodyTextIndent2"/>
              <w:spacing w:after="0" w:line="240" w:lineRule="auto"/>
              <w:ind w:left="0"/>
              <w:jc w:val="center"/>
              <w:rPr>
                <w:rFonts w:ascii="Verdana" w:hAnsi="Verdana"/>
                <w:b/>
                <w:sz w:val="20"/>
                <w:szCs w:val="20"/>
              </w:rPr>
            </w:pPr>
            <w:r w:rsidRPr="00EA0107">
              <w:rPr>
                <w:rFonts w:ascii="Verdana" w:hAnsi="Verdana"/>
                <w:b/>
                <w:sz w:val="20"/>
                <w:szCs w:val="20"/>
              </w:rPr>
              <w:t>Total</w:t>
            </w:r>
          </w:p>
        </w:tc>
      </w:tr>
      <w:tr w:rsidR="00477ABD" w14:paraId="0A19BDBC" w14:textId="77777777" w:rsidTr="007E1108">
        <w:tc>
          <w:tcPr>
            <w:tcW w:w="1501" w:type="dxa"/>
          </w:tcPr>
          <w:p w14:paraId="5C10AFDA" w14:textId="77777777" w:rsidR="00477ABD" w:rsidRPr="00EA0107" w:rsidRDefault="00477ABD" w:rsidP="000C2A54">
            <w:pPr>
              <w:pStyle w:val="BodyTextIndent2"/>
              <w:spacing w:after="0" w:line="240" w:lineRule="auto"/>
              <w:ind w:left="0"/>
              <w:rPr>
                <w:rFonts w:ascii="Verdana" w:hAnsi="Verdana"/>
                <w:b/>
                <w:sz w:val="20"/>
                <w:szCs w:val="20"/>
              </w:rPr>
            </w:pPr>
          </w:p>
        </w:tc>
        <w:tc>
          <w:tcPr>
            <w:tcW w:w="1906" w:type="dxa"/>
          </w:tcPr>
          <w:p w14:paraId="0737151E" w14:textId="77777777" w:rsidR="00477ABD" w:rsidRPr="00EA0107" w:rsidRDefault="00477ABD" w:rsidP="00EA0107">
            <w:pPr>
              <w:pStyle w:val="BodyTextIndent2"/>
              <w:spacing w:after="0" w:line="240" w:lineRule="auto"/>
              <w:ind w:left="0"/>
              <w:jc w:val="center"/>
              <w:rPr>
                <w:rFonts w:ascii="Verdana" w:hAnsi="Verdana"/>
                <w:b/>
                <w:sz w:val="20"/>
                <w:szCs w:val="20"/>
              </w:rPr>
            </w:pPr>
            <w:r w:rsidRPr="00EA0107">
              <w:rPr>
                <w:rFonts w:ascii="Verdana" w:hAnsi="Verdana"/>
                <w:b/>
                <w:sz w:val="20"/>
                <w:szCs w:val="20"/>
              </w:rPr>
              <w:t>£</w:t>
            </w:r>
          </w:p>
        </w:tc>
        <w:tc>
          <w:tcPr>
            <w:tcW w:w="1559" w:type="dxa"/>
          </w:tcPr>
          <w:p w14:paraId="6731C7FC" w14:textId="77777777" w:rsidR="00477ABD" w:rsidRPr="00EA0107" w:rsidRDefault="00477ABD" w:rsidP="00EA0107">
            <w:pPr>
              <w:pStyle w:val="BodyTextIndent2"/>
              <w:spacing w:after="0" w:line="240" w:lineRule="auto"/>
              <w:ind w:left="0"/>
              <w:jc w:val="center"/>
              <w:rPr>
                <w:rFonts w:ascii="Verdana" w:hAnsi="Verdana"/>
                <w:b/>
                <w:sz w:val="20"/>
                <w:szCs w:val="20"/>
              </w:rPr>
            </w:pPr>
            <w:r w:rsidRPr="00EA0107">
              <w:rPr>
                <w:rFonts w:ascii="Verdana" w:hAnsi="Verdana"/>
                <w:b/>
                <w:sz w:val="20"/>
                <w:szCs w:val="20"/>
              </w:rPr>
              <w:t>£</w:t>
            </w:r>
          </w:p>
        </w:tc>
      </w:tr>
      <w:tr w:rsidR="00477ABD" w14:paraId="1C4C6400" w14:textId="77777777" w:rsidTr="007E1108">
        <w:tc>
          <w:tcPr>
            <w:tcW w:w="1501" w:type="dxa"/>
          </w:tcPr>
          <w:p w14:paraId="18907FDC" w14:textId="77777777" w:rsidR="00477ABD" w:rsidRPr="00EA0107" w:rsidRDefault="00477ABD" w:rsidP="000C2A54">
            <w:pPr>
              <w:pStyle w:val="BodyTextIndent2"/>
              <w:spacing w:after="0" w:line="240" w:lineRule="auto"/>
              <w:ind w:left="0"/>
              <w:rPr>
                <w:rFonts w:ascii="Verdana" w:hAnsi="Verdana"/>
                <w:b/>
                <w:sz w:val="20"/>
                <w:szCs w:val="20"/>
              </w:rPr>
            </w:pPr>
            <w:r w:rsidRPr="00EA0107">
              <w:rPr>
                <w:rFonts w:ascii="Verdana" w:hAnsi="Verdana"/>
                <w:b/>
                <w:sz w:val="20"/>
                <w:szCs w:val="20"/>
              </w:rPr>
              <w:t>Balance at 1 April</w:t>
            </w:r>
          </w:p>
        </w:tc>
        <w:tc>
          <w:tcPr>
            <w:tcW w:w="1906" w:type="dxa"/>
          </w:tcPr>
          <w:p w14:paraId="7A85D4FD" w14:textId="77777777" w:rsidR="00477ABD" w:rsidRDefault="00477ABD" w:rsidP="00CA7A3B">
            <w:pPr>
              <w:pStyle w:val="BodyTextIndent2"/>
              <w:spacing w:after="0" w:line="240" w:lineRule="auto"/>
              <w:ind w:left="0"/>
              <w:jc w:val="right"/>
              <w:rPr>
                <w:rFonts w:ascii="Verdana" w:hAnsi="Verdana"/>
                <w:sz w:val="20"/>
                <w:szCs w:val="20"/>
              </w:rPr>
            </w:pPr>
          </w:p>
          <w:p w14:paraId="7B48E558" w14:textId="77777777" w:rsidR="00477ABD" w:rsidRPr="00EA0107" w:rsidRDefault="00477ABD" w:rsidP="00CA7A3B">
            <w:pPr>
              <w:pStyle w:val="BodyTextIndent2"/>
              <w:spacing w:after="0" w:line="240" w:lineRule="auto"/>
              <w:ind w:left="0"/>
              <w:jc w:val="right"/>
              <w:rPr>
                <w:rFonts w:ascii="Verdana" w:hAnsi="Verdana"/>
                <w:sz w:val="20"/>
                <w:szCs w:val="20"/>
              </w:rPr>
            </w:pPr>
            <w:r>
              <w:rPr>
                <w:rFonts w:ascii="Verdana" w:hAnsi="Verdana"/>
                <w:sz w:val="20"/>
                <w:szCs w:val="20"/>
              </w:rPr>
              <w:t>75,000</w:t>
            </w:r>
          </w:p>
        </w:tc>
        <w:tc>
          <w:tcPr>
            <w:tcW w:w="1559" w:type="dxa"/>
          </w:tcPr>
          <w:p w14:paraId="36934F7D" w14:textId="77777777" w:rsidR="00477ABD" w:rsidRDefault="00477ABD" w:rsidP="00CA7A3B">
            <w:pPr>
              <w:pStyle w:val="BodyTextIndent2"/>
              <w:spacing w:after="0" w:line="240" w:lineRule="auto"/>
              <w:ind w:left="0"/>
              <w:jc w:val="right"/>
              <w:rPr>
                <w:rFonts w:ascii="Verdana" w:hAnsi="Verdana"/>
                <w:sz w:val="20"/>
                <w:szCs w:val="20"/>
              </w:rPr>
            </w:pPr>
          </w:p>
          <w:p w14:paraId="4C5D4540" w14:textId="77777777" w:rsidR="00477ABD" w:rsidRPr="00EA0107" w:rsidRDefault="00477ABD" w:rsidP="00CA7A3B">
            <w:pPr>
              <w:pStyle w:val="BodyTextIndent2"/>
              <w:spacing w:after="0" w:line="240" w:lineRule="auto"/>
              <w:ind w:left="0"/>
              <w:jc w:val="right"/>
              <w:rPr>
                <w:rFonts w:ascii="Verdana" w:hAnsi="Verdana"/>
                <w:sz w:val="20"/>
                <w:szCs w:val="20"/>
              </w:rPr>
            </w:pPr>
            <w:r>
              <w:rPr>
                <w:rFonts w:ascii="Verdana" w:hAnsi="Verdana"/>
                <w:sz w:val="20"/>
                <w:szCs w:val="20"/>
              </w:rPr>
              <w:t>75,000</w:t>
            </w:r>
          </w:p>
        </w:tc>
      </w:tr>
      <w:tr w:rsidR="00477ABD" w14:paraId="1D1BB746" w14:textId="77777777" w:rsidTr="007E1108">
        <w:tc>
          <w:tcPr>
            <w:tcW w:w="1501" w:type="dxa"/>
          </w:tcPr>
          <w:p w14:paraId="39A51051" w14:textId="77777777" w:rsidR="00477ABD" w:rsidRDefault="00477ABD" w:rsidP="000C2A54">
            <w:pPr>
              <w:pStyle w:val="BodyTextIndent2"/>
              <w:spacing w:after="0" w:line="240" w:lineRule="auto"/>
              <w:ind w:left="0"/>
              <w:rPr>
                <w:rFonts w:ascii="Verdana" w:hAnsi="Verdana"/>
                <w:sz w:val="20"/>
                <w:szCs w:val="20"/>
              </w:rPr>
            </w:pPr>
          </w:p>
          <w:p w14:paraId="0C6FD5BC" w14:textId="77777777" w:rsidR="00477ABD" w:rsidRPr="00EA0107" w:rsidRDefault="00477ABD" w:rsidP="000C2A54">
            <w:pPr>
              <w:pStyle w:val="BodyTextIndent2"/>
              <w:spacing w:after="0" w:line="240" w:lineRule="auto"/>
              <w:ind w:left="0"/>
              <w:rPr>
                <w:rFonts w:ascii="Verdana" w:hAnsi="Verdana"/>
                <w:sz w:val="20"/>
                <w:szCs w:val="20"/>
              </w:rPr>
            </w:pPr>
            <w:r w:rsidRPr="00EA0107">
              <w:rPr>
                <w:rFonts w:ascii="Verdana" w:hAnsi="Verdana"/>
                <w:sz w:val="20"/>
                <w:szCs w:val="20"/>
              </w:rPr>
              <w:t>Provided in-year</w:t>
            </w:r>
          </w:p>
        </w:tc>
        <w:tc>
          <w:tcPr>
            <w:tcW w:w="1906" w:type="dxa"/>
          </w:tcPr>
          <w:p w14:paraId="39674CC3" w14:textId="77777777" w:rsidR="00477ABD" w:rsidRDefault="00477ABD" w:rsidP="00CA7A3B">
            <w:pPr>
              <w:pStyle w:val="BodyTextIndent2"/>
              <w:spacing w:after="0" w:line="240" w:lineRule="auto"/>
              <w:ind w:left="0"/>
              <w:jc w:val="right"/>
              <w:rPr>
                <w:rFonts w:ascii="Verdana" w:hAnsi="Verdana"/>
                <w:sz w:val="20"/>
                <w:szCs w:val="20"/>
              </w:rPr>
            </w:pPr>
          </w:p>
          <w:p w14:paraId="4AF8A8E9" w14:textId="77777777" w:rsidR="00477ABD" w:rsidRDefault="00477ABD" w:rsidP="00CA7A3B">
            <w:pPr>
              <w:pStyle w:val="BodyTextIndent2"/>
              <w:spacing w:after="0" w:line="240" w:lineRule="auto"/>
              <w:ind w:left="0"/>
              <w:jc w:val="right"/>
              <w:rPr>
                <w:rFonts w:ascii="Verdana" w:hAnsi="Verdana"/>
                <w:sz w:val="20"/>
                <w:szCs w:val="20"/>
              </w:rPr>
            </w:pPr>
          </w:p>
          <w:p w14:paraId="4074C4D7" w14:textId="77777777" w:rsidR="00477ABD" w:rsidRPr="00EA0107" w:rsidRDefault="00477ABD" w:rsidP="00CA7A3B">
            <w:pPr>
              <w:pStyle w:val="BodyTextIndent2"/>
              <w:spacing w:after="0" w:line="240" w:lineRule="auto"/>
              <w:ind w:left="0"/>
              <w:jc w:val="right"/>
              <w:rPr>
                <w:rFonts w:ascii="Verdana" w:hAnsi="Verdana"/>
                <w:sz w:val="20"/>
                <w:szCs w:val="20"/>
              </w:rPr>
            </w:pPr>
            <w:r>
              <w:rPr>
                <w:rFonts w:ascii="Verdana" w:hAnsi="Verdana"/>
                <w:sz w:val="20"/>
                <w:szCs w:val="20"/>
              </w:rPr>
              <w:t>0</w:t>
            </w:r>
          </w:p>
        </w:tc>
        <w:tc>
          <w:tcPr>
            <w:tcW w:w="1559" w:type="dxa"/>
          </w:tcPr>
          <w:p w14:paraId="5AB04FE9" w14:textId="77777777" w:rsidR="00477ABD" w:rsidRDefault="00477ABD" w:rsidP="00CA7A3B">
            <w:pPr>
              <w:pStyle w:val="BodyTextIndent2"/>
              <w:spacing w:after="0" w:line="240" w:lineRule="auto"/>
              <w:ind w:left="0"/>
              <w:jc w:val="right"/>
              <w:rPr>
                <w:rFonts w:ascii="Verdana" w:hAnsi="Verdana"/>
                <w:sz w:val="20"/>
                <w:szCs w:val="20"/>
              </w:rPr>
            </w:pPr>
          </w:p>
          <w:p w14:paraId="38F67563" w14:textId="77777777" w:rsidR="00477ABD" w:rsidRDefault="00477ABD" w:rsidP="00CA7A3B">
            <w:pPr>
              <w:pStyle w:val="BodyTextIndent2"/>
              <w:spacing w:after="0" w:line="240" w:lineRule="auto"/>
              <w:ind w:left="0"/>
              <w:jc w:val="right"/>
              <w:rPr>
                <w:rFonts w:ascii="Verdana" w:hAnsi="Verdana"/>
                <w:sz w:val="20"/>
                <w:szCs w:val="20"/>
              </w:rPr>
            </w:pPr>
          </w:p>
          <w:p w14:paraId="62022557" w14:textId="77777777" w:rsidR="00477ABD" w:rsidRPr="00EA0107" w:rsidRDefault="00477ABD" w:rsidP="00CA7A3B">
            <w:pPr>
              <w:pStyle w:val="BodyTextIndent2"/>
              <w:spacing w:after="0" w:line="240" w:lineRule="auto"/>
              <w:ind w:left="0"/>
              <w:jc w:val="right"/>
              <w:rPr>
                <w:rFonts w:ascii="Verdana" w:hAnsi="Verdana"/>
                <w:sz w:val="20"/>
                <w:szCs w:val="20"/>
              </w:rPr>
            </w:pPr>
            <w:r>
              <w:rPr>
                <w:rFonts w:ascii="Verdana" w:hAnsi="Verdana"/>
                <w:sz w:val="20"/>
                <w:szCs w:val="20"/>
              </w:rPr>
              <w:t>0</w:t>
            </w:r>
          </w:p>
        </w:tc>
      </w:tr>
      <w:tr w:rsidR="00477ABD" w14:paraId="0CC42D64" w14:textId="77777777" w:rsidTr="007E1108">
        <w:tc>
          <w:tcPr>
            <w:tcW w:w="1501" w:type="dxa"/>
          </w:tcPr>
          <w:p w14:paraId="4B52C648" w14:textId="77777777" w:rsidR="00477ABD" w:rsidRDefault="00477ABD" w:rsidP="000C2A54">
            <w:pPr>
              <w:pStyle w:val="BodyTextIndent2"/>
              <w:spacing w:after="0" w:line="240" w:lineRule="auto"/>
              <w:ind w:left="0"/>
              <w:rPr>
                <w:rFonts w:ascii="Verdana" w:hAnsi="Verdana"/>
                <w:sz w:val="20"/>
                <w:szCs w:val="20"/>
              </w:rPr>
            </w:pPr>
          </w:p>
          <w:p w14:paraId="418D876E" w14:textId="77777777" w:rsidR="00477ABD" w:rsidRPr="00EA0107" w:rsidRDefault="00477ABD" w:rsidP="000C2A54">
            <w:pPr>
              <w:pStyle w:val="BodyTextIndent2"/>
              <w:spacing w:after="0" w:line="240" w:lineRule="auto"/>
              <w:ind w:left="0"/>
              <w:rPr>
                <w:rFonts w:ascii="Verdana" w:hAnsi="Verdana"/>
                <w:sz w:val="20"/>
                <w:szCs w:val="20"/>
              </w:rPr>
            </w:pPr>
            <w:r w:rsidRPr="00EA0107">
              <w:rPr>
                <w:rFonts w:ascii="Verdana" w:hAnsi="Verdana"/>
                <w:sz w:val="20"/>
                <w:szCs w:val="20"/>
              </w:rPr>
              <w:t>Provisions written off in-year</w:t>
            </w:r>
          </w:p>
        </w:tc>
        <w:tc>
          <w:tcPr>
            <w:tcW w:w="1906" w:type="dxa"/>
            <w:tcBorders>
              <w:bottom w:val="single" w:sz="4" w:space="0" w:color="auto"/>
            </w:tcBorders>
          </w:tcPr>
          <w:p w14:paraId="6D91678B" w14:textId="77777777" w:rsidR="00477ABD" w:rsidRDefault="00477ABD" w:rsidP="00CA7A3B">
            <w:pPr>
              <w:pStyle w:val="BodyTextIndent2"/>
              <w:spacing w:after="0" w:line="240" w:lineRule="auto"/>
              <w:ind w:left="0"/>
              <w:jc w:val="right"/>
              <w:rPr>
                <w:rFonts w:ascii="Verdana" w:hAnsi="Verdana"/>
                <w:sz w:val="20"/>
                <w:szCs w:val="20"/>
              </w:rPr>
            </w:pPr>
          </w:p>
          <w:p w14:paraId="7E3E1E80" w14:textId="77777777" w:rsidR="00477ABD" w:rsidRDefault="00477ABD" w:rsidP="00CA7A3B">
            <w:pPr>
              <w:pStyle w:val="BodyTextIndent2"/>
              <w:spacing w:after="0" w:line="240" w:lineRule="auto"/>
              <w:ind w:left="0"/>
              <w:jc w:val="right"/>
              <w:rPr>
                <w:rFonts w:ascii="Verdana" w:hAnsi="Verdana"/>
                <w:sz w:val="20"/>
                <w:szCs w:val="20"/>
              </w:rPr>
            </w:pPr>
          </w:p>
          <w:p w14:paraId="302520FE" w14:textId="77777777" w:rsidR="00477ABD" w:rsidRPr="00EA0107" w:rsidRDefault="00477ABD" w:rsidP="00CA7A3B">
            <w:pPr>
              <w:pStyle w:val="BodyTextIndent2"/>
              <w:spacing w:after="0" w:line="240" w:lineRule="auto"/>
              <w:ind w:left="0"/>
              <w:jc w:val="right"/>
              <w:rPr>
                <w:rFonts w:ascii="Verdana" w:hAnsi="Verdana"/>
                <w:sz w:val="20"/>
                <w:szCs w:val="20"/>
              </w:rPr>
            </w:pPr>
            <w:r>
              <w:rPr>
                <w:rFonts w:ascii="Verdana" w:hAnsi="Verdana"/>
                <w:sz w:val="20"/>
                <w:szCs w:val="20"/>
              </w:rPr>
              <w:t>0</w:t>
            </w:r>
          </w:p>
        </w:tc>
        <w:tc>
          <w:tcPr>
            <w:tcW w:w="1559" w:type="dxa"/>
            <w:tcBorders>
              <w:bottom w:val="single" w:sz="4" w:space="0" w:color="auto"/>
            </w:tcBorders>
          </w:tcPr>
          <w:p w14:paraId="1B6F79EE" w14:textId="77777777" w:rsidR="00477ABD" w:rsidRDefault="00477ABD" w:rsidP="00CA7A3B">
            <w:pPr>
              <w:pStyle w:val="BodyTextIndent2"/>
              <w:spacing w:after="0" w:line="240" w:lineRule="auto"/>
              <w:ind w:left="0"/>
              <w:jc w:val="right"/>
              <w:rPr>
                <w:rFonts w:ascii="Verdana" w:hAnsi="Verdana"/>
                <w:sz w:val="20"/>
                <w:szCs w:val="20"/>
              </w:rPr>
            </w:pPr>
          </w:p>
          <w:p w14:paraId="1EA56825" w14:textId="77777777" w:rsidR="00477ABD" w:rsidRDefault="00477ABD" w:rsidP="00CA7A3B">
            <w:pPr>
              <w:pStyle w:val="BodyTextIndent2"/>
              <w:spacing w:after="0" w:line="240" w:lineRule="auto"/>
              <w:ind w:left="0"/>
              <w:jc w:val="right"/>
              <w:rPr>
                <w:rFonts w:ascii="Verdana" w:hAnsi="Verdana"/>
                <w:sz w:val="20"/>
                <w:szCs w:val="20"/>
              </w:rPr>
            </w:pPr>
          </w:p>
          <w:p w14:paraId="4A990E43" w14:textId="77777777" w:rsidR="00477ABD" w:rsidRPr="00EA0107" w:rsidRDefault="00477ABD" w:rsidP="00CA7A3B">
            <w:pPr>
              <w:pStyle w:val="BodyTextIndent2"/>
              <w:spacing w:after="0" w:line="240" w:lineRule="auto"/>
              <w:ind w:left="0"/>
              <w:jc w:val="right"/>
              <w:rPr>
                <w:rFonts w:ascii="Verdana" w:hAnsi="Verdana"/>
                <w:sz w:val="20"/>
                <w:szCs w:val="20"/>
              </w:rPr>
            </w:pPr>
            <w:r>
              <w:rPr>
                <w:rFonts w:ascii="Verdana" w:hAnsi="Verdana"/>
                <w:sz w:val="20"/>
                <w:szCs w:val="20"/>
              </w:rPr>
              <w:t>0</w:t>
            </w:r>
          </w:p>
        </w:tc>
      </w:tr>
      <w:tr w:rsidR="00477ABD" w14:paraId="0E84FE93" w14:textId="77777777" w:rsidTr="007E1108">
        <w:tc>
          <w:tcPr>
            <w:tcW w:w="1501" w:type="dxa"/>
          </w:tcPr>
          <w:p w14:paraId="5D0E0B33" w14:textId="77777777" w:rsidR="00477ABD" w:rsidRDefault="00477ABD" w:rsidP="000C2A54">
            <w:pPr>
              <w:pStyle w:val="BodyTextIndent2"/>
              <w:spacing w:after="0" w:line="240" w:lineRule="auto"/>
              <w:ind w:left="0"/>
              <w:rPr>
                <w:rFonts w:ascii="Verdana" w:hAnsi="Verdana"/>
                <w:b/>
                <w:sz w:val="20"/>
                <w:szCs w:val="20"/>
              </w:rPr>
            </w:pPr>
          </w:p>
          <w:p w14:paraId="7ED0945E" w14:textId="77777777" w:rsidR="00477ABD" w:rsidRPr="00EA0107" w:rsidRDefault="00477ABD" w:rsidP="000C2A54">
            <w:pPr>
              <w:pStyle w:val="BodyTextIndent2"/>
              <w:spacing w:after="0" w:line="240" w:lineRule="auto"/>
              <w:ind w:left="0"/>
              <w:rPr>
                <w:rFonts w:ascii="Verdana" w:hAnsi="Verdana"/>
                <w:b/>
                <w:sz w:val="20"/>
                <w:szCs w:val="20"/>
              </w:rPr>
            </w:pPr>
            <w:r w:rsidRPr="00EA0107">
              <w:rPr>
                <w:rFonts w:ascii="Verdana" w:hAnsi="Verdana"/>
                <w:b/>
                <w:sz w:val="20"/>
                <w:szCs w:val="20"/>
              </w:rPr>
              <w:t>Balance at 31 March</w:t>
            </w:r>
          </w:p>
        </w:tc>
        <w:tc>
          <w:tcPr>
            <w:tcW w:w="1906" w:type="dxa"/>
            <w:tcBorders>
              <w:top w:val="single" w:sz="4" w:space="0" w:color="auto"/>
              <w:bottom w:val="single" w:sz="4" w:space="0" w:color="auto"/>
            </w:tcBorders>
          </w:tcPr>
          <w:p w14:paraId="22D8C91F" w14:textId="77777777" w:rsidR="00477ABD" w:rsidRDefault="00477ABD" w:rsidP="00CA7A3B">
            <w:pPr>
              <w:pStyle w:val="BodyTextIndent2"/>
              <w:spacing w:after="0" w:line="240" w:lineRule="auto"/>
              <w:ind w:left="0"/>
              <w:jc w:val="right"/>
              <w:rPr>
                <w:rFonts w:ascii="Verdana" w:hAnsi="Verdana"/>
                <w:b/>
                <w:sz w:val="20"/>
                <w:szCs w:val="20"/>
              </w:rPr>
            </w:pPr>
          </w:p>
          <w:p w14:paraId="71A85E2F" w14:textId="77777777" w:rsidR="00477ABD" w:rsidRDefault="00477ABD" w:rsidP="00CA7A3B">
            <w:pPr>
              <w:pStyle w:val="BodyTextIndent2"/>
              <w:spacing w:after="0" w:line="240" w:lineRule="auto"/>
              <w:ind w:left="0"/>
              <w:jc w:val="right"/>
              <w:rPr>
                <w:rFonts w:ascii="Verdana" w:hAnsi="Verdana"/>
                <w:b/>
                <w:sz w:val="20"/>
                <w:szCs w:val="20"/>
              </w:rPr>
            </w:pPr>
          </w:p>
          <w:p w14:paraId="63322C8E" w14:textId="77777777" w:rsidR="00477ABD" w:rsidRPr="00EA0107" w:rsidRDefault="00477ABD" w:rsidP="00CA7A3B">
            <w:pPr>
              <w:pStyle w:val="BodyTextIndent2"/>
              <w:spacing w:after="0" w:line="240" w:lineRule="auto"/>
              <w:ind w:left="0"/>
              <w:jc w:val="right"/>
              <w:rPr>
                <w:rFonts w:ascii="Verdana" w:hAnsi="Verdana"/>
                <w:b/>
                <w:sz w:val="20"/>
                <w:szCs w:val="20"/>
              </w:rPr>
            </w:pPr>
            <w:r>
              <w:rPr>
                <w:rFonts w:ascii="Verdana" w:hAnsi="Verdana"/>
                <w:b/>
                <w:sz w:val="20"/>
                <w:szCs w:val="20"/>
              </w:rPr>
              <w:t>75,000</w:t>
            </w:r>
          </w:p>
        </w:tc>
        <w:tc>
          <w:tcPr>
            <w:tcW w:w="1559" w:type="dxa"/>
            <w:tcBorders>
              <w:top w:val="single" w:sz="4" w:space="0" w:color="auto"/>
              <w:bottom w:val="single" w:sz="4" w:space="0" w:color="auto"/>
            </w:tcBorders>
          </w:tcPr>
          <w:p w14:paraId="16E42A9D" w14:textId="77777777" w:rsidR="00477ABD" w:rsidRDefault="00477ABD" w:rsidP="00CA7A3B">
            <w:pPr>
              <w:pStyle w:val="BodyTextIndent2"/>
              <w:spacing w:after="0" w:line="240" w:lineRule="auto"/>
              <w:ind w:left="0"/>
              <w:jc w:val="right"/>
              <w:rPr>
                <w:rFonts w:ascii="Verdana" w:hAnsi="Verdana"/>
                <w:b/>
                <w:sz w:val="20"/>
                <w:szCs w:val="20"/>
              </w:rPr>
            </w:pPr>
          </w:p>
          <w:p w14:paraId="4A439982" w14:textId="77777777" w:rsidR="00477ABD" w:rsidRDefault="00477ABD" w:rsidP="00CA7A3B">
            <w:pPr>
              <w:pStyle w:val="BodyTextIndent2"/>
              <w:spacing w:after="0" w:line="240" w:lineRule="auto"/>
              <w:ind w:left="0"/>
              <w:jc w:val="right"/>
              <w:rPr>
                <w:rFonts w:ascii="Verdana" w:hAnsi="Verdana"/>
                <w:b/>
                <w:sz w:val="20"/>
                <w:szCs w:val="20"/>
              </w:rPr>
            </w:pPr>
          </w:p>
          <w:p w14:paraId="1E64ED37" w14:textId="77777777" w:rsidR="00477ABD" w:rsidRPr="00EA0107" w:rsidRDefault="00477ABD" w:rsidP="00CA7A3B">
            <w:pPr>
              <w:pStyle w:val="BodyTextIndent2"/>
              <w:spacing w:after="0" w:line="240" w:lineRule="auto"/>
              <w:ind w:left="0"/>
              <w:jc w:val="right"/>
              <w:rPr>
                <w:rFonts w:ascii="Verdana" w:hAnsi="Verdana"/>
                <w:b/>
                <w:sz w:val="20"/>
                <w:szCs w:val="20"/>
              </w:rPr>
            </w:pPr>
            <w:r>
              <w:rPr>
                <w:rFonts w:ascii="Verdana" w:hAnsi="Verdana"/>
                <w:b/>
                <w:sz w:val="20"/>
                <w:szCs w:val="20"/>
              </w:rPr>
              <w:t>75,000</w:t>
            </w:r>
          </w:p>
        </w:tc>
      </w:tr>
    </w:tbl>
    <w:p w14:paraId="1F2704C7" w14:textId="77777777" w:rsidR="00CA7A3B" w:rsidRDefault="00CA7A3B" w:rsidP="000C2A54">
      <w:pPr>
        <w:pStyle w:val="BodyTextIndent2"/>
        <w:spacing w:after="0" w:line="240" w:lineRule="auto"/>
        <w:ind w:left="567" w:hanging="567"/>
        <w:rPr>
          <w:rFonts w:ascii="Verdana" w:hAnsi="Verdana"/>
          <w:b/>
          <w:sz w:val="22"/>
          <w:szCs w:val="22"/>
        </w:rPr>
      </w:pPr>
    </w:p>
    <w:p w14:paraId="36EF02B0" w14:textId="77777777" w:rsidR="000C2A54" w:rsidRPr="00EB5423" w:rsidRDefault="000C2A54" w:rsidP="000C2A54">
      <w:pPr>
        <w:pStyle w:val="BodyTextIndent2"/>
        <w:spacing w:after="0" w:line="240" w:lineRule="auto"/>
        <w:ind w:left="567" w:hanging="567"/>
        <w:rPr>
          <w:rFonts w:ascii="Verdana" w:hAnsi="Verdana"/>
          <w:b/>
          <w:sz w:val="22"/>
          <w:szCs w:val="22"/>
        </w:rPr>
      </w:pPr>
      <w:r w:rsidRPr="00EB5423">
        <w:rPr>
          <w:rFonts w:ascii="Verdana" w:hAnsi="Verdana"/>
          <w:b/>
          <w:sz w:val="22"/>
          <w:szCs w:val="22"/>
        </w:rPr>
        <w:tab/>
      </w:r>
      <w:r w:rsidRPr="00EB5423">
        <w:rPr>
          <w:rFonts w:ascii="Verdana" w:hAnsi="Verdana"/>
          <w:b/>
          <w:sz w:val="22"/>
          <w:szCs w:val="22"/>
        </w:rPr>
        <w:tab/>
      </w:r>
      <w:r w:rsidRPr="00EB5423">
        <w:rPr>
          <w:rFonts w:ascii="Verdana" w:hAnsi="Verdana"/>
          <w:b/>
          <w:sz w:val="22"/>
          <w:szCs w:val="22"/>
        </w:rPr>
        <w:tab/>
      </w:r>
      <w:r w:rsidRPr="00EB5423">
        <w:rPr>
          <w:rFonts w:ascii="Verdana" w:hAnsi="Verdana"/>
          <w:b/>
          <w:sz w:val="22"/>
          <w:szCs w:val="22"/>
        </w:rPr>
        <w:tab/>
      </w:r>
    </w:p>
    <w:p w14:paraId="0A46DCDA" w14:textId="011044C7" w:rsidR="000C2A54" w:rsidRDefault="00642BF8" w:rsidP="000C2A54">
      <w:r>
        <w:t>The amount of £75</w:t>
      </w:r>
      <w:r w:rsidR="00634673">
        <w:t xml:space="preserve">,000 </w:t>
      </w:r>
      <w:r w:rsidR="002A58CE">
        <w:t>in the 2022-23 above figures</w:t>
      </w:r>
      <w:r>
        <w:t xml:space="preserve"> </w:t>
      </w:r>
      <w:r w:rsidR="002A58CE">
        <w:t>relates to</w:t>
      </w:r>
      <w:r w:rsidR="00634673">
        <w:t xml:space="preserve"> provision </w:t>
      </w:r>
      <w:r w:rsidR="00D33D70">
        <w:t xml:space="preserve">made </w:t>
      </w:r>
      <w:r w:rsidR="00AB5D96">
        <w:t>for</w:t>
      </w:r>
      <w:r>
        <w:t xml:space="preserve"> the estimated</w:t>
      </w:r>
      <w:r w:rsidR="00AB5D96">
        <w:t xml:space="preserve"> </w:t>
      </w:r>
      <w:r>
        <w:t>dilapidation costs at the end of the Commission’s ten year lease for its premises in Alfred Street, Belfast.</w:t>
      </w:r>
      <w:r w:rsidR="008D3513">
        <w:t xml:space="preserve">  The Commission’s lease allows for a 5 year break clause which</w:t>
      </w:r>
      <w:r w:rsidR="005E340A">
        <w:t>, at present, the Commission does not plan to exercise.</w:t>
      </w:r>
    </w:p>
    <w:p w14:paraId="4EE25983" w14:textId="77777777" w:rsidR="004A60FF" w:rsidRDefault="004A60FF" w:rsidP="00EF4A8A">
      <w:pPr>
        <w:rPr>
          <w:b/>
        </w:rPr>
      </w:pPr>
    </w:p>
    <w:p w14:paraId="733900EC" w14:textId="4ABC79C6" w:rsidR="000C2A54" w:rsidRPr="001B78C1" w:rsidRDefault="000C2A54" w:rsidP="000C2A54">
      <w:pPr>
        <w:ind w:left="567" w:hanging="567"/>
        <w:rPr>
          <w:b/>
          <w:color w:val="FF0000"/>
        </w:rPr>
      </w:pPr>
      <w:r w:rsidRPr="003F2009">
        <w:rPr>
          <w:b/>
        </w:rPr>
        <w:t>1</w:t>
      </w:r>
      <w:r w:rsidR="00EF4A8A">
        <w:rPr>
          <w:b/>
        </w:rPr>
        <w:t>4</w:t>
      </w:r>
      <w:r w:rsidRPr="003F2009">
        <w:rPr>
          <w:b/>
        </w:rPr>
        <w:t>.</w:t>
      </w:r>
      <w:r w:rsidRPr="003F2009">
        <w:rPr>
          <w:b/>
        </w:rPr>
        <w:tab/>
        <w:t>Contingent liabilities disclosed under IAS 37</w:t>
      </w:r>
      <w:r w:rsidR="001B78C1">
        <w:rPr>
          <w:b/>
        </w:rPr>
        <w:t xml:space="preserve"> </w:t>
      </w:r>
    </w:p>
    <w:p w14:paraId="6CE561FB" w14:textId="77777777" w:rsidR="000C2A54" w:rsidRPr="003F2009" w:rsidRDefault="000C2A54" w:rsidP="000C2A54"/>
    <w:p w14:paraId="28EBFC77" w14:textId="77777777" w:rsidR="00DB69B7" w:rsidRDefault="000C2A54" w:rsidP="00065202">
      <w:pPr>
        <w:widowControl w:val="0"/>
        <w:tabs>
          <w:tab w:val="left" w:pos="567"/>
        </w:tabs>
        <w:autoSpaceDE w:val="0"/>
        <w:autoSpaceDN w:val="0"/>
        <w:adjustRightInd w:val="0"/>
        <w:ind w:left="567" w:hanging="567"/>
      </w:pPr>
      <w:r w:rsidRPr="003F2009">
        <w:tab/>
        <w:t>The Commission</w:t>
      </w:r>
      <w:r w:rsidR="00507D74">
        <w:t xml:space="preserve"> has </w:t>
      </w:r>
      <w:r w:rsidR="002A58CE">
        <w:t>a</w:t>
      </w:r>
      <w:r w:rsidR="00507D74">
        <w:t xml:space="preserve"> contingent liabilit</w:t>
      </w:r>
      <w:r w:rsidR="002A58CE">
        <w:t>y of £</w:t>
      </w:r>
      <w:r w:rsidR="0050369A">
        <w:t>107,583</w:t>
      </w:r>
      <w:r w:rsidR="00DE1D34">
        <w:t xml:space="preserve"> for 2022-23</w:t>
      </w:r>
      <w:r w:rsidR="002A58CE">
        <w:t xml:space="preserve"> for </w:t>
      </w:r>
      <w:r w:rsidR="00DB69B7">
        <w:t>two ongoing</w:t>
      </w:r>
      <w:r w:rsidR="002A58CE">
        <w:t xml:space="preserve"> legal case</w:t>
      </w:r>
      <w:r w:rsidR="00DB69B7">
        <w:t>s.</w:t>
      </w:r>
    </w:p>
    <w:p w14:paraId="5DCC7E04" w14:textId="77777777" w:rsidR="00DB69B7" w:rsidRDefault="00DB69B7" w:rsidP="00065202">
      <w:pPr>
        <w:widowControl w:val="0"/>
        <w:tabs>
          <w:tab w:val="left" w:pos="567"/>
        </w:tabs>
        <w:autoSpaceDE w:val="0"/>
        <w:autoSpaceDN w:val="0"/>
        <w:adjustRightInd w:val="0"/>
        <w:ind w:left="567" w:hanging="567"/>
      </w:pPr>
    </w:p>
    <w:p w14:paraId="6116F924" w14:textId="0B593BCE" w:rsidR="00600FB7" w:rsidRDefault="00DB69B7" w:rsidP="00065202">
      <w:pPr>
        <w:widowControl w:val="0"/>
        <w:tabs>
          <w:tab w:val="left" w:pos="567"/>
        </w:tabs>
        <w:autoSpaceDE w:val="0"/>
        <w:autoSpaceDN w:val="0"/>
        <w:adjustRightInd w:val="0"/>
        <w:ind w:left="567" w:hanging="567"/>
      </w:pPr>
      <w:r>
        <w:tab/>
      </w:r>
      <w:r w:rsidR="00600FB7">
        <w:t xml:space="preserve">One legal case has a contingent liability of £67,233 </w:t>
      </w:r>
      <w:r w:rsidR="0000578D">
        <w:t xml:space="preserve">due to an </w:t>
      </w:r>
      <w:r w:rsidR="002A58CE">
        <w:t xml:space="preserve">unsuccessful </w:t>
      </w:r>
      <w:r w:rsidR="006E6CD4">
        <w:t xml:space="preserve">outcome </w:t>
      </w:r>
      <w:r w:rsidR="002A58CE">
        <w:t>in the Court of Appeal</w:t>
      </w:r>
      <w:r w:rsidR="00DE1D34">
        <w:t xml:space="preserve"> in April 2023 </w:t>
      </w:r>
      <w:r w:rsidR="006E6CD4">
        <w:t>where</w:t>
      </w:r>
      <w:r w:rsidR="002A58CE">
        <w:t xml:space="preserve"> costs were awarded against the Commission.  </w:t>
      </w:r>
      <w:r w:rsidR="00DE1D34">
        <w:t xml:space="preserve">The Commission has </w:t>
      </w:r>
      <w:r w:rsidR="006E6CD4">
        <w:t>made</w:t>
      </w:r>
      <w:r w:rsidR="00DE1D34">
        <w:t xml:space="preserve"> an application for leave to appeal to the </w:t>
      </w:r>
      <w:r w:rsidR="00D70BF8">
        <w:t>UK Supreme Court</w:t>
      </w:r>
      <w:r w:rsidR="00DE1D34">
        <w:t xml:space="preserve"> and a decision </w:t>
      </w:r>
      <w:r w:rsidR="00D70BF8">
        <w:t>from the Court of Appeal</w:t>
      </w:r>
      <w:r w:rsidR="00EE02B5">
        <w:t xml:space="preserve"> </w:t>
      </w:r>
      <w:r w:rsidR="00DE1D34">
        <w:t xml:space="preserve">is awaited.  If the application is refused, we will seek leave directly from the UK Supreme Court.  The payment of this liability is contingent on decisions from the Court of Appeal and the UK Supreme Court.  </w:t>
      </w:r>
    </w:p>
    <w:p w14:paraId="1DB2323E" w14:textId="77777777" w:rsidR="00600FB7" w:rsidRDefault="00600FB7" w:rsidP="00065202">
      <w:pPr>
        <w:widowControl w:val="0"/>
        <w:tabs>
          <w:tab w:val="left" w:pos="567"/>
        </w:tabs>
        <w:autoSpaceDE w:val="0"/>
        <w:autoSpaceDN w:val="0"/>
        <w:adjustRightInd w:val="0"/>
        <w:ind w:left="567" w:hanging="567"/>
      </w:pPr>
    </w:p>
    <w:p w14:paraId="02E77E2E" w14:textId="77777777" w:rsidR="001E2AA0" w:rsidRDefault="001E2AA0" w:rsidP="00065202">
      <w:pPr>
        <w:widowControl w:val="0"/>
        <w:tabs>
          <w:tab w:val="left" w:pos="567"/>
        </w:tabs>
        <w:autoSpaceDE w:val="0"/>
        <w:autoSpaceDN w:val="0"/>
        <w:adjustRightInd w:val="0"/>
        <w:ind w:left="567" w:hanging="567"/>
      </w:pPr>
    </w:p>
    <w:p w14:paraId="36ECCAF4" w14:textId="6F135954" w:rsidR="00E45DC6" w:rsidRDefault="006F3FEF" w:rsidP="00065202">
      <w:pPr>
        <w:widowControl w:val="0"/>
        <w:tabs>
          <w:tab w:val="left" w:pos="567"/>
        </w:tabs>
        <w:autoSpaceDE w:val="0"/>
        <w:autoSpaceDN w:val="0"/>
        <w:adjustRightInd w:val="0"/>
        <w:ind w:left="567" w:hanging="567"/>
      </w:pPr>
      <w:r>
        <w:lastRenderedPageBreak/>
        <w:tab/>
        <w:t xml:space="preserve">The second legal case has a contingent liability of £40,350 </w:t>
      </w:r>
      <w:r w:rsidR="00EE02B5">
        <w:t>due to an</w:t>
      </w:r>
      <w:r w:rsidR="00BE1411">
        <w:t xml:space="preserve"> unsuccessful </w:t>
      </w:r>
      <w:r w:rsidR="00F06053">
        <w:t xml:space="preserve">outcome </w:t>
      </w:r>
      <w:r w:rsidR="00BE1411">
        <w:t>in the Court of Appeal</w:t>
      </w:r>
      <w:r w:rsidR="00F06053">
        <w:t>.</w:t>
      </w:r>
      <w:r w:rsidR="00BE1411">
        <w:t xml:space="preserve"> </w:t>
      </w:r>
      <w:r w:rsidR="00F06053">
        <w:t>The written j</w:t>
      </w:r>
      <w:r w:rsidR="00744D64">
        <w:t>u</w:t>
      </w:r>
      <w:r w:rsidR="00F06053">
        <w:t>dgement is awaited</w:t>
      </w:r>
      <w:r w:rsidR="00744D64">
        <w:t xml:space="preserve"> </w:t>
      </w:r>
      <w:r w:rsidR="00BE1411">
        <w:t xml:space="preserve">and costs </w:t>
      </w:r>
      <w:r w:rsidR="007E5F40">
        <w:t>will</w:t>
      </w:r>
      <w:r w:rsidR="00BE1411">
        <w:t xml:space="preserve"> be awarded against us.  </w:t>
      </w:r>
      <w:r w:rsidR="00B735F3">
        <w:t xml:space="preserve">The Commission has issued judicial review proceedings and a leave hearing has been set for October 2023.  </w:t>
      </w:r>
      <w:r w:rsidR="008D6627">
        <w:t xml:space="preserve">The payment of this liability is contingent on a decision </w:t>
      </w:r>
      <w:r w:rsidR="00342D0A">
        <w:t xml:space="preserve">on judicial review proceedings. </w:t>
      </w:r>
      <w:r w:rsidR="00A670FC">
        <w:t>(</w:t>
      </w:r>
      <w:r w:rsidR="00507D74">
        <w:t>202</w:t>
      </w:r>
      <w:r w:rsidR="002A58CE">
        <w:t>1</w:t>
      </w:r>
      <w:r w:rsidR="00507D74">
        <w:t>-2</w:t>
      </w:r>
      <w:r w:rsidR="002A58CE">
        <w:t>2</w:t>
      </w:r>
      <w:r w:rsidR="00A670FC">
        <w:t>: £nil).</w:t>
      </w:r>
    </w:p>
    <w:p w14:paraId="753DC5FF" w14:textId="77777777" w:rsidR="00634673" w:rsidRDefault="00634673" w:rsidP="000C2A54">
      <w:pPr>
        <w:rPr>
          <w:b/>
        </w:rPr>
      </w:pPr>
    </w:p>
    <w:p w14:paraId="5DE1B7A7" w14:textId="5456D923" w:rsidR="000C2A54" w:rsidRPr="003F2009" w:rsidRDefault="000C2A54" w:rsidP="000C2A54">
      <w:pPr>
        <w:rPr>
          <w:b/>
        </w:rPr>
      </w:pPr>
      <w:r w:rsidRPr="003F2009">
        <w:rPr>
          <w:b/>
        </w:rPr>
        <w:t>1</w:t>
      </w:r>
      <w:r w:rsidR="00EF4A8A">
        <w:rPr>
          <w:b/>
        </w:rPr>
        <w:t>5</w:t>
      </w:r>
      <w:r w:rsidRPr="003F2009">
        <w:rPr>
          <w:b/>
        </w:rPr>
        <w:t>.  Capital Commitments</w:t>
      </w:r>
    </w:p>
    <w:p w14:paraId="374F70CA" w14:textId="77777777" w:rsidR="000C2A54" w:rsidRPr="003F2009" w:rsidRDefault="000C2A54" w:rsidP="000C2A54">
      <w:pPr>
        <w:pStyle w:val="BodyTextIndent"/>
        <w:spacing w:after="0"/>
        <w:ind w:left="0"/>
      </w:pPr>
    </w:p>
    <w:p w14:paraId="17068ECD" w14:textId="718FF5ED" w:rsidR="003C598E" w:rsidRDefault="000C2A54" w:rsidP="00250101">
      <w:pPr>
        <w:pStyle w:val="BodyTextIndent"/>
        <w:spacing w:after="0"/>
        <w:ind w:left="567"/>
      </w:pPr>
      <w:r w:rsidRPr="003F2009">
        <w:t xml:space="preserve">The Commission </w:t>
      </w:r>
      <w:r w:rsidR="008E3972">
        <w:t xml:space="preserve">has </w:t>
      </w:r>
      <w:r w:rsidR="00507D74">
        <w:t xml:space="preserve">no </w:t>
      </w:r>
      <w:r w:rsidR="008E3972">
        <w:t>capital commitments</w:t>
      </w:r>
      <w:r w:rsidR="00507D74">
        <w:t xml:space="preserve"> for </w:t>
      </w:r>
      <w:r w:rsidR="00A670FC">
        <w:t>202</w:t>
      </w:r>
      <w:r w:rsidR="00DE1D34">
        <w:t>2</w:t>
      </w:r>
      <w:r w:rsidR="00A670FC">
        <w:t>-2</w:t>
      </w:r>
      <w:r w:rsidR="00DE1D34">
        <w:t>3</w:t>
      </w:r>
      <w:r w:rsidR="00A670FC">
        <w:t xml:space="preserve"> (</w:t>
      </w:r>
      <w:r w:rsidR="007E1108">
        <w:t>202</w:t>
      </w:r>
      <w:r w:rsidR="00DE1D34">
        <w:t>1</w:t>
      </w:r>
      <w:r w:rsidR="007E1108">
        <w:t>-2</w:t>
      </w:r>
      <w:r w:rsidR="00DE1D34">
        <w:t>2</w:t>
      </w:r>
      <w:r w:rsidR="00A670FC">
        <w:t>: £nil).</w:t>
      </w:r>
      <w:r w:rsidR="008E3972">
        <w:t xml:space="preserve">  </w:t>
      </w:r>
    </w:p>
    <w:p w14:paraId="6853BF5F" w14:textId="77777777" w:rsidR="00250101" w:rsidRPr="00250101" w:rsidRDefault="00250101" w:rsidP="00250101">
      <w:pPr>
        <w:pStyle w:val="BodyTextIndent"/>
        <w:spacing w:after="0"/>
        <w:ind w:left="567"/>
      </w:pPr>
    </w:p>
    <w:p w14:paraId="71A11E91" w14:textId="22D4E3AA" w:rsidR="000C2A54" w:rsidRPr="003F2009" w:rsidRDefault="000C2A54" w:rsidP="000C2A54">
      <w:pPr>
        <w:ind w:left="567" w:hanging="567"/>
        <w:rPr>
          <w:b/>
        </w:rPr>
      </w:pPr>
      <w:r w:rsidRPr="003F2009">
        <w:rPr>
          <w:b/>
        </w:rPr>
        <w:t>1</w:t>
      </w:r>
      <w:r w:rsidR="00EF4A8A">
        <w:rPr>
          <w:b/>
        </w:rPr>
        <w:t>6</w:t>
      </w:r>
      <w:r w:rsidRPr="003F2009">
        <w:rPr>
          <w:b/>
        </w:rPr>
        <w:t>.</w:t>
      </w:r>
      <w:r w:rsidRPr="003F2009">
        <w:rPr>
          <w:b/>
        </w:rPr>
        <w:tab/>
        <w:t>Related-party transactions</w:t>
      </w:r>
    </w:p>
    <w:p w14:paraId="4D1EA78C" w14:textId="77777777" w:rsidR="000C2A54" w:rsidRPr="003F2009" w:rsidRDefault="000C2A54" w:rsidP="000C2A54">
      <w:pPr>
        <w:pStyle w:val="BodyTextIndent"/>
        <w:spacing w:after="0"/>
        <w:ind w:left="539"/>
      </w:pPr>
    </w:p>
    <w:p w14:paraId="2C0E7DE7" w14:textId="77777777" w:rsidR="000C2A54" w:rsidRPr="003F2009" w:rsidRDefault="000C2A54" w:rsidP="000C2A54">
      <w:pPr>
        <w:pStyle w:val="BodyTextIndent"/>
        <w:spacing w:after="0"/>
        <w:ind w:left="539"/>
      </w:pPr>
      <w:r w:rsidRPr="003F2009">
        <w:t>The Commission is a non</w:t>
      </w:r>
      <w:r w:rsidRPr="003F2009">
        <w:rPr>
          <w:rFonts w:cs="Arial"/>
        </w:rPr>
        <w:t>-</w:t>
      </w:r>
      <w:r w:rsidRPr="003F2009">
        <w:t xml:space="preserve">departmental public body sponsored by the Northern Ireland Office (NIO).  </w:t>
      </w:r>
    </w:p>
    <w:p w14:paraId="4300CACE" w14:textId="77777777" w:rsidR="000C2A54" w:rsidRPr="003F2009" w:rsidRDefault="000C2A54" w:rsidP="000C2A54">
      <w:pPr>
        <w:pStyle w:val="BodyTextIndent"/>
        <w:spacing w:after="0"/>
        <w:ind w:left="539"/>
      </w:pPr>
    </w:p>
    <w:p w14:paraId="10710A0B" w14:textId="77777777" w:rsidR="000C2A54" w:rsidRPr="003F2009" w:rsidRDefault="000C2A54" w:rsidP="000C2A54">
      <w:pPr>
        <w:pStyle w:val="BodyTextIndent"/>
        <w:spacing w:after="0"/>
        <w:ind w:left="539"/>
      </w:pPr>
      <w:r w:rsidRPr="003F2009">
        <w:t xml:space="preserve">The NIO is regarded as a related party. During the </w:t>
      </w:r>
      <w:r w:rsidR="00176472" w:rsidRPr="003F2009">
        <w:t>year,</w:t>
      </w:r>
      <w:r w:rsidRPr="003F2009">
        <w:t xml:space="preserve"> the Commission had various transactions with NIO, associated with the receipt of grant</w:t>
      </w:r>
      <w:r w:rsidRPr="003F2009">
        <w:rPr>
          <w:rFonts w:cs="Arial"/>
        </w:rPr>
        <w:t>-</w:t>
      </w:r>
      <w:r w:rsidRPr="003F2009">
        <w:t>in</w:t>
      </w:r>
      <w:r w:rsidRPr="003F2009">
        <w:rPr>
          <w:rFonts w:cs="Arial"/>
        </w:rPr>
        <w:t>-</w:t>
      </w:r>
      <w:r w:rsidRPr="003F2009">
        <w:t xml:space="preserve">aid.  </w:t>
      </w:r>
    </w:p>
    <w:p w14:paraId="5B9B0D3A" w14:textId="77777777" w:rsidR="000C2A54" w:rsidRPr="003F2009" w:rsidRDefault="000C2A54" w:rsidP="000C2A54">
      <w:pPr>
        <w:pStyle w:val="BodyTextIndent"/>
        <w:spacing w:after="0"/>
        <w:ind w:left="539"/>
      </w:pPr>
    </w:p>
    <w:p w14:paraId="665763FA" w14:textId="77777777" w:rsidR="000C2A54" w:rsidRPr="003F2009" w:rsidRDefault="000C2A54" w:rsidP="000C2A54">
      <w:pPr>
        <w:pStyle w:val="BodyTextIndent"/>
        <w:spacing w:after="0"/>
        <w:ind w:left="539"/>
      </w:pPr>
      <w:r w:rsidRPr="003F2009">
        <w:t xml:space="preserve">In </w:t>
      </w:r>
      <w:r w:rsidR="00176472" w:rsidRPr="003F2009">
        <w:t>addition,</w:t>
      </w:r>
      <w:r w:rsidRPr="003F2009">
        <w:t xml:space="preserve"> the Commission has had various transactions with other Government departments.</w:t>
      </w:r>
    </w:p>
    <w:p w14:paraId="41A35BF7" w14:textId="77777777" w:rsidR="000C2A54" w:rsidRPr="003F2009" w:rsidRDefault="000C2A54" w:rsidP="000C2A54">
      <w:pPr>
        <w:pStyle w:val="BodyTextIndent"/>
        <w:spacing w:after="0"/>
        <w:ind w:left="539"/>
      </w:pPr>
    </w:p>
    <w:p w14:paraId="330BED05" w14:textId="424011F5" w:rsidR="000C2A54" w:rsidRPr="003F2009" w:rsidRDefault="00A044E4" w:rsidP="000C2A54">
      <w:pPr>
        <w:pStyle w:val="BodyTextIndent"/>
        <w:spacing w:after="0"/>
        <w:ind w:left="539"/>
      </w:pPr>
      <w:r>
        <w:t xml:space="preserve">Except for the remuneration disclosed in the Remuneration and Staff Report on pages </w:t>
      </w:r>
      <w:r w:rsidR="00320CF6">
        <w:t>40</w:t>
      </w:r>
      <w:r>
        <w:t>-</w:t>
      </w:r>
      <w:r w:rsidR="00320CF6">
        <w:t>52</w:t>
      </w:r>
      <w:r>
        <w:t>, none of the Commissioners, Management Team or other related parties has undertaken any material transactions with the Commission during the year.</w:t>
      </w:r>
    </w:p>
    <w:p w14:paraId="286D90DA" w14:textId="77777777" w:rsidR="00746D2B" w:rsidRDefault="00746D2B" w:rsidP="000C2A54">
      <w:pPr>
        <w:widowControl w:val="0"/>
        <w:tabs>
          <w:tab w:val="left" w:pos="567"/>
        </w:tabs>
        <w:autoSpaceDE w:val="0"/>
        <w:autoSpaceDN w:val="0"/>
        <w:adjustRightInd w:val="0"/>
        <w:rPr>
          <w:b/>
        </w:rPr>
      </w:pPr>
    </w:p>
    <w:p w14:paraId="0E5ACBBF" w14:textId="599C73AD" w:rsidR="000C2A54" w:rsidRPr="003F2009" w:rsidRDefault="000C2A54" w:rsidP="000C2A54">
      <w:pPr>
        <w:widowControl w:val="0"/>
        <w:tabs>
          <w:tab w:val="left" w:pos="567"/>
        </w:tabs>
        <w:autoSpaceDE w:val="0"/>
        <w:autoSpaceDN w:val="0"/>
        <w:adjustRightInd w:val="0"/>
        <w:rPr>
          <w:b/>
        </w:rPr>
      </w:pPr>
      <w:r>
        <w:rPr>
          <w:b/>
        </w:rPr>
        <w:t>1</w:t>
      </w:r>
      <w:r w:rsidR="00EF4A8A">
        <w:rPr>
          <w:b/>
        </w:rPr>
        <w:t>7</w:t>
      </w:r>
      <w:r w:rsidRPr="003F2009">
        <w:rPr>
          <w:b/>
        </w:rPr>
        <w:t>.</w:t>
      </w:r>
      <w:r w:rsidRPr="003F2009">
        <w:rPr>
          <w:b/>
        </w:rPr>
        <w:tab/>
        <w:t>Events after the reporting period</w:t>
      </w:r>
    </w:p>
    <w:p w14:paraId="4C471BFA" w14:textId="77777777" w:rsidR="00937BB4" w:rsidRDefault="00937BB4" w:rsidP="000B3B3C">
      <w:pPr>
        <w:autoSpaceDE w:val="0"/>
        <w:autoSpaceDN w:val="0"/>
        <w:adjustRightInd w:val="0"/>
        <w:rPr>
          <w:lang w:val="en-US"/>
        </w:rPr>
      </w:pPr>
    </w:p>
    <w:p w14:paraId="5F092B7F" w14:textId="5ACA1D1F" w:rsidR="00094BB4" w:rsidRDefault="000C2A54" w:rsidP="00B61C59">
      <w:pPr>
        <w:autoSpaceDE w:val="0"/>
        <w:autoSpaceDN w:val="0"/>
        <w:adjustRightInd w:val="0"/>
        <w:ind w:left="567"/>
        <w:rPr>
          <w:lang w:val="en-US"/>
        </w:rPr>
      </w:pPr>
      <w:r w:rsidRPr="003F2009">
        <w:rPr>
          <w:lang w:val="en-US"/>
        </w:rPr>
        <w:t>The Annual Report and Accounts are authorised for issue on the same date as the Comptroller and Auditor General signed the audit certificate.</w:t>
      </w:r>
    </w:p>
    <w:p w14:paraId="16CC2241" w14:textId="304AD1FC" w:rsidR="00925C6F" w:rsidRDefault="00925C6F" w:rsidP="00B61C59">
      <w:pPr>
        <w:autoSpaceDE w:val="0"/>
        <w:autoSpaceDN w:val="0"/>
        <w:adjustRightInd w:val="0"/>
        <w:ind w:left="567"/>
        <w:rPr>
          <w:lang w:val="en-US"/>
        </w:rPr>
      </w:pPr>
    </w:p>
    <w:p w14:paraId="2E40C0B4" w14:textId="77777777" w:rsidR="00952E25" w:rsidRDefault="00925C6F" w:rsidP="00953497">
      <w:pPr>
        <w:autoSpaceDE w:val="0"/>
        <w:autoSpaceDN w:val="0"/>
        <w:adjustRightInd w:val="0"/>
        <w:ind w:left="567"/>
        <w:rPr>
          <w:lang w:val="en-US"/>
        </w:rPr>
        <w:sectPr w:rsidR="00952E25" w:rsidSect="00210451">
          <w:footerReference w:type="default" r:id="rId38"/>
          <w:pgSz w:w="11907" w:h="16840" w:code="9"/>
          <w:pgMar w:top="1418" w:right="1418" w:bottom="851" w:left="1418" w:header="709" w:footer="709" w:gutter="0"/>
          <w:cols w:space="708"/>
          <w:docGrid w:linePitch="360"/>
        </w:sectPr>
      </w:pPr>
      <w:r>
        <w:rPr>
          <w:lang w:val="en-US"/>
        </w:rPr>
        <w:t>There were no significant events after the reporting date.</w:t>
      </w:r>
    </w:p>
    <w:p w14:paraId="54857CEF" w14:textId="77777777" w:rsidR="00952E25" w:rsidRDefault="00952E25" w:rsidP="00953497">
      <w:pPr>
        <w:autoSpaceDE w:val="0"/>
        <w:autoSpaceDN w:val="0"/>
        <w:adjustRightInd w:val="0"/>
        <w:ind w:left="567"/>
        <w:rPr>
          <w:lang w:val="en-US"/>
        </w:rPr>
        <w:sectPr w:rsidR="00952E25" w:rsidSect="00210451">
          <w:footerReference w:type="default" r:id="rId39"/>
          <w:pgSz w:w="11907" w:h="16840" w:code="9"/>
          <w:pgMar w:top="1418" w:right="1418" w:bottom="851" w:left="1418" w:header="709" w:footer="709" w:gutter="0"/>
          <w:cols w:space="708"/>
          <w:docGrid w:linePitch="360"/>
        </w:sectPr>
      </w:pPr>
    </w:p>
    <w:p w14:paraId="4F347545" w14:textId="0033F684" w:rsidR="00094BB4" w:rsidRDefault="00094BB4" w:rsidP="00953497">
      <w:pPr>
        <w:autoSpaceDE w:val="0"/>
        <w:autoSpaceDN w:val="0"/>
        <w:adjustRightInd w:val="0"/>
        <w:ind w:left="567"/>
      </w:pPr>
    </w:p>
    <w:p w14:paraId="2A83C64A" w14:textId="77777777" w:rsidR="00094BB4" w:rsidRDefault="00094BB4" w:rsidP="00094BB4">
      <w:pPr>
        <w:jc w:val="right"/>
      </w:pPr>
    </w:p>
    <w:p w14:paraId="1C5ABFC7" w14:textId="77777777" w:rsidR="00094BB4" w:rsidRDefault="00094BB4" w:rsidP="00094BB4">
      <w:pPr>
        <w:jc w:val="right"/>
      </w:pPr>
    </w:p>
    <w:p w14:paraId="607C064A" w14:textId="77777777" w:rsidR="00094BB4" w:rsidRDefault="00094BB4" w:rsidP="00094BB4">
      <w:pPr>
        <w:jc w:val="right"/>
      </w:pPr>
    </w:p>
    <w:p w14:paraId="110A2C49" w14:textId="77777777" w:rsidR="00094BB4" w:rsidRDefault="00094BB4" w:rsidP="00094BB4">
      <w:pPr>
        <w:jc w:val="right"/>
      </w:pPr>
    </w:p>
    <w:p w14:paraId="4E51B978" w14:textId="77777777" w:rsidR="00094BB4" w:rsidRDefault="00094BB4" w:rsidP="00094BB4">
      <w:pPr>
        <w:jc w:val="right"/>
      </w:pPr>
    </w:p>
    <w:p w14:paraId="30451F57" w14:textId="77777777" w:rsidR="00094BB4" w:rsidRDefault="00094BB4" w:rsidP="00094BB4">
      <w:pPr>
        <w:jc w:val="right"/>
      </w:pPr>
    </w:p>
    <w:p w14:paraId="66D011E9" w14:textId="77777777" w:rsidR="00094BB4" w:rsidRDefault="00094BB4" w:rsidP="00094BB4">
      <w:pPr>
        <w:jc w:val="right"/>
      </w:pPr>
    </w:p>
    <w:p w14:paraId="574C1885" w14:textId="77777777" w:rsidR="00094BB4" w:rsidRDefault="00094BB4" w:rsidP="00094BB4">
      <w:pPr>
        <w:jc w:val="right"/>
      </w:pPr>
    </w:p>
    <w:p w14:paraId="1D559058" w14:textId="77777777" w:rsidR="00094BB4" w:rsidRDefault="00094BB4" w:rsidP="00094BB4">
      <w:pPr>
        <w:jc w:val="right"/>
      </w:pPr>
    </w:p>
    <w:p w14:paraId="768F3444" w14:textId="77777777" w:rsidR="00094BB4" w:rsidRDefault="00094BB4" w:rsidP="00094BB4">
      <w:pPr>
        <w:jc w:val="right"/>
      </w:pPr>
    </w:p>
    <w:p w14:paraId="6ED50CA9" w14:textId="77777777" w:rsidR="00094BB4" w:rsidRDefault="00094BB4" w:rsidP="00094BB4">
      <w:pPr>
        <w:jc w:val="right"/>
      </w:pPr>
    </w:p>
    <w:p w14:paraId="7E53A840" w14:textId="77777777" w:rsidR="00094BB4" w:rsidRDefault="00094BB4" w:rsidP="00094BB4">
      <w:pPr>
        <w:jc w:val="right"/>
      </w:pPr>
    </w:p>
    <w:p w14:paraId="6A6A9F00" w14:textId="77777777" w:rsidR="00094BB4" w:rsidRDefault="00094BB4" w:rsidP="00094BB4">
      <w:pPr>
        <w:jc w:val="right"/>
      </w:pPr>
    </w:p>
    <w:p w14:paraId="1762B7AB" w14:textId="77777777" w:rsidR="00094BB4" w:rsidRDefault="00094BB4" w:rsidP="00094BB4">
      <w:pPr>
        <w:jc w:val="right"/>
      </w:pPr>
    </w:p>
    <w:p w14:paraId="412CC77B" w14:textId="77777777" w:rsidR="00094BB4" w:rsidRDefault="00094BB4" w:rsidP="00094BB4">
      <w:pPr>
        <w:jc w:val="right"/>
      </w:pPr>
    </w:p>
    <w:p w14:paraId="6DED818A" w14:textId="77777777" w:rsidR="00094BB4" w:rsidRDefault="00094BB4" w:rsidP="00094BB4">
      <w:pPr>
        <w:jc w:val="right"/>
      </w:pPr>
    </w:p>
    <w:p w14:paraId="4B8F6C64" w14:textId="77777777" w:rsidR="00094BB4" w:rsidRDefault="00094BB4" w:rsidP="00094BB4">
      <w:pPr>
        <w:jc w:val="right"/>
      </w:pPr>
    </w:p>
    <w:p w14:paraId="583E0979" w14:textId="77777777" w:rsidR="00094BB4" w:rsidRDefault="00094BB4" w:rsidP="00094BB4">
      <w:pPr>
        <w:jc w:val="right"/>
      </w:pPr>
    </w:p>
    <w:p w14:paraId="5EFE5C4B" w14:textId="77777777" w:rsidR="00094BB4" w:rsidRDefault="00094BB4" w:rsidP="00094BB4">
      <w:pPr>
        <w:jc w:val="right"/>
      </w:pPr>
    </w:p>
    <w:p w14:paraId="5F279451" w14:textId="77777777" w:rsidR="00094BB4" w:rsidRDefault="00094BB4" w:rsidP="00094BB4">
      <w:pPr>
        <w:jc w:val="right"/>
      </w:pPr>
    </w:p>
    <w:p w14:paraId="0C71D6EC" w14:textId="77777777" w:rsidR="00094BB4" w:rsidRDefault="00094BB4" w:rsidP="00094BB4">
      <w:pPr>
        <w:jc w:val="right"/>
      </w:pPr>
    </w:p>
    <w:p w14:paraId="064EDA01" w14:textId="77777777" w:rsidR="00094BB4" w:rsidRDefault="00094BB4" w:rsidP="00094BB4">
      <w:pPr>
        <w:jc w:val="right"/>
      </w:pPr>
    </w:p>
    <w:p w14:paraId="6F408E5F" w14:textId="77777777" w:rsidR="00953497" w:rsidRDefault="00953497" w:rsidP="00094BB4">
      <w:pPr>
        <w:jc w:val="right"/>
      </w:pPr>
    </w:p>
    <w:p w14:paraId="73F062D9" w14:textId="77777777" w:rsidR="00953497" w:rsidRDefault="00953497" w:rsidP="00094BB4">
      <w:pPr>
        <w:jc w:val="right"/>
      </w:pPr>
    </w:p>
    <w:p w14:paraId="580829A3" w14:textId="77777777" w:rsidR="00953497" w:rsidRDefault="00953497" w:rsidP="00094BB4">
      <w:pPr>
        <w:jc w:val="right"/>
      </w:pPr>
    </w:p>
    <w:p w14:paraId="3D26F75E" w14:textId="77777777" w:rsidR="00953497" w:rsidRDefault="00953497" w:rsidP="00094BB4">
      <w:pPr>
        <w:jc w:val="right"/>
      </w:pPr>
    </w:p>
    <w:p w14:paraId="05965002" w14:textId="77777777" w:rsidR="00953497" w:rsidRDefault="00953497" w:rsidP="00094BB4">
      <w:pPr>
        <w:jc w:val="right"/>
      </w:pPr>
    </w:p>
    <w:p w14:paraId="67361FD4" w14:textId="77777777" w:rsidR="00953497" w:rsidRDefault="00953497" w:rsidP="00094BB4">
      <w:pPr>
        <w:jc w:val="right"/>
      </w:pPr>
    </w:p>
    <w:p w14:paraId="3EF25E46" w14:textId="77777777" w:rsidR="00953497" w:rsidRDefault="00953497" w:rsidP="00094BB4">
      <w:pPr>
        <w:jc w:val="right"/>
      </w:pPr>
    </w:p>
    <w:p w14:paraId="68588449" w14:textId="77777777" w:rsidR="00953497" w:rsidRDefault="00953497" w:rsidP="00094BB4">
      <w:pPr>
        <w:jc w:val="right"/>
      </w:pPr>
    </w:p>
    <w:p w14:paraId="4265EAC7" w14:textId="77777777" w:rsidR="00953497" w:rsidRDefault="00953497" w:rsidP="00094BB4">
      <w:pPr>
        <w:jc w:val="right"/>
      </w:pPr>
    </w:p>
    <w:p w14:paraId="4423688F" w14:textId="77777777" w:rsidR="00953497" w:rsidRDefault="00953497" w:rsidP="00094BB4">
      <w:pPr>
        <w:jc w:val="right"/>
      </w:pPr>
    </w:p>
    <w:p w14:paraId="493084E2" w14:textId="77777777" w:rsidR="00953497" w:rsidRDefault="00953497" w:rsidP="00094BB4">
      <w:pPr>
        <w:jc w:val="right"/>
      </w:pPr>
    </w:p>
    <w:p w14:paraId="2D18E2A8" w14:textId="77777777" w:rsidR="00953497" w:rsidRDefault="00953497" w:rsidP="00094BB4">
      <w:pPr>
        <w:jc w:val="right"/>
      </w:pPr>
    </w:p>
    <w:p w14:paraId="020C5F46" w14:textId="77777777" w:rsidR="00953497" w:rsidRDefault="00953497" w:rsidP="00094BB4">
      <w:pPr>
        <w:jc w:val="right"/>
      </w:pPr>
    </w:p>
    <w:p w14:paraId="035ED3E8" w14:textId="77777777" w:rsidR="00953497" w:rsidRDefault="00953497" w:rsidP="00094BB4">
      <w:pPr>
        <w:jc w:val="right"/>
      </w:pPr>
    </w:p>
    <w:p w14:paraId="1BB165A0" w14:textId="77777777" w:rsidR="00953497" w:rsidRDefault="00953497" w:rsidP="00094BB4">
      <w:pPr>
        <w:jc w:val="right"/>
      </w:pPr>
    </w:p>
    <w:p w14:paraId="7B4E5C7C" w14:textId="77777777" w:rsidR="00953497" w:rsidRDefault="00953497" w:rsidP="00094BB4">
      <w:pPr>
        <w:jc w:val="right"/>
      </w:pPr>
    </w:p>
    <w:p w14:paraId="70CCEC46" w14:textId="77777777" w:rsidR="00953497" w:rsidRDefault="00953497" w:rsidP="00094BB4">
      <w:pPr>
        <w:jc w:val="right"/>
      </w:pPr>
    </w:p>
    <w:p w14:paraId="5E2BEFDF" w14:textId="77777777" w:rsidR="00953497" w:rsidRDefault="00953497" w:rsidP="00094BB4">
      <w:pPr>
        <w:jc w:val="right"/>
      </w:pPr>
    </w:p>
    <w:p w14:paraId="0B0B7791" w14:textId="77777777" w:rsidR="00953497" w:rsidRDefault="00953497" w:rsidP="00094BB4">
      <w:pPr>
        <w:jc w:val="right"/>
      </w:pPr>
    </w:p>
    <w:p w14:paraId="7EC9CE94" w14:textId="77777777" w:rsidR="00953497" w:rsidRDefault="00953497" w:rsidP="00094BB4">
      <w:pPr>
        <w:jc w:val="right"/>
      </w:pPr>
    </w:p>
    <w:p w14:paraId="69E2A1D7" w14:textId="77777777" w:rsidR="00953497" w:rsidRDefault="00953497" w:rsidP="00094BB4">
      <w:pPr>
        <w:jc w:val="right"/>
      </w:pPr>
    </w:p>
    <w:p w14:paraId="608BC382" w14:textId="61497FBF" w:rsidR="00DA5E04" w:rsidRDefault="001C49E3" w:rsidP="001C49E3">
      <w:pPr>
        <w:jc w:val="right"/>
      </w:pPr>
      <w:r>
        <w:t>E</w:t>
      </w:r>
      <w:r w:rsidR="00575E33">
        <w:t>02934391</w:t>
      </w:r>
      <w:r w:rsidR="005B1FA8">
        <w:t xml:space="preserve">     </w:t>
      </w:r>
    </w:p>
    <w:p w14:paraId="340894DB" w14:textId="2071480C" w:rsidR="00C22A18" w:rsidRPr="00952E25" w:rsidRDefault="00DA5E04" w:rsidP="001C49E3">
      <w:pPr>
        <w:jc w:val="right"/>
        <w:rPr>
          <w:b/>
          <w:bCs/>
        </w:rPr>
      </w:pPr>
      <w:r>
        <w:t>978-1-5286-</w:t>
      </w:r>
      <w:r w:rsidR="00575E33">
        <w:t>4265-1</w:t>
      </w:r>
      <w:r w:rsidR="005B1FA8">
        <w:t xml:space="preserve">            </w:t>
      </w:r>
    </w:p>
    <w:sectPr w:rsidR="00C22A18" w:rsidRPr="00952E25" w:rsidSect="00952E25">
      <w:type w:val="continuous"/>
      <w:pgSz w:w="11907" w:h="16840" w:code="9"/>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B06C2" w14:textId="77777777" w:rsidR="00073777" w:rsidRDefault="00073777">
      <w:r>
        <w:separator/>
      </w:r>
    </w:p>
  </w:endnote>
  <w:endnote w:type="continuationSeparator" w:id="0">
    <w:p w14:paraId="4D50F51F" w14:textId="77777777" w:rsidR="00073777" w:rsidRDefault="00073777">
      <w:r>
        <w:continuationSeparator/>
      </w:r>
    </w:p>
  </w:endnote>
  <w:endnote w:type="continuationNotice" w:id="1">
    <w:p w14:paraId="4E0A935E" w14:textId="77777777" w:rsidR="00073777" w:rsidRDefault="00073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Md BT">
    <w:altName w:val="Century Gothic"/>
    <w:charset w:val="00"/>
    <w:family w:val="swiss"/>
    <w:pitch w:val="variable"/>
    <w:sig w:usb0="800000AF" w:usb1="1000204A" w:usb2="00000000" w:usb3="00000000" w:csb0="00000011" w:csb1="00000000"/>
  </w:font>
  <w:font w:name="Futura Bk BT">
    <w:altName w:val="Century Gothic"/>
    <w:charset w:val="00"/>
    <w:family w:val="swiss"/>
    <w:pitch w:val="variable"/>
    <w:sig w:usb0="800000AF" w:usb1="1000204A" w:usb2="00000000" w:usb3="00000000" w:csb0="0000001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ZurichBT-LightCondensed">
    <w:panose1 w:val="00000000000000000000"/>
    <w:charset w:val="00"/>
    <w:family w:val="swiss"/>
    <w:notTrueType/>
    <w:pitch w:val="default"/>
    <w:sig w:usb0="00000003" w:usb1="00000000" w:usb2="00000000" w:usb3="00000000" w:csb0="00000001" w:csb1="00000000"/>
  </w:font>
  <w:font w:name="ZurichBT-BoldCondensed">
    <w:panose1 w:val="00000000000000000000"/>
    <w:charset w:val="00"/>
    <w:family w:val="swiss"/>
    <w:notTrueType/>
    <w:pitch w:val="default"/>
    <w:sig w:usb0="00000003" w:usb1="00000000" w:usb2="00000000" w:usb3="00000000" w:csb0="00000001" w:csb1="00000000"/>
  </w:font>
  <w:font w:name="VGOJM V+ Zurich BT">
    <w:altName w:val="Zurich"/>
    <w:panose1 w:val="00000000000000000000"/>
    <w:charset w:val="00"/>
    <w:family w:val="swiss"/>
    <w:notTrueType/>
    <w:pitch w:val="default"/>
    <w:sig w:usb0="00000003" w:usb1="00000000" w:usb2="00000000" w:usb3="00000000" w:csb0="00000001" w:csb1="00000000"/>
  </w:font>
  <w:font w:name="TT150t00">
    <w:altName w:val="Calibri"/>
    <w:panose1 w:val="00000000000000000000"/>
    <w:charset w:val="00"/>
    <w:family w:val="auto"/>
    <w:notTrueType/>
    <w:pitch w:val="default"/>
    <w:sig w:usb0="00000003" w:usb1="00000000" w:usb2="00000000" w:usb3="00000000" w:csb0="00000001" w:csb1="00000000"/>
  </w:font>
  <w:font w:name="MetaPlusNormal-Roman">
    <w:panose1 w:val="00000000000000000000"/>
    <w:charset w:val="00"/>
    <w:family w:val="auto"/>
    <w:notTrueType/>
    <w:pitch w:val="default"/>
    <w:sig w:usb0="00000003" w:usb1="00000000" w:usb2="00000000" w:usb3="00000000" w:csb0="00000001" w:csb1="00000000"/>
  </w:font>
  <w:font w:name="HelveticaNeueLTStd-Lt">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Univers-Bold">
    <w:panose1 w:val="00000000000000000000"/>
    <w:charset w:val="00"/>
    <w:family w:val="auto"/>
    <w:notTrueType/>
    <w:pitch w:val="default"/>
    <w:sig w:usb0="00000003" w:usb1="00000000" w:usb2="00000000" w:usb3="00000000" w:csb0="00000001" w:csb1="00000000"/>
  </w:font>
  <w:font w:name="Univers-Light">
    <w:altName w:val="MS Gothic"/>
    <w:panose1 w:val="00000000000000000000"/>
    <w:charset w:val="80"/>
    <w:family w:val="swiss"/>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umanist777BT-LightB">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5349" w14:textId="77777777" w:rsidR="002667DD" w:rsidRDefault="002667DD" w:rsidP="001958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78</w:t>
    </w:r>
    <w:r>
      <w:rPr>
        <w:rStyle w:val="PageNumber"/>
      </w:rPr>
      <w:fldChar w:fldCharType="end"/>
    </w:r>
  </w:p>
  <w:p w14:paraId="30F4E79E" w14:textId="77777777" w:rsidR="002667DD" w:rsidRDefault="002667DD" w:rsidP="001958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3452" w14:textId="77777777" w:rsidR="002667DD" w:rsidRDefault="002667DD" w:rsidP="001958B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99EF" w14:textId="77777777" w:rsidR="002667DD" w:rsidRDefault="002667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9C98F" w14:textId="77777777" w:rsidR="00B208B5" w:rsidRDefault="00B208B5" w:rsidP="00F244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78</w:t>
    </w:r>
    <w:r>
      <w:rPr>
        <w:rStyle w:val="PageNumber"/>
      </w:rPr>
      <w:fldChar w:fldCharType="end"/>
    </w:r>
  </w:p>
  <w:p w14:paraId="7AE63FD3" w14:textId="77777777" w:rsidR="00B208B5" w:rsidRDefault="00B208B5" w:rsidP="00F244A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6A78" w14:textId="0B7529A2" w:rsidR="00B208B5" w:rsidRDefault="00B208B5" w:rsidP="00F244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2ACA">
      <w:rPr>
        <w:rStyle w:val="PageNumber"/>
        <w:noProof/>
      </w:rPr>
      <w:t>34</w:t>
    </w:r>
    <w:r>
      <w:rPr>
        <w:rStyle w:val="PageNumber"/>
      </w:rPr>
      <w:fldChar w:fldCharType="end"/>
    </w:r>
  </w:p>
  <w:p w14:paraId="3099386A" w14:textId="77777777" w:rsidR="00B208B5" w:rsidRDefault="00B208B5" w:rsidP="00F244A1">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263705"/>
      <w:docPartObj>
        <w:docPartGallery w:val="Page Numbers (Bottom of Page)"/>
        <w:docPartUnique/>
      </w:docPartObj>
    </w:sdtPr>
    <w:sdtEndPr>
      <w:rPr>
        <w:noProof/>
      </w:rPr>
    </w:sdtEndPr>
    <w:sdtContent>
      <w:p w14:paraId="238E1C2E" w14:textId="3469A48B" w:rsidR="00C87C4B" w:rsidRDefault="00C87C4B">
        <w:pPr>
          <w:pStyle w:val="Footer"/>
          <w:jc w:val="right"/>
        </w:pPr>
        <w:r>
          <w:fldChar w:fldCharType="begin"/>
        </w:r>
        <w:r>
          <w:instrText xml:space="preserve"> PAGE   \* MERGEFORMAT </w:instrText>
        </w:r>
        <w:r>
          <w:fldChar w:fldCharType="separate"/>
        </w:r>
        <w:r w:rsidR="00CD2ACA">
          <w:rPr>
            <w:noProof/>
          </w:rPr>
          <w:t>58</w:t>
        </w:r>
        <w:r>
          <w:rPr>
            <w:noProof/>
          </w:rPr>
          <w:fldChar w:fldCharType="end"/>
        </w:r>
      </w:p>
    </w:sdtContent>
  </w:sdt>
  <w:p w14:paraId="6872480D" w14:textId="77777777" w:rsidR="00B208B5" w:rsidRDefault="00B208B5" w:rsidP="00F244A1">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EC51" w14:textId="77777777" w:rsidR="00952E25" w:rsidRDefault="00952E25" w:rsidP="00F244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3A477" w14:textId="77777777" w:rsidR="00073777" w:rsidRDefault="00073777">
      <w:r>
        <w:separator/>
      </w:r>
    </w:p>
  </w:footnote>
  <w:footnote w:type="continuationSeparator" w:id="0">
    <w:p w14:paraId="63D7133F" w14:textId="77777777" w:rsidR="00073777" w:rsidRDefault="00073777">
      <w:r>
        <w:continuationSeparator/>
      </w:r>
    </w:p>
  </w:footnote>
  <w:footnote w:type="continuationNotice" w:id="1">
    <w:p w14:paraId="1FB4699C" w14:textId="77777777" w:rsidR="00073777" w:rsidRDefault="00073777"/>
  </w:footnote>
  <w:footnote w:id="2">
    <w:p w14:paraId="1E31891E" w14:textId="77777777" w:rsidR="002667DD" w:rsidRPr="00E16EF2" w:rsidRDefault="002667DD" w:rsidP="002667DD">
      <w:pPr>
        <w:pStyle w:val="FootnoteText"/>
        <w:rPr>
          <w:rFonts w:ascii="Verdana" w:hAnsi="Verdana"/>
          <w:color w:val="7030A0"/>
          <w:sz w:val="16"/>
          <w:szCs w:val="16"/>
        </w:rPr>
      </w:pPr>
      <w:r w:rsidRPr="00E16EF2">
        <w:rPr>
          <w:rStyle w:val="FootnoteReference"/>
          <w:rFonts w:ascii="Verdana" w:hAnsi="Verdana"/>
          <w:color w:val="7030A0"/>
          <w:sz w:val="16"/>
          <w:szCs w:val="16"/>
        </w:rPr>
        <w:footnoteRef/>
      </w:r>
      <w:r w:rsidRPr="00E16EF2">
        <w:rPr>
          <w:rFonts w:ascii="Verdana" w:hAnsi="Verdana"/>
          <w:color w:val="7030A0"/>
          <w:sz w:val="16"/>
          <w:szCs w:val="16"/>
        </w:rPr>
        <w:t xml:space="preserve"> </w:t>
      </w:r>
      <w:hyperlink r:id="rId1" w:history="1">
        <w:r w:rsidRPr="00E16EF2">
          <w:rPr>
            <w:rStyle w:val="Hyperlink"/>
            <w:rFonts w:ascii="Verdana" w:hAnsi="Verdana"/>
            <w:color w:val="7030A0"/>
            <w:sz w:val="16"/>
            <w:szCs w:val="16"/>
          </w:rPr>
          <w:t>Publication - Annual Statement 2022 | Northern Ireland Human Rights Commission (nihrc.org)</w:t>
        </w:r>
      </w:hyperlink>
    </w:p>
  </w:footnote>
  <w:footnote w:id="3">
    <w:p w14:paraId="6D65F845" w14:textId="77777777" w:rsidR="002667DD" w:rsidRPr="00E16EF2" w:rsidRDefault="002667DD" w:rsidP="002667DD">
      <w:pPr>
        <w:pStyle w:val="FootnoteText"/>
        <w:rPr>
          <w:rFonts w:ascii="Verdana" w:hAnsi="Verdana"/>
          <w:color w:val="7030A0"/>
          <w:sz w:val="16"/>
          <w:szCs w:val="16"/>
        </w:rPr>
      </w:pPr>
      <w:r w:rsidRPr="00E16EF2">
        <w:rPr>
          <w:rStyle w:val="FootnoteReference"/>
          <w:rFonts w:ascii="Verdana" w:hAnsi="Verdana"/>
          <w:color w:val="7030A0"/>
          <w:sz w:val="16"/>
          <w:szCs w:val="16"/>
        </w:rPr>
        <w:footnoteRef/>
      </w:r>
      <w:r w:rsidRPr="00E16EF2">
        <w:rPr>
          <w:rFonts w:ascii="Verdana" w:hAnsi="Verdana"/>
          <w:color w:val="7030A0"/>
          <w:sz w:val="16"/>
          <w:szCs w:val="16"/>
        </w:rPr>
        <w:t xml:space="preserve"> </w:t>
      </w:r>
      <w:hyperlink r:id="rId2" w:history="1">
        <w:r w:rsidRPr="00E16EF2">
          <w:rPr>
            <w:rStyle w:val="Hyperlink"/>
            <w:rFonts w:ascii="Verdana" w:hAnsi="Verdana"/>
            <w:color w:val="7030A0"/>
            <w:sz w:val="16"/>
            <w:szCs w:val="16"/>
          </w:rPr>
          <w:t>Annual Report of the NIHRC and ECNI on the implementation of Protocol Article 2 2021-2022</w:t>
        </w:r>
      </w:hyperlink>
      <w:r w:rsidRPr="00E16EF2">
        <w:rPr>
          <w:rFonts w:ascii="Verdana" w:hAnsi="Verdana"/>
          <w:color w:val="7030A0"/>
          <w:sz w:val="16"/>
          <w:szCs w:val="16"/>
        </w:rPr>
        <w:t xml:space="preserve"> (NIHRC and ECNI, 2022)</w:t>
      </w:r>
    </w:p>
  </w:footnote>
  <w:footnote w:id="4">
    <w:p w14:paraId="7BF26DFE" w14:textId="77777777" w:rsidR="002667DD" w:rsidRPr="00E16EF2" w:rsidRDefault="002667DD" w:rsidP="002667DD">
      <w:pPr>
        <w:pStyle w:val="FootnoteText"/>
        <w:rPr>
          <w:rFonts w:ascii="Verdana" w:hAnsi="Verdana"/>
          <w:color w:val="7030A0"/>
          <w:sz w:val="16"/>
          <w:szCs w:val="16"/>
        </w:rPr>
      </w:pPr>
      <w:r w:rsidRPr="00E16EF2">
        <w:rPr>
          <w:rStyle w:val="FootnoteReference"/>
          <w:rFonts w:ascii="Verdana" w:hAnsi="Verdana"/>
          <w:color w:val="7030A0"/>
          <w:sz w:val="16"/>
          <w:szCs w:val="16"/>
        </w:rPr>
        <w:footnoteRef/>
      </w:r>
      <w:r w:rsidRPr="00E16EF2">
        <w:rPr>
          <w:rFonts w:ascii="Verdana" w:hAnsi="Verdana"/>
          <w:color w:val="7030A0"/>
          <w:sz w:val="16"/>
          <w:szCs w:val="16"/>
        </w:rPr>
        <w:t xml:space="preserve"> NIHRC and ECNI ‘</w:t>
      </w:r>
      <w:hyperlink r:id="rId3" w:history="1">
        <w:r w:rsidRPr="00E16EF2">
          <w:rPr>
            <w:rStyle w:val="Hyperlink"/>
            <w:rFonts w:ascii="Verdana" w:hAnsi="Verdana"/>
            <w:color w:val="7030A0"/>
            <w:sz w:val="16"/>
            <w:szCs w:val="16"/>
          </w:rPr>
          <w:t>Working Paper: the scope of Article 2(1) of the Ireland/Northern Ireland Protocol</w:t>
        </w:r>
      </w:hyperlink>
      <w:r w:rsidRPr="00E16EF2">
        <w:rPr>
          <w:rFonts w:ascii="Verdana" w:hAnsi="Verdana"/>
          <w:color w:val="7030A0"/>
          <w:sz w:val="16"/>
          <w:szCs w:val="16"/>
        </w:rPr>
        <w:t>’ (NIHRC and ECNI, 2022) and NIHRC and ECNI ‘</w:t>
      </w:r>
      <w:hyperlink r:id="rId4" w:history="1">
        <w:r w:rsidRPr="00E16EF2">
          <w:rPr>
            <w:rStyle w:val="Hyperlink"/>
            <w:rFonts w:ascii="Verdana" w:hAnsi="Verdana"/>
            <w:color w:val="7030A0"/>
            <w:sz w:val="16"/>
            <w:szCs w:val="16"/>
          </w:rPr>
          <w:t>Table of EU Directives which underpin the Rights, Safeguards and Equality of Opportunity provisions included in the Belfast (Good Friday) Agreement chapter of the same name and implementing Domestic Legislation</w:t>
        </w:r>
      </w:hyperlink>
      <w:r w:rsidRPr="00E16EF2">
        <w:rPr>
          <w:rFonts w:ascii="Verdana" w:hAnsi="Verdana"/>
          <w:color w:val="7030A0"/>
          <w:sz w:val="16"/>
          <w:szCs w:val="16"/>
        </w:rPr>
        <w:t>’ (NIHRC and ECNI, 2022)</w:t>
      </w:r>
    </w:p>
  </w:footnote>
  <w:footnote w:id="5">
    <w:p w14:paraId="1E729E17" w14:textId="77777777" w:rsidR="002667DD" w:rsidRPr="00E16EF2" w:rsidRDefault="002667DD" w:rsidP="002667DD">
      <w:pPr>
        <w:pStyle w:val="FootnoteText"/>
        <w:rPr>
          <w:rFonts w:ascii="Verdana" w:hAnsi="Verdana"/>
          <w:color w:val="7030A0"/>
          <w:sz w:val="16"/>
          <w:szCs w:val="16"/>
        </w:rPr>
      </w:pPr>
      <w:r w:rsidRPr="00E16EF2">
        <w:rPr>
          <w:rStyle w:val="FootnoteReference"/>
          <w:rFonts w:ascii="Verdana" w:hAnsi="Verdana"/>
          <w:color w:val="7030A0"/>
          <w:sz w:val="16"/>
          <w:szCs w:val="16"/>
        </w:rPr>
        <w:footnoteRef/>
      </w:r>
      <w:r w:rsidRPr="00E16EF2">
        <w:rPr>
          <w:rFonts w:ascii="Verdana" w:hAnsi="Verdana"/>
          <w:color w:val="7030A0"/>
          <w:sz w:val="16"/>
          <w:szCs w:val="16"/>
        </w:rPr>
        <w:t xml:space="preserve"> NIHRC and ECNI </w:t>
      </w:r>
      <w:hyperlink r:id="rId5" w:history="1">
        <w:r w:rsidRPr="00E16EF2">
          <w:rPr>
            <w:rStyle w:val="Hyperlink"/>
            <w:rFonts w:ascii="Verdana" w:hAnsi="Verdana"/>
            <w:color w:val="7030A0"/>
            <w:sz w:val="16"/>
            <w:szCs w:val="16"/>
          </w:rPr>
          <w:t>Briefing on the Retained EU Law (Revocation and Reform) Bill</w:t>
        </w:r>
      </w:hyperlink>
      <w:r w:rsidRPr="00E16EF2">
        <w:rPr>
          <w:rFonts w:ascii="Verdana" w:hAnsi="Verdana"/>
          <w:color w:val="7030A0"/>
          <w:sz w:val="16"/>
          <w:szCs w:val="16"/>
        </w:rPr>
        <w:t xml:space="preserve"> (NIHRC and ECNI, 2023)</w:t>
      </w:r>
    </w:p>
  </w:footnote>
  <w:footnote w:id="6">
    <w:p w14:paraId="2E2792BA" w14:textId="77777777" w:rsidR="002667DD" w:rsidRPr="00E16EF2" w:rsidRDefault="002667DD" w:rsidP="002667DD">
      <w:pPr>
        <w:pStyle w:val="FootnoteText"/>
        <w:rPr>
          <w:rFonts w:ascii="Verdana" w:hAnsi="Verdana"/>
          <w:color w:val="7030A0"/>
          <w:sz w:val="16"/>
          <w:szCs w:val="16"/>
        </w:rPr>
      </w:pPr>
      <w:r w:rsidRPr="00E16EF2">
        <w:rPr>
          <w:rStyle w:val="FootnoteReference"/>
          <w:rFonts w:ascii="Verdana" w:hAnsi="Verdana"/>
          <w:color w:val="7030A0"/>
          <w:sz w:val="16"/>
          <w:szCs w:val="16"/>
        </w:rPr>
        <w:footnoteRef/>
      </w:r>
      <w:r w:rsidRPr="00E16EF2">
        <w:rPr>
          <w:rFonts w:ascii="Verdana" w:hAnsi="Verdana"/>
          <w:color w:val="7030A0"/>
          <w:sz w:val="16"/>
          <w:szCs w:val="16"/>
        </w:rPr>
        <w:t xml:space="preserve"> </w:t>
      </w:r>
      <w:hyperlink r:id="rId6" w:history="1">
        <w:r w:rsidRPr="00E16EF2">
          <w:rPr>
            <w:rStyle w:val="Hyperlink"/>
            <w:rFonts w:ascii="Verdana" w:hAnsi="Verdana"/>
            <w:color w:val="7030A0"/>
            <w:sz w:val="16"/>
            <w:szCs w:val="16"/>
          </w:rPr>
          <w:t>Joint NIHRC / ECNI Preliminary Briefing on the Northern Ireland Protocol Bill</w:t>
        </w:r>
      </w:hyperlink>
      <w:r w:rsidRPr="00E16EF2">
        <w:rPr>
          <w:rFonts w:ascii="Verdana" w:hAnsi="Verdana"/>
          <w:color w:val="7030A0"/>
          <w:sz w:val="16"/>
          <w:szCs w:val="16"/>
        </w:rPr>
        <w:t xml:space="preserve"> (NIHRC and ECNI, 2022)</w:t>
      </w:r>
    </w:p>
  </w:footnote>
  <w:footnote w:id="7">
    <w:p w14:paraId="3F34B027" w14:textId="77777777" w:rsidR="002667DD" w:rsidRPr="0008524E" w:rsidRDefault="002667DD" w:rsidP="002667DD">
      <w:pPr>
        <w:pStyle w:val="FootnoteText"/>
        <w:rPr>
          <w:color w:val="7030A0"/>
        </w:rPr>
      </w:pPr>
      <w:r w:rsidRPr="00E16EF2">
        <w:rPr>
          <w:rStyle w:val="FootnoteReference"/>
          <w:rFonts w:ascii="Verdana" w:hAnsi="Verdana"/>
          <w:color w:val="7030A0"/>
          <w:sz w:val="16"/>
          <w:szCs w:val="16"/>
        </w:rPr>
        <w:footnoteRef/>
      </w:r>
      <w:r w:rsidRPr="00E16EF2">
        <w:rPr>
          <w:rFonts w:ascii="Verdana" w:hAnsi="Verdana"/>
          <w:color w:val="7030A0"/>
          <w:sz w:val="16"/>
          <w:szCs w:val="16"/>
        </w:rPr>
        <w:t xml:space="preserve"> NIHRC Advice on the Bill of Rights Bill (NIHRC, 2022)</w:t>
      </w:r>
    </w:p>
  </w:footnote>
  <w:footnote w:id="8">
    <w:p w14:paraId="6356A60D" w14:textId="77777777" w:rsidR="002667DD" w:rsidRPr="00E16EF2" w:rsidRDefault="002667DD" w:rsidP="002667DD">
      <w:pPr>
        <w:pStyle w:val="FootnoteText"/>
        <w:rPr>
          <w:rFonts w:ascii="Verdana" w:hAnsi="Verdana"/>
          <w:color w:val="7030A0"/>
          <w:sz w:val="16"/>
          <w:szCs w:val="16"/>
        </w:rPr>
      </w:pPr>
      <w:r w:rsidRPr="00E16EF2">
        <w:rPr>
          <w:rStyle w:val="FootnoteReference"/>
          <w:rFonts w:ascii="Verdana" w:hAnsi="Verdana"/>
          <w:color w:val="7030A0"/>
          <w:sz w:val="16"/>
          <w:szCs w:val="16"/>
        </w:rPr>
        <w:footnoteRef/>
      </w:r>
      <w:r w:rsidRPr="00E16EF2">
        <w:rPr>
          <w:rFonts w:ascii="Verdana" w:hAnsi="Verdana"/>
          <w:color w:val="7030A0"/>
          <w:sz w:val="16"/>
          <w:szCs w:val="16"/>
        </w:rPr>
        <w:t xml:space="preserve"> </w:t>
      </w:r>
      <w:hyperlink r:id="rId7" w:history="1">
        <w:r w:rsidRPr="00E16EF2">
          <w:rPr>
            <w:rStyle w:val="Hyperlink"/>
            <w:rFonts w:ascii="Verdana" w:hAnsi="Verdana"/>
            <w:color w:val="7030A0"/>
            <w:sz w:val="16"/>
            <w:szCs w:val="16"/>
          </w:rPr>
          <w:t>Advice on NI Troubles (Legacy and Reconciliation) Bill</w:t>
        </w:r>
      </w:hyperlink>
      <w:r w:rsidRPr="00E16EF2">
        <w:rPr>
          <w:rFonts w:ascii="Verdana" w:hAnsi="Verdana"/>
          <w:color w:val="7030A0"/>
          <w:sz w:val="16"/>
          <w:szCs w:val="16"/>
        </w:rPr>
        <w:t xml:space="preserve"> (NIHRC, 2022)</w:t>
      </w:r>
    </w:p>
  </w:footnote>
  <w:footnote w:id="9">
    <w:p w14:paraId="0E2D316B" w14:textId="09B62CDD" w:rsidR="002667DD" w:rsidRPr="00E16EF2" w:rsidRDefault="002667DD" w:rsidP="002667DD">
      <w:pPr>
        <w:pStyle w:val="FootnoteText"/>
        <w:rPr>
          <w:rFonts w:ascii="Verdana" w:hAnsi="Verdana" w:cstheme="minorHAnsi"/>
          <w:sz w:val="16"/>
          <w:szCs w:val="16"/>
        </w:rPr>
      </w:pPr>
      <w:r w:rsidRPr="00E16EF2">
        <w:rPr>
          <w:rStyle w:val="FootnoteReference"/>
          <w:rFonts w:ascii="Verdana" w:hAnsi="Verdana"/>
          <w:color w:val="7030A0"/>
          <w:sz w:val="16"/>
          <w:szCs w:val="16"/>
        </w:rPr>
        <w:footnoteRef/>
      </w:r>
      <w:r w:rsidRPr="00E16EF2">
        <w:rPr>
          <w:rFonts w:ascii="Verdana" w:hAnsi="Verdana"/>
          <w:color w:val="7030A0"/>
          <w:sz w:val="16"/>
          <w:szCs w:val="16"/>
        </w:rPr>
        <w:t xml:space="preserve"> </w:t>
      </w:r>
      <w:r w:rsidR="00A21012" w:rsidRPr="00E16EF2">
        <w:rPr>
          <w:rFonts w:ascii="Verdana" w:hAnsi="Verdana"/>
          <w:color w:val="7030A0"/>
          <w:sz w:val="16"/>
          <w:szCs w:val="16"/>
        </w:rPr>
        <w:t xml:space="preserve">For example: Letters from the Sub-Committee on the Protocol on Ireland/NI to Secretary of State for Foreign, Commonwealth and Development Affairs on the NI Protocol Bill, </w:t>
      </w:r>
      <w:hyperlink r:id="rId8" w:history="1">
        <w:r w:rsidR="00A21012" w:rsidRPr="00E16EF2">
          <w:rPr>
            <w:rStyle w:val="Hyperlink"/>
            <w:rFonts w:ascii="Verdana" w:hAnsi="Verdana"/>
            <w:color w:val="7030A0"/>
            <w:sz w:val="16"/>
            <w:szCs w:val="16"/>
          </w:rPr>
          <w:t>22 November 2022</w:t>
        </w:r>
      </w:hyperlink>
      <w:r w:rsidR="00A21012" w:rsidRPr="00E16EF2">
        <w:rPr>
          <w:rFonts w:ascii="Verdana" w:hAnsi="Verdana"/>
          <w:color w:val="7030A0"/>
          <w:sz w:val="16"/>
          <w:szCs w:val="16"/>
        </w:rPr>
        <w:t xml:space="preserve"> and </w:t>
      </w:r>
      <w:hyperlink r:id="rId9" w:history="1">
        <w:r w:rsidR="00A21012" w:rsidRPr="00E16EF2">
          <w:rPr>
            <w:rStyle w:val="Hyperlink"/>
            <w:rFonts w:ascii="Verdana" w:hAnsi="Verdana"/>
            <w:color w:val="7030A0"/>
            <w:sz w:val="16"/>
            <w:szCs w:val="16"/>
          </w:rPr>
          <w:t>12 January 2023</w:t>
        </w:r>
      </w:hyperlink>
      <w:r w:rsidR="00A21012" w:rsidRPr="00E16EF2">
        <w:rPr>
          <w:rFonts w:ascii="Verdana" w:hAnsi="Verdana"/>
          <w:color w:val="7030A0"/>
          <w:sz w:val="16"/>
          <w:szCs w:val="16"/>
        </w:rPr>
        <w:t xml:space="preserve">; </w:t>
      </w:r>
      <w:hyperlink r:id="rId10" w:history="1">
        <w:r w:rsidR="00A21012" w:rsidRPr="00E16EF2">
          <w:rPr>
            <w:rStyle w:val="Hyperlink"/>
            <w:rFonts w:ascii="Verdana" w:hAnsi="Verdana"/>
            <w:color w:val="7030A0"/>
            <w:sz w:val="16"/>
            <w:szCs w:val="16"/>
          </w:rPr>
          <w:t>Letter</w:t>
        </w:r>
      </w:hyperlink>
      <w:r w:rsidR="00A21012" w:rsidRPr="00E16EF2">
        <w:rPr>
          <w:rFonts w:ascii="Verdana" w:hAnsi="Verdana"/>
          <w:color w:val="7030A0"/>
          <w:sz w:val="16"/>
          <w:szCs w:val="16"/>
        </w:rPr>
        <w:t xml:space="preserve"> from the Sub-Committee on the Protocol on Ireland/NI to Secretary of State for Business and Trade on the Retained EU Law (Revocation and Reform) Bill, 9 February 2023; </w:t>
      </w:r>
      <w:hyperlink r:id="rId11" w:history="1">
        <w:r w:rsidR="00A21012" w:rsidRPr="00E16EF2">
          <w:rPr>
            <w:rStyle w:val="Hyperlink"/>
            <w:rFonts w:ascii="Verdana" w:hAnsi="Verdana"/>
            <w:color w:val="7030A0"/>
            <w:sz w:val="16"/>
            <w:szCs w:val="16"/>
          </w:rPr>
          <w:t>Letter</w:t>
        </w:r>
      </w:hyperlink>
      <w:r w:rsidR="00A21012" w:rsidRPr="00E16EF2">
        <w:rPr>
          <w:rFonts w:ascii="Verdana" w:hAnsi="Verdana"/>
          <w:color w:val="7030A0"/>
          <w:sz w:val="16"/>
          <w:szCs w:val="16"/>
        </w:rPr>
        <w:t xml:space="preserve"> from the Sub-Committee on the Protocol on Ireland/NI to Parliamentary Under Secretary of State, NI Office on the NI Troubles (Legacy and Reconciliation) Bill,  1 December 2022; and Joint letter from the NI Affairs Committee, Women and Equalities Committee, Sub-Committee on the Protocol on Ireland/NI and Joint Committee on Human Rights to the Secretary of State for NI, relating to Parliamentary scrutiny of Article 2 of the Protocol on Ireland/NI, 23 June 2022.</w:t>
      </w:r>
      <w:r w:rsidR="00A21012" w:rsidRPr="00E16EF2">
        <w:rPr>
          <w:rFonts w:ascii="Verdana" w:hAnsi="Verdana" w:cs="Calibri"/>
          <w:color w:val="7030A0"/>
          <w:sz w:val="16"/>
          <w:szCs w:val="16"/>
        </w:rPr>
        <w:t xml:space="preserve">  </w:t>
      </w:r>
    </w:p>
  </w:footnote>
  <w:footnote w:id="10">
    <w:p w14:paraId="76CD9089" w14:textId="77777777" w:rsidR="002667DD" w:rsidRPr="00E16EF2" w:rsidRDefault="002667DD" w:rsidP="002667DD">
      <w:pPr>
        <w:pStyle w:val="FootnoteText"/>
        <w:rPr>
          <w:rFonts w:ascii="Verdana" w:hAnsi="Verdana"/>
          <w:color w:val="7030A0"/>
          <w:sz w:val="16"/>
          <w:szCs w:val="16"/>
        </w:rPr>
      </w:pPr>
      <w:r w:rsidRPr="00E16EF2">
        <w:rPr>
          <w:rStyle w:val="FootnoteReference"/>
          <w:rFonts w:ascii="Verdana" w:hAnsi="Verdana"/>
          <w:color w:val="7030A0"/>
          <w:sz w:val="16"/>
          <w:szCs w:val="16"/>
        </w:rPr>
        <w:footnoteRef/>
      </w:r>
      <w:r w:rsidRPr="00E16EF2">
        <w:rPr>
          <w:rFonts w:ascii="Verdana" w:hAnsi="Verdana"/>
          <w:color w:val="7030A0"/>
          <w:sz w:val="16"/>
          <w:szCs w:val="16"/>
        </w:rPr>
        <w:t xml:space="preserve"> NIHRC </w:t>
      </w:r>
      <w:hyperlink r:id="rId12" w:history="1">
        <w:r w:rsidRPr="00E16EF2">
          <w:rPr>
            <w:rStyle w:val="Hyperlink"/>
            <w:rFonts w:ascii="Verdana" w:hAnsi="Verdana"/>
            <w:color w:val="7030A0"/>
            <w:sz w:val="16"/>
            <w:szCs w:val="16"/>
          </w:rPr>
          <w:t>Response to the European Commission Consultation on the Racial Equality Directive</w:t>
        </w:r>
      </w:hyperlink>
      <w:r w:rsidRPr="00E16EF2">
        <w:rPr>
          <w:rFonts w:ascii="Verdana" w:hAnsi="Verdana"/>
          <w:color w:val="7030A0"/>
          <w:sz w:val="16"/>
          <w:szCs w:val="16"/>
        </w:rPr>
        <w:t xml:space="preserve"> (NIHRC, 2022)</w:t>
      </w:r>
    </w:p>
  </w:footnote>
  <w:footnote w:id="11">
    <w:p w14:paraId="472EE097" w14:textId="77777777" w:rsidR="002667DD" w:rsidRPr="00EF0E01" w:rsidRDefault="002667DD" w:rsidP="002667DD">
      <w:pPr>
        <w:pStyle w:val="FootnoteText"/>
        <w:rPr>
          <w:color w:val="7030A0"/>
        </w:rPr>
      </w:pPr>
      <w:r w:rsidRPr="00E16EF2">
        <w:rPr>
          <w:rStyle w:val="FootnoteReference"/>
          <w:rFonts w:ascii="Verdana" w:hAnsi="Verdana"/>
          <w:color w:val="7030A0"/>
          <w:sz w:val="16"/>
          <w:szCs w:val="16"/>
        </w:rPr>
        <w:footnoteRef/>
      </w:r>
      <w:r w:rsidRPr="00E16EF2">
        <w:rPr>
          <w:rFonts w:ascii="Verdana" w:hAnsi="Verdana"/>
          <w:color w:val="7030A0"/>
          <w:sz w:val="16"/>
          <w:szCs w:val="16"/>
        </w:rPr>
        <w:t xml:space="preserve"> See, for example, NIHRC Statement to the Committee on Economic, Social and Cultural Rights the 72nd Pre-Sessional Working Group on the Examination of the United Kingdom’s Compliance with the United Nations International Covenant on Economic, Social and Cultural Rights (NIHRC, 2023) and NIHRC Submission to the UN Committee on ICESCR – Parallel Report for the List of Issues in Relation to the Seventh Periodic Report of the United Kingdom (NIHRC, 2022)</w:t>
      </w:r>
    </w:p>
  </w:footnote>
  <w:footnote w:id="12">
    <w:p w14:paraId="306DAF11" w14:textId="77777777" w:rsidR="00B208B5" w:rsidRPr="0056637D" w:rsidRDefault="00B208B5">
      <w:pPr>
        <w:pStyle w:val="FootnoteText"/>
        <w:rPr>
          <w:rFonts w:ascii="Verdana" w:hAnsi="Verdana"/>
          <w:color w:val="7030A0"/>
          <w:sz w:val="16"/>
          <w:szCs w:val="16"/>
        </w:rPr>
      </w:pPr>
      <w:r w:rsidRPr="0056637D">
        <w:rPr>
          <w:rStyle w:val="FootnoteReference"/>
          <w:rFonts w:ascii="Verdana" w:hAnsi="Verdana"/>
          <w:color w:val="7030A0"/>
          <w:sz w:val="16"/>
          <w:szCs w:val="16"/>
        </w:rPr>
        <w:footnoteRef/>
      </w:r>
      <w:r w:rsidRPr="0056637D">
        <w:rPr>
          <w:rFonts w:ascii="Verdana" w:hAnsi="Verdana"/>
          <w:color w:val="7030A0"/>
          <w:sz w:val="16"/>
          <w:szCs w:val="16"/>
        </w:rPr>
        <w:t xml:space="preserve"> The value of pension benefits accrued during the year is calculated as (the real increase in</w:t>
      </w:r>
      <w:r>
        <w:rPr>
          <w:rFonts w:ascii="Verdana" w:hAnsi="Verdana"/>
          <w:color w:val="7030A0"/>
          <w:sz w:val="16"/>
          <w:szCs w:val="16"/>
        </w:rPr>
        <w:t xml:space="preserve"> pension multiplied by 20) plus the real increase in any lump sum, </w:t>
      </w:r>
      <w:r w:rsidRPr="0056637D">
        <w:rPr>
          <w:rFonts w:ascii="Verdana" w:hAnsi="Verdana"/>
          <w:color w:val="7030A0"/>
          <w:sz w:val="16"/>
          <w:szCs w:val="16"/>
        </w:rPr>
        <w:t xml:space="preserve">less (the contributions made by the </w:t>
      </w:r>
      <w:r>
        <w:rPr>
          <w:rFonts w:ascii="Verdana" w:hAnsi="Verdana"/>
          <w:color w:val="7030A0"/>
          <w:sz w:val="16"/>
          <w:szCs w:val="16"/>
        </w:rPr>
        <w:t>individual).  The real increases</w:t>
      </w:r>
      <w:r w:rsidRPr="0056637D">
        <w:rPr>
          <w:rFonts w:ascii="Verdana" w:hAnsi="Verdana"/>
          <w:color w:val="7030A0"/>
          <w:sz w:val="16"/>
          <w:szCs w:val="16"/>
        </w:rPr>
        <w:t xml:space="preserve"> exclude</w:t>
      </w:r>
      <w:r>
        <w:rPr>
          <w:rFonts w:ascii="Verdana" w:hAnsi="Verdana"/>
          <w:color w:val="7030A0"/>
          <w:sz w:val="16"/>
          <w:szCs w:val="16"/>
        </w:rPr>
        <w:t>s</w:t>
      </w:r>
      <w:r w:rsidRPr="0056637D">
        <w:rPr>
          <w:rFonts w:ascii="Verdana" w:hAnsi="Verdana"/>
          <w:color w:val="7030A0"/>
          <w:sz w:val="16"/>
          <w:szCs w:val="16"/>
        </w:rPr>
        <w:t xml:space="preserve"> increases due to inflation or any increase or decrease due to a transfer of pension rights.</w:t>
      </w:r>
    </w:p>
  </w:footnote>
  <w:footnote w:id="13">
    <w:p w14:paraId="75896C73" w14:textId="77777777" w:rsidR="00013EDA" w:rsidRPr="00F0587C" w:rsidRDefault="00013EDA">
      <w:pPr>
        <w:pStyle w:val="FootnoteText"/>
        <w:rPr>
          <w:rFonts w:ascii="Verdana" w:hAnsi="Verdana"/>
          <w:color w:val="7030A0"/>
          <w:sz w:val="16"/>
          <w:szCs w:val="16"/>
          <w:lang w:val="en-US"/>
        </w:rPr>
      </w:pPr>
      <w:r w:rsidRPr="00F0587C">
        <w:rPr>
          <w:rStyle w:val="FootnoteReference"/>
          <w:rFonts w:ascii="Verdana" w:hAnsi="Verdana"/>
          <w:color w:val="7030A0"/>
          <w:sz w:val="16"/>
          <w:szCs w:val="16"/>
        </w:rPr>
        <w:footnoteRef/>
      </w:r>
      <w:r w:rsidRPr="00F0587C">
        <w:rPr>
          <w:rFonts w:ascii="Verdana" w:hAnsi="Verdana"/>
          <w:color w:val="7030A0"/>
          <w:sz w:val="16"/>
          <w:szCs w:val="16"/>
        </w:rPr>
        <w:t xml:space="preserve"> </w:t>
      </w:r>
      <w:bookmarkStart w:id="15" w:name="_Hlk135994569"/>
      <w:r w:rsidRPr="00F0587C">
        <w:rPr>
          <w:rFonts w:ascii="Verdana" w:hAnsi="Verdana"/>
          <w:color w:val="7030A0"/>
          <w:sz w:val="16"/>
          <w:szCs w:val="16"/>
          <w:lang w:val="en-US"/>
        </w:rPr>
        <w:t>The figure quoted is for the period 1 September 2021 to 31 March 2022.  The full year equivalent is £70-£75k</w:t>
      </w:r>
      <w:bookmarkEnd w:id="15"/>
      <w:r w:rsidRPr="00F0587C">
        <w:rPr>
          <w:rFonts w:ascii="Verdana" w:hAnsi="Verdana"/>
          <w:color w:val="7030A0"/>
          <w:sz w:val="16"/>
          <w:szCs w:val="16"/>
          <w:lang w:val="en-US"/>
        </w:rPr>
        <w:t>.</w:t>
      </w:r>
    </w:p>
  </w:footnote>
  <w:footnote w:id="14">
    <w:p w14:paraId="3778570F" w14:textId="2B0CDC37" w:rsidR="00760EB1" w:rsidRPr="00760EB1" w:rsidRDefault="00760EB1">
      <w:pPr>
        <w:pStyle w:val="FootnoteText"/>
        <w:rPr>
          <w:rFonts w:ascii="Verdana" w:hAnsi="Verdana"/>
          <w:sz w:val="16"/>
          <w:szCs w:val="16"/>
        </w:rPr>
      </w:pPr>
      <w:r w:rsidRPr="00760EB1">
        <w:rPr>
          <w:rStyle w:val="FootnoteReference"/>
          <w:rFonts w:ascii="Verdana" w:hAnsi="Verdana"/>
          <w:color w:val="7030A0"/>
          <w:sz w:val="16"/>
          <w:szCs w:val="16"/>
        </w:rPr>
        <w:footnoteRef/>
      </w:r>
      <w:r w:rsidRPr="00760EB1">
        <w:rPr>
          <w:rFonts w:ascii="Verdana" w:hAnsi="Verdana"/>
          <w:color w:val="7030A0"/>
          <w:sz w:val="16"/>
          <w:szCs w:val="16"/>
        </w:rPr>
        <w:t xml:space="preserve"> The figure quoted is for the period 1 </w:t>
      </w:r>
      <w:r w:rsidR="00431AE4" w:rsidRPr="00760EB1">
        <w:rPr>
          <w:rFonts w:ascii="Verdana" w:hAnsi="Verdana"/>
          <w:color w:val="7030A0"/>
          <w:sz w:val="16"/>
          <w:szCs w:val="16"/>
        </w:rPr>
        <w:t>September</w:t>
      </w:r>
      <w:r w:rsidRPr="00760EB1">
        <w:rPr>
          <w:rFonts w:ascii="Verdana" w:hAnsi="Verdana"/>
          <w:color w:val="7030A0"/>
          <w:sz w:val="16"/>
          <w:szCs w:val="16"/>
        </w:rPr>
        <w:t xml:space="preserve"> 2022 to 31 March 2023. The full year equivalent is £5-</w:t>
      </w:r>
      <w:r w:rsidR="0046013C">
        <w:rPr>
          <w:rFonts w:ascii="Verdana" w:hAnsi="Verdana"/>
          <w:color w:val="7030A0"/>
          <w:sz w:val="16"/>
          <w:szCs w:val="16"/>
        </w:rPr>
        <w:t>£</w:t>
      </w:r>
      <w:r w:rsidRPr="00760EB1">
        <w:rPr>
          <w:rFonts w:ascii="Verdana" w:hAnsi="Verdana"/>
          <w:color w:val="7030A0"/>
          <w:sz w:val="16"/>
          <w:szCs w:val="16"/>
        </w:rPr>
        <w:t>10k.</w:t>
      </w:r>
    </w:p>
  </w:footnote>
  <w:footnote w:id="15">
    <w:p w14:paraId="078A2505" w14:textId="016B879D" w:rsidR="00013EDA" w:rsidRPr="00013EDA" w:rsidRDefault="00013EDA">
      <w:pPr>
        <w:pStyle w:val="FootnoteText"/>
        <w:rPr>
          <w:rFonts w:ascii="Verdana" w:hAnsi="Verdana"/>
          <w:color w:val="B2A1C7" w:themeColor="accent4" w:themeTint="99"/>
          <w:sz w:val="16"/>
          <w:szCs w:val="16"/>
        </w:rPr>
      </w:pPr>
      <w:r w:rsidRPr="00013EDA">
        <w:rPr>
          <w:rStyle w:val="FootnoteReference"/>
          <w:color w:val="7030A0"/>
        </w:rPr>
        <w:footnoteRef/>
      </w:r>
      <w:r w:rsidRPr="00F0587C">
        <w:rPr>
          <w:rFonts w:ascii="Verdana" w:hAnsi="Verdana"/>
          <w:color w:val="7030A0"/>
          <w:sz w:val="16"/>
          <w:szCs w:val="16"/>
          <w:lang w:val="en-US"/>
        </w:rPr>
        <w:t>The figure quoted is for the period 1</w:t>
      </w:r>
      <w:r>
        <w:rPr>
          <w:rFonts w:ascii="Verdana" w:hAnsi="Verdana"/>
          <w:color w:val="7030A0"/>
          <w:sz w:val="16"/>
          <w:szCs w:val="16"/>
          <w:lang w:val="en-US"/>
        </w:rPr>
        <w:t xml:space="preserve"> April 2021</w:t>
      </w:r>
      <w:r w:rsidRPr="00F0587C">
        <w:rPr>
          <w:rFonts w:ascii="Verdana" w:hAnsi="Verdana"/>
          <w:color w:val="7030A0"/>
          <w:sz w:val="16"/>
          <w:szCs w:val="16"/>
          <w:lang w:val="en-US"/>
        </w:rPr>
        <w:t xml:space="preserve"> to 31 </w:t>
      </w:r>
      <w:r>
        <w:rPr>
          <w:rFonts w:ascii="Verdana" w:hAnsi="Verdana"/>
          <w:color w:val="7030A0"/>
          <w:sz w:val="16"/>
          <w:szCs w:val="16"/>
          <w:lang w:val="en-US"/>
        </w:rPr>
        <w:t>August</w:t>
      </w:r>
      <w:r w:rsidRPr="00F0587C">
        <w:rPr>
          <w:rFonts w:ascii="Verdana" w:hAnsi="Verdana"/>
          <w:color w:val="7030A0"/>
          <w:sz w:val="16"/>
          <w:szCs w:val="16"/>
          <w:lang w:val="en-US"/>
        </w:rPr>
        <w:t xml:space="preserve"> 202</w:t>
      </w:r>
      <w:r>
        <w:rPr>
          <w:rFonts w:ascii="Verdana" w:hAnsi="Verdana"/>
          <w:color w:val="7030A0"/>
          <w:sz w:val="16"/>
          <w:szCs w:val="16"/>
          <w:lang w:val="en-US"/>
        </w:rPr>
        <w:t>1</w:t>
      </w:r>
      <w:r w:rsidRPr="00F0587C">
        <w:rPr>
          <w:rFonts w:ascii="Verdana" w:hAnsi="Verdana"/>
          <w:color w:val="7030A0"/>
          <w:sz w:val="16"/>
          <w:szCs w:val="16"/>
          <w:lang w:val="en-US"/>
        </w:rPr>
        <w:t>.  The full year equivalent is £</w:t>
      </w:r>
      <w:r>
        <w:rPr>
          <w:rFonts w:ascii="Verdana" w:hAnsi="Verdana"/>
          <w:color w:val="7030A0"/>
          <w:sz w:val="16"/>
          <w:szCs w:val="16"/>
          <w:lang w:val="en-US"/>
        </w:rPr>
        <w:t>5</w:t>
      </w:r>
      <w:r w:rsidRPr="00F0587C">
        <w:rPr>
          <w:rFonts w:ascii="Verdana" w:hAnsi="Verdana"/>
          <w:color w:val="7030A0"/>
          <w:sz w:val="16"/>
          <w:szCs w:val="16"/>
          <w:lang w:val="en-US"/>
        </w:rPr>
        <w:t>-£</w:t>
      </w:r>
      <w:r>
        <w:rPr>
          <w:rFonts w:ascii="Verdana" w:hAnsi="Verdana"/>
          <w:color w:val="7030A0"/>
          <w:sz w:val="16"/>
          <w:szCs w:val="16"/>
          <w:lang w:val="en-US"/>
        </w:rPr>
        <w:t>10</w:t>
      </w:r>
      <w:r w:rsidRPr="00F0587C">
        <w:rPr>
          <w:rFonts w:ascii="Verdana" w:hAnsi="Verdana"/>
          <w:color w:val="7030A0"/>
          <w:sz w:val="16"/>
          <w:szCs w:val="16"/>
          <w:lang w:val="en-US"/>
        </w:rPr>
        <w:t>k</w:t>
      </w:r>
      <w:r>
        <w:rPr>
          <w:rFonts w:ascii="Verdana" w:hAnsi="Verdana"/>
          <w:color w:val="7030A0"/>
          <w:sz w:val="16"/>
          <w:szCs w:val="16"/>
          <w:lang w:val="en-US"/>
        </w:rPr>
        <w:t>.</w:t>
      </w:r>
    </w:p>
  </w:footnote>
  <w:footnote w:id="16">
    <w:p w14:paraId="308A6C90" w14:textId="77777777" w:rsidR="00013EDA" w:rsidRPr="00F0587C" w:rsidRDefault="00013EDA" w:rsidP="00863A14">
      <w:pPr>
        <w:pStyle w:val="FootnoteText"/>
        <w:rPr>
          <w:rFonts w:ascii="Verdana" w:hAnsi="Verdana"/>
          <w:color w:val="7030A0"/>
          <w:sz w:val="16"/>
          <w:szCs w:val="16"/>
          <w:lang w:val="en-US"/>
        </w:rPr>
      </w:pPr>
      <w:r w:rsidRPr="007E1610">
        <w:rPr>
          <w:rStyle w:val="FootnoteReference"/>
          <w:color w:val="7030A0"/>
        </w:rPr>
        <w:footnoteRef/>
      </w:r>
      <w:r w:rsidRPr="007E1610">
        <w:rPr>
          <w:color w:val="7030A0"/>
        </w:rPr>
        <w:t xml:space="preserve"> </w:t>
      </w:r>
      <w:r w:rsidRPr="00F0587C">
        <w:rPr>
          <w:rFonts w:ascii="Verdana" w:hAnsi="Verdana"/>
          <w:color w:val="7030A0"/>
          <w:sz w:val="16"/>
          <w:szCs w:val="16"/>
          <w:lang w:val="en-US"/>
        </w:rPr>
        <w:t>The figure quoted is for the period 1 April 2021 to 31 August 2021.  The full year equivalent is £80-£85k.</w:t>
      </w:r>
    </w:p>
  </w:footnote>
  <w:footnote w:id="17">
    <w:p w14:paraId="0C2AEF65" w14:textId="6FAB42F1" w:rsidR="00431AE4" w:rsidRPr="00431AE4" w:rsidRDefault="00431AE4">
      <w:pPr>
        <w:pStyle w:val="FootnoteText"/>
        <w:rPr>
          <w:rFonts w:ascii="Verdana" w:hAnsi="Verdana"/>
          <w:color w:val="7030A0"/>
          <w:sz w:val="16"/>
          <w:szCs w:val="16"/>
        </w:rPr>
      </w:pPr>
      <w:r w:rsidRPr="00D948A4">
        <w:rPr>
          <w:rStyle w:val="FootnoteReference"/>
          <w:color w:val="7030A0"/>
        </w:rPr>
        <w:footnoteRef/>
      </w:r>
      <w:r>
        <w:t xml:space="preserve"> </w:t>
      </w:r>
      <w:r>
        <w:rPr>
          <w:rFonts w:ascii="Verdana" w:hAnsi="Verdana"/>
          <w:color w:val="7030A0"/>
          <w:sz w:val="16"/>
          <w:szCs w:val="16"/>
        </w:rPr>
        <w:t>Charges a fee, which is processed through the Commission’s payroll.</w:t>
      </w:r>
    </w:p>
  </w:footnote>
  <w:footnote w:id="18">
    <w:p w14:paraId="4D8C939F" w14:textId="6C37C506" w:rsidR="0046013C" w:rsidRPr="0046013C" w:rsidRDefault="0046013C">
      <w:pPr>
        <w:pStyle w:val="FootnoteText"/>
        <w:rPr>
          <w:rFonts w:ascii="Verdana" w:hAnsi="Verdana"/>
        </w:rPr>
      </w:pPr>
      <w:r w:rsidRPr="0046013C">
        <w:rPr>
          <w:rStyle w:val="FootnoteReference"/>
          <w:rFonts w:ascii="Verdana" w:hAnsi="Verdana"/>
          <w:color w:val="7030A0"/>
          <w:sz w:val="16"/>
          <w:szCs w:val="16"/>
        </w:rPr>
        <w:footnoteRef/>
      </w:r>
      <w:r w:rsidRPr="0046013C">
        <w:rPr>
          <w:rFonts w:ascii="Verdana" w:hAnsi="Verdana"/>
          <w:color w:val="7030A0"/>
          <w:sz w:val="16"/>
          <w:szCs w:val="16"/>
        </w:rPr>
        <w:t xml:space="preserve"> The figure quoted is for the period 1 August 2022 to 31 March 2023.  The full year equivalent is £65-£70k.</w:t>
      </w:r>
    </w:p>
  </w:footnote>
  <w:footnote w:id="19">
    <w:p w14:paraId="3DB6B55A" w14:textId="3E843B09" w:rsidR="00B208B5" w:rsidRPr="00E16EF2" w:rsidRDefault="00B208B5">
      <w:pPr>
        <w:pStyle w:val="FootnoteText"/>
        <w:rPr>
          <w:rFonts w:ascii="Verdana" w:hAnsi="Verdana"/>
          <w:sz w:val="16"/>
          <w:szCs w:val="16"/>
          <w:lang w:val="en-US"/>
        </w:rPr>
      </w:pPr>
      <w:r w:rsidRPr="00E16EF2">
        <w:rPr>
          <w:rStyle w:val="FootnoteReference"/>
          <w:rFonts w:ascii="Verdana" w:hAnsi="Verdana"/>
          <w:color w:val="7030A0"/>
          <w:sz w:val="16"/>
          <w:szCs w:val="16"/>
        </w:rPr>
        <w:footnoteRef/>
      </w:r>
      <w:r w:rsidRPr="00E16EF2">
        <w:rPr>
          <w:rFonts w:ascii="Verdana" w:hAnsi="Verdana"/>
          <w:color w:val="7030A0"/>
          <w:sz w:val="16"/>
          <w:szCs w:val="16"/>
        </w:rPr>
        <w:t xml:space="preserve"> Includes staff costs for Dedicated Mechanism staff of £</w:t>
      </w:r>
      <w:r w:rsidR="00C4616A" w:rsidRPr="00E16EF2">
        <w:rPr>
          <w:rFonts w:ascii="Verdana" w:hAnsi="Verdana"/>
          <w:color w:val="7030A0"/>
          <w:sz w:val="16"/>
          <w:szCs w:val="16"/>
        </w:rPr>
        <w:t>513,625</w:t>
      </w:r>
    </w:p>
  </w:footnote>
  <w:footnote w:id="20">
    <w:p w14:paraId="255804F4" w14:textId="3E614790" w:rsidR="00B208B5" w:rsidRPr="008215DC" w:rsidRDefault="00B208B5">
      <w:pPr>
        <w:pStyle w:val="FootnoteText"/>
        <w:rPr>
          <w:lang w:val="en-US"/>
        </w:rPr>
      </w:pPr>
      <w:r w:rsidRPr="00E16EF2">
        <w:rPr>
          <w:rStyle w:val="FootnoteReference"/>
          <w:rFonts w:ascii="Verdana" w:hAnsi="Verdana"/>
          <w:color w:val="7030A0"/>
          <w:sz w:val="16"/>
          <w:szCs w:val="16"/>
        </w:rPr>
        <w:footnoteRef/>
      </w:r>
      <w:r w:rsidRPr="00E16EF2">
        <w:rPr>
          <w:rFonts w:ascii="Verdana" w:hAnsi="Verdana"/>
          <w:color w:val="7030A0"/>
          <w:sz w:val="16"/>
          <w:szCs w:val="16"/>
        </w:rPr>
        <w:t xml:space="preserve"> </w:t>
      </w:r>
      <w:r w:rsidRPr="00E16EF2">
        <w:rPr>
          <w:rFonts w:ascii="Verdana" w:hAnsi="Verdana"/>
          <w:color w:val="7030A0"/>
          <w:sz w:val="16"/>
          <w:szCs w:val="16"/>
          <w:lang w:val="en-US"/>
        </w:rPr>
        <w:t>Includes pension costs for Dedicated Mechanism staff of £</w:t>
      </w:r>
      <w:r w:rsidR="00C4616A" w:rsidRPr="00E16EF2">
        <w:rPr>
          <w:rFonts w:ascii="Verdana" w:hAnsi="Verdana"/>
          <w:color w:val="7030A0"/>
          <w:sz w:val="16"/>
          <w:szCs w:val="16"/>
          <w:lang w:val="en-US"/>
        </w:rPr>
        <w:t>100,321</w:t>
      </w:r>
    </w:p>
  </w:footnote>
  <w:footnote w:id="21">
    <w:p w14:paraId="3CC2D484" w14:textId="2E9348E3" w:rsidR="00B208B5" w:rsidRPr="009824E9" w:rsidRDefault="00B208B5">
      <w:pPr>
        <w:pStyle w:val="FootnoteText"/>
        <w:rPr>
          <w:rFonts w:ascii="Verdana" w:hAnsi="Verdana"/>
          <w:color w:val="7030A0"/>
          <w:sz w:val="16"/>
          <w:szCs w:val="16"/>
        </w:rPr>
      </w:pPr>
      <w:r w:rsidRPr="009824E9">
        <w:rPr>
          <w:rStyle w:val="FootnoteReference"/>
          <w:rFonts w:ascii="Verdana" w:hAnsi="Verdana"/>
          <w:color w:val="7030A0"/>
          <w:sz w:val="16"/>
          <w:szCs w:val="16"/>
        </w:rPr>
        <w:footnoteRef/>
      </w:r>
      <w:r w:rsidRPr="009824E9">
        <w:rPr>
          <w:rFonts w:ascii="Verdana" w:hAnsi="Verdana"/>
          <w:color w:val="7030A0"/>
          <w:sz w:val="16"/>
          <w:szCs w:val="16"/>
        </w:rPr>
        <w:t xml:space="preserve"> Average number of persons employed can be found in the staff report on page </w:t>
      </w:r>
      <w:r w:rsidR="00320CF6">
        <w:rPr>
          <w:rFonts w:ascii="Verdana" w:hAnsi="Verdana"/>
          <w:color w:val="7030A0"/>
          <w:sz w:val="16"/>
          <w:szCs w:val="16"/>
        </w:rPr>
        <w:t>50</w:t>
      </w:r>
      <w:r>
        <w:rPr>
          <w:rFonts w:ascii="Verdana" w:hAnsi="Verdana"/>
          <w:color w:val="7030A0"/>
          <w:sz w:val="16"/>
          <w:szCs w:val="16"/>
        </w:rPr>
        <w:t>.</w:t>
      </w:r>
    </w:p>
  </w:footnote>
  <w:footnote w:id="22">
    <w:p w14:paraId="23E3990F" w14:textId="77777777" w:rsidR="009402EF" w:rsidRDefault="00B208B5" w:rsidP="009402EF">
      <w:pPr>
        <w:pStyle w:val="FootnoteText"/>
        <w:rPr>
          <w:rFonts w:ascii="Verdana" w:hAnsi="Verdana"/>
          <w:color w:val="7030A0"/>
          <w:sz w:val="16"/>
          <w:szCs w:val="16"/>
        </w:rPr>
      </w:pPr>
      <w:r w:rsidRPr="00225BE2">
        <w:rPr>
          <w:rStyle w:val="FootnoteReference"/>
          <w:rFonts w:ascii="Verdana" w:hAnsi="Verdana"/>
          <w:color w:val="7030A0"/>
          <w:sz w:val="16"/>
          <w:szCs w:val="16"/>
        </w:rPr>
        <w:footnoteRef/>
      </w:r>
      <w:r w:rsidRPr="00225BE2">
        <w:rPr>
          <w:rFonts w:ascii="Verdana" w:hAnsi="Verdana"/>
          <w:color w:val="7030A0"/>
          <w:sz w:val="16"/>
          <w:szCs w:val="16"/>
        </w:rPr>
        <w:t xml:space="preserve"> Includes staff costs for Dedicated Mechanism of £</w:t>
      </w:r>
      <w:r w:rsidR="00917CB7">
        <w:rPr>
          <w:rFonts w:ascii="Verdana" w:hAnsi="Verdana"/>
          <w:color w:val="7030A0"/>
          <w:sz w:val="16"/>
          <w:szCs w:val="16"/>
        </w:rPr>
        <w:t>513,625</w:t>
      </w:r>
    </w:p>
    <w:p w14:paraId="77063395" w14:textId="18A4B4D7" w:rsidR="009402EF" w:rsidRPr="00225BE2" w:rsidRDefault="009402EF">
      <w:pPr>
        <w:pStyle w:val="FootnoteText"/>
        <w:rPr>
          <w:rFonts w:ascii="Verdana" w:hAnsi="Verdana"/>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CE67" w14:textId="77777777" w:rsidR="002667DD" w:rsidRDefault="00266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1D6B6" w14:textId="77777777" w:rsidR="002667DD" w:rsidRDefault="002667DD" w:rsidP="001958B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00FD" w14:textId="77777777" w:rsidR="002667DD" w:rsidRDefault="002667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85AA" w14:textId="77777777" w:rsidR="00B208B5" w:rsidRDefault="00B208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71F77" w14:textId="77777777" w:rsidR="00B208B5" w:rsidRPr="006278CA" w:rsidRDefault="00B208B5" w:rsidP="00A83BAA">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E74B" w14:textId="77777777" w:rsidR="00B208B5" w:rsidRDefault="00B20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762"/>
    <w:multiLevelType w:val="hybridMultilevel"/>
    <w:tmpl w:val="23C82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51F00"/>
    <w:multiLevelType w:val="hybridMultilevel"/>
    <w:tmpl w:val="FF2CE9F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126446C9"/>
    <w:multiLevelType w:val="hybridMultilevel"/>
    <w:tmpl w:val="9C0CF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A4F6F"/>
    <w:multiLevelType w:val="multilevel"/>
    <w:tmpl w:val="27484CE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8907DB3"/>
    <w:multiLevelType w:val="hybridMultilevel"/>
    <w:tmpl w:val="215AEBA6"/>
    <w:lvl w:ilvl="0" w:tplc="08090001">
      <w:start w:val="1"/>
      <w:numFmt w:val="bullet"/>
      <w:lvlText w:val=""/>
      <w:lvlJc w:val="left"/>
      <w:pPr>
        <w:ind w:left="803" w:hanging="360"/>
      </w:pPr>
      <w:rPr>
        <w:rFonts w:ascii="Symbol" w:hAnsi="Symbol"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5" w15:restartNumberingAfterBreak="0">
    <w:nsid w:val="19BC642E"/>
    <w:multiLevelType w:val="hybridMultilevel"/>
    <w:tmpl w:val="1812E0B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06F7070"/>
    <w:multiLevelType w:val="multilevel"/>
    <w:tmpl w:val="98B84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130E1C"/>
    <w:multiLevelType w:val="hybridMultilevel"/>
    <w:tmpl w:val="107A6118"/>
    <w:lvl w:ilvl="0" w:tplc="08090001">
      <w:start w:val="1"/>
      <w:numFmt w:val="bullet"/>
      <w:lvlText w:val=""/>
      <w:lvlJc w:val="left"/>
      <w:pPr>
        <w:ind w:left="699" w:hanging="360"/>
      </w:pPr>
      <w:rPr>
        <w:rFonts w:ascii="Symbol" w:hAnsi="Symbol" w:hint="default"/>
      </w:rPr>
    </w:lvl>
    <w:lvl w:ilvl="1" w:tplc="08090003" w:tentative="1">
      <w:start w:val="1"/>
      <w:numFmt w:val="bullet"/>
      <w:lvlText w:val="o"/>
      <w:lvlJc w:val="left"/>
      <w:pPr>
        <w:ind w:left="1419" w:hanging="360"/>
      </w:pPr>
      <w:rPr>
        <w:rFonts w:ascii="Courier New" w:hAnsi="Courier New" w:cs="Courier New" w:hint="default"/>
      </w:rPr>
    </w:lvl>
    <w:lvl w:ilvl="2" w:tplc="08090005" w:tentative="1">
      <w:start w:val="1"/>
      <w:numFmt w:val="bullet"/>
      <w:lvlText w:val=""/>
      <w:lvlJc w:val="left"/>
      <w:pPr>
        <w:ind w:left="2139" w:hanging="360"/>
      </w:pPr>
      <w:rPr>
        <w:rFonts w:ascii="Wingdings" w:hAnsi="Wingdings" w:hint="default"/>
      </w:rPr>
    </w:lvl>
    <w:lvl w:ilvl="3" w:tplc="08090001" w:tentative="1">
      <w:start w:val="1"/>
      <w:numFmt w:val="bullet"/>
      <w:lvlText w:val=""/>
      <w:lvlJc w:val="left"/>
      <w:pPr>
        <w:ind w:left="2859" w:hanging="360"/>
      </w:pPr>
      <w:rPr>
        <w:rFonts w:ascii="Symbol" w:hAnsi="Symbol" w:hint="default"/>
      </w:rPr>
    </w:lvl>
    <w:lvl w:ilvl="4" w:tplc="08090003" w:tentative="1">
      <w:start w:val="1"/>
      <w:numFmt w:val="bullet"/>
      <w:lvlText w:val="o"/>
      <w:lvlJc w:val="left"/>
      <w:pPr>
        <w:ind w:left="3579" w:hanging="360"/>
      </w:pPr>
      <w:rPr>
        <w:rFonts w:ascii="Courier New" w:hAnsi="Courier New" w:cs="Courier New" w:hint="default"/>
      </w:rPr>
    </w:lvl>
    <w:lvl w:ilvl="5" w:tplc="08090005" w:tentative="1">
      <w:start w:val="1"/>
      <w:numFmt w:val="bullet"/>
      <w:lvlText w:val=""/>
      <w:lvlJc w:val="left"/>
      <w:pPr>
        <w:ind w:left="4299" w:hanging="360"/>
      </w:pPr>
      <w:rPr>
        <w:rFonts w:ascii="Wingdings" w:hAnsi="Wingdings" w:hint="default"/>
      </w:rPr>
    </w:lvl>
    <w:lvl w:ilvl="6" w:tplc="08090001" w:tentative="1">
      <w:start w:val="1"/>
      <w:numFmt w:val="bullet"/>
      <w:lvlText w:val=""/>
      <w:lvlJc w:val="left"/>
      <w:pPr>
        <w:ind w:left="5019" w:hanging="360"/>
      </w:pPr>
      <w:rPr>
        <w:rFonts w:ascii="Symbol" w:hAnsi="Symbol" w:hint="default"/>
      </w:rPr>
    </w:lvl>
    <w:lvl w:ilvl="7" w:tplc="08090003" w:tentative="1">
      <w:start w:val="1"/>
      <w:numFmt w:val="bullet"/>
      <w:lvlText w:val="o"/>
      <w:lvlJc w:val="left"/>
      <w:pPr>
        <w:ind w:left="5739" w:hanging="360"/>
      </w:pPr>
      <w:rPr>
        <w:rFonts w:ascii="Courier New" w:hAnsi="Courier New" w:cs="Courier New" w:hint="default"/>
      </w:rPr>
    </w:lvl>
    <w:lvl w:ilvl="8" w:tplc="08090005" w:tentative="1">
      <w:start w:val="1"/>
      <w:numFmt w:val="bullet"/>
      <w:lvlText w:val=""/>
      <w:lvlJc w:val="left"/>
      <w:pPr>
        <w:ind w:left="6459" w:hanging="360"/>
      </w:pPr>
      <w:rPr>
        <w:rFonts w:ascii="Wingdings" w:hAnsi="Wingdings" w:hint="default"/>
      </w:rPr>
    </w:lvl>
  </w:abstractNum>
  <w:abstractNum w:abstractNumId="8" w15:restartNumberingAfterBreak="0">
    <w:nsid w:val="22A00AB5"/>
    <w:multiLevelType w:val="hybridMultilevel"/>
    <w:tmpl w:val="12164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8A4D06"/>
    <w:multiLevelType w:val="hybridMultilevel"/>
    <w:tmpl w:val="3F9A58E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 w15:restartNumberingAfterBreak="0">
    <w:nsid w:val="25903B17"/>
    <w:multiLevelType w:val="hybridMultilevel"/>
    <w:tmpl w:val="48D22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61137D"/>
    <w:multiLevelType w:val="hybridMultilevel"/>
    <w:tmpl w:val="BFD62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4C5AD9"/>
    <w:multiLevelType w:val="hybridMultilevel"/>
    <w:tmpl w:val="6B9EE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7154B2"/>
    <w:multiLevelType w:val="hybridMultilevel"/>
    <w:tmpl w:val="F5265D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F21D54"/>
    <w:multiLevelType w:val="hybridMultilevel"/>
    <w:tmpl w:val="CF0EC15E"/>
    <w:lvl w:ilvl="0" w:tplc="08090001">
      <w:start w:val="1"/>
      <w:numFmt w:val="bullet"/>
      <w:lvlText w:val=""/>
      <w:lvlJc w:val="left"/>
      <w:pPr>
        <w:ind w:left="803" w:hanging="360"/>
      </w:pPr>
      <w:rPr>
        <w:rFonts w:ascii="Symbol" w:hAnsi="Symbol"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15" w15:restartNumberingAfterBreak="0">
    <w:nsid w:val="2D5B29D4"/>
    <w:multiLevelType w:val="hybridMultilevel"/>
    <w:tmpl w:val="EC02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E159D"/>
    <w:multiLevelType w:val="hybridMultilevel"/>
    <w:tmpl w:val="BF50E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75497E"/>
    <w:multiLevelType w:val="hybridMultilevel"/>
    <w:tmpl w:val="99CC8C9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2A21CF"/>
    <w:multiLevelType w:val="hybridMultilevel"/>
    <w:tmpl w:val="8C16C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DC30D4"/>
    <w:multiLevelType w:val="hybridMultilevel"/>
    <w:tmpl w:val="CF28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BC53A3"/>
    <w:multiLevelType w:val="hybridMultilevel"/>
    <w:tmpl w:val="D4B011AA"/>
    <w:lvl w:ilvl="0" w:tplc="00D08728">
      <w:start w:val="1"/>
      <w:numFmt w:val="bullet"/>
      <w:lvlText w:val=""/>
      <w:lvlJc w:val="left"/>
      <w:pPr>
        <w:ind w:left="1080" w:hanging="360"/>
      </w:pPr>
      <w:rPr>
        <w:rFonts w:ascii="Symbol" w:hAnsi="Symbol"/>
      </w:rPr>
    </w:lvl>
    <w:lvl w:ilvl="1" w:tplc="8B801B94">
      <w:start w:val="1"/>
      <w:numFmt w:val="bullet"/>
      <w:lvlText w:val=""/>
      <w:lvlJc w:val="left"/>
      <w:pPr>
        <w:ind w:left="1080" w:hanging="360"/>
      </w:pPr>
      <w:rPr>
        <w:rFonts w:ascii="Symbol" w:hAnsi="Symbol"/>
      </w:rPr>
    </w:lvl>
    <w:lvl w:ilvl="2" w:tplc="478663C6">
      <w:start w:val="1"/>
      <w:numFmt w:val="bullet"/>
      <w:lvlText w:val=""/>
      <w:lvlJc w:val="left"/>
      <w:pPr>
        <w:ind w:left="1080" w:hanging="360"/>
      </w:pPr>
      <w:rPr>
        <w:rFonts w:ascii="Symbol" w:hAnsi="Symbol"/>
      </w:rPr>
    </w:lvl>
    <w:lvl w:ilvl="3" w:tplc="2BA243BA">
      <w:start w:val="1"/>
      <w:numFmt w:val="bullet"/>
      <w:lvlText w:val=""/>
      <w:lvlJc w:val="left"/>
      <w:pPr>
        <w:ind w:left="1080" w:hanging="360"/>
      </w:pPr>
      <w:rPr>
        <w:rFonts w:ascii="Symbol" w:hAnsi="Symbol"/>
      </w:rPr>
    </w:lvl>
    <w:lvl w:ilvl="4" w:tplc="815AEE30">
      <w:start w:val="1"/>
      <w:numFmt w:val="bullet"/>
      <w:lvlText w:val=""/>
      <w:lvlJc w:val="left"/>
      <w:pPr>
        <w:ind w:left="1080" w:hanging="360"/>
      </w:pPr>
      <w:rPr>
        <w:rFonts w:ascii="Symbol" w:hAnsi="Symbol"/>
      </w:rPr>
    </w:lvl>
    <w:lvl w:ilvl="5" w:tplc="2C8C3EFE">
      <w:start w:val="1"/>
      <w:numFmt w:val="bullet"/>
      <w:lvlText w:val=""/>
      <w:lvlJc w:val="left"/>
      <w:pPr>
        <w:ind w:left="1080" w:hanging="360"/>
      </w:pPr>
      <w:rPr>
        <w:rFonts w:ascii="Symbol" w:hAnsi="Symbol"/>
      </w:rPr>
    </w:lvl>
    <w:lvl w:ilvl="6" w:tplc="29BA1A8E">
      <w:start w:val="1"/>
      <w:numFmt w:val="bullet"/>
      <w:lvlText w:val=""/>
      <w:lvlJc w:val="left"/>
      <w:pPr>
        <w:ind w:left="1080" w:hanging="360"/>
      </w:pPr>
      <w:rPr>
        <w:rFonts w:ascii="Symbol" w:hAnsi="Symbol"/>
      </w:rPr>
    </w:lvl>
    <w:lvl w:ilvl="7" w:tplc="444474D0">
      <w:start w:val="1"/>
      <w:numFmt w:val="bullet"/>
      <w:lvlText w:val=""/>
      <w:lvlJc w:val="left"/>
      <w:pPr>
        <w:ind w:left="1080" w:hanging="360"/>
      </w:pPr>
      <w:rPr>
        <w:rFonts w:ascii="Symbol" w:hAnsi="Symbol"/>
      </w:rPr>
    </w:lvl>
    <w:lvl w:ilvl="8" w:tplc="C5EEBC5C">
      <w:start w:val="1"/>
      <w:numFmt w:val="bullet"/>
      <w:lvlText w:val=""/>
      <w:lvlJc w:val="left"/>
      <w:pPr>
        <w:ind w:left="1080" w:hanging="360"/>
      </w:pPr>
      <w:rPr>
        <w:rFonts w:ascii="Symbol" w:hAnsi="Symbol"/>
      </w:rPr>
    </w:lvl>
  </w:abstractNum>
  <w:abstractNum w:abstractNumId="21" w15:restartNumberingAfterBreak="0">
    <w:nsid w:val="42C832DC"/>
    <w:multiLevelType w:val="hybridMultilevel"/>
    <w:tmpl w:val="BBDEA8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C67F5A"/>
    <w:multiLevelType w:val="hybridMultilevel"/>
    <w:tmpl w:val="E2E8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1D4DBC"/>
    <w:multiLevelType w:val="hybridMultilevel"/>
    <w:tmpl w:val="BA283BD6"/>
    <w:lvl w:ilvl="0" w:tplc="CC601E36">
      <w:start w:val="1"/>
      <w:numFmt w:val="lowerRoman"/>
      <w:lvlText w:val="%1)"/>
      <w:lvlJc w:val="right"/>
      <w:pPr>
        <w:ind w:left="1080" w:hanging="360"/>
      </w:pPr>
    </w:lvl>
    <w:lvl w:ilvl="1" w:tplc="3F6A272C">
      <w:start w:val="1"/>
      <w:numFmt w:val="lowerRoman"/>
      <w:lvlText w:val="%2)"/>
      <w:lvlJc w:val="right"/>
      <w:pPr>
        <w:ind w:left="1080" w:hanging="360"/>
      </w:pPr>
    </w:lvl>
    <w:lvl w:ilvl="2" w:tplc="1178AE6E">
      <w:start w:val="1"/>
      <w:numFmt w:val="lowerRoman"/>
      <w:lvlText w:val="%3)"/>
      <w:lvlJc w:val="right"/>
      <w:pPr>
        <w:ind w:left="1080" w:hanging="360"/>
      </w:pPr>
    </w:lvl>
    <w:lvl w:ilvl="3" w:tplc="4704DB44">
      <w:start w:val="1"/>
      <w:numFmt w:val="lowerRoman"/>
      <w:lvlText w:val="%4)"/>
      <w:lvlJc w:val="right"/>
      <w:pPr>
        <w:ind w:left="1080" w:hanging="360"/>
      </w:pPr>
    </w:lvl>
    <w:lvl w:ilvl="4" w:tplc="61FA077A">
      <w:start w:val="1"/>
      <w:numFmt w:val="lowerRoman"/>
      <w:lvlText w:val="%5)"/>
      <w:lvlJc w:val="right"/>
      <w:pPr>
        <w:ind w:left="1080" w:hanging="360"/>
      </w:pPr>
    </w:lvl>
    <w:lvl w:ilvl="5" w:tplc="34EEE69A">
      <w:start w:val="1"/>
      <w:numFmt w:val="lowerRoman"/>
      <w:lvlText w:val="%6)"/>
      <w:lvlJc w:val="right"/>
      <w:pPr>
        <w:ind w:left="1080" w:hanging="360"/>
      </w:pPr>
    </w:lvl>
    <w:lvl w:ilvl="6" w:tplc="56F2E5C6">
      <w:start w:val="1"/>
      <w:numFmt w:val="lowerRoman"/>
      <w:lvlText w:val="%7)"/>
      <w:lvlJc w:val="right"/>
      <w:pPr>
        <w:ind w:left="1080" w:hanging="360"/>
      </w:pPr>
    </w:lvl>
    <w:lvl w:ilvl="7" w:tplc="A2447946">
      <w:start w:val="1"/>
      <w:numFmt w:val="lowerRoman"/>
      <w:lvlText w:val="%8)"/>
      <w:lvlJc w:val="right"/>
      <w:pPr>
        <w:ind w:left="1080" w:hanging="360"/>
      </w:pPr>
    </w:lvl>
    <w:lvl w:ilvl="8" w:tplc="FA9CCA5E">
      <w:start w:val="1"/>
      <w:numFmt w:val="lowerRoman"/>
      <w:lvlText w:val="%9)"/>
      <w:lvlJc w:val="right"/>
      <w:pPr>
        <w:ind w:left="1080" w:hanging="360"/>
      </w:pPr>
    </w:lvl>
  </w:abstractNum>
  <w:abstractNum w:abstractNumId="24" w15:restartNumberingAfterBreak="0">
    <w:nsid w:val="4C482C62"/>
    <w:multiLevelType w:val="hybridMultilevel"/>
    <w:tmpl w:val="E40658AC"/>
    <w:lvl w:ilvl="0" w:tplc="3F24BA9A">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02496F"/>
    <w:multiLevelType w:val="hybridMultilevel"/>
    <w:tmpl w:val="EFBE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19312E"/>
    <w:multiLevelType w:val="hybridMultilevel"/>
    <w:tmpl w:val="CCB841DC"/>
    <w:lvl w:ilvl="0" w:tplc="ED92827C">
      <w:start w:val="1"/>
      <w:numFmt w:val="lowerRoman"/>
      <w:lvlText w:val="%1)"/>
      <w:lvlJc w:val="right"/>
      <w:pPr>
        <w:ind w:left="1080" w:hanging="360"/>
      </w:pPr>
    </w:lvl>
    <w:lvl w:ilvl="1" w:tplc="2E2000A8">
      <w:start w:val="1"/>
      <w:numFmt w:val="lowerRoman"/>
      <w:lvlText w:val="%2)"/>
      <w:lvlJc w:val="right"/>
      <w:pPr>
        <w:ind w:left="1080" w:hanging="360"/>
      </w:pPr>
    </w:lvl>
    <w:lvl w:ilvl="2" w:tplc="A664E4CE">
      <w:start w:val="1"/>
      <w:numFmt w:val="lowerRoman"/>
      <w:lvlText w:val="%3)"/>
      <w:lvlJc w:val="right"/>
      <w:pPr>
        <w:ind w:left="1080" w:hanging="360"/>
      </w:pPr>
    </w:lvl>
    <w:lvl w:ilvl="3" w:tplc="700ABF42">
      <w:start w:val="1"/>
      <w:numFmt w:val="lowerRoman"/>
      <w:lvlText w:val="%4)"/>
      <w:lvlJc w:val="right"/>
      <w:pPr>
        <w:ind w:left="1080" w:hanging="360"/>
      </w:pPr>
    </w:lvl>
    <w:lvl w:ilvl="4" w:tplc="DA126E4E">
      <w:start w:val="1"/>
      <w:numFmt w:val="lowerRoman"/>
      <w:lvlText w:val="%5)"/>
      <w:lvlJc w:val="right"/>
      <w:pPr>
        <w:ind w:left="1080" w:hanging="360"/>
      </w:pPr>
    </w:lvl>
    <w:lvl w:ilvl="5" w:tplc="09346662">
      <w:start w:val="1"/>
      <w:numFmt w:val="lowerRoman"/>
      <w:lvlText w:val="%6)"/>
      <w:lvlJc w:val="right"/>
      <w:pPr>
        <w:ind w:left="1080" w:hanging="360"/>
      </w:pPr>
    </w:lvl>
    <w:lvl w:ilvl="6" w:tplc="3B20A2F0">
      <w:start w:val="1"/>
      <w:numFmt w:val="lowerRoman"/>
      <w:lvlText w:val="%7)"/>
      <w:lvlJc w:val="right"/>
      <w:pPr>
        <w:ind w:left="1080" w:hanging="360"/>
      </w:pPr>
    </w:lvl>
    <w:lvl w:ilvl="7" w:tplc="6220E654">
      <w:start w:val="1"/>
      <w:numFmt w:val="lowerRoman"/>
      <w:lvlText w:val="%8)"/>
      <w:lvlJc w:val="right"/>
      <w:pPr>
        <w:ind w:left="1080" w:hanging="360"/>
      </w:pPr>
    </w:lvl>
    <w:lvl w:ilvl="8" w:tplc="BD5AA78C">
      <w:start w:val="1"/>
      <w:numFmt w:val="lowerRoman"/>
      <w:lvlText w:val="%9)"/>
      <w:lvlJc w:val="right"/>
      <w:pPr>
        <w:ind w:left="1080" w:hanging="360"/>
      </w:pPr>
    </w:lvl>
  </w:abstractNum>
  <w:abstractNum w:abstractNumId="27" w15:restartNumberingAfterBreak="0">
    <w:nsid w:val="59E45319"/>
    <w:multiLevelType w:val="multilevel"/>
    <w:tmpl w:val="69BCE3B6"/>
    <w:name w:val="OBRChapters"/>
    <w:styleLink w:val="OBRChapterNumbers"/>
    <w:lvl w:ilvl="0">
      <w:start w:val="1"/>
      <w:numFmt w:val="decimal"/>
      <w:lvlText w:val="%1"/>
      <w:lvlJc w:val="left"/>
      <w:pPr>
        <w:tabs>
          <w:tab w:val="num" w:pos="794"/>
        </w:tabs>
        <w:ind w:left="794" w:hanging="794"/>
      </w:pPr>
      <w:rPr>
        <w:rFonts w:ascii="Futura Md BT" w:hAnsi="Futura Md BT" w:hint="default"/>
        <w:b/>
        <w:i w:val="0"/>
        <w:color w:val="4F81BD" w:themeColor="accent1"/>
        <w:sz w:val="48"/>
      </w:rPr>
    </w:lvl>
    <w:lvl w:ilvl="1">
      <w:start w:val="1"/>
      <w:numFmt w:val="decimal"/>
      <w:lvlText w:val="%1.%2"/>
      <w:lvlJc w:val="left"/>
      <w:pPr>
        <w:tabs>
          <w:tab w:val="num" w:pos="794"/>
        </w:tabs>
        <w:ind w:left="794" w:hanging="794"/>
      </w:pPr>
      <w:rPr>
        <w:rFonts w:ascii="Futura Bk BT" w:hAnsi="Futura Bk BT" w:hint="default"/>
        <w:b w:val="0"/>
        <w:i w:val="0"/>
        <w:color w:val="4F81BD" w:themeColor="accent1"/>
        <w:sz w:val="22"/>
      </w:rPr>
    </w:lvl>
    <w:lvl w:ilvl="2">
      <w:start w:val="1"/>
      <w:numFmt w:val="decimal"/>
      <w:lvlRestart w:val="1"/>
      <w:suff w:val="space"/>
      <w:lvlText w:val="Chart %1.%3:"/>
      <w:lvlJc w:val="left"/>
      <w:pPr>
        <w:ind w:left="0" w:firstLine="0"/>
      </w:pPr>
      <w:rPr>
        <w:rFonts w:ascii="Futura Bk BT" w:hAnsi="Futura Bk BT" w:hint="default"/>
        <w:b w:val="0"/>
        <w:i w:val="0"/>
        <w:color w:val="4F81BD" w:themeColor="accent1"/>
        <w:sz w:val="26"/>
      </w:rPr>
    </w:lvl>
    <w:lvl w:ilvl="3">
      <w:start w:val="1"/>
      <w:numFmt w:val="decimal"/>
      <w:lvlRestart w:val="1"/>
      <w:suff w:val="space"/>
      <w:lvlText w:val="Table %1.%4:"/>
      <w:lvlJc w:val="left"/>
      <w:pPr>
        <w:ind w:left="0" w:firstLine="0"/>
      </w:pPr>
      <w:rPr>
        <w:rFonts w:ascii="Futura Bk BT" w:hAnsi="Futura Bk BT" w:hint="default"/>
        <w:b w:val="0"/>
        <w:i w:val="0"/>
        <w:color w:val="4F81BD" w:themeColor="accent1"/>
        <w:sz w:val="26"/>
      </w:rPr>
    </w:lvl>
    <w:lvl w:ilvl="4">
      <w:start w:val="1"/>
      <w:numFmt w:val="decimal"/>
      <w:lvlRestart w:val="1"/>
      <w:suff w:val="space"/>
      <w:lvlText w:val="Box %1.%5:"/>
      <w:lvlJc w:val="left"/>
      <w:pPr>
        <w:ind w:left="0" w:firstLine="0"/>
      </w:pPr>
      <w:rPr>
        <w:rFonts w:ascii="Futura Bk BT" w:hAnsi="Futura Bk BT" w:hint="default"/>
        <w:b w:val="0"/>
        <w:i w:val="0"/>
        <w:color w:val="4F81BD" w:themeColor="accent1"/>
        <w:sz w:val="26"/>
      </w:rPr>
    </w:lvl>
    <w:lvl w:ilvl="5">
      <w:start w:val="1"/>
      <w:numFmt w:val="decimal"/>
      <w:lvlRestart w:val="1"/>
      <w:suff w:val="space"/>
      <w:lvlText w:val="Figure %1.%6:"/>
      <w:lvlJc w:val="left"/>
      <w:pPr>
        <w:ind w:left="0" w:firstLine="0"/>
      </w:pPr>
      <w:rPr>
        <w:rFonts w:ascii="Futura Bk BT" w:hAnsi="Futura Bk BT" w:hint="default"/>
        <w:b w:val="0"/>
        <w:i w:val="0"/>
        <w:color w:val="4F81BD" w:themeColor="accent1"/>
        <w:sz w:val="26"/>
      </w:rPr>
    </w:lvl>
    <w:lvl w:ilvl="6">
      <w:start w:val="1"/>
      <w:numFmt w:val="none"/>
      <w:lvlRestart w:val="1"/>
      <w:suff w:val="space"/>
      <w:lvlText w:val=""/>
      <w:lvlJc w:val="left"/>
      <w:pPr>
        <w:ind w:left="0" w:firstLine="0"/>
      </w:pPr>
      <w:rPr>
        <w:rFonts w:ascii="Futura Bk BT" w:hAnsi="Futura Bk BT" w:hint="default"/>
        <w:b w:val="0"/>
        <w:i w:val="0"/>
        <w:color w:val="4F81BD" w:themeColor="accent1"/>
        <w:sz w:val="2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AF40F29"/>
    <w:multiLevelType w:val="hybridMultilevel"/>
    <w:tmpl w:val="B344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943072"/>
    <w:multiLevelType w:val="hybridMultilevel"/>
    <w:tmpl w:val="D7E056DE"/>
    <w:lvl w:ilvl="0" w:tplc="08090001">
      <w:start w:val="1"/>
      <w:numFmt w:val="bullet"/>
      <w:lvlText w:val=""/>
      <w:lvlJc w:val="left"/>
      <w:pPr>
        <w:ind w:left="3763"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E2314A"/>
    <w:multiLevelType w:val="hybridMultilevel"/>
    <w:tmpl w:val="33220B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65D44322"/>
    <w:multiLevelType w:val="hybridMultilevel"/>
    <w:tmpl w:val="6504B848"/>
    <w:lvl w:ilvl="0" w:tplc="A186FDB6">
      <w:start w:val="1"/>
      <w:numFmt w:val="bullet"/>
      <w:lvlText w:val=""/>
      <w:lvlJc w:val="left"/>
      <w:pPr>
        <w:tabs>
          <w:tab w:val="num" w:pos="720"/>
        </w:tabs>
        <w:ind w:left="72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B06A51"/>
    <w:multiLevelType w:val="hybridMultilevel"/>
    <w:tmpl w:val="EA30B0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6A423D13"/>
    <w:multiLevelType w:val="hybridMultilevel"/>
    <w:tmpl w:val="7E56216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C2E0278"/>
    <w:multiLevelType w:val="hybridMultilevel"/>
    <w:tmpl w:val="BB8EAD0C"/>
    <w:lvl w:ilvl="0" w:tplc="1372406E">
      <w:start w:val="1"/>
      <w:numFmt w:val="lowerLetter"/>
      <w:pStyle w:val="a"/>
      <w:lvlText w:val="%1)"/>
      <w:lvlJc w:val="left"/>
      <w:pPr>
        <w:tabs>
          <w:tab w:val="num" w:pos="2094"/>
        </w:tabs>
        <w:ind w:left="2094" w:hanging="698"/>
      </w:pPr>
      <w:rPr>
        <w:rFonts w:ascii="Times New Roman" w:hAnsi="Times New Roman" w:hint="default"/>
        <w:b w:val="0"/>
        <w:i w:val="0"/>
        <w:sz w:val="22"/>
      </w:rPr>
    </w:lvl>
    <w:lvl w:ilvl="1" w:tplc="04090019" w:tentative="1">
      <w:start w:val="1"/>
      <w:numFmt w:val="lowerLetter"/>
      <w:lvlText w:val="%2."/>
      <w:lvlJc w:val="left"/>
      <w:pPr>
        <w:tabs>
          <w:tab w:val="num" w:pos="1756"/>
        </w:tabs>
        <w:ind w:left="1756" w:hanging="360"/>
      </w:pPr>
    </w:lvl>
    <w:lvl w:ilvl="2" w:tplc="0409001B" w:tentative="1">
      <w:start w:val="1"/>
      <w:numFmt w:val="lowerRoman"/>
      <w:lvlText w:val="%3."/>
      <w:lvlJc w:val="right"/>
      <w:pPr>
        <w:tabs>
          <w:tab w:val="num" w:pos="2476"/>
        </w:tabs>
        <w:ind w:left="2476" w:hanging="180"/>
      </w:pPr>
    </w:lvl>
    <w:lvl w:ilvl="3" w:tplc="0409000F" w:tentative="1">
      <w:start w:val="1"/>
      <w:numFmt w:val="decimal"/>
      <w:lvlText w:val="%4."/>
      <w:lvlJc w:val="left"/>
      <w:pPr>
        <w:tabs>
          <w:tab w:val="num" w:pos="3196"/>
        </w:tabs>
        <w:ind w:left="3196" w:hanging="360"/>
      </w:pPr>
    </w:lvl>
    <w:lvl w:ilvl="4" w:tplc="04090019" w:tentative="1">
      <w:start w:val="1"/>
      <w:numFmt w:val="lowerLetter"/>
      <w:lvlText w:val="%5."/>
      <w:lvlJc w:val="left"/>
      <w:pPr>
        <w:tabs>
          <w:tab w:val="num" w:pos="3916"/>
        </w:tabs>
        <w:ind w:left="3916" w:hanging="360"/>
      </w:pPr>
    </w:lvl>
    <w:lvl w:ilvl="5" w:tplc="0409001B" w:tentative="1">
      <w:start w:val="1"/>
      <w:numFmt w:val="lowerRoman"/>
      <w:lvlText w:val="%6."/>
      <w:lvlJc w:val="right"/>
      <w:pPr>
        <w:tabs>
          <w:tab w:val="num" w:pos="4636"/>
        </w:tabs>
        <w:ind w:left="4636" w:hanging="180"/>
      </w:pPr>
    </w:lvl>
    <w:lvl w:ilvl="6" w:tplc="0409000F" w:tentative="1">
      <w:start w:val="1"/>
      <w:numFmt w:val="decimal"/>
      <w:lvlText w:val="%7."/>
      <w:lvlJc w:val="left"/>
      <w:pPr>
        <w:tabs>
          <w:tab w:val="num" w:pos="5356"/>
        </w:tabs>
        <w:ind w:left="5356" w:hanging="360"/>
      </w:pPr>
    </w:lvl>
    <w:lvl w:ilvl="7" w:tplc="04090019" w:tentative="1">
      <w:start w:val="1"/>
      <w:numFmt w:val="lowerLetter"/>
      <w:lvlText w:val="%8."/>
      <w:lvlJc w:val="left"/>
      <w:pPr>
        <w:tabs>
          <w:tab w:val="num" w:pos="6076"/>
        </w:tabs>
        <w:ind w:left="6076" w:hanging="360"/>
      </w:pPr>
    </w:lvl>
    <w:lvl w:ilvl="8" w:tplc="0409001B" w:tentative="1">
      <w:start w:val="1"/>
      <w:numFmt w:val="lowerRoman"/>
      <w:lvlText w:val="%9."/>
      <w:lvlJc w:val="right"/>
      <w:pPr>
        <w:tabs>
          <w:tab w:val="num" w:pos="6796"/>
        </w:tabs>
        <w:ind w:left="6796" w:hanging="180"/>
      </w:pPr>
    </w:lvl>
  </w:abstractNum>
  <w:abstractNum w:abstractNumId="35" w15:restartNumberingAfterBreak="0">
    <w:nsid w:val="6FF12F47"/>
    <w:multiLevelType w:val="hybridMultilevel"/>
    <w:tmpl w:val="E39A4A02"/>
    <w:lvl w:ilvl="0" w:tplc="08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0B4746C"/>
    <w:multiLevelType w:val="hybridMultilevel"/>
    <w:tmpl w:val="4E3C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AC19BD"/>
    <w:multiLevelType w:val="hybridMultilevel"/>
    <w:tmpl w:val="35AA06AE"/>
    <w:lvl w:ilvl="0" w:tplc="BF443DF0">
      <w:start w:val="1"/>
      <w:numFmt w:val="decimal"/>
      <w:lvlText w:val="%1."/>
      <w:lvlJc w:val="left"/>
      <w:pPr>
        <w:ind w:left="720" w:hanging="360"/>
      </w:pPr>
    </w:lvl>
    <w:lvl w:ilvl="1" w:tplc="A88EBCAC">
      <w:start w:val="1"/>
      <w:numFmt w:val="lowerLetter"/>
      <w:lvlText w:val="%2."/>
      <w:lvlJc w:val="left"/>
      <w:pPr>
        <w:ind w:left="1440" w:hanging="360"/>
      </w:pPr>
    </w:lvl>
    <w:lvl w:ilvl="2" w:tplc="C6CCF6EC">
      <w:start w:val="1"/>
      <w:numFmt w:val="lowerRoman"/>
      <w:lvlText w:val="%3."/>
      <w:lvlJc w:val="right"/>
      <w:pPr>
        <w:ind w:left="2160" w:hanging="180"/>
      </w:pPr>
    </w:lvl>
    <w:lvl w:ilvl="3" w:tplc="61488EB2">
      <w:start w:val="1"/>
      <w:numFmt w:val="decimal"/>
      <w:lvlText w:val="%4."/>
      <w:lvlJc w:val="left"/>
      <w:pPr>
        <w:ind w:left="2880" w:hanging="360"/>
      </w:pPr>
    </w:lvl>
    <w:lvl w:ilvl="4" w:tplc="C240A238">
      <w:start w:val="1"/>
      <w:numFmt w:val="lowerLetter"/>
      <w:lvlText w:val="%5."/>
      <w:lvlJc w:val="left"/>
      <w:pPr>
        <w:ind w:left="3600" w:hanging="360"/>
      </w:pPr>
    </w:lvl>
    <w:lvl w:ilvl="5" w:tplc="E61C7CDA">
      <w:start w:val="1"/>
      <w:numFmt w:val="lowerRoman"/>
      <w:lvlText w:val="%6."/>
      <w:lvlJc w:val="right"/>
      <w:pPr>
        <w:ind w:left="4320" w:hanging="180"/>
      </w:pPr>
    </w:lvl>
    <w:lvl w:ilvl="6" w:tplc="5CE2AED0">
      <w:start w:val="1"/>
      <w:numFmt w:val="decimal"/>
      <w:lvlText w:val="%7."/>
      <w:lvlJc w:val="left"/>
      <w:pPr>
        <w:ind w:left="5040" w:hanging="360"/>
      </w:pPr>
    </w:lvl>
    <w:lvl w:ilvl="7" w:tplc="F1A883D4">
      <w:start w:val="1"/>
      <w:numFmt w:val="lowerLetter"/>
      <w:lvlText w:val="%8."/>
      <w:lvlJc w:val="left"/>
      <w:pPr>
        <w:ind w:left="5760" w:hanging="360"/>
      </w:pPr>
    </w:lvl>
    <w:lvl w:ilvl="8" w:tplc="F5DCB94E">
      <w:start w:val="1"/>
      <w:numFmt w:val="lowerRoman"/>
      <w:lvlText w:val="%9."/>
      <w:lvlJc w:val="right"/>
      <w:pPr>
        <w:ind w:left="6480" w:hanging="180"/>
      </w:pPr>
    </w:lvl>
  </w:abstractNum>
  <w:abstractNum w:abstractNumId="38" w15:restartNumberingAfterBreak="0">
    <w:nsid w:val="72BC76C6"/>
    <w:multiLevelType w:val="hybridMultilevel"/>
    <w:tmpl w:val="BCD6E39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73C9360B"/>
    <w:multiLevelType w:val="hybridMultilevel"/>
    <w:tmpl w:val="E4B8F4EE"/>
    <w:lvl w:ilvl="0" w:tplc="E96457B4">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4B80C7C"/>
    <w:multiLevelType w:val="multilevel"/>
    <w:tmpl w:val="98B84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FA5F7B"/>
    <w:multiLevelType w:val="multilevel"/>
    <w:tmpl w:val="8E4C94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294097676">
    <w:abstractNumId w:val="37"/>
  </w:num>
  <w:num w:numId="2" w16cid:durableId="1257640196">
    <w:abstractNumId w:val="39"/>
  </w:num>
  <w:num w:numId="3" w16cid:durableId="254018029">
    <w:abstractNumId w:val="34"/>
  </w:num>
  <w:num w:numId="4" w16cid:durableId="364408076">
    <w:abstractNumId w:val="35"/>
  </w:num>
  <w:num w:numId="5" w16cid:durableId="749884081">
    <w:abstractNumId w:val="21"/>
  </w:num>
  <w:num w:numId="6" w16cid:durableId="320930000">
    <w:abstractNumId w:val="29"/>
  </w:num>
  <w:num w:numId="7" w16cid:durableId="1968004468">
    <w:abstractNumId w:val="9"/>
  </w:num>
  <w:num w:numId="8" w16cid:durableId="1001278635">
    <w:abstractNumId w:val="18"/>
  </w:num>
  <w:num w:numId="9" w16cid:durableId="313336870">
    <w:abstractNumId w:val="12"/>
  </w:num>
  <w:num w:numId="10" w16cid:durableId="1953852782">
    <w:abstractNumId w:val="36"/>
  </w:num>
  <w:num w:numId="11" w16cid:durableId="1008556852">
    <w:abstractNumId w:val="0"/>
  </w:num>
  <w:num w:numId="12" w16cid:durableId="1177768828">
    <w:abstractNumId w:val="28"/>
  </w:num>
  <w:num w:numId="13" w16cid:durableId="411896375">
    <w:abstractNumId w:val="27"/>
  </w:num>
  <w:num w:numId="14" w16cid:durableId="259026620">
    <w:abstractNumId w:val="13"/>
  </w:num>
  <w:num w:numId="15" w16cid:durableId="1447505966">
    <w:abstractNumId w:val="1"/>
  </w:num>
  <w:num w:numId="16" w16cid:durableId="1850289215">
    <w:abstractNumId w:val="41"/>
  </w:num>
  <w:num w:numId="17" w16cid:durableId="321735212">
    <w:abstractNumId w:val="2"/>
  </w:num>
  <w:num w:numId="18" w16cid:durableId="1134102071">
    <w:abstractNumId w:val="4"/>
  </w:num>
  <w:num w:numId="19" w16cid:durableId="1149981951">
    <w:abstractNumId w:val="31"/>
  </w:num>
  <w:num w:numId="20" w16cid:durableId="1592547169">
    <w:abstractNumId w:val="15"/>
  </w:num>
  <w:num w:numId="21" w16cid:durableId="803347492">
    <w:abstractNumId w:val="25"/>
  </w:num>
  <w:num w:numId="22" w16cid:durableId="2008705623">
    <w:abstractNumId w:val="22"/>
  </w:num>
  <w:num w:numId="23" w16cid:durableId="946083723">
    <w:abstractNumId w:val="19"/>
  </w:num>
  <w:num w:numId="24" w16cid:durableId="1442645732">
    <w:abstractNumId w:val="33"/>
  </w:num>
  <w:num w:numId="25" w16cid:durableId="722096612">
    <w:abstractNumId w:val="8"/>
  </w:num>
  <w:num w:numId="26" w16cid:durableId="528690666">
    <w:abstractNumId w:val="11"/>
  </w:num>
  <w:num w:numId="27" w16cid:durableId="10423213">
    <w:abstractNumId w:val="16"/>
  </w:num>
  <w:num w:numId="28" w16cid:durableId="184170297">
    <w:abstractNumId w:val="24"/>
  </w:num>
  <w:num w:numId="29" w16cid:durableId="77022591">
    <w:abstractNumId w:val="3"/>
  </w:num>
  <w:num w:numId="30" w16cid:durableId="1765880661">
    <w:abstractNumId w:val="14"/>
  </w:num>
  <w:num w:numId="31" w16cid:durableId="41708680">
    <w:abstractNumId w:val="7"/>
  </w:num>
  <w:num w:numId="32" w16cid:durableId="1988976210">
    <w:abstractNumId w:val="26"/>
  </w:num>
  <w:num w:numId="33" w16cid:durableId="886457837">
    <w:abstractNumId w:val="20"/>
  </w:num>
  <w:num w:numId="34" w16cid:durableId="1481312169">
    <w:abstractNumId w:val="10"/>
  </w:num>
  <w:num w:numId="35" w16cid:durableId="416487876">
    <w:abstractNumId w:val="23"/>
  </w:num>
  <w:num w:numId="36" w16cid:durableId="1689601564">
    <w:abstractNumId w:val="6"/>
    <w:lvlOverride w:ilvl="0">
      <w:lvl w:ilvl="0">
        <w:numFmt w:val="lowerRoman"/>
        <w:lvlText w:val="%1."/>
        <w:lvlJc w:val="right"/>
      </w:lvl>
    </w:lvlOverride>
  </w:num>
  <w:num w:numId="37" w16cid:durableId="1465394726">
    <w:abstractNumId w:val="40"/>
  </w:num>
  <w:num w:numId="38" w16cid:durableId="1155683955">
    <w:abstractNumId w:val="17"/>
  </w:num>
  <w:num w:numId="39" w16cid:durableId="1834639665">
    <w:abstractNumId w:val="38"/>
  </w:num>
  <w:num w:numId="40" w16cid:durableId="1459185246">
    <w:abstractNumId w:val="30"/>
  </w:num>
  <w:num w:numId="41" w16cid:durableId="201330314">
    <w:abstractNumId w:val="32"/>
  </w:num>
  <w:num w:numId="42" w16cid:durableId="1457871574">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1A9"/>
    <w:rsid w:val="00000A37"/>
    <w:rsid w:val="00001C31"/>
    <w:rsid w:val="00002099"/>
    <w:rsid w:val="00002D0B"/>
    <w:rsid w:val="00003307"/>
    <w:rsid w:val="00003387"/>
    <w:rsid w:val="00003431"/>
    <w:rsid w:val="00004D67"/>
    <w:rsid w:val="00004E9E"/>
    <w:rsid w:val="00005237"/>
    <w:rsid w:val="0000578D"/>
    <w:rsid w:val="00006A98"/>
    <w:rsid w:val="00006BE3"/>
    <w:rsid w:val="000101B6"/>
    <w:rsid w:val="00010ACD"/>
    <w:rsid w:val="00011A15"/>
    <w:rsid w:val="00013EDA"/>
    <w:rsid w:val="000143A4"/>
    <w:rsid w:val="000149F6"/>
    <w:rsid w:val="00014CBD"/>
    <w:rsid w:val="0001521D"/>
    <w:rsid w:val="00015433"/>
    <w:rsid w:val="00016EE9"/>
    <w:rsid w:val="0001768F"/>
    <w:rsid w:val="00020530"/>
    <w:rsid w:val="000211C5"/>
    <w:rsid w:val="00021832"/>
    <w:rsid w:val="00021CAC"/>
    <w:rsid w:val="00022385"/>
    <w:rsid w:val="00022ECA"/>
    <w:rsid w:val="00023AAA"/>
    <w:rsid w:val="00023B73"/>
    <w:rsid w:val="00024A9C"/>
    <w:rsid w:val="00024DBF"/>
    <w:rsid w:val="00024DC9"/>
    <w:rsid w:val="00025082"/>
    <w:rsid w:val="000252C1"/>
    <w:rsid w:val="000255BE"/>
    <w:rsid w:val="0002645A"/>
    <w:rsid w:val="00026C65"/>
    <w:rsid w:val="000273B8"/>
    <w:rsid w:val="0002742C"/>
    <w:rsid w:val="00027716"/>
    <w:rsid w:val="00027FD7"/>
    <w:rsid w:val="00031CC5"/>
    <w:rsid w:val="00033356"/>
    <w:rsid w:val="00035826"/>
    <w:rsid w:val="000365E6"/>
    <w:rsid w:val="0003751E"/>
    <w:rsid w:val="00037E5B"/>
    <w:rsid w:val="000400FE"/>
    <w:rsid w:val="00040401"/>
    <w:rsid w:val="00040B95"/>
    <w:rsid w:val="00041E6B"/>
    <w:rsid w:val="000420C1"/>
    <w:rsid w:val="000421B0"/>
    <w:rsid w:val="00042210"/>
    <w:rsid w:val="00042BB0"/>
    <w:rsid w:val="00042F1B"/>
    <w:rsid w:val="00043C18"/>
    <w:rsid w:val="00043E33"/>
    <w:rsid w:val="00043FCE"/>
    <w:rsid w:val="0004464C"/>
    <w:rsid w:val="000457B1"/>
    <w:rsid w:val="00045A2B"/>
    <w:rsid w:val="00046023"/>
    <w:rsid w:val="000460E1"/>
    <w:rsid w:val="0004629C"/>
    <w:rsid w:val="00046D85"/>
    <w:rsid w:val="000474D6"/>
    <w:rsid w:val="00047867"/>
    <w:rsid w:val="00047ECA"/>
    <w:rsid w:val="000503DA"/>
    <w:rsid w:val="00051C2A"/>
    <w:rsid w:val="00051C92"/>
    <w:rsid w:val="000524D9"/>
    <w:rsid w:val="00052AEC"/>
    <w:rsid w:val="00053EF7"/>
    <w:rsid w:val="00053FAF"/>
    <w:rsid w:val="00054872"/>
    <w:rsid w:val="00054F53"/>
    <w:rsid w:val="00055338"/>
    <w:rsid w:val="00057B00"/>
    <w:rsid w:val="000606A1"/>
    <w:rsid w:val="00060F33"/>
    <w:rsid w:val="0006141F"/>
    <w:rsid w:val="000634E9"/>
    <w:rsid w:val="00064F7F"/>
    <w:rsid w:val="000651D3"/>
    <w:rsid w:val="00065202"/>
    <w:rsid w:val="00065486"/>
    <w:rsid w:val="00066ECE"/>
    <w:rsid w:val="00067076"/>
    <w:rsid w:val="00070D78"/>
    <w:rsid w:val="00070F2F"/>
    <w:rsid w:val="0007193B"/>
    <w:rsid w:val="000722C6"/>
    <w:rsid w:val="00073318"/>
    <w:rsid w:val="00073777"/>
    <w:rsid w:val="00074821"/>
    <w:rsid w:val="00074A7B"/>
    <w:rsid w:val="00075980"/>
    <w:rsid w:val="00075B38"/>
    <w:rsid w:val="00075FFD"/>
    <w:rsid w:val="00076A51"/>
    <w:rsid w:val="000771D2"/>
    <w:rsid w:val="00077B1D"/>
    <w:rsid w:val="00077C90"/>
    <w:rsid w:val="00077DF3"/>
    <w:rsid w:val="0008016D"/>
    <w:rsid w:val="0008061A"/>
    <w:rsid w:val="000808D8"/>
    <w:rsid w:val="00080AB2"/>
    <w:rsid w:val="00080E2F"/>
    <w:rsid w:val="0008108C"/>
    <w:rsid w:val="00081D96"/>
    <w:rsid w:val="00082D64"/>
    <w:rsid w:val="0008457D"/>
    <w:rsid w:val="00084677"/>
    <w:rsid w:val="000862EE"/>
    <w:rsid w:val="000867EA"/>
    <w:rsid w:val="00086E89"/>
    <w:rsid w:val="00087A27"/>
    <w:rsid w:val="00091326"/>
    <w:rsid w:val="00092A71"/>
    <w:rsid w:val="0009306C"/>
    <w:rsid w:val="00093B54"/>
    <w:rsid w:val="00093D9E"/>
    <w:rsid w:val="00094275"/>
    <w:rsid w:val="0009486F"/>
    <w:rsid w:val="00094BB4"/>
    <w:rsid w:val="00095DA3"/>
    <w:rsid w:val="000960B2"/>
    <w:rsid w:val="00096162"/>
    <w:rsid w:val="00096CE4"/>
    <w:rsid w:val="00097903"/>
    <w:rsid w:val="00097A0D"/>
    <w:rsid w:val="000A0042"/>
    <w:rsid w:val="000A0725"/>
    <w:rsid w:val="000A07D7"/>
    <w:rsid w:val="000A09CF"/>
    <w:rsid w:val="000A0B92"/>
    <w:rsid w:val="000A1018"/>
    <w:rsid w:val="000A1486"/>
    <w:rsid w:val="000A30FB"/>
    <w:rsid w:val="000A3201"/>
    <w:rsid w:val="000A3A02"/>
    <w:rsid w:val="000A3CAE"/>
    <w:rsid w:val="000A5CF1"/>
    <w:rsid w:val="000A6ADD"/>
    <w:rsid w:val="000A6B1E"/>
    <w:rsid w:val="000A6CF1"/>
    <w:rsid w:val="000A6F4A"/>
    <w:rsid w:val="000A7480"/>
    <w:rsid w:val="000A7486"/>
    <w:rsid w:val="000A78F4"/>
    <w:rsid w:val="000B0A57"/>
    <w:rsid w:val="000B1763"/>
    <w:rsid w:val="000B2111"/>
    <w:rsid w:val="000B24B6"/>
    <w:rsid w:val="000B300E"/>
    <w:rsid w:val="000B3433"/>
    <w:rsid w:val="000B3B3C"/>
    <w:rsid w:val="000B3BC2"/>
    <w:rsid w:val="000B41DD"/>
    <w:rsid w:val="000B4233"/>
    <w:rsid w:val="000B453A"/>
    <w:rsid w:val="000B4E0F"/>
    <w:rsid w:val="000B51C3"/>
    <w:rsid w:val="000B5399"/>
    <w:rsid w:val="000B5BFF"/>
    <w:rsid w:val="000B5FC3"/>
    <w:rsid w:val="000B63E5"/>
    <w:rsid w:val="000B68B7"/>
    <w:rsid w:val="000B6AEC"/>
    <w:rsid w:val="000B6DDD"/>
    <w:rsid w:val="000B7074"/>
    <w:rsid w:val="000B7B5E"/>
    <w:rsid w:val="000C09F5"/>
    <w:rsid w:val="000C15CF"/>
    <w:rsid w:val="000C1C84"/>
    <w:rsid w:val="000C1E05"/>
    <w:rsid w:val="000C2528"/>
    <w:rsid w:val="000C2A54"/>
    <w:rsid w:val="000C2D5A"/>
    <w:rsid w:val="000C352A"/>
    <w:rsid w:val="000C453B"/>
    <w:rsid w:val="000C4622"/>
    <w:rsid w:val="000C463C"/>
    <w:rsid w:val="000C587C"/>
    <w:rsid w:val="000C6C25"/>
    <w:rsid w:val="000C7A11"/>
    <w:rsid w:val="000C7C45"/>
    <w:rsid w:val="000D0CCB"/>
    <w:rsid w:val="000D1FD8"/>
    <w:rsid w:val="000D249C"/>
    <w:rsid w:val="000D2652"/>
    <w:rsid w:val="000D3A35"/>
    <w:rsid w:val="000D4052"/>
    <w:rsid w:val="000D4FD3"/>
    <w:rsid w:val="000D55E2"/>
    <w:rsid w:val="000D6F60"/>
    <w:rsid w:val="000D7C2C"/>
    <w:rsid w:val="000E0EB2"/>
    <w:rsid w:val="000E1653"/>
    <w:rsid w:val="000E1DB9"/>
    <w:rsid w:val="000E2A40"/>
    <w:rsid w:val="000E2D8B"/>
    <w:rsid w:val="000E3AC5"/>
    <w:rsid w:val="000E510E"/>
    <w:rsid w:val="000E57FE"/>
    <w:rsid w:val="000E659F"/>
    <w:rsid w:val="000E7172"/>
    <w:rsid w:val="000E7801"/>
    <w:rsid w:val="000F0C89"/>
    <w:rsid w:val="000F0E43"/>
    <w:rsid w:val="000F1C9A"/>
    <w:rsid w:val="000F2DC4"/>
    <w:rsid w:val="000F3455"/>
    <w:rsid w:val="000F3534"/>
    <w:rsid w:val="000F368D"/>
    <w:rsid w:val="000F3E64"/>
    <w:rsid w:val="000F5BB9"/>
    <w:rsid w:val="000F5E52"/>
    <w:rsid w:val="000F5ED9"/>
    <w:rsid w:val="000F6635"/>
    <w:rsid w:val="000F6ABD"/>
    <w:rsid w:val="000F707B"/>
    <w:rsid w:val="00100336"/>
    <w:rsid w:val="00100597"/>
    <w:rsid w:val="001011E8"/>
    <w:rsid w:val="0010180A"/>
    <w:rsid w:val="001018E2"/>
    <w:rsid w:val="001022CA"/>
    <w:rsid w:val="00102EAF"/>
    <w:rsid w:val="0010435B"/>
    <w:rsid w:val="0010450B"/>
    <w:rsid w:val="00104D8B"/>
    <w:rsid w:val="00105E57"/>
    <w:rsid w:val="00106848"/>
    <w:rsid w:val="00107A49"/>
    <w:rsid w:val="00110755"/>
    <w:rsid w:val="00110CF3"/>
    <w:rsid w:val="00111CE9"/>
    <w:rsid w:val="00111E68"/>
    <w:rsid w:val="001122B7"/>
    <w:rsid w:val="00112624"/>
    <w:rsid w:val="0011279B"/>
    <w:rsid w:val="00112AF2"/>
    <w:rsid w:val="001138DC"/>
    <w:rsid w:val="00115334"/>
    <w:rsid w:val="00115DB2"/>
    <w:rsid w:val="00116966"/>
    <w:rsid w:val="00117A9F"/>
    <w:rsid w:val="001203D3"/>
    <w:rsid w:val="00120F83"/>
    <w:rsid w:val="00122772"/>
    <w:rsid w:val="00122962"/>
    <w:rsid w:val="00123123"/>
    <w:rsid w:val="0012345F"/>
    <w:rsid w:val="001238D4"/>
    <w:rsid w:val="001241C8"/>
    <w:rsid w:val="00124F08"/>
    <w:rsid w:val="001251F4"/>
    <w:rsid w:val="001269B6"/>
    <w:rsid w:val="00126BDD"/>
    <w:rsid w:val="00127D7D"/>
    <w:rsid w:val="00127DA2"/>
    <w:rsid w:val="00127FEE"/>
    <w:rsid w:val="001314E3"/>
    <w:rsid w:val="0013161B"/>
    <w:rsid w:val="001324BD"/>
    <w:rsid w:val="0013284B"/>
    <w:rsid w:val="00133CDD"/>
    <w:rsid w:val="0013596B"/>
    <w:rsid w:val="00135D0B"/>
    <w:rsid w:val="00136BDD"/>
    <w:rsid w:val="00136C76"/>
    <w:rsid w:val="00136FE9"/>
    <w:rsid w:val="001402B3"/>
    <w:rsid w:val="00141799"/>
    <w:rsid w:val="001418F9"/>
    <w:rsid w:val="00141A0C"/>
    <w:rsid w:val="00141D9C"/>
    <w:rsid w:val="00141EDB"/>
    <w:rsid w:val="00142058"/>
    <w:rsid w:val="00142068"/>
    <w:rsid w:val="0014296C"/>
    <w:rsid w:val="00142B5E"/>
    <w:rsid w:val="00144D0C"/>
    <w:rsid w:val="00145346"/>
    <w:rsid w:val="001459AA"/>
    <w:rsid w:val="00146BCC"/>
    <w:rsid w:val="00147858"/>
    <w:rsid w:val="00147C9E"/>
    <w:rsid w:val="00147DA6"/>
    <w:rsid w:val="0015051C"/>
    <w:rsid w:val="00150E9A"/>
    <w:rsid w:val="001515FF"/>
    <w:rsid w:val="00151DD4"/>
    <w:rsid w:val="00152443"/>
    <w:rsid w:val="00153A3C"/>
    <w:rsid w:val="00153D19"/>
    <w:rsid w:val="0015430A"/>
    <w:rsid w:val="00154981"/>
    <w:rsid w:val="00156E79"/>
    <w:rsid w:val="00157C6B"/>
    <w:rsid w:val="00157E0F"/>
    <w:rsid w:val="001600DF"/>
    <w:rsid w:val="001601E5"/>
    <w:rsid w:val="001606F0"/>
    <w:rsid w:val="0016090D"/>
    <w:rsid w:val="00160B5E"/>
    <w:rsid w:val="0016186F"/>
    <w:rsid w:val="00161E9E"/>
    <w:rsid w:val="001622E3"/>
    <w:rsid w:val="001630A9"/>
    <w:rsid w:val="0016456A"/>
    <w:rsid w:val="001647CC"/>
    <w:rsid w:val="00164967"/>
    <w:rsid w:val="00164B0C"/>
    <w:rsid w:val="00164D75"/>
    <w:rsid w:val="00164DE8"/>
    <w:rsid w:val="00165462"/>
    <w:rsid w:val="0016577F"/>
    <w:rsid w:val="00165BDD"/>
    <w:rsid w:val="00166C9A"/>
    <w:rsid w:val="0016728B"/>
    <w:rsid w:val="001677C3"/>
    <w:rsid w:val="00167CBD"/>
    <w:rsid w:val="00167DDE"/>
    <w:rsid w:val="00170965"/>
    <w:rsid w:val="001709F4"/>
    <w:rsid w:val="00171220"/>
    <w:rsid w:val="0017151A"/>
    <w:rsid w:val="00172050"/>
    <w:rsid w:val="001723B0"/>
    <w:rsid w:val="001724DC"/>
    <w:rsid w:val="0017264A"/>
    <w:rsid w:val="00172696"/>
    <w:rsid w:val="00172D59"/>
    <w:rsid w:val="00172EEE"/>
    <w:rsid w:val="001730DC"/>
    <w:rsid w:val="001732BE"/>
    <w:rsid w:val="00173367"/>
    <w:rsid w:val="001733C1"/>
    <w:rsid w:val="001734F9"/>
    <w:rsid w:val="00173B8E"/>
    <w:rsid w:val="00174226"/>
    <w:rsid w:val="00174411"/>
    <w:rsid w:val="00174985"/>
    <w:rsid w:val="00175033"/>
    <w:rsid w:val="00176472"/>
    <w:rsid w:val="00176876"/>
    <w:rsid w:val="00177913"/>
    <w:rsid w:val="0018101C"/>
    <w:rsid w:val="00181537"/>
    <w:rsid w:val="00182B17"/>
    <w:rsid w:val="001830BE"/>
    <w:rsid w:val="00183C1A"/>
    <w:rsid w:val="001843D8"/>
    <w:rsid w:val="001848D3"/>
    <w:rsid w:val="00184BE8"/>
    <w:rsid w:val="00185E8C"/>
    <w:rsid w:val="001862EC"/>
    <w:rsid w:val="00187AC7"/>
    <w:rsid w:val="00191193"/>
    <w:rsid w:val="001927B0"/>
    <w:rsid w:val="00192E19"/>
    <w:rsid w:val="00193983"/>
    <w:rsid w:val="0019425A"/>
    <w:rsid w:val="00194788"/>
    <w:rsid w:val="00195176"/>
    <w:rsid w:val="00195884"/>
    <w:rsid w:val="001958BD"/>
    <w:rsid w:val="001959CC"/>
    <w:rsid w:val="00196A5D"/>
    <w:rsid w:val="00196E42"/>
    <w:rsid w:val="00196F98"/>
    <w:rsid w:val="00197037"/>
    <w:rsid w:val="00197746"/>
    <w:rsid w:val="00197D57"/>
    <w:rsid w:val="001A0836"/>
    <w:rsid w:val="001A0C19"/>
    <w:rsid w:val="001A1AAB"/>
    <w:rsid w:val="001A2FF2"/>
    <w:rsid w:val="001A3628"/>
    <w:rsid w:val="001A3E70"/>
    <w:rsid w:val="001A511A"/>
    <w:rsid w:val="001A5D5E"/>
    <w:rsid w:val="001A6055"/>
    <w:rsid w:val="001A613A"/>
    <w:rsid w:val="001A7032"/>
    <w:rsid w:val="001A7BA5"/>
    <w:rsid w:val="001A7FA4"/>
    <w:rsid w:val="001B0514"/>
    <w:rsid w:val="001B056E"/>
    <w:rsid w:val="001B180C"/>
    <w:rsid w:val="001B1B54"/>
    <w:rsid w:val="001B24E4"/>
    <w:rsid w:val="001B25DA"/>
    <w:rsid w:val="001B27EA"/>
    <w:rsid w:val="001B2969"/>
    <w:rsid w:val="001B2F84"/>
    <w:rsid w:val="001B36EC"/>
    <w:rsid w:val="001B38FA"/>
    <w:rsid w:val="001B3D2D"/>
    <w:rsid w:val="001B40A5"/>
    <w:rsid w:val="001B4304"/>
    <w:rsid w:val="001B45CC"/>
    <w:rsid w:val="001B5F53"/>
    <w:rsid w:val="001B60C1"/>
    <w:rsid w:val="001B6F51"/>
    <w:rsid w:val="001B78C1"/>
    <w:rsid w:val="001B791D"/>
    <w:rsid w:val="001B7925"/>
    <w:rsid w:val="001B7D6F"/>
    <w:rsid w:val="001C00B7"/>
    <w:rsid w:val="001C06AC"/>
    <w:rsid w:val="001C0B54"/>
    <w:rsid w:val="001C2444"/>
    <w:rsid w:val="001C2FBB"/>
    <w:rsid w:val="001C3878"/>
    <w:rsid w:val="001C39A7"/>
    <w:rsid w:val="001C3FE5"/>
    <w:rsid w:val="001C40F0"/>
    <w:rsid w:val="001C49E3"/>
    <w:rsid w:val="001C4D92"/>
    <w:rsid w:val="001C4E0F"/>
    <w:rsid w:val="001C5FCA"/>
    <w:rsid w:val="001C6A09"/>
    <w:rsid w:val="001C7349"/>
    <w:rsid w:val="001C734F"/>
    <w:rsid w:val="001C7663"/>
    <w:rsid w:val="001C7925"/>
    <w:rsid w:val="001D020B"/>
    <w:rsid w:val="001D02E7"/>
    <w:rsid w:val="001D0663"/>
    <w:rsid w:val="001D06C1"/>
    <w:rsid w:val="001D0DE7"/>
    <w:rsid w:val="001D111A"/>
    <w:rsid w:val="001D12C4"/>
    <w:rsid w:val="001D1E00"/>
    <w:rsid w:val="001D2D71"/>
    <w:rsid w:val="001D36E2"/>
    <w:rsid w:val="001D3707"/>
    <w:rsid w:val="001D3F77"/>
    <w:rsid w:val="001D4CFC"/>
    <w:rsid w:val="001D5398"/>
    <w:rsid w:val="001D5687"/>
    <w:rsid w:val="001D56D4"/>
    <w:rsid w:val="001D5F99"/>
    <w:rsid w:val="001D71ED"/>
    <w:rsid w:val="001D785A"/>
    <w:rsid w:val="001D7B5D"/>
    <w:rsid w:val="001D7B61"/>
    <w:rsid w:val="001E07EE"/>
    <w:rsid w:val="001E0AD9"/>
    <w:rsid w:val="001E0F20"/>
    <w:rsid w:val="001E1550"/>
    <w:rsid w:val="001E1BBD"/>
    <w:rsid w:val="001E24FD"/>
    <w:rsid w:val="001E2945"/>
    <w:rsid w:val="001E2AA0"/>
    <w:rsid w:val="001E448A"/>
    <w:rsid w:val="001E4CF4"/>
    <w:rsid w:val="001E5219"/>
    <w:rsid w:val="001E5939"/>
    <w:rsid w:val="001E5A61"/>
    <w:rsid w:val="001E70AE"/>
    <w:rsid w:val="001E7E4C"/>
    <w:rsid w:val="001F0440"/>
    <w:rsid w:val="001F0FFE"/>
    <w:rsid w:val="001F1A84"/>
    <w:rsid w:val="001F1C90"/>
    <w:rsid w:val="001F2533"/>
    <w:rsid w:val="001F337B"/>
    <w:rsid w:val="001F3AD0"/>
    <w:rsid w:val="001F3FCA"/>
    <w:rsid w:val="001F4C32"/>
    <w:rsid w:val="001F5808"/>
    <w:rsid w:val="001F5E43"/>
    <w:rsid w:val="001F61FA"/>
    <w:rsid w:val="001F6483"/>
    <w:rsid w:val="001F66D9"/>
    <w:rsid w:val="001F685B"/>
    <w:rsid w:val="001F71B0"/>
    <w:rsid w:val="001F78AA"/>
    <w:rsid w:val="001F795E"/>
    <w:rsid w:val="001F7D24"/>
    <w:rsid w:val="00200F3F"/>
    <w:rsid w:val="00201E96"/>
    <w:rsid w:val="00201F9C"/>
    <w:rsid w:val="002029F0"/>
    <w:rsid w:val="00202A40"/>
    <w:rsid w:val="00202B29"/>
    <w:rsid w:val="0020373A"/>
    <w:rsid w:val="00204A6B"/>
    <w:rsid w:val="00204DA2"/>
    <w:rsid w:val="002050C8"/>
    <w:rsid w:val="00206E90"/>
    <w:rsid w:val="00210451"/>
    <w:rsid w:val="00211CB4"/>
    <w:rsid w:val="002133C6"/>
    <w:rsid w:val="0021343C"/>
    <w:rsid w:val="002139E5"/>
    <w:rsid w:val="00213CA3"/>
    <w:rsid w:val="00214B6A"/>
    <w:rsid w:val="00215C42"/>
    <w:rsid w:val="00216086"/>
    <w:rsid w:val="002165A9"/>
    <w:rsid w:val="002167B4"/>
    <w:rsid w:val="0021697E"/>
    <w:rsid w:val="00216E67"/>
    <w:rsid w:val="0021726E"/>
    <w:rsid w:val="0022077D"/>
    <w:rsid w:val="00220967"/>
    <w:rsid w:val="00220BC8"/>
    <w:rsid w:val="00220EA3"/>
    <w:rsid w:val="002216A6"/>
    <w:rsid w:val="0022484D"/>
    <w:rsid w:val="00225239"/>
    <w:rsid w:val="00225BE2"/>
    <w:rsid w:val="00225FE0"/>
    <w:rsid w:val="0022609A"/>
    <w:rsid w:val="00226391"/>
    <w:rsid w:val="002265A4"/>
    <w:rsid w:val="00226F25"/>
    <w:rsid w:val="002279F0"/>
    <w:rsid w:val="00227D02"/>
    <w:rsid w:val="002301DE"/>
    <w:rsid w:val="002313AA"/>
    <w:rsid w:val="0023260E"/>
    <w:rsid w:val="002329F7"/>
    <w:rsid w:val="00232EB6"/>
    <w:rsid w:val="00233187"/>
    <w:rsid w:val="00233A70"/>
    <w:rsid w:val="00234EB0"/>
    <w:rsid w:val="00235025"/>
    <w:rsid w:val="0023535F"/>
    <w:rsid w:val="00235AC9"/>
    <w:rsid w:val="00236909"/>
    <w:rsid w:val="002369A4"/>
    <w:rsid w:val="00237BB1"/>
    <w:rsid w:val="00240C97"/>
    <w:rsid w:val="002412B8"/>
    <w:rsid w:val="0024187D"/>
    <w:rsid w:val="002420AB"/>
    <w:rsid w:val="002422F9"/>
    <w:rsid w:val="00242B8A"/>
    <w:rsid w:val="00243C7E"/>
    <w:rsid w:val="00243E7B"/>
    <w:rsid w:val="00244ADF"/>
    <w:rsid w:val="00244BD7"/>
    <w:rsid w:val="00245858"/>
    <w:rsid w:val="00245907"/>
    <w:rsid w:val="00245C91"/>
    <w:rsid w:val="00245DCE"/>
    <w:rsid w:val="00247310"/>
    <w:rsid w:val="002475ED"/>
    <w:rsid w:val="00247F9D"/>
    <w:rsid w:val="00250101"/>
    <w:rsid w:val="00251E9E"/>
    <w:rsid w:val="002520DB"/>
    <w:rsid w:val="002523EA"/>
    <w:rsid w:val="002525FD"/>
    <w:rsid w:val="00252AD3"/>
    <w:rsid w:val="00252BBA"/>
    <w:rsid w:val="00252DE0"/>
    <w:rsid w:val="002531F4"/>
    <w:rsid w:val="00253D2F"/>
    <w:rsid w:val="00254309"/>
    <w:rsid w:val="002543F5"/>
    <w:rsid w:val="00254515"/>
    <w:rsid w:val="00254655"/>
    <w:rsid w:val="00254DDB"/>
    <w:rsid w:val="00254DF3"/>
    <w:rsid w:val="00255020"/>
    <w:rsid w:val="00255670"/>
    <w:rsid w:val="0025578B"/>
    <w:rsid w:val="00256432"/>
    <w:rsid w:val="002578C2"/>
    <w:rsid w:val="002602B2"/>
    <w:rsid w:val="002603AF"/>
    <w:rsid w:val="00262E4A"/>
    <w:rsid w:val="0026436F"/>
    <w:rsid w:val="00264C3D"/>
    <w:rsid w:val="002651B5"/>
    <w:rsid w:val="00265406"/>
    <w:rsid w:val="00266428"/>
    <w:rsid w:val="002667DD"/>
    <w:rsid w:val="00267DFA"/>
    <w:rsid w:val="00267FE4"/>
    <w:rsid w:val="002707A4"/>
    <w:rsid w:val="00270FC3"/>
    <w:rsid w:val="002711B5"/>
    <w:rsid w:val="00271BEB"/>
    <w:rsid w:val="00272565"/>
    <w:rsid w:val="00272693"/>
    <w:rsid w:val="0027305F"/>
    <w:rsid w:val="002748DB"/>
    <w:rsid w:val="002754CF"/>
    <w:rsid w:val="00275744"/>
    <w:rsid w:val="00275EFE"/>
    <w:rsid w:val="00276847"/>
    <w:rsid w:val="00277459"/>
    <w:rsid w:val="002774EB"/>
    <w:rsid w:val="00280D8F"/>
    <w:rsid w:val="00280EA2"/>
    <w:rsid w:val="00281F8F"/>
    <w:rsid w:val="0028264F"/>
    <w:rsid w:val="002828FC"/>
    <w:rsid w:val="00283547"/>
    <w:rsid w:val="00283726"/>
    <w:rsid w:val="00283CC4"/>
    <w:rsid w:val="002840FD"/>
    <w:rsid w:val="002843CE"/>
    <w:rsid w:val="0028543A"/>
    <w:rsid w:val="00285993"/>
    <w:rsid w:val="00286301"/>
    <w:rsid w:val="00286528"/>
    <w:rsid w:val="00286C52"/>
    <w:rsid w:val="00286CAD"/>
    <w:rsid w:val="0028726E"/>
    <w:rsid w:val="002874DD"/>
    <w:rsid w:val="00287771"/>
    <w:rsid w:val="00287A60"/>
    <w:rsid w:val="00290387"/>
    <w:rsid w:val="002913DD"/>
    <w:rsid w:val="0029176F"/>
    <w:rsid w:val="00291806"/>
    <w:rsid w:val="00291C74"/>
    <w:rsid w:val="00293540"/>
    <w:rsid w:val="00293D76"/>
    <w:rsid w:val="00294C3D"/>
    <w:rsid w:val="00294FD3"/>
    <w:rsid w:val="0029565E"/>
    <w:rsid w:val="002962AB"/>
    <w:rsid w:val="0029665C"/>
    <w:rsid w:val="002977A1"/>
    <w:rsid w:val="002A0985"/>
    <w:rsid w:val="002A2679"/>
    <w:rsid w:val="002A3B6B"/>
    <w:rsid w:val="002A4142"/>
    <w:rsid w:val="002A4EEF"/>
    <w:rsid w:val="002A501C"/>
    <w:rsid w:val="002A5182"/>
    <w:rsid w:val="002A524F"/>
    <w:rsid w:val="002A529C"/>
    <w:rsid w:val="002A58CE"/>
    <w:rsid w:val="002A58E0"/>
    <w:rsid w:val="002A5A05"/>
    <w:rsid w:val="002A615F"/>
    <w:rsid w:val="002A61FE"/>
    <w:rsid w:val="002A6ED0"/>
    <w:rsid w:val="002B01BC"/>
    <w:rsid w:val="002B1252"/>
    <w:rsid w:val="002B1B93"/>
    <w:rsid w:val="002B1F41"/>
    <w:rsid w:val="002B23D2"/>
    <w:rsid w:val="002B369A"/>
    <w:rsid w:val="002B406D"/>
    <w:rsid w:val="002B43F4"/>
    <w:rsid w:val="002B4406"/>
    <w:rsid w:val="002B4B94"/>
    <w:rsid w:val="002B4C5F"/>
    <w:rsid w:val="002B5963"/>
    <w:rsid w:val="002B5A1F"/>
    <w:rsid w:val="002B6000"/>
    <w:rsid w:val="002B6EF7"/>
    <w:rsid w:val="002B7829"/>
    <w:rsid w:val="002B787F"/>
    <w:rsid w:val="002B79C0"/>
    <w:rsid w:val="002C06EB"/>
    <w:rsid w:val="002C07AF"/>
    <w:rsid w:val="002C13B8"/>
    <w:rsid w:val="002C26A8"/>
    <w:rsid w:val="002C344A"/>
    <w:rsid w:val="002C43C6"/>
    <w:rsid w:val="002C487C"/>
    <w:rsid w:val="002C5071"/>
    <w:rsid w:val="002C5E7B"/>
    <w:rsid w:val="002C611D"/>
    <w:rsid w:val="002C647F"/>
    <w:rsid w:val="002C6510"/>
    <w:rsid w:val="002C6783"/>
    <w:rsid w:val="002C7407"/>
    <w:rsid w:val="002C776D"/>
    <w:rsid w:val="002C7E46"/>
    <w:rsid w:val="002D0423"/>
    <w:rsid w:val="002D11DF"/>
    <w:rsid w:val="002D250B"/>
    <w:rsid w:val="002D27A0"/>
    <w:rsid w:val="002D3016"/>
    <w:rsid w:val="002D3EC3"/>
    <w:rsid w:val="002D47AF"/>
    <w:rsid w:val="002D52AC"/>
    <w:rsid w:val="002D58D7"/>
    <w:rsid w:val="002D6006"/>
    <w:rsid w:val="002D6300"/>
    <w:rsid w:val="002D6301"/>
    <w:rsid w:val="002D6423"/>
    <w:rsid w:val="002D707D"/>
    <w:rsid w:val="002D7758"/>
    <w:rsid w:val="002E000C"/>
    <w:rsid w:val="002E0981"/>
    <w:rsid w:val="002E09ED"/>
    <w:rsid w:val="002E138D"/>
    <w:rsid w:val="002E1C36"/>
    <w:rsid w:val="002E22FA"/>
    <w:rsid w:val="002E25C0"/>
    <w:rsid w:val="002E2D5B"/>
    <w:rsid w:val="002E3223"/>
    <w:rsid w:val="002E3343"/>
    <w:rsid w:val="002E33CF"/>
    <w:rsid w:val="002E4234"/>
    <w:rsid w:val="002E426A"/>
    <w:rsid w:val="002E453D"/>
    <w:rsid w:val="002E4C1A"/>
    <w:rsid w:val="002E54D6"/>
    <w:rsid w:val="002E6C1D"/>
    <w:rsid w:val="002E730C"/>
    <w:rsid w:val="002E736F"/>
    <w:rsid w:val="002E74FB"/>
    <w:rsid w:val="002E7843"/>
    <w:rsid w:val="002E789F"/>
    <w:rsid w:val="002F0651"/>
    <w:rsid w:val="002F2B65"/>
    <w:rsid w:val="002F2F19"/>
    <w:rsid w:val="002F3761"/>
    <w:rsid w:val="002F4E26"/>
    <w:rsid w:val="002F595E"/>
    <w:rsid w:val="002F59AD"/>
    <w:rsid w:val="002F59B3"/>
    <w:rsid w:val="002F5AD7"/>
    <w:rsid w:val="002F6BB9"/>
    <w:rsid w:val="002F779F"/>
    <w:rsid w:val="00300B46"/>
    <w:rsid w:val="00301313"/>
    <w:rsid w:val="00301976"/>
    <w:rsid w:val="00302632"/>
    <w:rsid w:val="00302923"/>
    <w:rsid w:val="00303A38"/>
    <w:rsid w:val="00303DFF"/>
    <w:rsid w:val="0030411E"/>
    <w:rsid w:val="0030465B"/>
    <w:rsid w:val="00304A2F"/>
    <w:rsid w:val="00305334"/>
    <w:rsid w:val="003059B8"/>
    <w:rsid w:val="003061F1"/>
    <w:rsid w:val="00306F4F"/>
    <w:rsid w:val="00307A50"/>
    <w:rsid w:val="00310243"/>
    <w:rsid w:val="00310B14"/>
    <w:rsid w:val="00310B25"/>
    <w:rsid w:val="00311152"/>
    <w:rsid w:val="00313661"/>
    <w:rsid w:val="00314087"/>
    <w:rsid w:val="003145DE"/>
    <w:rsid w:val="00315EAB"/>
    <w:rsid w:val="00316D6D"/>
    <w:rsid w:val="003173D1"/>
    <w:rsid w:val="00317C56"/>
    <w:rsid w:val="0032051B"/>
    <w:rsid w:val="003208E2"/>
    <w:rsid w:val="00320CF6"/>
    <w:rsid w:val="0032117B"/>
    <w:rsid w:val="003212AA"/>
    <w:rsid w:val="00321D32"/>
    <w:rsid w:val="00323358"/>
    <w:rsid w:val="00325307"/>
    <w:rsid w:val="00325426"/>
    <w:rsid w:val="0032565A"/>
    <w:rsid w:val="00325E27"/>
    <w:rsid w:val="00325E3C"/>
    <w:rsid w:val="0032642A"/>
    <w:rsid w:val="00326824"/>
    <w:rsid w:val="00326ABE"/>
    <w:rsid w:val="00326BFF"/>
    <w:rsid w:val="00326CF0"/>
    <w:rsid w:val="00327694"/>
    <w:rsid w:val="00327B62"/>
    <w:rsid w:val="00330186"/>
    <w:rsid w:val="00330FA7"/>
    <w:rsid w:val="0033117C"/>
    <w:rsid w:val="00331495"/>
    <w:rsid w:val="0033200B"/>
    <w:rsid w:val="003325E2"/>
    <w:rsid w:val="003326AC"/>
    <w:rsid w:val="00332FA1"/>
    <w:rsid w:val="00333A7A"/>
    <w:rsid w:val="00336264"/>
    <w:rsid w:val="0033626E"/>
    <w:rsid w:val="003376F2"/>
    <w:rsid w:val="00337D6C"/>
    <w:rsid w:val="003404D0"/>
    <w:rsid w:val="0034131C"/>
    <w:rsid w:val="00341494"/>
    <w:rsid w:val="00341659"/>
    <w:rsid w:val="0034208F"/>
    <w:rsid w:val="00342D0A"/>
    <w:rsid w:val="00343720"/>
    <w:rsid w:val="00343734"/>
    <w:rsid w:val="0034400C"/>
    <w:rsid w:val="003450A3"/>
    <w:rsid w:val="00345285"/>
    <w:rsid w:val="00345613"/>
    <w:rsid w:val="0034603D"/>
    <w:rsid w:val="003476A0"/>
    <w:rsid w:val="003501CD"/>
    <w:rsid w:val="00351158"/>
    <w:rsid w:val="00351262"/>
    <w:rsid w:val="0035154E"/>
    <w:rsid w:val="003526FA"/>
    <w:rsid w:val="00353872"/>
    <w:rsid w:val="00353BB7"/>
    <w:rsid w:val="0035490D"/>
    <w:rsid w:val="00354A84"/>
    <w:rsid w:val="00354D6A"/>
    <w:rsid w:val="00355968"/>
    <w:rsid w:val="00355D7C"/>
    <w:rsid w:val="00355EF8"/>
    <w:rsid w:val="00356738"/>
    <w:rsid w:val="00356A70"/>
    <w:rsid w:val="00356F0A"/>
    <w:rsid w:val="00356F6D"/>
    <w:rsid w:val="003572E7"/>
    <w:rsid w:val="00360216"/>
    <w:rsid w:val="00360325"/>
    <w:rsid w:val="00360775"/>
    <w:rsid w:val="00361CB5"/>
    <w:rsid w:val="00361E7A"/>
    <w:rsid w:val="00362EF7"/>
    <w:rsid w:val="003633D6"/>
    <w:rsid w:val="00363D01"/>
    <w:rsid w:val="0036488B"/>
    <w:rsid w:val="00364ADF"/>
    <w:rsid w:val="0036576B"/>
    <w:rsid w:val="00366447"/>
    <w:rsid w:val="00370541"/>
    <w:rsid w:val="00370B59"/>
    <w:rsid w:val="003712A4"/>
    <w:rsid w:val="00371360"/>
    <w:rsid w:val="00372145"/>
    <w:rsid w:val="003721A2"/>
    <w:rsid w:val="003733E0"/>
    <w:rsid w:val="00374696"/>
    <w:rsid w:val="00375260"/>
    <w:rsid w:val="00375309"/>
    <w:rsid w:val="0037540C"/>
    <w:rsid w:val="00377CF3"/>
    <w:rsid w:val="00380C52"/>
    <w:rsid w:val="00382359"/>
    <w:rsid w:val="003826F9"/>
    <w:rsid w:val="0038392C"/>
    <w:rsid w:val="00383E3F"/>
    <w:rsid w:val="00383EDF"/>
    <w:rsid w:val="003850C6"/>
    <w:rsid w:val="003851F7"/>
    <w:rsid w:val="003864D0"/>
    <w:rsid w:val="003867FD"/>
    <w:rsid w:val="00386F56"/>
    <w:rsid w:val="003874D6"/>
    <w:rsid w:val="003902AD"/>
    <w:rsid w:val="003904FA"/>
    <w:rsid w:val="00390542"/>
    <w:rsid w:val="00390A34"/>
    <w:rsid w:val="00390D70"/>
    <w:rsid w:val="00391274"/>
    <w:rsid w:val="00391358"/>
    <w:rsid w:val="003917E1"/>
    <w:rsid w:val="003918B1"/>
    <w:rsid w:val="00391B50"/>
    <w:rsid w:val="00391E17"/>
    <w:rsid w:val="00391EFD"/>
    <w:rsid w:val="0039280F"/>
    <w:rsid w:val="003931EC"/>
    <w:rsid w:val="00393E07"/>
    <w:rsid w:val="00394317"/>
    <w:rsid w:val="00394E8F"/>
    <w:rsid w:val="00394F82"/>
    <w:rsid w:val="003951B2"/>
    <w:rsid w:val="0039721C"/>
    <w:rsid w:val="00397C61"/>
    <w:rsid w:val="003A070F"/>
    <w:rsid w:val="003A0F0C"/>
    <w:rsid w:val="003A1392"/>
    <w:rsid w:val="003A3109"/>
    <w:rsid w:val="003A5566"/>
    <w:rsid w:val="003A68DF"/>
    <w:rsid w:val="003A70E7"/>
    <w:rsid w:val="003A7F30"/>
    <w:rsid w:val="003B1348"/>
    <w:rsid w:val="003B1D19"/>
    <w:rsid w:val="003B2440"/>
    <w:rsid w:val="003B276F"/>
    <w:rsid w:val="003B2CCE"/>
    <w:rsid w:val="003B308D"/>
    <w:rsid w:val="003B3E74"/>
    <w:rsid w:val="003B42D9"/>
    <w:rsid w:val="003B5970"/>
    <w:rsid w:val="003B5C76"/>
    <w:rsid w:val="003B5D45"/>
    <w:rsid w:val="003B67CB"/>
    <w:rsid w:val="003B6BEC"/>
    <w:rsid w:val="003B78AB"/>
    <w:rsid w:val="003C0020"/>
    <w:rsid w:val="003C09E8"/>
    <w:rsid w:val="003C12F4"/>
    <w:rsid w:val="003C1759"/>
    <w:rsid w:val="003C1FD4"/>
    <w:rsid w:val="003C2788"/>
    <w:rsid w:val="003C29ED"/>
    <w:rsid w:val="003C425F"/>
    <w:rsid w:val="003C43BB"/>
    <w:rsid w:val="003C44FC"/>
    <w:rsid w:val="003C45FA"/>
    <w:rsid w:val="003C4C2D"/>
    <w:rsid w:val="003C55BB"/>
    <w:rsid w:val="003C598E"/>
    <w:rsid w:val="003C71E6"/>
    <w:rsid w:val="003C7A98"/>
    <w:rsid w:val="003D0DEB"/>
    <w:rsid w:val="003D1042"/>
    <w:rsid w:val="003D164C"/>
    <w:rsid w:val="003D1DAB"/>
    <w:rsid w:val="003D5134"/>
    <w:rsid w:val="003D586E"/>
    <w:rsid w:val="003D5944"/>
    <w:rsid w:val="003D7099"/>
    <w:rsid w:val="003D75A7"/>
    <w:rsid w:val="003E11F7"/>
    <w:rsid w:val="003E221D"/>
    <w:rsid w:val="003E2E29"/>
    <w:rsid w:val="003E37ED"/>
    <w:rsid w:val="003E54FA"/>
    <w:rsid w:val="003E59B1"/>
    <w:rsid w:val="003E6A09"/>
    <w:rsid w:val="003E6C8C"/>
    <w:rsid w:val="003F0604"/>
    <w:rsid w:val="003F0DB2"/>
    <w:rsid w:val="003F2009"/>
    <w:rsid w:val="003F24CD"/>
    <w:rsid w:val="003F2BBE"/>
    <w:rsid w:val="003F41F3"/>
    <w:rsid w:val="003F4E9A"/>
    <w:rsid w:val="003F51D1"/>
    <w:rsid w:val="003F5D74"/>
    <w:rsid w:val="003F5EDC"/>
    <w:rsid w:val="003F655A"/>
    <w:rsid w:val="003F76C3"/>
    <w:rsid w:val="003F76DD"/>
    <w:rsid w:val="003F7E43"/>
    <w:rsid w:val="003F7FE5"/>
    <w:rsid w:val="00400660"/>
    <w:rsid w:val="00400A2D"/>
    <w:rsid w:val="004016F8"/>
    <w:rsid w:val="004019B3"/>
    <w:rsid w:val="0040294B"/>
    <w:rsid w:val="00402B2E"/>
    <w:rsid w:val="00402F91"/>
    <w:rsid w:val="00403686"/>
    <w:rsid w:val="00403C79"/>
    <w:rsid w:val="00404E7D"/>
    <w:rsid w:val="00405502"/>
    <w:rsid w:val="00405DBD"/>
    <w:rsid w:val="0040613A"/>
    <w:rsid w:val="0040697A"/>
    <w:rsid w:val="00406C03"/>
    <w:rsid w:val="00406CF9"/>
    <w:rsid w:val="00407731"/>
    <w:rsid w:val="00410972"/>
    <w:rsid w:val="0041109A"/>
    <w:rsid w:val="004113D9"/>
    <w:rsid w:val="00411669"/>
    <w:rsid w:val="00411A14"/>
    <w:rsid w:val="00412121"/>
    <w:rsid w:val="00412E35"/>
    <w:rsid w:val="004139C1"/>
    <w:rsid w:val="004140E4"/>
    <w:rsid w:val="004146AA"/>
    <w:rsid w:val="004148F5"/>
    <w:rsid w:val="00416598"/>
    <w:rsid w:val="00416BBC"/>
    <w:rsid w:val="00416FA6"/>
    <w:rsid w:val="00417185"/>
    <w:rsid w:val="00417B43"/>
    <w:rsid w:val="00417CAC"/>
    <w:rsid w:val="00420566"/>
    <w:rsid w:val="00420C19"/>
    <w:rsid w:val="00422DD3"/>
    <w:rsid w:val="00422EEA"/>
    <w:rsid w:val="0042305D"/>
    <w:rsid w:val="00424706"/>
    <w:rsid w:val="00424C5A"/>
    <w:rsid w:val="00426FD8"/>
    <w:rsid w:val="0043012D"/>
    <w:rsid w:val="00431AE4"/>
    <w:rsid w:val="00432330"/>
    <w:rsid w:val="0043334D"/>
    <w:rsid w:val="00433999"/>
    <w:rsid w:val="00433CC3"/>
    <w:rsid w:val="00434941"/>
    <w:rsid w:val="0043501C"/>
    <w:rsid w:val="0043653E"/>
    <w:rsid w:val="004371CA"/>
    <w:rsid w:val="0044079C"/>
    <w:rsid w:val="00440BCB"/>
    <w:rsid w:val="0044103A"/>
    <w:rsid w:val="00441377"/>
    <w:rsid w:val="004413B9"/>
    <w:rsid w:val="00441A02"/>
    <w:rsid w:val="00441E93"/>
    <w:rsid w:val="00442012"/>
    <w:rsid w:val="00442458"/>
    <w:rsid w:val="00442EC5"/>
    <w:rsid w:val="004438D2"/>
    <w:rsid w:val="004440FF"/>
    <w:rsid w:val="00444E60"/>
    <w:rsid w:val="00446AB7"/>
    <w:rsid w:val="0044751C"/>
    <w:rsid w:val="00447A5D"/>
    <w:rsid w:val="0045027A"/>
    <w:rsid w:val="00450391"/>
    <w:rsid w:val="004506F1"/>
    <w:rsid w:val="004509F0"/>
    <w:rsid w:val="00450CAE"/>
    <w:rsid w:val="00450D09"/>
    <w:rsid w:val="00451996"/>
    <w:rsid w:val="004520CE"/>
    <w:rsid w:val="00453297"/>
    <w:rsid w:val="00456B39"/>
    <w:rsid w:val="004575AC"/>
    <w:rsid w:val="00457709"/>
    <w:rsid w:val="0046013C"/>
    <w:rsid w:val="00460496"/>
    <w:rsid w:val="00460FDF"/>
    <w:rsid w:val="00461E9E"/>
    <w:rsid w:val="0046273A"/>
    <w:rsid w:val="00463B3B"/>
    <w:rsid w:val="00463EE5"/>
    <w:rsid w:val="004643C5"/>
    <w:rsid w:val="004662BD"/>
    <w:rsid w:val="00467038"/>
    <w:rsid w:val="00467207"/>
    <w:rsid w:val="0047289F"/>
    <w:rsid w:val="00474422"/>
    <w:rsid w:val="00475BC8"/>
    <w:rsid w:val="00476EC0"/>
    <w:rsid w:val="004778FA"/>
    <w:rsid w:val="00477ABD"/>
    <w:rsid w:val="00477C6A"/>
    <w:rsid w:val="00480D9A"/>
    <w:rsid w:val="00481761"/>
    <w:rsid w:val="00482895"/>
    <w:rsid w:val="004828A5"/>
    <w:rsid w:val="00482DEE"/>
    <w:rsid w:val="0048363E"/>
    <w:rsid w:val="0048456B"/>
    <w:rsid w:val="00484906"/>
    <w:rsid w:val="0048494E"/>
    <w:rsid w:val="00485493"/>
    <w:rsid w:val="00485DEB"/>
    <w:rsid w:val="00490747"/>
    <w:rsid w:val="0049092B"/>
    <w:rsid w:val="00490EF8"/>
    <w:rsid w:val="004919F3"/>
    <w:rsid w:val="00491DF6"/>
    <w:rsid w:val="00493138"/>
    <w:rsid w:val="004936CC"/>
    <w:rsid w:val="00494BEF"/>
    <w:rsid w:val="0049664F"/>
    <w:rsid w:val="0049688D"/>
    <w:rsid w:val="0049691F"/>
    <w:rsid w:val="00496A2C"/>
    <w:rsid w:val="00497422"/>
    <w:rsid w:val="004976C4"/>
    <w:rsid w:val="004A0F58"/>
    <w:rsid w:val="004A14D8"/>
    <w:rsid w:val="004A2674"/>
    <w:rsid w:val="004A26A9"/>
    <w:rsid w:val="004A26CC"/>
    <w:rsid w:val="004A276C"/>
    <w:rsid w:val="004A2CEE"/>
    <w:rsid w:val="004A3087"/>
    <w:rsid w:val="004A4374"/>
    <w:rsid w:val="004A4706"/>
    <w:rsid w:val="004A4756"/>
    <w:rsid w:val="004A48CC"/>
    <w:rsid w:val="004A4B19"/>
    <w:rsid w:val="004A4CDD"/>
    <w:rsid w:val="004A60FF"/>
    <w:rsid w:val="004A68BF"/>
    <w:rsid w:val="004A6EB7"/>
    <w:rsid w:val="004A73A8"/>
    <w:rsid w:val="004B0428"/>
    <w:rsid w:val="004B0E4C"/>
    <w:rsid w:val="004B155C"/>
    <w:rsid w:val="004B3A39"/>
    <w:rsid w:val="004B5033"/>
    <w:rsid w:val="004B7569"/>
    <w:rsid w:val="004B75E6"/>
    <w:rsid w:val="004C0C95"/>
    <w:rsid w:val="004C0F46"/>
    <w:rsid w:val="004C1162"/>
    <w:rsid w:val="004C14D6"/>
    <w:rsid w:val="004C1B56"/>
    <w:rsid w:val="004C1B5E"/>
    <w:rsid w:val="004C449C"/>
    <w:rsid w:val="004C4736"/>
    <w:rsid w:val="004C540F"/>
    <w:rsid w:val="004C5C9A"/>
    <w:rsid w:val="004C617F"/>
    <w:rsid w:val="004C65CF"/>
    <w:rsid w:val="004C6636"/>
    <w:rsid w:val="004D02D7"/>
    <w:rsid w:val="004D061F"/>
    <w:rsid w:val="004D1416"/>
    <w:rsid w:val="004D2028"/>
    <w:rsid w:val="004D2413"/>
    <w:rsid w:val="004D325C"/>
    <w:rsid w:val="004D4282"/>
    <w:rsid w:val="004D4F77"/>
    <w:rsid w:val="004D4FF1"/>
    <w:rsid w:val="004D57C1"/>
    <w:rsid w:val="004D708C"/>
    <w:rsid w:val="004D720B"/>
    <w:rsid w:val="004D7959"/>
    <w:rsid w:val="004E0B7E"/>
    <w:rsid w:val="004E147E"/>
    <w:rsid w:val="004E1EAB"/>
    <w:rsid w:val="004E20B2"/>
    <w:rsid w:val="004E26E9"/>
    <w:rsid w:val="004E2BAD"/>
    <w:rsid w:val="004E2BC1"/>
    <w:rsid w:val="004E2C73"/>
    <w:rsid w:val="004E3DEE"/>
    <w:rsid w:val="004E4A09"/>
    <w:rsid w:val="004E4A86"/>
    <w:rsid w:val="004E679F"/>
    <w:rsid w:val="004E6BF5"/>
    <w:rsid w:val="004E6F61"/>
    <w:rsid w:val="004F03E6"/>
    <w:rsid w:val="004F04CA"/>
    <w:rsid w:val="004F0B1F"/>
    <w:rsid w:val="004F0C79"/>
    <w:rsid w:val="004F116F"/>
    <w:rsid w:val="004F12AA"/>
    <w:rsid w:val="004F13AB"/>
    <w:rsid w:val="004F15B4"/>
    <w:rsid w:val="004F3328"/>
    <w:rsid w:val="004F33F5"/>
    <w:rsid w:val="004F35FC"/>
    <w:rsid w:val="004F36F4"/>
    <w:rsid w:val="004F3BCC"/>
    <w:rsid w:val="004F3F37"/>
    <w:rsid w:val="004F4E9F"/>
    <w:rsid w:val="004F50CD"/>
    <w:rsid w:val="004F71D4"/>
    <w:rsid w:val="00500BE2"/>
    <w:rsid w:val="00500D03"/>
    <w:rsid w:val="00500D76"/>
    <w:rsid w:val="005020AB"/>
    <w:rsid w:val="005027E7"/>
    <w:rsid w:val="00502A62"/>
    <w:rsid w:val="00502DAC"/>
    <w:rsid w:val="005035BB"/>
    <w:rsid w:val="0050369A"/>
    <w:rsid w:val="00503D7F"/>
    <w:rsid w:val="00503EB5"/>
    <w:rsid w:val="00503F24"/>
    <w:rsid w:val="00504415"/>
    <w:rsid w:val="0050481D"/>
    <w:rsid w:val="00504954"/>
    <w:rsid w:val="005049F6"/>
    <w:rsid w:val="005059F8"/>
    <w:rsid w:val="00505FB8"/>
    <w:rsid w:val="00506034"/>
    <w:rsid w:val="00507630"/>
    <w:rsid w:val="00507975"/>
    <w:rsid w:val="00507D74"/>
    <w:rsid w:val="00510377"/>
    <w:rsid w:val="005109F1"/>
    <w:rsid w:val="00510C15"/>
    <w:rsid w:val="00513046"/>
    <w:rsid w:val="00513661"/>
    <w:rsid w:val="00513A0D"/>
    <w:rsid w:val="00514144"/>
    <w:rsid w:val="005144AF"/>
    <w:rsid w:val="00514559"/>
    <w:rsid w:val="00514876"/>
    <w:rsid w:val="005148DE"/>
    <w:rsid w:val="00514944"/>
    <w:rsid w:val="00514B27"/>
    <w:rsid w:val="00514CD2"/>
    <w:rsid w:val="00516855"/>
    <w:rsid w:val="00517462"/>
    <w:rsid w:val="0051799C"/>
    <w:rsid w:val="00521110"/>
    <w:rsid w:val="00521220"/>
    <w:rsid w:val="00521B1A"/>
    <w:rsid w:val="00521F45"/>
    <w:rsid w:val="0052239C"/>
    <w:rsid w:val="00522714"/>
    <w:rsid w:val="00522A61"/>
    <w:rsid w:val="00522B90"/>
    <w:rsid w:val="00522DCD"/>
    <w:rsid w:val="00523FCB"/>
    <w:rsid w:val="00524648"/>
    <w:rsid w:val="00525DAE"/>
    <w:rsid w:val="005267C6"/>
    <w:rsid w:val="0052683A"/>
    <w:rsid w:val="00526860"/>
    <w:rsid w:val="00527502"/>
    <w:rsid w:val="00527708"/>
    <w:rsid w:val="00530316"/>
    <w:rsid w:val="0053063B"/>
    <w:rsid w:val="00530A87"/>
    <w:rsid w:val="00530B3A"/>
    <w:rsid w:val="00531E94"/>
    <w:rsid w:val="00533B5B"/>
    <w:rsid w:val="00533EDC"/>
    <w:rsid w:val="0053482D"/>
    <w:rsid w:val="00535340"/>
    <w:rsid w:val="005353A0"/>
    <w:rsid w:val="00536EB4"/>
    <w:rsid w:val="00537245"/>
    <w:rsid w:val="005379A7"/>
    <w:rsid w:val="0054023F"/>
    <w:rsid w:val="00540433"/>
    <w:rsid w:val="00541437"/>
    <w:rsid w:val="00541F20"/>
    <w:rsid w:val="00542294"/>
    <w:rsid w:val="00542DDF"/>
    <w:rsid w:val="00542FB2"/>
    <w:rsid w:val="0054315F"/>
    <w:rsid w:val="005442B5"/>
    <w:rsid w:val="005468AD"/>
    <w:rsid w:val="00547269"/>
    <w:rsid w:val="005472EE"/>
    <w:rsid w:val="005478A4"/>
    <w:rsid w:val="005504D0"/>
    <w:rsid w:val="0055052E"/>
    <w:rsid w:val="00550726"/>
    <w:rsid w:val="00550AFB"/>
    <w:rsid w:val="00550EEF"/>
    <w:rsid w:val="005517B3"/>
    <w:rsid w:val="00551AD4"/>
    <w:rsid w:val="00552838"/>
    <w:rsid w:val="00554001"/>
    <w:rsid w:val="00554FF9"/>
    <w:rsid w:val="00555496"/>
    <w:rsid w:val="00555648"/>
    <w:rsid w:val="00556685"/>
    <w:rsid w:val="00556A20"/>
    <w:rsid w:val="005570B9"/>
    <w:rsid w:val="005607D8"/>
    <w:rsid w:val="005608E1"/>
    <w:rsid w:val="00561419"/>
    <w:rsid w:val="00561C55"/>
    <w:rsid w:val="00561EDB"/>
    <w:rsid w:val="005621A3"/>
    <w:rsid w:val="005623CB"/>
    <w:rsid w:val="00562768"/>
    <w:rsid w:val="005630C2"/>
    <w:rsid w:val="00563298"/>
    <w:rsid w:val="00563893"/>
    <w:rsid w:val="00563D4A"/>
    <w:rsid w:val="00563E73"/>
    <w:rsid w:val="0056483B"/>
    <w:rsid w:val="0056637D"/>
    <w:rsid w:val="00566B25"/>
    <w:rsid w:val="00567379"/>
    <w:rsid w:val="005674C7"/>
    <w:rsid w:val="00570C54"/>
    <w:rsid w:val="00572615"/>
    <w:rsid w:val="00572F15"/>
    <w:rsid w:val="00573084"/>
    <w:rsid w:val="005731BA"/>
    <w:rsid w:val="005737EE"/>
    <w:rsid w:val="00574137"/>
    <w:rsid w:val="005749B9"/>
    <w:rsid w:val="00575975"/>
    <w:rsid w:val="00575E33"/>
    <w:rsid w:val="0057710A"/>
    <w:rsid w:val="00580421"/>
    <w:rsid w:val="005806A9"/>
    <w:rsid w:val="00580B66"/>
    <w:rsid w:val="00582023"/>
    <w:rsid w:val="00582180"/>
    <w:rsid w:val="00582766"/>
    <w:rsid w:val="00582BA5"/>
    <w:rsid w:val="00582C59"/>
    <w:rsid w:val="00582EB9"/>
    <w:rsid w:val="00584E89"/>
    <w:rsid w:val="00586ECE"/>
    <w:rsid w:val="00587F0E"/>
    <w:rsid w:val="0059055F"/>
    <w:rsid w:val="005916C3"/>
    <w:rsid w:val="00591E25"/>
    <w:rsid w:val="00592635"/>
    <w:rsid w:val="00592667"/>
    <w:rsid w:val="00592C7B"/>
    <w:rsid w:val="005934E2"/>
    <w:rsid w:val="00594081"/>
    <w:rsid w:val="0059541E"/>
    <w:rsid w:val="00595973"/>
    <w:rsid w:val="00596135"/>
    <w:rsid w:val="00596158"/>
    <w:rsid w:val="005965F7"/>
    <w:rsid w:val="0059749A"/>
    <w:rsid w:val="00597D6B"/>
    <w:rsid w:val="00597DD2"/>
    <w:rsid w:val="005A1DA8"/>
    <w:rsid w:val="005A3BB2"/>
    <w:rsid w:val="005A4119"/>
    <w:rsid w:val="005A5173"/>
    <w:rsid w:val="005A53F8"/>
    <w:rsid w:val="005A5724"/>
    <w:rsid w:val="005A5B00"/>
    <w:rsid w:val="005A5B86"/>
    <w:rsid w:val="005A5F14"/>
    <w:rsid w:val="005A6C4D"/>
    <w:rsid w:val="005A76B1"/>
    <w:rsid w:val="005B007D"/>
    <w:rsid w:val="005B063F"/>
    <w:rsid w:val="005B1A34"/>
    <w:rsid w:val="005B1FA8"/>
    <w:rsid w:val="005B20B7"/>
    <w:rsid w:val="005B3306"/>
    <w:rsid w:val="005B3DFB"/>
    <w:rsid w:val="005B3FDD"/>
    <w:rsid w:val="005B43DE"/>
    <w:rsid w:val="005B5328"/>
    <w:rsid w:val="005B5ED0"/>
    <w:rsid w:val="005B61D6"/>
    <w:rsid w:val="005B6801"/>
    <w:rsid w:val="005B6EE3"/>
    <w:rsid w:val="005B72C1"/>
    <w:rsid w:val="005C083D"/>
    <w:rsid w:val="005C2E30"/>
    <w:rsid w:val="005C39B8"/>
    <w:rsid w:val="005C416D"/>
    <w:rsid w:val="005C4310"/>
    <w:rsid w:val="005C45A2"/>
    <w:rsid w:val="005C4DD5"/>
    <w:rsid w:val="005C50F5"/>
    <w:rsid w:val="005C6D9D"/>
    <w:rsid w:val="005C6FEE"/>
    <w:rsid w:val="005C701E"/>
    <w:rsid w:val="005C717D"/>
    <w:rsid w:val="005C741F"/>
    <w:rsid w:val="005C776C"/>
    <w:rsid w:val="005C7A16"/>
    <w:rsid w:val="005D0B55"/>
    <w:rsid w:val="005D0BE5"/>
    <w:rsid w:val="005D1FE1"/>
    <w:rsid w:val="005D25E3"/>
    <w:rsid w:val="005D2CD3"/>
    <w:rsid w:val="005D2E9D"/>
    <w:rsid w:val="005D3E6C"/>
    <w:rsid w:val="005D4033"/>
    <w:rsid w:val="005D4C69"/>
    <w:rsid w:val="005D4D1E"/>
    <w:rsid w:val="005D69D1"/>
    <w:rsid w:val="005D716D"/>
    <w:rsid w:val="005D7A47"/>
    <w:rsid w:val="005E01E7"/>
    <w:rsid w:val="005E0E32"/>
    <w:rsid w:val="005E206F"/>
    <w:rsid w:val="005E31A9"/>
    <w:rsid w:val="005E33F1"/>
    <w:rsid w:val="005E340A"/>
    <w:rsid w:val="005E37E6"/>
    <w:rsid w:val="005E38A3"/>
    <w:rsid w:val="005E436C"/>
    <w:rsid w:val="005E4DDC"/>
    <w:rsid w:val="005E65EC"/>
    <w:rsid w:val="005E6C6D"/>
    <w:rsid w:val="005E6D62"/>
    <w:rsid w:val="005E7112"/>
    <w:rsid w:val="005E7B1D"/>
    <w:rsid w:val="005F17D7"/>
    <w:rsid w:val="005F1FEE"/>
    <w:rsid w:val="005F2189"/>
    <w:rsid w:val="005F228C"/>
    <w:rsid w:val="005F2697"/>
    <w:rsid w:val="005F342F"/>
    <w:rsid w:val="005F3CA4"/>
    <w:rsid w:val="005F4126"/>
    <w:rsid w:val="005F4708"/>
    <w:rsid w:val="005F591B"/>
    <w:rsid w:val="005F5B3E"/>
    <w:rsid w:val="005F6328"/>
    <w:rsid w:val="005F6AC8"/>
    <w:rsid w:val="005F6CB4"/>
    <w:rsid w:val="0060020E"/>
    <w:rsid w:val="00600366"/>
    <w:rsid w:val="00600AD1"/>
    <w:rsid w:val="00600FB7"/>
    <w:rsid w:val="0060120F"/>
    <w:rsid w:val="006014B0"/>
    <w:rsid w:val="00601CD9"/>
    <w:rsid w:val="006024AD"/>
    <w:rsid w:val="006034AB"/>
    <w:rsid w:val="00604076"/>
    <w:rsid w:val="006041FB"/>
    <w:rsid w:val="006048AC"/>
    <w:rsid w:val="00604982"/>
    <w:rsid w:val="00604C51"/>
    <w:rsid w:val="0060595D"/>
    <w:rsid w:val="00607470"/>
    <w:rsid w:val="00607881"/>
    <w:rsid w:val="00607C0F"/>
    <w:rsid w:val="00612253"/>
    <w:rsid w:val="00612B90"/>
    <w:rsid w:val="00612DE1"/>
    <w:rsid w:val="00613E77"/>
    <w:rsid w:val="006145B5"/>
    <w:rsid w:val="00616A42"/>
    <w:rsid w:val="00616BDC"/>
    <w:rsid w:val="006174A3"/>
    <w:rsid w:val="006178F7"/>
    <w:rsid w:val="00617A1A"/>
    <w:rsid w:val="006202E0"/>
    <w:rsid w:val="0062054C"/>
    <w:rsid w:val="006214DF"/>
    <w:rsid w:val="006222C5"/>
    <w:rsid w:val="00622919"/>
    <w:rsid w:val="00623004"/>
    <w:rsid w:val="00623425"/>
    <w:rsid w:val="0062396D"/>
    <w:rsid w:val="00623C38"/>
    <w:rsid w:val="00624C8B"/>
    <w:rsid w:val="00624CF4"/>
    <w:rsid w:val="006251B0"/>
    <w:rsid w:val="006253C9"/>
    <w:rsid w:val="006269AD"/>
    <w:rsid w:val="00626BA8"/>
    <w:rsid w:val="006278CA"/>
    <w:rsid w:val="00627E1D"/>
    <w:rsid w:val="00630201"/>
    <w:rsid w:val="00630876"/>
    <w:rsid w:val="006315E2"/>
    <w:rsid w:val="00631ABB"/>
    <w:rsid w:val="00631B49"/>
    <w:rsid w:val="006321A7"/>
    <w:rsid w:val="00632319"/>
    <w:rsid w:val="0063323D"/>
    <w:rsid w:val="0063330A"/>
    <w:rsid w:val="00633DEF"/>
    <w:rsid w:val="00633E4C"/>
    <w:rsid w:val="00634673"/>
    <w:rsid w:val="006346EA"/>
    <w:rsid w:val="00635805"/>
    <w:rsid w:val="006358D4"/>
    <w:rsid w:val="00635A14"/>
    <w:rsid w:val="00636AA4"/>
    <w:rsid w:val="00637AD6"/>
    <w:rsid w:val="00640086"/>
    <w:rsid w:val="00640398"/>
    <w:rsid w:val="006407B8"/>
    <w:rsid w:val="00642111"/>
    <w:rsid w:val="00642832"/>
    <w:rsid w:val="00642BF8"/>
    <w:rsid w:val="00642C3F"/>
    <w:rsid w:val="006444A4"/>
    <w:rsid w:val="00645A1F"/>
    <w:rsid w:val="00645B20"/>
    <w:rsid w:val="00645C03"/>
    <w:rsid w:val="00646770"/>
    <w:rsid w:val="006476E7"/>
    <w:rsid w:val="00647C81"/>
    <w:rsid w:val="00650284"/>
    <w:rsid w:val="0065044A"/>
    <w:rsid w:val="006507A8"/>
    <w:rsid w:val="0065094E"/>
    <w:rsid w:val="006509E4"/>
    <w:rsid w:val="00650CF4"/>
    <w:rsid w:val="00652846"/>
    <w:rsid w:val="00653020"/>
    <w:rsid w:val="00653092"/>
    <w:rsid w:val="0065329E"/>
    <w:rsid w:val="006536C3"/>
    <w:rsid w:val="00654B06"/>
    <w:rsid w:val="00654D72"/>
    <w:rsid w:val="006556F6"/>
    <w:rsid w:val="0065578F"/>
    <w:rsid w:val="006559A9"/>
    <w:rsid w:val="00655F17"/>
    <w:rsid w:val="0065643E"/>
    <w:rsid w:val="00656698"/>
    <w:rsid w:val="00657C2D"/>
    <w:rsid w:val="00657F64"/>
    <w:rsid w:val="00660836"/>
    <w:rsid w:val="00660ACB"/>
    <w:rsid w:val="00660AE7"/>
    <w:rsid w:val="006620E6"/>
    <w:rsid w:val="006629E0"/>
    <w:rsid w:val="00662D26"/>
    <w:rsid w:val="006635E9"/>
    <w:rsid w:val="006637BC"/>
    <w:rsid w:val="006638EA"/>
    <w:rsid w:val="00663AFF"/>
    <w:rsid w:val="00664580"/>
    <w:rsid w:val="00664A13"/>
    <w:rsid w:val="00664F10"/>
    <w:rsid w:val="006655D2"/>
    <w:rsid w:val="006660F8"/>
    <w:rsid w:val="006672B1"/>
    <w:rsid w:val="00667443"/>
    <w:rsid w:val="006679BF"/>
    <w:rsid w:val="00671DA5"/>
    <w:rsid w:val="00673318"/>
    <w:rsid w:val="006737BA"/>
    <w:rsid w:val="00673894"/>
    <w:rsid w:val="006749C4"/>
    <w:rsid w:val="006750F9"/>
    <w:rsid w:val="006758E0"/>
    <w:rsid w:val="00676064"/>
    <w:rsid w:val="00680423"/>
    <w:rsid w:val="00681F37"/>
    <w:rsid w:val="006827B7"/>
    <w:rsid w:val="00683DAE"/>
    <w:rsid w:val="00684EA9"/>
    <w:rsid w:val="00684F41"/>
    <w:rsid w:val="00685F8B"/>
    <w:rsid w:val="006860CE"/>
    <w:rsid w:val="0068665A"/>
    <w:rsid w:val="006867D6"/>
    <w:rsid w:val="00686C36"/>
    <w:rsid w:val="006876C4"/>
    <w:rsid w:val="00687839"/>
    <w:rsid w:val="00687A8C"/>
    <w:rsid w:val="00687E9C"/>
    <w:rsid w:val="00690B14"/>
    <w:rsid w:val="00690EAE"/>
    <w:rsid w:val="006920E7"/>
    <w:rsid w:val="00692D04"/>
    <w:rsid w:val="00694270"/>
    <w:rsid w:val="00694392"/>
    <w:rsid w:val="006952B5"/>
    <w:rsid w:val="006956D5"/>
    <w:rsid w:val="00696058"/>
    <w:rsid w:val="00696379"/>
    <w:rsid w:val="00696574"/>
    <w:rsid w:val="006965E5"/>
    <w:rsid w:val="00696CCE"/>
    <w:rsid w:val="00697F4C"/>
    <w:rsid w:val="006A0589"/>
    <w:rsid w:val="006A0939"/>
    <w:rsid w:val="006A16F8"/>
    <w:rsid w:val="006A1A6F"/>
    <w:rsid w:val="006A2806"/>
    <w:rsid w:val="006A40A8"/>
    <w:rsid w:val="006A4C01"/>
    <w:rsid w:val="006A5F7E"/>
    <w:rsid w:val="006A611A"/>
    <w:rsid w:val="006A7136"/>
    <w:rsid w:val="006A739C"/>
    <w:rsid w:val="006A73B6"/>
    <w:rsid w:val="006A773D"/>
    <w:rsid w:val="006A7D9B"/>
    <w:rsid w:val="006B10B0"/>
    <w:rsid w:val="006B3FAF"/>
    <w:rsid w:val="006B4772"/>
    <w:rsid w:val="006B48F3"/>
    <w:rsid w:val="006B4C2D"/>
    <w:rsid w:val="006B5CDC"/>
    <w:rsid w:val="006B7931"/>
    <w:rsid w:val="006C0AAA"/>
    <w:rsid w:val="006C0ADE"/>
    <w:rsid w:val="006C1168"/>
    <w:rsid w:val="006C1D83"/>
    <w:rsid w:val="006C2013"/>
    <w:rsid w:val="006C2813"/>
    <w:rsid w:val="006C2DD7"/>
    <w:rsid w:val="006C392B"/>
    <w:rsid w:val="006C3FFE"/>
    <w:rsid w:val="006C4A7B"/>
    <w:rsid w:val="006C5A02"/>
    <w:rsid w:val="006C5E92"/>
    <w:rsid w:val="006C5F48"/>
    <w:rsid w:val="006C693F"/>
    <w:rsid w:val="006C6D23"/>
    <w:rsid w:val="006C7E49"/>
    <w:rsid w:val="006D0900"/>
    <w:rsid w:val="006D13EB"/>
    <w:rsid w:val="006D1646"/>
    <w:rsid w:val="006D2D48"/>
    <w:rsid w:val="006D3343"/>
    <w:rsid w:val="006D4EB9"/>
    <w:rsid w:val="006D62F6"/>
    <w:rsid w:val="006D635B"/>
    <w:rsid w:val="006D68E4"/>
    <w:rsid w:val="006D6A42"/>
    <w:rsid w:val="006D75F8"/>
    <w:rsid w:val="006D76FA"/>
    <w:rsid w:val="006D7AFC"/>
    <w:rsid w:val="006D7C90"/>
    <w:rsid w:val="006E0C83"/>
    <w:rsid w:val="006E0D50"/>
    <w:rsid w:val="006E2211"/>
    <w:rsid w:val="006E2472"/>
    <w:rsid w:val="006E28A2"/>
    <w:rsid w:val="006E379C"/>
    <w:rsid w:val="006E3F7E"/>
    <w:rsid w:val="006E4551"/>
    <w:rsid w:val="006E6A8E"/>
    <w:rsid w:val="006E6AE8"/>
    <w:rsid w:val="006E6CD4"/>
    <w:rsid w:val="006E74BA"/>
    <w:rsid w:val="006E7851"/>
    <w:rsid w:val="006E7A59"/>
    <w:rsid w:val="006F08BB"/>
    <w:rsid w:val="006F1684"/>
    <w:rsid w:val="006F1756"/>
    <w:rsid w:val="006F18B0"/>
    <w:rsid w:val="006F26A2"/>
    <w:rsid w:val="006F289C"/>
    <w:rsid w:val="006F36A0"/>
    <w:rsid w:val="006F3FEF"/>
    <w:rsid w:val="006F4123"/>
    <w:rsid w:val="006F4998"/>
    <w:rsid w:val="006F4BE9"/>
    <w:rsid w:val="006F6C2A"/>
    <w:rsid w:val="006F7092"/>
    <w:rsid w:val="007014FD"/>
    <w:rsid w:val="00701733"/>
    <w:rsid w:val="00701E5E"/>
    <w:rsid w:val="00701FED"/>
    <w:rsid w:val="007030D6"/>
    <w:rsid w:val="00703705"/>
    <w:rsid w:val="00704791"/>
    <w:rsid w:val="00704DAD"/>
    <w:rsid w:val="00706291"/>
    <w:rsid w:val="00706957"/>
    <w:rsid w:val="00707ADB"/>
    <w:rsid w:val="00710DA5"/>
    <w:rsid w:val="007117EA"/>
    <w:rsid w:val="0071322E"/>
    <w:rsid w:val="00713312"/>
    <w:rsid w:val="00713362"/>
    <w:rsid w:val="007145E2"/>
    <w:rsid w:val="00714B19"/>
    <w:rsid w:val="00714E27"/>
    <w:rsid w:val="00715F36"/>
    <w:rsid w:val="00716D78"/>
    <w:rsid w:val="00717345"/>
    <w:rsid w:val="00720626"/>
    <w:rsid w:val="007220CF"/>
    <w:rsid w:val="007225ED"/>
    <w:rsid w:val="00723588"/>
    <w:rsid w:val="007238D0"/>
    <w:rsid w:val="00723B1B"/>
    <w:rsid w:val="00724606"/>
    <w:rsid w:val="0072512F"/>
    <w:rsid w:val="0072523F"/>
    <w:rsid w:val="00726FBA"/>
    <w:rsid w:val="0072751B"/>
    <w:rsid w:val="0073049C"/>
    <w:rsid w:val="00730E98"/>
    <w:rsid w:val="00731545"/>
    <w:rsid w:val="00731E65"/>
    <w:rsid w:val="00731FD6"/>
    <w:rsid w:val="007330CB"/>
    <w:rsid w:val="007334AD"/>
    <w:rsid w:val="00733579"/>
    <w:rsid w:val="00733584"/>
    <w:rsid w:val="0073377C"/>
    <w:rsid w:val="00733EBA"/>
    <w:rsid w:val="0073456F"/>
    <w:rsid w:val="0073482A"/>
    <w:rsid w:val="0073509A"/>
    <w:rsid w:val="007360E1"/>
    <w:rsid w:val="007370B2"/>
    <w:rsid w:val="0073714C"/>
    <w:rsid w:val="007375E0"/>
    <w:rsid w:val="00737A8F"/>
    <w:rsid w:val="00737D30"/>
    <w:rsid w:val="00737DE3"/>
    <w:rsid w:val="007407FB"/>
    <w:rsid w:val="00740BB4"/>
    <w:rsid w:val="00742BD7"/>
    <w:rsid w:val="00742FDD"/>
    <w:rsid w:val="00743470"/>
    <w:rsid w:val="007437E4"/>
    <w:rsid w:val="00744858"/>
    <w:rsid w:val="00744D64"/>
    <w:rsid w:val="00745860"/>
    <w:rsid w:val="0074586D"/>
    <w:rsid w:val="00745995"/>
    <w:rsid w:val="00745BC4"/>
    <w:rsid w:val="00745D70"/>
    <w:rsid w:val="00745FEB"/>
    <w:rsid w:val="00746079"/>
    <w:rsid w:val="00746D2B"/>
    <w:rsid w:val="0074726A"/>
    <w:rsid w:val="007472F5"/>
    <w:rsid w:val="00750293"/>
    <w:rsid w:val="007506BF"/>
    <w:rsid w:val="0075120C"/>
    <w:rsid w:val="00751567"/>
    <w:rsid w:val="00751592"/>
    <w:rsid w:val="0075174B"/>
    <w:rsid w:val="00751D02"/>
    <w:rsid w:val="007520FB"/>
    <w:rsid w:val="007521F2"/>
    <w:rsid w:val="00752CED"/>
    <w:rsid w:val="00752D3B"/>
    <w:rsid w:val="00753C31"/>
    <w:rsid w:val="007543BD"/>
    <w:rsid w:val="007544D5"/>
    <w:rsid w:val="00754AC9"/>
    <w:rsid w:val="00754B64"/>
    <w:rsid w:val="00757767"/>
    <w:rsid w:val="0076068C"/>
    <w:rsid w:val="00760EB1"/>
    <w:rsid w:val="00761577"/>
    <w:rsid w:val="00761714"/>
    <w:rsid w:val="00761B90"/>
    <w:rsid w:val="00762019"/>
    <w:rsid w:val="007621F5"/>
    <w:rsid w:val="007625E9"/>
    <w:rsid w:val="0076474C"/>
    <w:rsid w:val="007649E7"/>
    <w:rsid w:val="007662C9"/>
    <w:rsid w:val="00767D3D"/>
    <w:rsid w:val="00770016"/>
    <w:rsid w:val="00770763"/>
    <w:rsid w:val="00770C41"/>
    <w:rsid w:val="00771155"/>
    <w:rsid w:val="007713F9"/>
    <w:rsid w:val="0077197B"/>
    <w:rsid w:val="007721B4"/>
    <w:rsid w:val="00772696"/>
    <w:rsid w:val="00772EE1"/>
    <w:rsid w:val="0077372E"/>
    <w:rsid w:val="00773D2D"/>
    <w:rsid w:val="007745D8"/>
    <w:rsid w:val="007757A2"/>
    <w:rsid w:val="00775C00"/>
    <w:rsid w:val="00775E9C"/>
    <w:rsid w:val="00776043"/>
    <w:rsid w:val="00777C29"/>
    <w:rsid w:val="007806F6"/>
    <w:rsid w:val="00782084"/>
    <w:rsid w:val="00782744"/>
    <w:rsid w:val="0078279B"/>
    <w:rsid w:val="00782AA0"/>
    <w:rsid w:val="00782F24"/>
    <w:rsid w:val="007838BD"/>
    <w:rsid w:val="00783D6C"/>
    <w:rsid w:val="00783D98"/>
    <w:rsid w:val="007842F8"/>
    <w:rsid w:val="0078447A"/>
    <w:rsid w:val="00784957"/>
    <w:rsid w:val="00784C2B"/>
    <w:rsid w:val="00785676"/>
    <w:rsid w:val="00785A92"/>
    <w:rsid w:val="00785B8D"/>
    <w:rsid w:val="00787B71"/>
    <w:rsid w:val="00790117"/>
    <w:rsid w:val="00790773"/>
    <w:rsid w:val="00790F29"/>
    <w:rsid w:val="00792B80"/>
    <w:rsid w:val="00793CA4"/>
    <w:rsid w:val="00793D52"/>
    <w:rsid w:val="00794005"/>
    <w:rsid w:val="007943B0"/>
    <w:rsid w:val="007953D7"/>
    <w:rsid w:val="007954F0"/>
    <w:rsid w:val="00795BF8"/>
    <w:rsid w:val="00795ED0"/>
    <w:rsid w:val="00796323"/>
    <w:rsid w:val="007973AC"/>
    <w:rsid w:val="00797586"/>
    <w:rsid w:val="00797C1F"/>
    <w:rsid w:val="007A03A7"/>
    <w:rsid w:val="007A1018"/>
    <w:rsid w:val="007A1570"/>
    <w:rsid w:val="007A1AE4"/>
    <w:rsid w:val="007A23C9"/>
    <w:rsid w:val="007A282A"/>
    <w:rsid w:val="007A2C1A"/>
    <w:rsid w:val="007A2E1A"/>
    <w:rsid w:val="007A36F7"/>
    <w:rsid w:val="007A3D31"/>
    <w:rsid w:val="007A5111"/>
    <w:rsid w:val="007A5147"/>
    <w:rsid w:val="007A54CF"/>
    <w:rsid w:val="007A61D4"/>
    <w:rsid w:val="007A6566"/>
    <w:rsid w:val="007A768C"/>
    <w:rsid w:val="007B094E"/>
    <w:rsid w:val="007B19A0"/>
    <w:rsid w:val="007B1A0B"/>
    <w:rsid w:val="007B1DC4"/>
    <w:rsid w:val="007B28F0"/>
    <w:rsid w:val="007B2D55"/>
    <w:rsid w:val="007B2F66"/>
    <w:rsid w:val="007B36A4"/>
    <w:rsid w:val="007B4033"/>
    <w:rsid w:val="007B476B"/>
    <w:rsid w:val="007B48AC"/>
    <w:rsid w:val="007B4D04"/>
    <w:rsid w:val="007B50CB"/>
    <w:rsid w:val="007B5AC6"/>
    <w:rsid w:val="007B5DCD"/>
    <w:rsid w:val="007B63EE"/>
    <w:rsid w:val="007B646D"/>
    <w:rsid w:val="007B699D"/>
    <w:rsid w:val="007B7291"/>
    <w:rsid w:val="007B768A"/>
    <w:rsid w:val="007B7747"/>
    <w:rsid w:val="007C018D"/>
    <w:rsid w:val="007C1A7B"/>
    <w:rsid w:val="007C2FD9"/>
    <w:rsid w:val="007C3238"/>
    <w:rsid w:val="007C3498"/>
    <w:rsid w:val="007C3C91"/>
    <w:rsid w:val="007C3D0A"/>
    <w:rsid w:val="007C40C2"/>
    <w:rsid w:val="007C49DA"/>
    <w:rsid w:val="007C5C06"/>
    <w:rsid w:val="007C6B78"/>
    <w:rsid w:val="007C6CE3"/>
    <w:rsid w:val="007C6FA9"/>
    <w:rsid w:val="007C72AC"/>
    <w:rsid w:val="007C7313"/>
    <w:rsid w:val="007C74AA"/>
    <w:rsid w:val="007C752F"/>
    <w:rsid w:val="007C7F0A"/>
    <w:rsid w:val="007D0485"/>
    <w:rsid w:val="007D087E"/>
    <w:rsid w:val="007D1892"/>
    <w:rsid w:val="007D1C3D"/>
    <w:rsid w:val="007D1D9C"/>
    <w:rsid w:val="007D2198"/>
    <w:rsid w:val="007D21A4"/>
    <w:rsid w:val="007D22C8"/>
    <w:rsid w:val="007D2A26"/>
    <w:rsid w:val="007D2C64"/>
    <w:rsid w:val="007D2E2E"/>
    <w:rsid w:val="007D38B3"/>
    <w:rsid w:val="007D4327"/>
    <w:rsid w:val="007D4BD2"/>
    <w:rsid w:val="007D4E63"/>
    <w:rsid w:val="007D5128"/>
    <w:rsid w:val="007D5391"/>
    <w:rsid w:val="007D58EF"/>
    <w:rsid w:val="007D6AD0"/>
    <w:rsid w:val="007D7986"/>
    <w:rsid w:val="007D7FBE"/>
    <w:rsid w:val="007E0461"/>
    <w:rsid w:val="007E0CB5"/>
    <w:rsid w:val="007E1108"/>
    <w:rsid w:val="007E14B0"/>
    <w:rsid w:val="007E1610"/>
    <w:rsid w:val="007E1C06"/>
    <w:rsid w:val="007E2369"/>
    <w:rsid w:val="007E395A"/>
    <w:rsid w:val="007E440A"/>
    <w:rsid w:val="007E48E7"/>
    <w:rsid w:val="007E5F40"/>
    <w:rsid w:val="007E6009"/>
    <w:rsid w:val="007E63FB"/>
    <w:rsid w:val="007E6992"/>
    <w:rsid w:val="007E6B7B"/>
    <w:rsid w:val="007E6F26"/>
    <w:rsid w:val="007E74FF"/>
    <w:rsid w:val="007EACD2"/>
    <w:rsid w:val="007F0AAB"/>
    <w:rsid w:val="007F16EA"/>
    <w:rsid w:val="007F291E"/>
    <w:rsid w:val="007F2A92"/>
    <w:rsid w:val="007F2DCD"/>
    <w:rsid w:val="007F35D2"/>
    <w:rsid w:val="007F3B4C"/>
    <w:rsid w:val="007F41AD"/>
    <w:rsid w:val="007F45A9"/>
    <w:rsid w:val="007F4D84"/>
    <w:rsid w:val="007F582C"/>
    <w:rsid w:val="007F5A2B"/>
    <w:rsid w:val="007F5E94"/>
    <w:rsid w:val="007F636E"/>
    <w:rsid w:val="007F6EFD"/>
    <w:rsid w:val="007F7607"/>
    <w:rsid w:val="0080022C"/>
    <w:rsid w:val="00800E11"/>
    <w:rsid w:val="008015B0"/>
    <w:rsid w:val="0080205D"/>
    <w:rsid w:val="008026D2"/>
    <w:rsid w:val="00802ACD"/>
    <w:rsid w:val="00804A8F"/>
    <w:rsid w:val="00805AE3"/>
    <w:rsid w:val="00805D2B"/>
    <w:rsid w:val="00805DBF"/>
    <w:rsid w:val="00807CDA"/>
    <w:rsid w:val="00807E97"/>
    <w:rsid w:val="0081025D"/>
    <w:rsid w:val="00810A6C"/>
    <w:rsid w:val="00810B78"/>
    <w:rsid w:val="0081246C"/>
    <w:rsid w:val="00812965"/>
    <w:rsid w:val="00812EA7"/>
    <w:rsid w:val="0081310F"/>
    <w:rsid w:val="0081317E"/>
    <w:rsid w:val="00814998"/>
    <w:rsid w:val="00814B3E"/>
    <w:rsid w:val="00814E66"/>
    <w:rsid w:val="0081586B"/>
    <w:rsid w:val="00817536"/>
    <w:rsid w:val="00817BBC"/>
    <w:rsid w:val="00820476"/>
    <w:rsid w:val="008204C6"/>
    <w:rsid w:val="00820F41"/>
    <w:rsid w:val="008210A5"/>
    <w:rsid w:val="008215DC"/>
    <w:rsid w:val="00821887"/>
    <w:rsid w:val="008230A4"/>
    <w:rsid w:val="00823BFD"/>
    <w:rsid w:val="008244B9"/>
    <w:rsid w:val="00824709"/>
    <w:rsid w:val="008254E0"/>
    <w:rsid w:val="00825746"/>
    <w:rsid w:val="008273B6"/>
    <w:rsid w:val="008278D7"/>
    <w:rsid w:val="00827A87"/>
    <w:rsid w:val="00827D54"/>
    <w:rsid w:val="00827D65"/>
    <w:rsid w:val="00827E4A"/>
    <w:rsid w:val="0083222D"/>
    <w:rsid w:val="008328EC"/>
    <w:rsid w:val="008329AC"/>
    <w:rsid w:val="008336CE"/>
    <w:rsid w:val="008350BB"/>
    <w:rsid w:val="00835B2C"/>
    <w:rsid w:val="00835BD3"/>
    <w:rsid w:val="0083761C"/>
    <w:rsid w:val="00837A48"/>
    <w:rsid w:val="00837A67"/>
    <w:rsid w:val="00837BFC"/>
    <w:rsid w:val="008404EB"/>
    <w:rsid w:val="0084227A"/>
    <w:rsid w:val="008440C8"/>
    <w:rsid w:val="00844556"/>
    <w:rsid w:val="00844592"/>
    <w:rsid w:val="00844B36"/>
    <w:rsid w:val="00845A56"/>
    <w:rsid w:val="008460D1"/>
    <w:rsid w:val="008462AB"/>
    <w:rsid w:val="0084632B"/>
    <w:rsid w:val="00846689"/>
    <w:rsid w:val="008474EF"/>
    <w:rsid w:val="0084752B"/>
    <w:rsid w:val="008479F2"/>
    <w:rsid w:val="00847EC4"/>
    <w:rsid w:val="0084B063"/>
    <w:rsid w:val="008505FA"/>
    <w:rsid w:val="00851138"/>
    <w:rsid w:val="00851781"/>
    <w:rsid w:val="00851A51"/>
    <w:rsid w:val="00851CBE"/>
    <w:rsid w:val="00851F0F"/>
    <w:rsid w:val="00852A8C"/>
    <w:rsid w:val="00852A98"/>
    <w:rsid w:val="0085445B"/>
    <w:rsid w:val="00855C80"/>
    <w:rsid w:val="00856545"/>
    <w:rsid w:val="00856C41"/>
    <w:rsid w:val="0085759E"/>
    <w:rsid w:val="00860D82"/>
    <w:rsid w:val="00861855"/>
    <w:rsid w:val="00862472"/>
    <w:rsid w:val="008626EA"/>
    <w:rsid w:val="00862A92"/>
    <w:rsid w:val="00862D6E"/>
    <w:rsid w:val="00863804"/>
    <w:rsid w:val="00863A14"/>
    <w:rsid w:val="00863A80"/>
    <w:rsid w:val="00864C09"/>
    <w:rsid w:val="0086528F"/>
    <w:rsid w:val="00865748"/>
    <w:rsid w:val="0086670C"/>
    <w:rsid w:val="008667E1"/>
    <w:rsid w:val="008667F0"/>
    <w:rsid w:val="00866963"/>
    <w:rsid w:val="00866B98"/>
    <w:rsid w:val="00866CF5"/>
    <w:rsid w:val="00870281"/>
    <w:rsid w:val="00870615"/>
    <w:rsid w:val="008711E7"/>
    <w:rsid w:val="00871CD1"/>
    <w:rsid w:val="00871DB1"/>
    <w:rsid w:val="008726BC"/>
    <w:rsid w:val="0087285C"/>
    <w:rsid w:val="0087328E"/>
    <w:rsid w:val="00874198"/>
    <w:rsid w:val="00874F76"/>
    <w:rsid w:val="00875734"/>
    <w:rsid w:val="008763A5"/>
    <w:rsid w:val="008765D5"/>
    <w:rsid w:val="00876793"/>
    <w:rsid w:val="00876BFE"/>
    <w:rsid w:val="00877E6E"/>
    <w:rsid w:val="0088046B"/>
    <w:rsid w:val="008804C8"/>
    <w:rsid w:val="008811D8"/>
    <w:rsid w:val="008812BB"/>
    <w:rsid w:val="00881325"/>
    <w:rsid w:val="00881D48"/>
    <w:rsid w:val="00881D49"/>
    <w:rsid w:val="00881F66"/>
    <w:rsid w:val="0088209B"/>
    <w:rsid w:val="00884DB7"/>
    <w:rsid w:val="00885293"/>
    <w:rsid w:val="0088552B"/>
    <w:rsid w:val="008855BA"/>
    <w:rsid w:val="00885625"/>
    <w:rsid w:val="00885ED5"/>
    <w:rsid w:val="008860A2"/>
    <w:rsid w:val="00886561"/>
    <w:rsid w:val="0088659A"/>
    <w:rsid w:val="0088665A"/>
    <w:rsid w:val="0088675A"/>
    <w:rsid w:val="0088685D"/>
    <w:rsid w:val="00886A01"/>
    <w:rsid w:val="008878A8"/>
    <w:rsid w:val="00891180"/>
    <w:rsid w:val="00893A77"/>
    <w:rsid w:val="00893C33"/>
    <w:rsid w:val="00893D41"/>
    <w:rsid w:val="00894C46"/>
    <w:rsid w:val="00894E50"/>
    <w:rsid w:val="00895BA6"/>
    <w:rsid w:val="00895CDC"/>
    <w:rsid w:val="008962EB"/>
    <w:rsid w:val="00896F28"/>
    <w:rsid w:val="00897156"/>
    <w:rsid w:val="00897C45"/>
    <w:rsid w:val="008A1C04"/>
    <w:rsid w:val="008A3034"/>
    <w:rsid w:val="008A3041"/>
    <w:rsid w:val="008A3E9B"/>
    <w:rsid w:val="008A495F"/>
    <w:rsid w:val="008A5CCF"/>
    <w:rsid w:val="008A5DB5"/>
    <w:rsid w:val="008A6DA9"/>
    <w:rsid w:val="008B0D21"/>
    <w:rsid w:val="008B1232"/>
    <w:rsid w:val="008B2B4F"/>
    <w:rsid w:val="008B2DB2"/>
    <w:rsid w:val="008B4419"/>
    <w:rsid w:val="008B47FB"/>
    <w:rsid w:val="008B52DD"/>
    <w:rsid w:val="008B5533"/>
    <w:rsid w:val="008B56D2"/>
    <w:rsid w:val="008B592E"/>
    <w:rsid w:val="008B5989"/>
    <w:rsid w:val="008B5992"/>
    <w:rsid w:val="008B5D36"/>
    <w:rsid w:val="008B5E7F"/>
    <w:rsid w:val="008B62C9"/>
    <w:rsid w:val="008B715D"/>
    <w:rsid w:val="008B71A9"/>
    <w:rsid w:val="008B722F"/>
    <w:rsid w:val="008B7C99"/>
    <w:rsid w:val="008C0441"/>
    <w:rsid w:val="008C0A34"/>
    <w:rsid w:val="008C0EFC"/>
    <w:rsid w:val="008C13C1"/>
    <w:rsid w:val="008C15CF"/>
    <w:rsid w:val="008C1DE4"/>
    <w:rsid w:val="008C2357"/>
    <w:rsid w:val="008C2B0C"/>
    <w:rsid w:val="008C3EC9"/>
    <w:rsid w:val="008C44F5"/>
    <w:rsid w:val="008C45E0"/>
    <w:rsid w:val="008C462E"/>
    <w:rsid w:val="008C4701"/>
    <w:rsid w:val="008C5393"/>
    <w:rsid w:val="008C55B5"/>
    <w:rsid w:val="008C57E8"/>
    <w:rsid w:val="008C5F22"/>
    <w:rsid w:val="008C5FAB"/>
    <w:rsid w:val="008C65C1"/>
    <w:rsid w:val="008C72A8"/>
    <w:rsid w:val="008C73A2"/>
    <w:rsid w:val="008D01FB"/>
    <w:rsid w:val="008D0988"/>
    <w:rsid w:val="008D0E8C"/>
    <w:rsid w:val="008D22DB"/>
    <w:rsid w:val="008D2B25"/>
    <w:rsid w:val="008D34CA"/>
    <w:rsid w:val="008D3513"/>
    <w:rsid w:val="008D363B"/>
    <w:rsid w:val="008D428E"/>
    <w:rsid w:val="008D4357"/>
    <w:rsid w:val="008D53CC"/>
    <w:rsid w:val="008D5600"/>
    <w:rsid w:val="008D6627"/>
    <w:rsid w:val="008D6AAB"/>
    <w:rsid w:val="008D6E36"/>
    <w:rsid w:val="008D6E75"/>
    <w:rsid w:val="008D760E"/>
    <w:rsid w:val="008D7A27"/>
    <w:rsid w:val="008E052A"/>
    <w:rsid w:val="008E0680"/>
    <w:rsid w:val="008E0FF4"/>
    <w:rsid w:val="008E1531"/>
    <w:rsid w:val="008E1A8B"/>
    <w:rsid w:val="008E3972"/>
    <w:rsid w:val="008E3A74"/>
    <w:rsid w:val="008E45D1"/>
    <w:rsid w:val="008E4808"/>
    <w:rsid w:val="008E5580"/>
    <w:rsid w:val="008E564E"/>
    <w:rsid w:val="008E5A90"/>
    <w:rsid w:val="008E6942"/>
    <w:rsid w:val="008E6EB5"/>
    <w:rsid w:val="008E7394"/>
    <w:rsid w:val="008E7631"/>
    <w:rsid w:val="008E7EA2"/>
    <w:rsid w:val="008F0AE9"/>
    <w:rsid w:val="008F0B46"/>
    <w:rsid w:val="008F0E1C"/>
    <w:rsid w:val="008F11DD"/>
    <w:rsid w:val="008F13CC"/>
    <w:rsid w:val="008F24F5"/>
    <w:rsid w:val="008F287E"/>
    <w:rsid w:val="008F2BE0"/>
    <w:rsid w:val="008F2F88"/>
    <w:rsid w:val="008F3A4A"/>
    <w:rsid w:val="008F3D4F"/>
    <w:rsid w:val="008F4754"/>
    <w:rsid w:val="008F49BC"/>
    <w:rsid w:val="008F5195"/>
    <w:rsid w:val="008F5B9A"/>
    <w:rsid w:val="008F6741"/>
    <w:rsid w:val="008F6773"/>
    <w:rsid w:val="008F677F"/>
    <w:rsid w:val="008F679D"/>
    <w:rsid w:val="008F7047"/>
    <w:rsid w:val="008F70B2"/>
    <w:rsid w:val="008F7192"/>
    <w:rsid w:val="008F7E47"/>
    <w:rsid w:val="009006D7"/>
    <w:rsid w:val="0090090E"/>
    <w:rsid w:val="00900EEE"/>
    <w:rsid w:val="00901996"/>
    <w:rsid w:val="00903034"/>
    <w:rsid w:val="0090316F"/>
    <w:rsid w:val="00903341"/>
    <w:rsid w:val="00903E11"/>
    <w:rsid w:val="009044F1"/>
    <w:rsid w:val="00904539"/>
    <w:rsid w:val="00905B19"/>
    <w:rsid w:val="00905F41"/>
    <w:rsid w:val="00906276"/>
    <w:rsid w:val="00906967"/>
    <w:rsid w:val="00906BBD"/>
    <w:rsid w:val="00907152"/>
    <w:rsid w:val="0090730A"/>
    <w:rsid w:val="00910E54"/>
    <w:rsid w:val="00912417"/>
    <w:rsid w:val="009124D2"/>
    <w:rsid w:val="00914095"/>
    <w:rsid w:val="0091473F"/>
    <w:rsid w:val="00915572"/>
    <w:rsid w:val="00915B65"/>
    <w:rsid w:val="00916382"/>
    <w:rsid w:val="009170AA"/>
    <w:rsid w:val="00917451"/>
    <w:rsid w:val="00917A08"/>
    <w:rsid w:val="00917AAE"/>
    <w:rsid w:val="00917CB7"/>
    <w:rsid w:val="00917EC4"/>
    <w:rsid w:val="009206B2"/>
    <w:rsid w:val="00920AEB"/>
    <w:rsid w:val="0092163E"/>
    <w:rsid w:val="00921704"/>
    <w:rsid w:val="0092177E"/>
    <w:rsid w:val="00921958"/>
    <w:rsid w:val="009219F0"/>
    <w:rsid w:val="009223BF"/>
    <w:rsid w:val="0092277B"/>
    <w:rsid w:val="009230DE"/>
    <w:rsid w:val="00923416"/>
    <w:rsid w:val="009237C0"/>
    <w:rsid w:val="009242B2"/>
    <w:rsid w:val="00924E0D"/>
    <w:rsid w:val="00924F18"/>
    <w:rsid w:val="00925C6F"/>
    <w:rsid w:val="00925DD8"/>
    <w:rsid w:val="009260D0"/>
    <w:rsid w:val="009264D8"/>
    <w:rsid w:val="00926551"/>
    <w:rsid w:val="00926C8E"/>
    <w:rsid w:val="00930240"/>
    <w:rsid w:val="00930D7D"/>
    <w:rsid w:val="00931273"/>
    <w:rsid w:val="0093180D"/>
    <w:rsid w:val="00931E92"/>
    <w:rsid w:val="00933525"/>
    <w:rsid w:val="009336A9"/>
    <w:rsid w:val="0093632C"/>
    <w:rsid w:val="009367E9"/>
    <w:rsid w:val="00937BB4"/>
    <w:rsid w:val="00937CFD"/>
    <w:rsid w:val="00937D02"/>
    <w:rsid w:val="00937F90"/>
    <w:rsid w:val="009401A6"/>
    <w:rsid w:val="009402EF"/>
    <w:rsid w:val="009405F9"/>
    <w:rsid w:val="00940C0A"/>
    <w:rsid w:val="00941020"/>
    <w:rsid w:val="00941C81"/>
    <w:rsid w:val="00942455"/>
    <w:rsid w:val="0094300F"/>
    <w:rsid w:val="0094314E"/>
    <w:rsid w:val="009436E0"/>
    <w:rsid w:val="00943BB6"/>
    <w:rsid w:val="009442A0"/>
    <w:rsid w:val="00944415"/>
    <w:rsid w:val="00945B13"/>
    <w:rsid w:val="00946390"/>
    <w:rsid w:val="009466B8"/>
    <w:rsid w:val="00947780"/>
    <w:rsid w:val="0094795E"/>
    <w:rsid w:val="00947BB5"/>
    <w:rsid w:val="00947FBD"/>
    <w:rsid w:val="00950FF1"/>
    <w:rsid w:val="0095226C"/>
    <w:rsid w:val="009527E9"/>
    <w:rsid w:val="00952D79"/>
    <w:rsid w:val="00952E25"/>
    <w:rsid w:val="00953497"/>
    <w:rsid w:val="0095473F"/>
    <w:rsid w:val="009556DF"/>
    <w:rsid w:val="00955A9A"/>
    <w:rsid w:val="009563C6"/>
    <w:rsid w:val="00956762"/>
    <w:rsid w:val="0095693F"/>
    <w:rsid w:val="00956D33"/>
    <w:rsid w:val="00957183"/>
    <w:rsid w:val="00957371"/>
    <w:rsid w:val="0095738C"/>
    <w:rsid w:val="00957489"/>
    <w:rsid w:val="0095785D"/>
    <w:rsid w:val="00960150"/>
    <w:rsid w:val="0096068C"/>
    <w:rsid w:val="009606A0"/>
    <w:rsid w:val="00963912"/>
    <w:rsid w:val="00963A97"/>
    <w:rsid w:val="00965179"/>
    <w:rsid w:val="009659FB"/>
    <w:rsid w:val="00965B86"/>
    <w:rsid w:val="00965FBC"/>
    <w:rsid w:val="00965FE6"/>
    <w:rsid w:val="00966172"/>
    <w:rsid w:val="00967589"/>
    <w:rsid w:val="00967D51"/>
    <w:rsid w:val="009716E5"/>
    <w:rsid w:val="0097191B"/>
    <w:rsid w:val="00972469"/>
    <w:rsid w:val="009728C5"/>
    <w:rsid w:val="00973B90"/>
    <w:rsid w:val="00973DD3"/>
    <w:rsid w:val="00973F31"/>
    <w:rsid w:val="0097592D"/>
    <w:rsid w:val="00975B47"/>
    <w:rsid w:val="00975D2D"/>
    <w:rsid w:val="00977899"/>
    <w:rsid w:val="009813EE"/>
    <w:rsid w:val="00981773"/>
    <w:rsid w:val="009824E9"/>
    <w:rsid w:val="00982B50"/>
    <w:rsid w:val="00982EBF"/>
    <w:rsid w:val="0098347E"/>
    <w:rsid w:val="00983758"/>
    <w:rsid w:val="009837FE"/>
    <w:rsid w:val="00983F2E"/>
    <w:rsid w:val="00984089"/>
    <w:rsid w:val="009854B2"/>
    <w:rsid w:val="00985D55"/>
    <w:rsid w:val="00986510"/>
    <w:rsid w:val="00986707"/>
    <w:rsid w:val="00986C63"/>
    <w:rsid w:val="00987225"/>
    <w:rsid w:val="0098738B"/>
    <w:rsid w:val="009873D3"/>
    <w:rsid w:val="00987AE2"/>
    <w:rsid w:val="00987EA7"/>
    <w:rsid w:val="00990688"/>
    <w:rsid w:val="00991139"/>
    <w:rsid w:val="00992457"/>
    <w:rsid w:val="009927EC"/>
    <w:rsid w:val="00993225"/>
    <w:rsid w:val="00993943"/>
    <w:rsid w:val="00993AB2"/>
    <w:rsid w:val="00993DB0"/>
    <w:rsid w:val="009945D1"/>
    <w:rsid w:val="00994B0A"/>
    <w:rsid w:val="00995052"/>
    <w:rsid w:val="009952F5"/>
    <w:rsid w:val="00995602"/>
    <w:rsid w:val="00995704"/>
    <w:rsid w:val="0099659C"/>
    <w:rsid w:val="00997949"/>
    <w:rsid w:val="00997B21"/>
    <w:rsid w:val="00997F8D"/>
    <w:rsid w:val="009A03EB"/>
    <w:rsid w:val="009A0633"/>
    <w:rsid w:val="009A093A"/>
    <w:rsid w:val="009A09D7"/>
    <w:rsid w:val="009A0DF8"/>
    <w:rsid w:val="009A18FA"/>
    <w:rsid w:val="009A1B85"/>
    <w:rsid w:val="009A1D00"/>
    <w:rsid w:val="009A1F31"/>
    <w:rsid w:val="009A269F"/>
    <w:rsid w:val="009A2C67"/>
    <w:rsid w:val="009A2C81"/>
    <w:rsid w:val="009A38E8"/>
    <w:rsid w:val="009A390F"/>
    <w:rsid w:val="009A4751"/>
    <w:rsid w:val="009A492E"/>
    <w:rsid w:val="009A4B3C"/>
    <w:rsid w:val="009A4DB9"/>
    <w:rsid w:val="009A5BEC"/>
    <w:rsid w:val="009A606D"/>
    <w:rsid w:val="009A6DE3"/>
    <w:rsid w:val="009B061D"/>
    <w:rsid w:val="009B1789"/>
    <w:rsid w:val="009B1DB4"/>
    <w:rsid w:val="009B23D5"/>
    <w:rsid w:val="009B2BC5"/>
    <w:rsid w:val="009B335C"/>
    <w:rsid w:val="009B3A95"/>
    <w:rsid w:val="009B3D31"/>
    <w:rsid w:val="009B4441"/>
    <w:rsid w:val="009B55BB"/>
    <w:rsid w:val="009B5FC8"/>
    <w:rsid w:val="009B6E93"/>
    <w:rsid w:val="009B78E1"/>
    <w:rsid w:val="009C0016"/>
    <w:rsid w:val="009C0129"/>
    <w:rsid w:val="009C066D"/>
    <w:rsid w:val="009C13EA"/>
    <w:rsid w:val="009C1DB8"/>
    <w:rsid w:val="009C214C"/>
    <w:rsid w:val="009C3348"/>
    <w:rsid w:val="009C335D"/>
    <w:rsid w:val="009C387D"/>
    <w:rsid w:val="009C3FBE"/>
    <w:rsid w:val="009C4003"/>
    <w:rsid w:val="009C45B8"/>
    <w:rsid w:val="009C4A6F"/>
    <w:rsid w:val="009C4DE4"/>
    <w:rsid w:val="009C6DB3"/>
    <w:rsid w:val="009C75DA"/>
    <w:rsid w:val="009C7823"/>
    <w:rsid w:val="009C7851"/>
    <w:rsid w:val="009C7EA6"/>
    <w:rsid w:val="009D001E"/>
    <w:rsid w:val="009D020C"/>
    <w:rsid w:val="009D08FD"/>
    <w:rsid w:val="009D1493"/>
    <w:rsid w:val="009D1710"/>
    <w:rsid w:val="009D2288"/>
    <w:rsid w:val="009D27D1"/>
    <w:rsid w:val="009D2AF3"/>
    <w:rsid w:val="009D2F63"/>
    <w:rsid w:val="009D375B"/>
    <w:rsid w:val="009D5136"/>
    <w:rsid w:val="009D540E"/>
    <w:rsid w:val="009D5775"/>
    <w:rsid w:val="009D5BE0"/>
    <w:rsid w:val="009D601C"/>
    <w:rsid w:val="009D6D7C"/>
    <w:rsid w:val="009D7D75"/>
    <w:rsid w:val="009D7E21"/>
    <w:rsid w:val="009E01AE"/>
    <w:rsid w:val="009E043E"/>
    <w:rsid w:val="009E0ACE"/>
    <w:rsid w:val="009E1CA1"/>
    <w:rsid w:val="009E2B5E"/>
    <w:rsid w:val="009E4A1D"/>
    <w:rsid w:val="009E5618"/>
    <w:rsid w:val="009E5947"/>
    <w:rsid w:val="009E5DDE"/>
    <w:rsid w:val="009E6173"/>
    <w:rsid w:val="009E7B03"/>
    <w:rsid w:val="009F0314"/>
    <w:rsid w:val="009F0840"/>
    <w:rsid w:val="009F1C78"/>
    <w:rsid w:val="009F2BA5"/>
    <w:rsid w:val="009F42B5"/>
    <w:rsid w:val="009F599C"/>
    <w:rsid w:val="009F6612"/>
    <w:rsid w:val="009F6BF3"/>
    <w:rsid w:val="009F7092"/>
    <w:rsid w:val="009F7727"/>
    <w:rsid w:val="009F7936"/>
    <w:rsid w:val="009F7C68"/>
    <w:rsid w:val="00A00549"/>
    <w:rsid w:val="00A00E25"/>
    <w:rsid w:val="00A017EA"/>
    <w:rsid w:val="00A02529"/>
    <w:rsid w:val="00A0278E"/>
    <w:rsid w:val="00A03DC7"/>
    <w:rsid w:val="00A0402B"/>
    <w:rsid w:val="00A044E4"/>
    <w:rsid w:val="00A050F6"/>
    <w:rsid w:val="00A052F5"/>
    <w:rsid w:val="00A054D0"/>
    <w:rsid w:val="00A076E3"/>
    <w:rsid w:val="00A07A03"/>
    <w:rsid w:val="00A07DC9"/>
    <w:rsid w:val="00A10056"/>
    <w:rsid w:val="00A112C9"/>
    <w:rsid w:val="00A11DB7"/>
    <w:rsid w:val="00A125F5"/>
    <w:rsid w:val="00A12DC0"/>
    <w:rsid w:val="00A138D8"/>
    <w:rsid w:val="00A14CED"/>
    <w:rsid w:val="00A14E65"/>
    <w:rsid w:val="00A155F4"/>
    <w:rsid w:val="00A15BFF"/>
    <w:rsid w:val="00A17B5A"/>
    <w:rsid w:val="00A17E48"/>
    <w:rsid w:val="00A204DE"/>
    <w:rsid w:val="00A209A4"/>
    <w:rsid w:val="00A21012"/>
    <w:rsid w:val="00A2109B"/>
    <w:rsid w:val="00A211FF"/>
    <w:rsid w:val="00A21AC0"/>
    <w:rsid w:val="00A21BFA"/>
    <w:rsid w:val="00A21F1C"/>
    <w:rsid w:val="00A2214E"/>
    <w:rsid w:val="00A22300"/>
    <w:rsid w:val="00A22929"/>
    <w:rsid w:val="00A23D70"/>
    <w:rsid w:val="00A23F5B"/>
    <w:rsid w:val="00A266D7"/>
    <w:rsid w:val="00A27606"/>
    <w:rsid w:val="00A27B21"/>
    <w:rsid w:val="00A30F83"/>
    <w:rsid w:val="00A311D4"/>
    <w:rsid w:val="00A313D3"/>
    <w:rsid w:val="00A31532"/>
    <w:rsid w:val="00A3201A"/>
    <w:rsid w:val="00A3209B"/>
    <w:rsid w:val="00A335AD"/>
    <w:rsid w:val="00A33E0A"/>
    <w:rsid w:val="00A34100"/>
    <w:rsid w:val="00A3420B"/>
    <w:rsid w:val="00A34E6A"/>
    <w:rsid w:val="00A34F3F"/>
    <w:rsid w:val="00A34FF6"/>
    <w:rsid w:val="00A36274"/>
    <w:rsid w:val="00A3699D"/>
    <w:rsid w:val="00A36DAB"/>
    <w:rsid w:val="00A36F2F"/>
    <w:rsid w:val="00A40AEF"/>
    <w:rsid w:val="00A415F6"/>
    <w:rsid w:val="00A41DAD"/>
    <w:rsid w:val="00A429AF"/>
    <w:rsid w:val="00A433F6"/>
    <w:rsid w:val="00A43EE7"/>
    <w:rsid w:val="00A443E9"/>
    <w:rsid w:val="00A445C3"/>
    <w:rsid w:val="00A44DB0"/>
    <w:rsid w:val="00A4511E"/>
    <w:rsid w:val="00A4662A"/>
    <w:rsid w:val="00A46A0C"/>
    <w:rsid w:val="00A50DA8"/>
    <w:rsid w:val="00A523DE"/>
    <w:rsid w:val="00A52579"/>
    <w:rsid w:val="00A52A71"/>
    <w:rsid w:val="00A52C0E"/>
    <w:rsid w:val="00A557DF"/>
    <w:rsid w:val="00A56191"/>
    <w:rsid w:val="00A56459"/>
    <w:rsid w:val="00A56A8D"/>
    <w:rsid w:val="00A56D41"/>
    <w:rsid w:val="00A57A5C"/>
    <w:rsid w:val="00A57A71"/>
    <w:rsid w:val="00A57AEB"/>
    <w:rsid w:val="00A60CFE"/>
    <w:rsid w:val="00A6252D"/>
    <w:rsid w:val="00A628DA"/>
    <w:rsid w:val="00A631AB"/>
    <w:rsid w:val="00A6340E"/>
    <w:rsid w:val="00A63DA3"/>
    <w:rsid w:val="00A64226"/>
    <w:rsid w:val="00A64AEE"/>
    <w:rsid w:val="00A6574C"/>
    <w:rsid w:val="00A66CF2"/>
    <w:rsid w:val="00A67023"/>
    <w:rsid w:val="00A670FC"/>
    <w:rsid w:val="00A672F7"/>
    <w:rsid w:val="00A67683"/>
    <w:rsid w:val="00A67DAE"/>
    <w:rsid w:val="00A67EAB"/>
    <w:rsid w:val="00A67F16"/>
    <w:rsid w:val="00A70A02"/>
    <w:rsid w:val="00A70F55"/>
    <w:rsid w:val="00A71147"/>
    <w:rsid w:val="00A715D4"/>
    <w:rsid w:val="00A7191C"/>
    <w:rsid w:val="00A71E41"/>
    <w:rsid w:val="00A72A85"/>
    <w:rsid w:val="00A72BEF"/>
    <w:rsid w:val="00A730F4"/>
    <w:rsid w:val="00A73344"/>
    <w:rsid w:val="00A73CA1"/>
    <w:rsid w:val="00A73CBF"/>
    <w:rsid w:val="00A7412A"/>
    <w:rsid w:val="00A757CA"/>
    <w:rsid w:val="00A75C3E"/>
    <w:rsid w:val="00A76D17"/>
    <w:rsid w:val="00A7712C"/>
    <w:rsid w:val="00A77DAC"/>
    <w:rsid w:val="00A80575"/>
    <w:rsid w:val="00A8085C"/>
    <w:rsid w:val="00A808A9"/>
    <w:rsid w:val="00A80D37"/>
    <w:rsid w:val="00A80ED4"/>
    <w:rsid w:val="00A819A4"/>
    <w:rsid w:val="00A82149"/>
    <w:rsid w:val="00A82D95"/>
    <w:rsid w:val="00A83114"/>
    <w:rsid w:val="00A83539"/>
    <w:rsid w:val="00A8394C"/>
    <w:rsid w:val="00A839F5"/>
    <w:rsid w:val="00A83BAA"/>
    <w:rsid w:val="00A84887"/>
    <w:rsid w:val="00A84FB2"/>
    <w:rsid w:val="00A85145"/>
    <w:rsid w:val="00A852A7"/>
    <w:rsid w:val="00A852AA"/>
    <w:rsid w:val="00A85ADF"/>
    <w:rsid w:val="00A85DBC"/>
    <w:rsid w:val="00A865BD"/>
    <w:rsid w:val="00A876B2"/>
    <w:rsid w:val="00A90736"/>
    <w:rsid w:val="00A90C64"/>
    <w:rsid w:val="00A9176A"/>
    <w:rsid w:val="00A931BF"/>
    <w:rsid w:val="00A93CFC"/>
    <w:rsid w:val="00A94029"/>
    <w:rsid w:val="00A95808"/>
    <w:rsid w:val="00A959A1"/>
    <w:rsid w:val="00A96FDE"/>
    <w:rsid w:val="00A976D2"/>
    <w:rsid w:val="00AA0309"/>
    <w:rsid w:val="00AA256B"/>
    <w:rsid w:val="00AA2BC1"/>
    <w:rsid w:val="00AA3233"/>
    <w:rsid w:val="00AA33E8"/>
    <w:rsid w:val="00AA41C0"/>
    <w:rsid w:val="00AA44C7"/>
    <w:rsid w:val="00AA485F"/>
    <w:rsid w:val="00AA48E3"/>
    <w:rsid w:val="00AA4D9A"/>
    <w:rsid w:val="00AA5867"/>
    <w:rsid w:val="00AA6058"/>
    <w:rsid w:val="00AA6C59"/>
    <w:rsid w:val="00AA70A1"/>
    <w:rsid w:val="00AA7D2A"/>
    <w:rsid w:val="00AA7E91"/>
    <w:rsid w:val="00AB193C"/>
    <w:rsid w:val="00AB1DD4"/>
    <w:rsid w:val="00AB2759"/>
    <w:rsid w:val="00AB32FD"/>
    <w:rsid w:val="00AB4AD3"/>
    <w:rsid w:val="00AB5030"/>
    <w:rsid w:val="00AB550B"/>
    <w:rsid w:val="00AB5D96"/>
    <w:rsid w:val="00AB61E5"/>
    <w:rsid w:val="00AB66E1"/>
    <w:rsid w:val="00AB6B82"/>
    <w:rsid w:val="00AB76A7"/>
    <w:rsid w:val="00AB7BAE"/>
    <w:rsid w:val="00AB7D04"/>
    <w:rsid w:val="00AC1D5B"/>
    <w:rsid w:val="00AC1FD8"/>
    <w:rsid w:val="00AC2562"/>
    <w:rsid w:val="00AC33B8"/>
    <w:rsid w:val="00AC3F33"/>
    <w:rsid w:val="00AC47A9"/>
    <w:rsid w:val="00AC4DA8"/>
    <w:rsid w:val="00AC5030"/>
    <w:rsid w:val="00AC5DEE"/>
    <w:rsid w:val="00AC61EF"/>
    <w:rsid w:val="00AC7D91"/>
    <w:rsid w:val="00AD05DC"/>
    <w:rsid w:val="00AD0845"/>
    <w:rsid w:val="00AD18C7"/>
    <w:rsid w:val="00AD1BBB"/>
    <w:rsid w:val="00AD2236"/>
    <w:rsid w:val="00AD345D"/>
    <w:rsid w:val="00AD377D"/>
    <w:rsid w:val="00AD3FB4"/>
    <w:rsid w:val="00AD4280"/>
    <w:rsid w:val="00AD4834"/>
    <w:rsid w:val="00AD5952"/>
    <w:rsid w:val="00AD5A81"/>
    <w:rsid w:val="00AD5C79"/>
    <w:rsid w:val="00AD6388"/>
    <w:rsid w:val="00AD6A1E"/>
    <w:rsid w:val="00AD6C95"/>
    <w:rsid w:val="00AD6E28"/>
    <w:rsid w:val="00AD7293"/>
    <w:rsid w:val="00AD75D7"/>
    <w:rsid w:val="00AD76A6"/>
    <w:rsid w:val="00AD77A5"/>
    <w:rsid w:val="00AD7870"/>
    <w:rsid w:val="00AE02A9"/>
    <w:rsid w:val="00AE0574"/>
    <w:rsid w:val="00AE0E5D"/>
    <w:rsid w:val="00AE1441"/>
    <w:rsid w:val="00AE172B"/>
    <w:rsid w:val="00AE17FD"/>
    <w:rsid w:val="00AE2842"/>
    <w:rsid w:val="00AE2933"/>
    <w:rsid w:val="00AE2945"/>
    <w:rsid w:val="00AE29C3"/>
    <w:rsid w:val="00AE2D90"/>
    <w:rsid w:val="00AE3711"/>
    <w:rsid w:val="00AE37A4"/>
    <w:rsid w:val="00AE5F84"/>
    <w:rsid w:val="00AE6221"/>
    <w:rsid w:val="00AE6223"/>
    <w:rsid w:val="00AE6280"/>
    <w:rsid w:val="00AE6CCC"/>
    <w:rsid w:val="00AF05AF"/>
    <w:rsid w:val="00AF0C66"/>
    <w:rsid w:val="00AF0D48"/>
    <w:rsid w:val="00AF1B54"/>
    <w:rsid w:val="00AF2027"/>
    <w:rsid w:val="00AF2180"/>
    <w:rsid w:val="00AF287A"/>
    <w:rsid w:val="00AF2CF1"/>
    <w:rsid w:val="00AF2F4F"/>
    <w:rsid w:val="00AF3727"/>
    <w:rsid w:val="00AF4124"/>
    <w:rsid w:val="00AF461E"/>
    <w:rsid w:val="00AF5225"/>
    <w:rsid w:val="00AF5373"/>
    <w:rsid w:val="00AF53E2"/>
    <w:rsid w:val="00AF5776"/>
    <w:rsid w:val="00AF5CD5"/>
    <w:rsid w:val="00AF628D"/>
    <w:rsid w:val="00AF6376"/>
    <w:rsid w:val="00AF6F29"/>
    <w:rsid w:val="00AF7169"/>
    <w:rsid w:val="00AF727D"/>
    <w:rsid w:val="00AF7AC1"/>
    <w:rsid w:val="00AF7B8A"/>
    <w:rsid w:val="00B0042C"/>
    <w:rsid w:val="00B0068B"/>
    <w:rsid w:val="00B009A2"/>
    <w:rsid w:val="00B02913"/>
    <w:rsid w:val="00B029A8"/>
    <w:rsid w:val="00B02FB0"/>
    <w:rsid w:val="00B0408F"/>
    <w:rsid w:val="00B04B84"/>
    <w:rsid w:val="00B05076"/>
    <w:rsid w:val="00B052DC"/>
    <w:rsid w:val="00B05A0E"/>
    <w:rsid w:val="00B06A3D"/>
    <w:rsid w:val="00B07D1E"/>
    <w:rsid w:val="00B07E4A"/>
    <w:rsid w:val="00B10686"/>
    <w:rsid w:val="00B10DEF"/>
    <w:rsid w:val="00B1111F"/>
    <w:rsid w:val="00B11F9C"/>
    <w:rsid w:val="00B1288B"/>
    <w:rsid w:val="00B12D00"/>
    <w:rsid w:val="00B141F8"/>
    <w:rsid w:val="00B152E4"/>
    <w:rsid w:val="00B15450"/>
    <w:rsid w:val="00B16FC7"/>
    <w:rsid w:val="00B17227"/>
    <w:rsid w:val="00B174DB"/>
    <w:rsid w:val="00B17BAF"/>
    <w:rsid w:val="00B208B5"/>
    <w:rsid w:val="00B20E02"/>
    <w:rsid w:val="00B21211"/>
    <w:rsid w:val="00B21CDE"/>
    <w:rsid w:val="00B222DA"/>
    <w:rsid w:val="00B230F4"/>
    <w:rsid w:val="00B239DD"/>
    <w:rsid w:val="00B250C3"/>
    <w:rsid w:val="00B25207"/>
    <w:rsid w:val="00B25884"/>
    <w:rsid w:val="00B262FC"/>
    <w:rsid w:val="00B2730A"/>
    <w:rsid w:val="00B3105C"/>
    <w:rsid w:val="00B31792"/>
    <w:rsid w:val="00B3245E"/>
    <w:rsid w:val="00B32737"/>
    <w:rsid w:val="00B32BFC"/>
    <w:rsid w:val="00B3313F"/>
    <w:rsid w:val="00B333C0"/>
    <w:rsid w:val="00B3349F"/>
    <w:rsid w:val="00B33507"/>
    <w:rsid w:val="00B345D0"/>
    <w:rsid w:val="00B34FAD"/>
    <w:rsid w:val="00B3581A"/>
    <w:rsid w:val="00B35ADC"/>
    <w:rsid w:val="00B35DC7"/>
    <w:rsid w:val="00B3623D"/>
    <w:rsid w:val="00B36A7C"/>
    <w:rsid w:val="00B36B86"/>
    <w:rsid w:val="00B37242"/>
    <w:rsid w:val="00B37350"/>
    <w:rsid w:val="00B37601"/>
    <w:rsid w:val="00B40839"/>
    <w:rsid w:val="00B40BF6"/>
    <w:rsid w:val="00B40C21"/>
    <w:rsid w:val="00B40CE8"/>
    <w:rsid w:val="00B40D26"/>
    <w:rsid w:val="00B41A94"/>
    <w:rsid w:val="00B41EA6"/>
    <w:rsid w:val="00B4218F"/>
    <w:rsid w:val="00B44726"/>
    <w:rsid w:val="00B44C0F"/>
    <w:rsid w:val="00B452C5"/>
    <w:rsid w:val="00B45AED"/>
    <w:rsid w:val="00B46DC5"/>
    <w:rsid w:val="00B47121"/>
    <w:rsid w:val="00B4759F"/>
    <w:rsid w:val="00B479EA"/>
    <w:rsid w:val="00B5234A"/>
    <w:rsid w:val="00B53A80"/>
    <w:rsid w:val="00B55299"/>
    <w:rsid w:val="00B55E87"/>
    <w:rsid w:val="00B561A3"/>
    <w:rsid w:val="00B561BA"/>
    <w:rsid w:val="00B56BAA"/>
    <w:rsid w:val="00B61140"/>
    <w:rsid w:val="00B61303"/>
    <w:rsid w:val="00B61325"/>
    <w:rsid w:val="00B61C59"/>
    <w:rsid w:val="00B621B2"/>
    <w:rsid w:val="00B62A8D"/>
    <w:rsid w:val="00B62B9E"/>
    <w:rsid w:val="00B6355E"/>
    <w:rsid w:val="00B63912"/>
    <w:rsid w:val="00B64402"/>
    <w:rsid w:val="00B66472"/>
    <w:rsid w:val="00B664F9"/>
    <w:rsid w:val="00B66606"/>
    <w:rsid w:val="00B677D4"/>
    <w:rsid w:val="00B6785F"/>
    <w:rsid w:val="00B67BD8"/>
    <w:rsid w:val="00B71CBE"/>
    <w:rsid w:val="00B735F3"/>
    <w:rsid w:val="00B73E77"/>
    <w:rsid w:val="00B747DF"/>
    <w:rsid w:val="00B75560"/>
    <w:rsid w:val="00B757C0"/>
    <w:rsid w:val="00B760E8"/>
    <w:rsid w:val="00B77F26"/>
    <w:rsid w:val="00B80F07"/>
    <w:rsid w:val="00B814F8"/>
    <w:rsid w:val="00B82F24"/>
    <w:rsid w:val="00B8365B"/>
    <w:rsid w:val="00B83889"/>
    <w:rsid w:val="00B83AC4"/>
    <w:rsid w:val="00B83C4E"/>
    <w:rsid w:val="00B83DFB"/>
    <w:rsid w:val="00B84415"/>
    <w:rsid w:val="00B84732"/>
    <w:rsid w:val="00B84FC1"/>
    <w:rsid w:val="00B85C30"/>
    <w:rsid w:val="00B85D41"/>
    <w:rsid w:val="00B869E5"/>
    <w:rsid w:val="00B90432"/>
    <w:rsid w:val="00B90FC7"/>
    <w:rsid w:val="00B92277"/>
    <w:rsid w:val="00B923C1"/>
    <w:rsid w:val="00B923C2"/>
    <w:rsid w:val="00B93F92"/>
    <w:rsid w:val="00B94079"/>
    <w:rsid w:val="00B941BF"/>
    <w:rsid w:val="00B943E9"/>
    <w:rsid w:val="00B95102"/>
    <w:rsid w:val="00B953DD"/>
    <w:rsid w:val="00B95756"/>
    <w:rsid w:val="00B971A5"/>
    <w:rsid w:val="00B971EB"/>
    <w:rsid w:val="00B97B1A"/>
    <w:rsid w:val="00B97B1D"/>
    <w:rsid w:val="00BA00AD"/>
    <w:rsid w:val="00BA00C5"/>
    <w:rsid w:val="00BA034F"/>
    <w:rsid w:val="00BA036B"/>
    <w:rsid w:val="00BA05B1"/>
    <w:rsid w:val="00BA07F3"/>
    <w:rsid w:val="00BA089A"/>
    <w:rsid w:val="00BA1190"/>
    <w:rsid w:val="00BA205F"/>
    <w:rsid w:val="00BA2938"/>
    <w:rsid w:val="00BA350D"/>
    <w:rsid w:val="00BA35C0"/>
    <w:rsid w:val="00BA3A9C"/>
    <w:rsid w:val="00BA4315"/>
    <w:rsid w:val="00BA4EC9"/>
    <w:rsid w:val="00BA67BB"/>
    <w:rsid w:val="00BA6956"/>
    <w:rsid w:val="00BA6D56"/>
    <w:rsid w:val="00BA7642"/>
    <w:rsid w:val="00BA7A25"/>
    <w:rsid w:val="00BA7D49"/>
    <w:rsid w:val="00BB0077"/>
    <w:rsid w:val="00BB0202"/>
    <w:rsid w:val="00BB02F3"/>
    <w:rsid w:val="00BB03C9"/>
    <w:rsid w:val="00BB05E5"/>
    <w:rsid w:val="00BB13FE"/>
    <w:rsid w:val="00BB14FC"/>
    <w:rsid w:val="00BB1597"/>
    <w:rsid w:val="00BB260F"/>
    <w:rsid w:val="00BB271D"/>
    <w:rsid w:val="00BB31EB"/>
    <w:rsid w:val="00BB3442"/>
    <w:rsid w:val="00BB36D3"/>
    <w:rsid w:val="00BB37D9"/>
    <w:rsid w:val="00BB4556"/>
    <w:rsid w:val="00BB58F7"/>
    <w:rsid w:val="00BB5F11"/>
    <w:rsid w:val="00BB62A8"/>
    <w:rsid w:val="00BB6645"/>
    <w:rsid w:val="00BB6934"/>
    <w:rsid w:val="00BB6DD5"/>
    <w:rsid w:val="00BB74EA"/>
    <w:rsid w:val="00BC0150"/>
    <w:rsid w:val="00BC070B"/>
    <w:rsid w:val="00BC0C64"/>
    <w:rsid w:val="00BC25A4"/>
    <w:rsid w:val="00BC2A47"/>
    <w:rsid w:val="00BC2CE3"/>
    <w:rsid w:val="00BC2E47"/>
    <w:rsid w:val="00BC30C5"/>
    <w:rsid w:val="00BC5851"/>
    <w:rsid w:val="00BC5D03"/>
    <w:rsid w:val="00BC6FED"/>
    <w:rsid w:val="00BC7120"/>
    <w:rsid w:val="00BC7712"/>
    <w:rsid w:val="00BC7750"/>
    <w:rsid w:val="00BC79D7"/>
    <w:rsid w:val="00BD07D3"/>
    <w:rsid w:val="00BD0DB8"/>
    <w:rsid w:val="00BD0EFE"/>
    <w:rsid w:val="00BD1575"/>
    <w:rsid w:val="00BD1E76"/>
    <w:rsid w:val="00BD290C"/>
    <w:rsid w:val="00BD3218"/>
    <w:rsid w:val="00BD3266"/>
    <w:rsid w:val="00BD3EE8"/>
    <w:rsid w:val="00BD5CE2"/>
    <w:rsid w:val="00BD7394"/>
    <w:rsid w:val="00BD77E6"/>
    <w:rsid w:val="00BE0099"/>
    <w:rsid w:val="00BE0670"/>
    <w:rsid w:val="00BE088F"/>
    <w:rsid w:val="00BE1411"/>
    <w:rsid w:val="00BE169B"/>
    <w:rsid w:val="00BE16D9"/>
    <w:rsid w:val="00BE1714"/>
    <w:rsid w:val="00BE174F"/>
    <w:rsid w:val="00BE2258"/>
    <w:rsid w:val="00BE259E"/>
    <w:rsid w:val="00BE3AF8"/>
    <w:rsid w:val="00BE4A8A"/>
    <w:rsid w:val="00BE5140"/>
    <w:rsid w:val="00BE575E"/>
    <w:rsid w:val="00BE57BF"/>
    <w:rsid w:val="00BE5A39"/>
    <w:rsid w:val="00BE6357"/>
    <w:rsid w:val="00BE638E"/>
    <w:rsid w:val="00BE6974"/>
    <w:rsid w:val="00BE6A96"/>
    <w:rsid w:val="00BE7187"/>
    <w:rsid w:val="00BE7FEA"/>
    <w:rsid w:val="00BF0CC9"/>
    <w:rsid w:val="00BF0DCC"/>
    <w:rsid w:val="00BF172B"/>
    <w:rsid w:val="00BF268E"/>
    <w:rsid w:val="00BF2882"/>
    <w:rsid w:val="00BF407E"/>
    <w:rsid w:val="00BF4538"/>
    <w:rsid w:val="00BF460E"/>
    <w:rsid w:val="00BF4BBD"/>
    <w:rsid w:val="00BF5877"/>
    <w:rsid w:val="00BF62F1"/>
    <w:rsid w:val="00BF6BD2"/>
    <w:rsid w:val="00BF75CA"/>
    <w:rsid w:val="00BF760C"/>
    <w:rsid w:val="00BF77A2"/>
    <w:rsid w:val="00BF7AB1"/>
    <w:rsid w:val="00BF7ED8"/>
    <w:rsid w:val="00C01535"/>
    <w:rsid w:val="00C0192C"/>
    <w:rsid w:val="00C0209E"/>
    <w:rsid w:val="00C02487"/>
    <w:rsid w:val="00C02C30"/>
    <w:rsid w:val="00C02FA1"/>
    <w:rsid w:val="00C0377B"/>
    <w:rsid w:val="00C03D08"/>
    <w:rsid w:val="00C04967"/>
    <w:rsid w:val="00C05B40"/>
    <w:rsid w:val="00C0641A"/>
    <w:rsid w:val="00C0695B"/>
    <w:rsid w:val="00C06FB6"/>
    <w:rsid w:val="00C070D8"/>
    <w:rsid w:val="00C076B5"/>
    <w:rsid w:val="00C07F81"/>
    <w:rsid w:val="00C114C9"/>
    <w:rsid w:val="00C128FA"/>
    <w:rsid w:val="00C1313D"/>
    <w:rsid w:val="00C133B3"/>
    <w:rsid w:val="00C13D09"/>
    <w:rsid w:val="00C141C6"/>
    <w:rsid w:val="00C146CF"/>
    <w:rsid w:val="00C14DD8"/>
    <w:rsid w:val="00C150A7"/>
    <w:rsid w:val="00C16308"/>
    <w:rsid w:val="00C16A0B"/>
    <w:rsid w:val="00C170C1"/>
    <w:rsid w:val="00C174B5"/>
    <w:rsid w:val="00C17ABF"/>
    <w:rsid w:val="00C200AF"/>
    <w:rsid w:val="00C206C0"/>
    <w:rsid w:val="00C20F0F"/>
    <w:rsid w:val="00C21326"/>
    <w:rsid w:val="00C21FB3"/>
    <w:rsid w:val="00C22993"/>
    <w:rsid w:val="00C22A18"/>
    <w:rsid w:val="00C22E5F"/>
    <w:rsid w:val="00C23A25"/>
    <w:rsid w:val="00C23DDA"/>
    <w:rsid w:val="00C248F3"/>
    <w:rsid w:val="00C25799"/>
    <w:rsid w:val="00C26084"/>
    <w:rsid w:val="00C2687A"/>
    <w:rsid w:val="00C27BE8"/>
    <w:rsid w:val="00C303BF"/>
    <w:rsid w:val="00C30C08"/>
    <w:rsid w:val="00C30D95"/>
    <w:rsid w:val="00C31B72"/>
    <w:rsid w:val="00C31BA7"/>
    <w:rsid w:val="00C31C0E"/>
    <w:rsid w:val="00C31E49"/>
    <w:rsid w:val="00C328AC"/>
    <w:rsid w:val="00C32BF6"/>
    <w:rsid w:val="00C33FEB"/>
    <w:rsid w:val="00C34C15"/>
    <w:rsid w:val="00C3570F"/>
    <w:rsid w:val="00C36371"/>
    <w:rsid w:val="00C36A65"/>
    <w:rsid w:val="00C36B1E"/>
    <w:rsid w:val="00C37D7B"/>
    <w:rsid w:val="00C40256"/>
    <w:rsid w:val="00C40606"/>
    <w:rsid w:val="00C4078F"/>
    <w:rsid w:val="00C40EA6"/>
    <w:rsid w:val="00C415B1"/>
    <w:rsid w:val="00C418E7"/>
    <w:rsid w:val="00C425E0"/>
    <w:rsid w:val="00C428F4"/>
    <w:rsid w:val="00C43014"/>
    <w:rsid w:val="00C43516"/>
    <w:rsid w:val="00C44BCA"/>
    <w:rsid w:val="00C45544"/>
    <w:rsid w:val="00C45C8F"/>
    <w:rsid w:val="00C4616A"/>
    <w:rsid w:val="00C46528"/>
    <w:rsid w:val="00C46713"/>
    <w:rsid w:val="00C46896"/>
    <w:rsid w:val="00C46CF5"/>
    <w:rsid w:val="00C4701D"/>
    <w:rsid w:val="00C471BB"/>
    <w:rsid w:val="00C4735C"/>
    <w:rsid w:val="00C47E31"/>
    <w:rsid w:val="00C52307"/>
    <w:rsid w:val="00C529B8"/>
    <w:rsid w:val="00C52E19"/>
    <w:rsid w:val="00C5305F"/>
    <w:rsid w:val="00C53DAF"/>
    <w:rsid w:val="00C542AF"/>
    <w:rsid w:val="00C54DF1"/>
    <w:rsid w:val="00C55632"/>
    <w:rsid w:val="00C55978"/>
    <w:rsid w:val="00C56484"/>
    <w:rsid w:val="00C5648C"/>
    <w:rsid w:val="00C6005E"/>
    <w:rsid w:val="00C603D2"/>
    <w:rsid w:val="00C606DC"/>
    <w:rsid w:val="00C612B3"/>
    <w:rsid w:val="00C61642"/>
    <w:rsid w:val="00C620C3"/>
    <w:rsid w:val="00C6256C"/>
    <w:rsid w:val="00C62A5A"/>
    <w:rsid w:val="00C62B2D"/>
    <w:rsid w:val="00C64054"/>
    <w:rsid w:val="00C64196"/>
    <w:rsid w:val="00C70445"/>
    <w:rsid w:val="00C7063B"/>
    <w:rsid w:val="00C7084D"/>
    <w:rsid w:val="00C724C3"/>
    <w:rsid w:val="00C73041"/>
    <w:rsid w:val="00C73173"/>
    <w:rsid w:val="00C735C3"/>
    <w:rsid w:val="00C73B00"/>
    <w:rsid w:val="00C76BD5"/>
    <w:rsid w:val="00C7718A"/>
    <w:rsid w:val="00C77BC7"/>
    <w:rsid w:val="00C801FC"/>
    <w:rsid w:val="00C805C0"/>
    <w:rsid w:val="00C80BF8"/>
    <w:rsid w:val="00C81E83"/>
    <w:rsid w:val="00C824EF"/>
    <w:rsid w:val="00C8342E"/>
    <w:rsid w:val="00C837A2"/>
    <w:rsid w:val="00C83853"/>
    <w:rsid w:val="00C83FD1"/>
    <w:rsid w:val="00C84610"/>
    <w:rsid w:val="00C84BD6"/>
    <w:rsid w:val="00C86574"/>
    <w:rsid w:val="00C87C4B"/>
    <w:rsid w:val="00C90B41"/>
    <w:rsid w:val="00C9166E"/>
    <w:rsid w:val="00C943AE"/>
    <w:rsid w:val="00C94F03"/>
    <w:rsid w:val="00C95126"/>
    <w:rsid w:val="00C95FCE"/>
    <w:rsid w:val="00C9655B"/>
    <w:rsid w:val="00C96B9E"/>
    <w:rsid w:val="00C96BB3"/>
    <w:rsid w:val="00C97A1E"/>
    <w:rsid w:val="00C97C03"/>
    <w:rsid w:val="00C97E58"/>
    <w:rsid w:val="00CA0E4C"/>
    <w:rsid w:val="00CA0FBE"/>
    <w:rsid w:val="00CA11D4"/>
    <w:rsid w:val="00CA16D9"/>
    <w:rsid w:val="00CA2E74"/>
    <w:rsid w:val="00CA3328"/>
    <w:rsid w:val="00CA3F82"/>
    <w:rsid w:val="00CA4F7A"/>
    <w:rsid w:val="00CA5077"/>
    <w:rsid w:val="00CA542F"/>
    <w:rsid w:val="00CA5ECC"/>
    <w:rsid w:val="00CA6B5D"/>
    <w:rsid w:val="00CA7026"/>
    <w:rsid w:val="00CA7689"/>
    <w:rsid w:val="00CA7741"/>
    <w:rsid w:val="00CA7A3B"/>
    <w:rsid w:val="00CA7A47"/>
    <w:rsid w:val="00CB0042"/>
    <w:rsid w:val="00CB0BC2"/>
    <w:rsid w:val="00CB0D04"/>
    <w:rsid w:val="00CB146B"/>
    <w:rsid w:val="00CB184E"/>
    <w:rsid w:val="00CB1B2D"/>
    <w:rsid w:val="00CB2FB2"/>
    <w:rsid w:val="00CB348C"/>
    <w:rsid w:val="00CB397C"/>
    <w:rsid w:val="00CB48B9"/>
    <w:rsid w:val="00CB5595"/>
    <w:rsid w:val="00CB6350"/>
    <w:rsid w:val="00CB654D"/>
    <w:rsid w:val="00CB6EC3"/>
    <w:rsid w:val="00CB712F"/>
    <w:rsid w:val="00CB74FC"/>
    <w:rsid w:val="00CC02A7"/>
    <w:rsid w:val="00CC0F28"/>
    <w:rsid w:val="00CC1435"/>
    <w:rsid w:val="00CC1DBD"/>
    <w:rsid w:val="00CC1DC6"/>
    <w:rsid w:val="00CC2580"/>
    <w:rsid w:val="00CC26DC"/>
    <w:rsid w:val="00CC3C0D"/>
    <w:rsid w:val="00CC41B2"/>
    <w:rsid w:val="00CC54C1"/>
    <w:rsid w:val="00CC70A5"/>
    <w:rsid w:val="00CC7987"/>
    <w:rsid w:val="00CC7B53"/>
    <w:rsid w:val="00CD00BD"/>
    <w:rsid w:val="00CD02F0"/>
    <w:rsid w:val="00CD05D9"/>
    <w:rsid w:val="00CD1841"/>
    <w:rsid w:val="00CD1B4B"/>
    <w:rsid w:val="00CD2ACA"/>
    <w:rsid w:val="00CD2C51"/>
    <w:rsid w:val="00CD2E70"/>
    <w:rsid w:val="00CD31F3"/>
    <w:rsid w:val="00CD3505"/>
    <w:rsid w:val="00CD3B4E"/>
    <w:rsid w:val="00CD49A3"/>
    <w:rsid w:val="00CD541B"/>
    <w:rsid w:val="00CD622D"/>
    <w:rsid w:val="00CD6E61"/>
    <w:rsid w:val="00CD7239"/>
    <w:rsid w:val="00CD78D9"/>
    <w:rsid w:val="00CD7AD0"/>
    <w:rsid w:val="00CE28E1"/>
    <w:rsid w:val="00CE4DBD"/>
    <w:rsid w:val="00CE4F1A"/>
    <w:rsid w:val="00CE5422"/>
    <w:rsid w:val="00CE5B67"/>
    <w:rsid w:val="00CE75C1"/>
    <w:rsid w:val="00CE7805"/>
    <w:rsid w:val="00CF03F1"/>
    <w:rsid w:val="00CF21B2"/>
    <w:rsid w:val="00CF28A0"/>
    <w:rsid w:val="00CF2FCF"/>
    <w:rsid w:val="00CF352C"/>
    <w:rsid w:val="00CF4433"/>
    <w:rsid w:val="00CF4DE6"/>
    <w:rsid w:val="00CF4E0B"/>
    <w:rsid w:val="00CF4E0F"/>
    <w:rsid w:val="00CF5076"/>
    <w:rsid w:val="00CF537C"/>
    <w:rsid w:val="00CF5740"/>
    <w:rsid w:val="00CF6387"/>
    <w:rsid w:val="00CF6522"/>
    <w:rsid w:val="00CF7957"/>
    <w:rsid w:val="00CF7EA1"/>
    <w:rsid w:val="00CF7F78"/>
    <w:rsid w:val="00D0009A"/>
    <w:rsid w:val="00D0167D"/>
    <w:rsid w:val="00D018F5"/>
    <w:rsid w:val="00D01A1A"/>
    <w:rsid w:val="00D03297"/>
    <w:rsid w:val="00D03903"/>
    <w:rsid w:val="00D03AEE"/>
    <w:rsid w:val="00D0421D"/>
    <w:rsid w:val="00D04316"/>
    <w:rsid w:val="00D049A2"/>
    <w:rsid w:val="00D04A60"/>
    <w:rsid w:val="00D04A90"/>
    <w:rsid w:val="00D04F50"/>
    <w:rsid w:val="00D0619F"/>
    <w:rsid w:val="00D0684B"/>
    <w:rsid w:val="00D06B60"/>
    <w:rsid w:val="00D06DAF"/>
    <w:rsid w:val="00D12271"/>
    <w:rsid w:val="00D127F0"/>
    <w:rsid w:val="00D128CE"/>
    <w:rsid w:val="00D12FB6"/>
    <w:rsid w:val="00D13D4A"/>
    <w:rsid w:val="00D142A0"/>
    <w:rsid w:val="00D1439C"/>
    <w:rsid w:val="00D14957"/>
    <w:rsid w:val="00D14C01"/>
    <w:rsid w:val="00D14EA0"/>
    <w:rsid w:val="00D1552B"/>
    <w:rsid w:val="00D15D5F"/>
    <w:rsid w:val="00D16A29"/>
    <w:rsid w:val="00D16CE7"/>
    <w:rsid w:val="00D202DA"/>
    <w:rsid w:val="00D202E2"/>
    <w:rsid w:val="00D21661"/>
    <w:rsid w:val="00D21B15"/>
    <w:rsid w:val="00D222D8"/>
    <w:rsid w:val="00D223C0"/>
    <w:rsid w:val="00D237E2"/>
    <w:rsid w:val="00D23811"/>
    <w:rsid w:val="00D23890"/>
    <w:rsid w:val="00D2397D"/>
    <w:rsid w:val="00D23C76"/>
    <w:rsid w:val="00D25270"/>
    <w:rsid w:val="00D257FC"/>
    <w:rsid w:val="00D25860"/>
    <w:rsid w:val="00D25930"/>
    <w:rsid w:val="00D25DBE"/>
    <w:rsid w:val="00D26752"/>
    <w:rsid w:val="00D2703A"/>
    <w:rsid w:val="00D27041"/>
    <w:rsid w:val="00D272B1"/>
    <w:rsid w:val="00D278E2"/>
    <w:rsid w:val="00D3064D"/>
    <w:rsid w:val="00D315BA"/>
    <w:rsid w:val="00D32375"/>
    <w:rsid w:val="00D32577"/>
    <w:rsid w:val="00D325F6"/>
    <w:rsid w:val="00D32B57"/>
    <w:rsid w:val="00D33C76"/>
    <w:rsid w:val="00D33D70"/>
    <w:rsid w:val="00D346AC"/>
    <w:rsid w:val="00D34ED2"/>
    <w:rsid w:val="00D355C6"/>
    <w:rsid w:val="00D359DB"/>
    <w:rsid w:val="00D3720D"/>
    <w:rsid w:val="00D37B0D"/>
    <w:rsid w:val="00D40275"/>
    <w:rsid w:val="00D40995"/>
    <w:rsid w:val="00D40A5E"/>
    <w:rsid w:val="00D414EE"/>
    <w:rsid w:val="00D41E2A"/>
    <w:rsid w:val="00D42F2B"/>
    <w:rsid w:val="00D44BE1"/>
    <w:rsid w:val="00D455AF"/>
    <w:rsid w:val="00D47146"/>
    <w:rsid w:val="00D475A2"/>
    <w:rsid w:val="00D479D1"/>
    <w:rsid w:val="00D50CD8"/>
    <w:rsid w:val="00D5128A"/>
    <w:rsid w:val="00D51446"/>
    <w:rsid w:val="00D5192D"/>
    <w:rsid w:val="00D52735"/>
    <w:rsid w:val="00D53904"/>
    <w:rsid w:val="00D548E9"/>
    <w:rsid w:val="00D54AA5"/>
    <w:rsid w:val="00D5501A"/>
    <w:rsid w:val="00D56D0F"/>
    <w:rsid w:val="00D57001"/>
    <w:rsid w:val="00D577B0"/>
    <w:rsid w:val="00D60995"/>
    <w:rsid w:val="00D60A7D"/>
    <w:rsid w:val="00D60DB0"/>
    <w:rsid w:val="00D619EC"/>
    <w:rsid w:val="00D61B6D"/>
    <w:rsid w:val="00D61BC7"/>
    <w:rsid w:val="00D621A5"/>
    <w:rsid w:val="00D623A0"/>
    <w:rsid w:val="00D6302D"/>
    <w:rsid w:val="00D63523"/>
    <w:rsid w:val="00D63B6F"/>
    <w:rsid w:val="00D63FA3"/>
    <w:rsid w:val="00D64423"/>
    <w:rsid w:val="00D6517F"/>
    <w:rsid w:val="00D651FB"/>
    <w:rsid w:val="00D655FB"/>
    <w:rsid w:val="00D657CA"/>
    <w:rsid w:val="00D65A0A"/>
    <w:rsid w:val="00D65D83"/>
    <w:rsid w:val="00D66FF7"/>
    <w:rsid w:val="00D704AE"/>
    <w:rsid w:val="00D70BF8"/>
    <w:rsid w:val="00D70FAE"/>
    <w:rsid w:val="00D71B2E"/>
    <w:rsid w:val="00D721E5"/>
    <w:rsid w:val="00D725AA"/>
    <w:rsid w:val="00D72820"/>
    <w:rsid w:val="00D72F50"/>
    <w:rsid w:val="00D73014"/>
    <w:rsid w:val="00D730A1"/>
    <w:rsid w:val="00D75ECC"/>
    <w:rsid w:val="00D76596"/>
    <w:rsid w:val="00D768D0"/>
    <w:rsid w:val="00D76B88"/>
    <w:rsid w:val="00D7755C"/>
    <w:rsid w:val="00D77A8A"/>
    <w:rsid w:val="00D80497"/>
    <w:rsid w:val="00D80542"/>
    <w:rsid w:val="00D80963"/>
    <w:rsid w:val="00D817BB"/>
    <w:rsid w:val="00D8281D"/>
    <w:rsid w:val="00D828B7"/>
    <w:rsid w:val="00D8443F"/>
    <w:rsid w:val="00D852C5"/>
    <w:rsid w:val="00D853A2"/>
    <w:rsid w:val="00D85BFA"/>
    <w:rsid w:val="00D85C6B"/>
    <w:rsid w:val="00D85E8B"/>
    <w:rsid w:val="00D862E1"/>
    <w:rsid w:val="00D86F6F"/>
    <w:rsid w:val="00D86FF4"/>
    <w:rsid w:val="00D9025F"/>
    <w:rsid w:val="00D90CA8"/>
    <w:rsid w:val="00D90E1D"/>
    <w:rsid w:val="00D91131"/>
    <w:rsid w:val="00D911BB"/>
    <w:rsid w:val="00D916AD"/>
    <w:rsid w:val="00D919BF"/>
    <w:rsid w:val="00D92D7A"/>
    <w:rsid w:val="00D93841"/>
    <w:rsid w:val="00D93B21"/>
    <w:rsid w:val="00D948A4"/>
    <w:rsid w:val="00D94B03"/>
    <w:rsid w:val="00D96E2D"/>
    <w:rsid w:val="00D970E1"/>
    <w:rsid w:val="00D97CF7"/>
    <w:rsid w:val="00D97E2A"/>
    <w:rsid w:val="00DA0A68"/>
    <w:rsid w:val="00DA1919"/>
    <w:rsid w:val="00DA21EE"/>
    <w:rsid w:val="00DA24A9"/>
    <w:rsid w:val="00DA26C0"/>
    <w:rsid w:val="00DA3610"/>
    <w:rsid w:val="00DA3DDA"/>
    <w:rsid w:val="00DA51C0"/>
    <w:rsid w:val="00DA5517"/>
    <w:rsid w:val="00DA5569"/>
    <w:rsid w:val="00DA5E04"/>
    <w:rsid w:val="00DA60F4"/>
    <w:rsid w:val="00DA6966"/>
    <w:rsid w:val="00DB0B31"/>
    <w:rsid w:val="00DB117A"/>
    <w:rsid w:val="00DB1652"/>
    <w:rsid w:val="00DB1EF9"/>
    <w:rsid w:val="00DB1FF2"/>
    <w:rsid w:val="00DB22EE"/>
    <w:rsid w:val="00DB2304"/>
    <w:rsid w:val="00DB40F6"/>
    <w:rsid w:val="00DB4643"/>
    <w:rsid w:val="00DB4C79"/>
    <w:rsid w:val="00DB5605"/>
    <w:rsid w:val="00DB5737"/>
    <w:rsid w:val="00DB6115"/>
    <w:rsid w:val="00DB665B"/>
    <w:rsid w:val="00DB69B7"/>
    <w:rsid w:val="00DB6D3F"/>
    <w:rsid w:val="00DC043C"/>
    <w:rsid w:val="00DC0886"/>
    <w:rsid w:val="00DC0FA7"/>
    <w:rsid w:val="00DC2685"/>
    <w:rsid w:val="00DC2DA5"/>
    <w:rsid w:val="00DC2E3E"/>
    <w:rsid w:val="00DC36FF"/>
    <w:rsid w:val="00DC44A2"/>
    <w:rsid w:val="00DC4C99"/>
    <w:rsid w:val="00DC4D95"/>
    <w:rsid w:val="00DC4E6A"/>
    <w:rsid w:val="00DC5D9A"/>
    <w:rsid w:val="00DC62B3"/>
    <w:rsid w:val="00DC69EF"/>
    <w:rsid w:val="00DC6F1D"/>
    <w:rsid w:val="00DC7319"/>
    <w:rsid w:val="00DC73A1"/>
    <w:rsid w:val="00DC7D63"/>
    <w:rsid w:val="00DC7D8F"/>
    <w:rsid w:val="00DD0097"/>
    <w:rsid w:val="00DD02ED"/>
    <w:rsid w:val="00DD0FB2"/>
    <w:rsid w:val="00DD1076"/>
    <w:rsid w:val="00DD2474"/>
    <w:rsid w:val="00DD3447"/>
    <w:rsid w:val="00DD38DD"/>
    <w:rsid w:val="00DD3DA4"/>
    <w:rsid w:val="00DD4087"/>
    <w:rsid w:val="00DD6605"/>
    <w:rsid w:val="00DD6D05"/>
    <w:rsid w:val="00DD765C"/>
    <w:rsid w:val="00DD7949"/>
    <w:rsid w:val="00DE0019"/>
    <w:rsid w:val="00DE05A8"/>
    <w:rsid w:val="00DE191B"/>
    <w:rsid w:val="00DE1D34"/>
    <w:rsid w:val="00DE1D87"/>
    <w:rsid w:val="00DE2083"/>
    <w:rsid w:val="00DE2A4A"/>
    <w:rsid w:val="00DE3AEE"/>
    <w:rsid w:val="00DE4668"/>
    <w:rsid w:val="00DE51C8"/>
    <w:rsid w:val="00DE56B4"/>
    <w:rsid w:val="00DE5804"/>
    <w:rsid w:val="00DE6FE2"/>
    <w:rsid w:val="00DE7EBF"/>
    <w:rsid w:val="00DF0C20"/>
    <w:rsid w:val="00DF24A1"/>
    <w:rsid w:val="00DF2506"/>
    <w:rsid w:val="00DF2C8C"/>
    <w:rsid w:val="00DF2F11"/>
    <w:rsid w:val="00DF3D92"/>
    <w:rsid w:val="00DF566D"/>
    <w:rsid w:val="00E011F1"/>
    <w:rsid w:val="00E01AB0"/>
    <w:rsid w:val="00E021B4"/>
    <w:rsid w:val="00E029DB"/>
    <w:rsid w:val="00E029FF"/>
    <w:rsid w:val="00E032E3"/>
    <w:rsid w:val="00E03DDE"/>
    <w:rsid w:val="00E0403A"/>
    <w:rsid w:val="00E0427D"/>
    <w:rsid w:val="00E0477B"/>
    <w:rsid w:val="00E04BAE"/>
    <w:rsid w:val="00E05EF2"/>
    <w:rsid w:val="00E0602E"/>
    <w:rsid w:val="00E07CEF"/>
    <w:rsid w:val="00E117B7"/>
    <w:rsid w:val="00E1261F"/>
    <w:rsid w:val="00E13F58"/>
    <w:rsid w:val="00E148DD"/>
    <w:rsid w:val="00E14AE5"/>
    <w:rsid w:val="00E14E6A"/>
    <w:rsid w:val="00E158AE"/>
    <w:rsid w:val="00E15EB5"/>
    <w:rsid w:val="00E163B7"/>
    <w:rsid w:val="00E1644F"/>
    <w:rsid w:val="00E16465"/>
    <w:rsid w:val="00E164FA"/>
    <w:rsid w:val="00E16AD5"/>
    <w:rsid w:val="00E16EF2"/>
    <w:rsid w:val="00E17AC3"/>
    <w:rsid w:val="00E17E00"/>
    <w:rsid w:val="00E207E6"/>
    <w:rsid w:val="00E21A1A"/>
    <w:rsid w:val="00E21DEF"/>
    <w:rsid w:val="00E21EEC"/>
    <w:rsid w:val="00E2251C"/>
    <w:rsid w:val="00E23A5B"/>
    <w:rsid w:val="00E23D1F"/>
    <w:rsid w:val="00E23DC5"/>
    <w:rsid w:val="00E24158"/>
    <w:rsid w:val="00E24A36"/>
    <w:rsid w:val="00E24EBB"/>
    <w:rsid w:val="00E2517F"/>
    <w:rsid w:val="00E25CDD"/>
    <w:rsid w:val="00E26A16"/>
    <w:rsid w:val="00E26DC7"/>
    <w:rsid w:val="00E27D84"/>
    <w:rsid w:val="00E30627"/>
    <w:rsid w:val="00E319BB"/>
    <w:rsid w:val="00E33828"/>
    <w:rsid w:val="00E344AC"/>
    <w:rsid w:val="00E34F6F"/>
    <w:rsid w:val="00E35206"/>
    <w:rsid w:val="00E36F3F"/>
    <w:rsid w:val="00E37132"/>
    <w:rsid w:val="00E409AD"/>
    <w:rsid w:val="00E416F6"/>
    <w:rsid w:val="00E41C2C"/>
    <w:rsid w:val="00E42BA7"/>
    <w:rsid w:val="00E42C5A"/>
    <w:rsid w:val="00E4361C"/>
    <w:rsid w:val="00E43A66"/>
    <w:rsid w:val="00E441A9"/>
    <w:rsid w:val="00E4437C"/>
    <w:rsid w:val="00E45DC6"/>
    <w:rsid w:val="00E4615D"/>
    <w:rsid w:val="00E46DAB"/>
    <w:rsid w:val="00E46E89"/>
    <w:rsid w:val="00E47729"/>
    <w:rsid w:val="00E47944"/>
    <w:rsid w:val="00E50254"/>
    <w:rsid w:val="00E502FE"/>
    <w:rsid w:val="00E50303"/>
    <w:rsid w:val="00E50C87"/>
    <w:rsid w:val="00E50EB8"/>
    <w:rsid w:val="00E50FFF"/>
    <w:rsid w:val="00E510C8"/>
    <w:rsid w:val="00E51366"/>
    <w:rsid w:val="00E51D1D"/>
    <w:rsid w:val="00E53041"/>
    <w:rsid w:val="00E5476D"/>
    <w:rsid w:val="00E5493E"/>
    <w:rsid w:val="00E54A2C"/>
    <w:rsid w:val="00E55529"/>
    <w:rsid w:val="00E5662A"/>
    <w:rsid w:val="00E5667A"/>
    <w:rsid w:val="00E56A67"/>
    <w:rsid w:val="00E6065B"/>
    <w:rsid w:val="00E6077D"/>
    <w:rsid w:val="00E6129B"/>
    <w:rsid w:val="00E6199C"/>
    <w:rsid w:val="00E62440"/>
    <w:rsid w:val="00E633B4"/>
    <w:rsid w:val="00E64B1A"/>
    <w:rsid w:val="00E65131"/>
    <w:rsid w:val="00E658CF"/>
    <w:rsid w:val="00E65F9E"/>
    <w:rsid w:val="00E65FAF"/>
    <w:rsid w:val="00E663F0"/>
    <w:rsid w:val="00E664A6"/>
    <w:rsid w:val="00E67426"/>
    <w:rsid w:val="00E675F1"/>
    <w:rsid w:val="00E70E33"/>
    <w:rsid w:val="00E71ABB"/>
    <w:rsid w:val="00E722C5"/>
    <w:rsid w:val="00E72C04"/>
    <w:rsid w:val="00E72F1C"/>
    <w:rsid w:val="00E734B7"/>
    <w:rsid w:val="00E73D98"/>
    <w:rsid w:val="00E73DC7"/>
    <w:rsid w:val="00E74144"/>
    <w:rsid w:val="00E751BC"/>
    <w:rsid w:val="00E751D1"/>
    <w:rsid w:val="00E76071"/>
    <w:rsid w:val="00E76408"/>
    <w:rsid w:val="00E80A5B"/>
    <w:rsid w:val="00E81FB5"/>
    <w:rsid w:val="00E82515"/>
    <w:rsid w:val="00E826AB"/>
    <w:rsid w:val="00E82962"/>
    <w:rsid w:val="00E83944"/>
    <w:rsid w:val="00E83BB0"/>
    <w:rsid w:val="00E8460C"/>
    <w:rsid w:val="00E84709"/>
    <w:rsid w:val="00E857C1"/>
    <w:rsid w:val="00E85F5E"/>
    <w:rsid w:val="00E860AD"/>
    <w:rsid w:val="00E863E7"/>
    <w:rsid w:val="00E86464"/>
    <w:rsid w:val="00E865B2"/>
    <w:rsid w:val="00E86FBB"/>
    <w:rsid w:val="00E871A0"/>
    <w:rsid w:val="00E9007F"/>
    <w:rsid w:val="00E904AF"/>
    <w:rsid w:val="00E906BA"/>
    <w:rsid w:val="00E9129C"/>
    <w:rsid w:val="00E915F3"/>
    <w:rsid w:val="00E916F9"/>
    <w:rsid w:val="00E91CC0"/>
    <w:rsid w:val="00E91FDB"/>
    <w:rsid w:val="00E92819"/>
    <w:rsid w:val="00E933D8"/>
    <w:rsid w:val="00E95526"/>
    <w:rsid w:val="00E95BAD"/>
    <w:rsid w:val="00E95E32"/>
    <w:rsid w:val="00E96CE4"/>
    <w:rsid w:val="00E97839"/>
    <w:rsid w:val="00EA0107"/>
    <w:rsid w:val="00EA0DAE"/>
    <w:rsid w:val="00EA1478"/>
    <w:rsid w:val="00EA279C"/>
    <w:rsid w:val="00EA2B58"/>
    <w:rsid w:val="00EA3032"/>
    <w:rsid w:val="00EA3F53"/>
    <w:rsid w:val="00EA4232"/>
    <w:rsid w:val="00EA4AB9"/>
    <w:rsid w:val="00EA4B87"/>
    <w:rsid w:val="00EA4CEC"/>
    <w:rsid w:val="00EA536B"/>
    <w:rsid w:val="00EA6AD1"/>
    <w:rsid w:val="00EA6EB8"/>
    <w:rsid w:val="00EA7691"/>
    <w:rsid w:val="00EB0A08"/>
    <w:rsid w:val="00EB3E1A"/>
    <w:rsid w:val="00EB530B"/>
    <w:rsid w:val="00EB5423"/>
    <w:rsid w:val="00EB61EB"/>
    <w:rsid w:val="00EB624B"/>
    <w:rsid w:val="00EB6D74"/>
    <w:rsid w:val="00EB7EA1"/>
    <w:rsid w:val="00EC080A"/>
    <w:rsid w:val="00EC2157"/>
    <w:rsid w:val="00EC3201"/>
    <w:rsid w:val="00EC3355"/>
    <w:rsid w:val="00EC3646"/>
    <w:rsid w:val="00EC3A14"/>
    <w:rsid w:val="00EC46E3"/>
    <w:rsid w:val="00EC4F2C"/>
    <w:rsid w:val="00EC5246"/>
    <w:rsid w:val="00EC5B27"/>
    <w:rsid w:val="00EC617D"/>
    <w:rsid w:val="00EC7CA7"/>
    <w:rsid w:val="00ED06BA"/>
    <w:rsid w:val="00ED10E0"/>
    <w:rsid w:val="00ED1D96"/>
    <w:rsid w:val="00ED22EE"/>
    <w:rsid w:val="00ED25A0"/>
    <w:rsid w:val="00ED27FA"/>
    <w:rsid w:val="00ED28BB"/>
    <w:rsid w:val="00ED2BA0"/>
    <w:rsid w:val="00ED2D55"/>
    <w:rsid w:val="00ED3445"/>
    <w:rsid w:val="00ED356B"/>
    <w:rsid w:val="00ED406F"/>
    <w:rsid w:val="00ED455B"/>
    <w:rsid w:val="00ED4622"/>
    <w:rsid w:val="00ED4985"/>
    <w:rsid w:val="00ED4A1B"/>
    <w:rsid w:val="00ED4B82"/>
    <w:rsid w:val="00ED4C99"/>
    <w:rsid w:val="00ED62A9"/>
    <w:rsid w:val="00ED684D"/>
    <w:rsid w:val="00ED7763"/>
    <w:rsid w:val="00EE01AD"/>
    <w:rsid w:val="00EE02B5"/>
    <w:rsid w:val="00EE05BF"/>
    <w:rsid w:val="00EE05CB"/>
    <w:rsid w:val="00EE1A45"/>
    <w:rsid w:val="00EE1BBE"/>
    <w:rsid w:val="00EE24BE"/>
    <w:rsid w:val="00EE2737"/>
    <w:rsid w:val="00EE4CD7"/>
    <w:rsid w:val="00EE6759"/>
    <w:rsid w:val="00EE6761"/>
    <w:rsid w:val="00EE7090"/>
    <w:rsid w:val="00EF03EB"/>
    <w:rsid w:val="00EF1270"/>
    <w:rsid w:val="00EF147A"/>
    <w:rsid w:val="00EF22BB"/>
    <w:rsid w:val="00EF2360"/>
    <w:rsid w:val="00EF2640"/>
    <w:rsid w:val="00EF28AA"/>
    <w:rsid w:val="00EF42BE"/>
    <w:rsid w:val="00EF448D"/>
    <w:rsid w:val="00EF4A8A"/>
    <w:rsid w:val="00EF4DE1"/>
    <w:rsid w:val="00EF5348"/>
    <w:rsid w:val="00EF55EA"/>
    <w:rsid w:val="00EF5FBA"/>
    <w:rsid w:val="00EF670D"/>
    <w:rsid w:val="00EF74DE"/>
    <w:rsid w:val="00F00549"/>
    <w:rsid w:val="00F0089C"/>
    <w:rsid w:val="00F01719"/>
    <w:rsid w:val="00F01EB8"/>
    <w:rsid w:val="00F027C1"/>
    <w:rsid w:val="00F02F7A"/>
    <w:rsid w:val="00F037DE"/>
    <w:rsid w:val="00F03C8A"/>
    <w:rsid w:val="00F04493"/>
    <w:rsid w:val="00F0587C"/>
    <w:rsid w:val="00F06053"/>
    <w:rsid w:val="00F078F3"/>
    <w:rsid w:val="00F07E08"/>
    <w:rsid w:val="00F10A2B"/>
    <w:rsid w:val="00F11966"/>
    <w:rsid w:val="00F11FD5"/>
    <w:rsid w:val="00F1204D"/>
    <w:rsid w:val="00F120A0"/>
    <w:rsid w:val="00F125BE"/>
    <w:rsid w:val="00F130A1"/>
    <w:rsid w:val="00F13E08"/>
    <w:rsid w:val="00F14308"/>
    <w:rsid w:val="00F14643"/>
    <w:rsid w:val="00F14C18"/>
    <w:rsid w:val="00F14DE7"/>
    <w:rsid w:val="00F14FA6"/>
    <w:rsid w:val="00F15080"/>
    <w:rsid w:val="00F15F5C"/>
    <w:rsid w:val="00F16B51"/>
    <w:rsid w:val="00F16B54"/>
    <w:rsid w:val="00F171D8"/>
    <w:rsid w:val="00F1789B"/>
    <w:rsid w:val="00F17CC2"/>
    <w:rsid w:val="00F20251"/>
    <w:rsid w:val="00F22378"/>
    <w:rsid w:val="00F235B1"/>
    <w:rsid w:val="00F242AA"/>
    <w:rsid w:val="00F244A1"/>
    <w:rsid w:val="00F245B1"/>
    <w:rsid w:val="00F24A34"/>
    <w:rsid w:val="00F24F90"/>
    <w:rsid w:val="00F26063"/>
    <w:rsid w:val="00F26196"/>
    <w:rsid w:val="00F267CA"/>
    <w:rsid w:val="00F26A00"/>
    <w:rsid w:val="00F26AEF"/>
    <w:rsid w:val="00F27F88"/>
    <w:rsid w:val="00F3097F"/>
    <w:rsid w:val="00F315E4"/>
    <w:rsid w:val="00F31800"/>
    <w:rsid w:val="00F31F82"/>
    <w:rsid w:val="00F321D2"/>
    <w:rsid w:val="00F32586"/>
    <w:rsid w:val="00F33416"/>
    <w:rsid w:val="00F33466"/>
    <w:rsid w:val="00F33A38"/>
    <w:rsid w:val="00F348B2"/>
    <w:rsid w:val="00F36566"/>
    <w:rsid w:val="00F37C5F"/>
    <w:rsid w:val="00F402E1"/>
    <w:rsid w:val="00F422D6"/>
    <w:rsid w:val="00F42555"/>
    <w:rsid w:val="00F430F4"/>
    <w:rsid w:val="00F43371"/>
    <w:rsid w:val="00F435A2"/>
    <w:rsid w:val="00F43768"/>
    <w:rsid w:val="00F43809"/>
    <w:rsid w:val="00F43E51"/>
    <w:rsid w:val="00F4445C"/>
    <w:rsid w:val="00F44F50"/>
    <w:rsid w:val="00F46752"/>
    <w:rsid w:val="00F46CF5"/>
    <w:rsid w:val="00F46F69"/>
    <w:rsid w:val="00F4768D"/>
    <w:rsid w:val="00F50D6F"/>
    <w:rsid w:val="00F528E6"/>
    <w:rsid w:val="00F54347"/>
    <w:rsid w:val="00F5464A"/>
    <w:rsid w:val="00F54867"/>
    <w:rsid w:val="00F561D0"/>
    <w:rsid w:val="00F56F97"/>
    <w:rsid w:val="00F60144"/>
    <w:rsid w:val="00F61316"/>
    <w:rsid w:val="00F618FC"/>
    <w:rsid w:val="00F61A65"/>
    <w:rsid w:val="00F62301"/>
    <w:rsid w:val="00F6272A"/>
    <w:rsid w:val="00F63803"/>
    <w:rsid w:val="00F643C2"/>
    <w:rsid w:val="00F64785"/>
    <w:rsid w:val="00F64B78"/>
    <w:rsid w:val="00F65E80"/>
    <w:rsid w:val="00F674E9"/>
    <w:rsid w:val="00F67FE1"/>
    <w:rsid w:val="00F7114B"/>
    <w:rsid w:val="00F72045"/>
    <w:rsid w:val="00F729C0"/>
    <w:rsid w:val="00F731D5"/>
    <w:rsid w:val="00F734F0"/>
    <w:rsid w:val="00F7529E"/>
    <w:rsid w:val="00F76370"/>
    <w:rsid w:val="00F7715B"/>
    <w:rsid w:val="00F7740D"/>
    <w:rsid w:val="00F7774C"/>
    <w:rsid w:val="00F800AF"/>
    <w:rsid w:val="00F808FD"/>
    <w:rsid w:val="00F80CA3"/>
    <w:rsid w:val="00F80E2F"/>
    <w:rsid w:val="00F822EF"/>
    <w:rsid w:val="00F824B3"/>
    <w:rsid w:val="00F82840"/>
    <w:rsid w:val="00F82A9E"/>
    <w:rsid w:val="00F82F1F"/>
    <w:rsid w:val="00F83195"/>
    <w:rsid w:val="00F83D83"/>
    <w:rsid w:val="00F83F64"/>
    <w:rsid w:val="00F85A73"/>
    <w:rsid w:val="00F85CCA"/>
    <w:rsid w:val="00F85EC7"/>
    <w:rsid w:val="00F86CAB"/>
    <w:rsid w:val="00F8711D"/>
    <w:rsid w:val="00F879D2"/>
    <w:rsid w:val="00F87A48"/>
    <w:rsid w:val="00F87EFB"/>
    <w:rsid w:val="00F90F3D"/>
    <w:rsid w:val="00F9170B"/>
    <w:rsid w:val="00F91AD3"/>
    <w:rsid w:val="00F920F4"/>
    <w:rsid w:val="00F92B3B"/>
    <w:rsid w:val="00F931C1"/>
    <w:rsid w:val="00F940DC"/>
    <w:rsid w:val="00F94157"/>
    <w:rsid w:val="00F94922"/>
    <w:rsid w:val="00F94F9F"/>
    <w:rsid w:val="00F95078"/>
    <w:rsid w:val="00F95576"/>
    <w:rsid w:val="00F9565C"/>
    <w:rsid w:val="00F96687"/>
    <w:rsid w:val="00F968CF"/>
    <w:rsid w:val="00F96B1B"/>
    <w:rsid w:val="00F970EF"/>
    <w:rsid w:val="00F9743C"/>
    <w:rsid w:val="00F9768B"/>
    <w:rsid w:val="00F97B80"/>
    <w:rsid w:val="00F97BF9"/>
    <w:rsid w:val="00F97E5F"/>
    <w:rsid w:val="00FA0C1C"/>
    <w:rsid w:val="00FA0F19"/>
    <w:rsid w:val="00FA0FFC"/>
    <w:rsid w:val="00FA209E"/>
    <w:rsid w:val="00FA2D5B"/>
    <w:rsid w:val="00FA395A"/>
    <w:rsid w:val="00FA3EF6"/>
    <w:rsid w:val="00FA4572"/>
    <w:rsid w:val="00FA48BC"/>
    <w:rsid w:val="00FA510F"/>
    <w:rsid w:val="00FA5801"/>
    <w:rsid w:val="00FA67ED"/>
    <w:rsid w:val="00FB0BBB"/>
    <w:rsid w:val="00FB0EA8"/>
    <w:rsid w:val="00FB120A"/>
    <w:rsid w:val="00FB137F"/>
    <w:rsid w:val="00FB15E6"/>
    <w:rsid w:val="00FB1913"/>
    <w:rsid w:val="00FB222D"/>
    <w:rsid w:val="00FB35F1"/>
    <w:rsid w:val="00FB39F8"/>
    <w:rsid w:val="00FB45B3"/>
    <w:rsid w:val="00FB4F67"/>
    <w:rsid w:val="00FB55D7"/>
    <w:rsid w:val="00FB5897"/>
    <w:rsid w:val="00FB6166"/>
    <w:rsid w:val="00FB62E1"/>
    <w:rsid w:val="00FB6B61"/>
    <w:rsid w:val="00FB7E3A"/>
    <w:rsid w:val="00FC0DB3"/>
    <w:rsid w:val="00FC0F2D"/>
    <w:rsid w:val="00FC1AFF"/>
    <w:rsid w:val="00FC3429"/>
    <w:rsid w:val="00FC40CF"/>
    <w:rsid w:val="00FC4406"/>
    <w:rsid w:val="00FC4FC4"/>
    <w:rsid w:val="00FC5374"/>
    <w:rsid w:val="00FC564B"/>
    <w:rsid w:val="00FC58A9"/>
    <w:rsid w:val="00FC6914"/>
    <w:rsid w:val="00FC7090"/>
    <w:rsid w:val="00FD0AA4"/>
    <w:rsid w:val="00FD1F44"/>
    <w:rsid w:val="00FD23A7"/>
    <w:rsid w:val="00FD275F"/>
    <w:rsid w:val="00FD31C6"/>
    <w:rsid w:val="00FD3534"/>
    <w:rsid w:val="00FD3F1B"/>
    <w:rsid w:val="00FD3F75"/>
    <w:rsid w:val="00FD51D3"/>
    <w:rsid w:val="00FD6DD8"/>
    <w:rsid w:val="00FD745C"/>
    <w:rsid w:val="00FD79AD"/>
    <w:rsid w:val="00FD7E0C"/>
    <w:rsid w:val="00FD7FE0"/>
    <w:rsid w:val="00FE07EA"/>
    <w:rsid w:val="00FE0EEA"/>
    <w:rsid w:val="00FE10BB"/>
    <w:rsid w:val="00FE1577"/>
    <w:rsid w:val="00FE24F7"/>
    <w:rsid w:val="00FE28A8"/>
    <w:rsid w:val="00FE4219"/>
    <w:rsid w:val="00FE45E0"/>
    <w:rsid w:val="00FE573B"/>
    <w:rsid w:val="00FE7DD9"/>
    <w:rsid w:val="00FE7F50"/>
    <w:rsid w:val="00FF0F4D"/>
    <w:rsid w:val="00FF15BF"/>
    <w:rsid w:val="00FF189F"/>
    <w:rsid w:val="00FF1C2B"/>
    <w:rsid w:val="00FF1ED7"/>
    <w:rsid w:val="00FF1FA8"/>
    <w:rsid w:val="00FF2421"/>
    <w:rsid w:val="00FF29E7"/>
    <w:rsid w:val="00FF2D5E"/>
    <w:rsid w:val="00FF2E4A"/>
    <w:rsid w:val="00FF4DAD"/>
    <w:rsid w:val="00FF5576"/>
    <w:rsid w:val="00FF5BFA"/>
    <w:rsid w:val="00FF5FD5"/>
    <w:rsid w:val="00FF62D9"/>
    <w:rsid w:val="00FF695A"/>
    <w:rsid w:val="00FF7504"/>
    <w:rsid w:val="0143C086"/>
    <w:rsid w:val="01614E3D"/>
    <w:rsid w:val="01C15119"/>
    <w:rsid w:val="0253BE20"/>
    <w:rsid w:val="027716A4"/>
    <w:rsid w:val="02FD1E9E"/>
    <w:rsid w:val="03039C95"/>
    <w:rsid w:val="030A6506"/>
    <w:rsid w:val="0341A1C9"/>
    <w:rsid w:val="03A2DD16"/>
    <w:rsid w:val="03C55282"/>
    <w:rsid w:val="03DA9579"/>
    <w:rsid w:val="03DCF7DE"/>
    <w:rsid w:val="03E705D0"/>
    <w:rsid w:val="0423F75E"/>
    <w:rsid w:val="046FAA0A"/>
    <w:rsid w:val="04C5B9B0"/>
    <w:rsid w:val="04CD9DEC"/>
    <w:rsid w:val="053EAD77"/>
    <w:rsid w:val="053FEDBD"/>
    <w:rsid w:val="0566720B"/>
    <w:rsid w:val="05709BA0"/>
    <w:rsid w:val="05F15037"/>
    <w:rsid w:val="0700DF38"/>
    <w:rsid w:val="0739BD2A"/>
    <w:rsid w:val="0791CE9C"/>
    <w:rsid w:val="07BE2207"/>
    <w:rsid w:val="07C30764"/>
    <w:rsid w:val="08200AD1"/>
    <w:rsid w:val="087A9D0D"/>
    <w:rsid w:val="09DD7AE8"/>
    <w:rsid w:val="09F13C6C"/>
    <w:rsid w:val="0A0BD8CE"/>
    <w:rsid w:val="0A1F520E"/>
    <w:rsid w:val="0A48DA2C"/>
    <w:rsid w:val="0A59EAF8"/>
    <w:rsid w:val="0A86E02A"/>
    <w:rsid w:val="0AB525EB"/>
    <w:rsid w:val="0B3E1216"/>
    <w:rsid w:val="0BADEEFB"/>
    <w:rsid w:val="0BE04952"/>
    <w:rsid w:val="0D34E5D3"/>
    <w:rsid w:val="0E823DCA"/>
    <w:rsid w:val="0EB4445A"/>
    <w:rsid w:val="0EFE1958"/>
    <w:rsid w:val="0F1144C0"/>
    <w:rsid w:val="0F4D779A"/>
    <w:rsid w:val="0F88970E"/>
    <w:rsid w:val="1042EFCD"/>
    <w:rsid w:val="1135A9E6"/>
    <w:rsid w:val="1165044D"/>
    <w:rsid w:val="11A1005A"/>
    <w:rsid w:val="1306510A"/>
    <w:rsid w:val="1362EFE6"/>
    <w:rsid w:val="13B75B67"/>
    <w:rsid w:val="13F5D962"/>
    <w:rsid w:val="146D4AA8"/>
    <w:rsid w:val="1476FC41"/>
    <w:rsid w:val="147BB0C0"/>
    <w:rsid w:val="14E900B8"/>
    <w:rsid w:val="1575135C"/>
    <w:rsid w:val="1625E3DA"/>
    <w:rsid w:val="16387570"/>
    <w:rsid w:val="16BA5364"/>
    <w:rsid w:val="16BE6934"/>
    <w:rsid w:val="16F995B2"/>
    <w:rsid w:val="174F1260"/>
    <w:rsid w:val="184ADFAB"/>
    <w:rsid w:val="187F8600"/>
    <w:rsid w:val="199AF4AC"/>
    <w:rsid w:val="19BD49FE"/>
    <w:rsid w:val="19C4A1D7"/>
    <w:rsid w:val="1A4C1607"/>
    <w:rsid w:val="1AC45C3E"/>
    <w:rsid w:val="1B02DCFA"/>
    <w:rsid w:val="1B1A5FDE"/>
    <w:rsid w:val="1B34A968"/>
    <w:rsid w:val="1C0FC84A"/>
    <w:rsid w:val="1C40C1DB"/>
    <w:rsid w:val="1C9D4FEB"/>
    <w:rsid w:val="1CA856BA"/>
    <w:rsid w:val="1CDDBABA"/>
    <w:rsid w:val="1E6C2FB4"/>
    <w:rsid w:val="1EB537E6"/>
    <w:rsid w:val="1EF20E2D"/>
    <w:rsid w:val="1FBA4AB2"/>
    <w:rsid w:val="1FC24E32"/>
    <w:rsid w:val="1FCCFC1B"/>
    <w:rsid w:val="1FD754A7"/>
    <w:rsid w:val="1FE08A99"/>
    <w:rsid w:val="206397E3"/>
    <w:rsid w:val="2069B5CE"/>
    <w:rsid w:val="211432FE"/>
    <w:rsid w:val="212EBF91"/>
    <w:rsid w:val="21721E7E"/>
    <w:rsid w:val="219B3808"/>
    <w:rsid w:val="21B866F4"/>
    <w:rsid w:val="21C22D12"/>
    <w:rsid w:val="225B3CEF"/>
    <w:rsid w:val="22899F5E"/>
    <w:rsid w:val="229AC436"/>
    <w:rsid w:val="22C13957"/>
    <w:rsid w:val="22D1BA57"/>
    <w:rsid w:val="24555F40"/>
    <w:rsid w:val="247CCD33"/>
    <w:rsid w:val="248455C0"/>
    <w:rsid w:val="24A819C7"/>
    <w:rsid w:val="24B53533"/>
    <w:rsid w:val="24DC9F2D"/>
    <w:rsid w:val="250C6897"/>
    <w:rsid w:val="258D636F"/>
    <w:rsid w:val="260ABBB2"/>
    <w:rsid w:val="2617629B"/>
    <w:rsid w:val="261CF63C"/>
    <w:rsid w:val="26458FA1"/>
    <w:rsid w:val="2670303E"/>
    <w:rsid w:val="269723A1"/>
    <w:rsid w:val="26B04BEB"/>
    <w:rsid w:val="2763129F"/>
    <w:rsid w:val="27C9370B"/>
    <w:rsid w:val="288CB34D"/>
    <w:rsid w:val="28C50431"/>
    <w:rsid w:val="2AE788E6"/>
    <w:rsid w:val="2B22FBF5"/>
    <w:rsid w:val="2B3FAFEA"/>
    <w:rsid w:val="2B53A758"/>
    <w:rsid w:val="2BDD7B46"/>
    <w:rsid w:val="2BFCA4F3"/>
    <w:rsid w:val="2CDE63C1"/>
    <w:rsid w:val="2D6CBCEA"/>
    <w:rsid w:val="2D7729DF"/>
    <w:rsid w:val="2DBFD051"/>
    <w:rsid w:val="2DD93192"/>
    <w:rsid w:val="2DE43CBB"/>
    <w:rsid w:val="2E06CF0F"/>
    <w:rsid w:val="2EDE75A1"/>
    <w:rsid w:val="2F022127"/>
    <w:rsid w:val="2F7A2BE5"/>
    <w:rsid w:val="2FD85C02"/>
    <w:rsid w:val="3022C5FD"/>
    <w:rsid w:val="30B58A77"/>
    <w:rsid w:val="3101E2AC"/>
    <w:rsid w:val="3135414C"/>
    <w:rsid w:val="3137565D"/>
    <w:rsid w:val="31D4BAE9"/>
    <w:rsid w:val="3228FAA3"/>
    <w:rsid w:val="3285EAFF"/>
    <w:rsid w:val="32861F3D"/>
    <w:rsid w:val="3289042F"/>
    <w:rsid w:val="328EBA27"/>
    <w:rsid w:val="33317809"/>
    <w:rsid w:val="3351D681"/>
    <w:rsid w:val="33A4356A"/>
    <w:rsid w:val="3474C5F8"/>
    <w:rsid w:val="34B68CF2"/>
    <w:rsid w:val="34FA2AE7"/>
    <w:rsid w:val="357DA82A"/>
    <w:rsid w:val="35ED7880"/>
    <w:rsid w:val="3614A635"/>
    <w:rsid w:val="3661807A"/>
    <w:rsid w:val="36E446EE"/>
    <w:rsid w:val="37474520"/>
    <w:rsid w:val="374F765E"/>
    <w:rsid w:val="37EA97C9"/>
    <w:rsid w:val="37FA106E"/>
    <w:rsid w:val="380077DC"/>
    <w:rsid w:val="382735E6"/>
    <w:rsid w:val="383B19F5"/>
    <w:rsid w:val="38C2BCC4"/>
    <w:rsid w:val="394F0DF4"/>
    <w:rsid w:val="3986682A"/>
    <w:rsid w:val="399CC660"/>
    <w:rsid w:val="39E99F42"/>
    <w:rsid w:val="3A67D055"/>
    <w:rsid w:val="3AB1B7BD"/>
    <w:rsid w:val="3AD049DD"/>
    <w:rsid w:val="3AD83363"/>
    <w:rsid w:val="3B74ECE4"/>
    <w:rsid w:val="3BABD3A4"/>
    <w:rsid w:val="3C96E4DA"/>
    <w:rsid w:val="3CBE08EC"/>
    <w:rsid w:val="3CCE407F"/>
    <w:rsid w:val="3D30829D"/>
    <w:rsid w:val="3D58A5F4"/>
    <w:rsid w:val="3E2F6ADB"/>
    <w:rsid w:val="3E5EBD4C"/>
    <w:rsid w:val="3EE770E4"/>
    <w:rsid w:val="3EF6A621"/>
    <w:rsid w:val="3F12E3AB"/>
    <w:rsid w:val="3F4DFF41"/>
    <w:rsid w:val="3F5A8843"/>
    <w:rsid w:val="3F65C18C"/>
    <w:rsid w:val="3FEC0567"/>
    <w:rsid w:val="40317002"/>
    <w:rsid w:val="4107D0E4"/>
    <w:rsid w:val="415A16E6"/>
    <w:rsid w:val="41A5B4D6"/>
    <w:rsid w:val="41D44260"/>
    <w:rsid w:val="420DD786"/>
    <w:rsid w:val="42775B2F"/>
    <w:rsid w:val="428428DA"/>
    <w:rsid w:val="42853D02"/>
    <w:rsid w:val="428DC759"/>
    <w:rsid w:val="4291C56C"/>
    <w:rsid w:val="432D8442"/>
    <w:rsid w:val="4349D644"/>
    <w:rsid w:val="442D5AA4"/>
    <w:rsid w:val="4462ADAA"/>
    <w:rsid w:val="44EF9EB1"/>
    <w:rsid w:val="4505EE62"/>
    <w:rsid w:val="453E10E1"/>
    <w:rsid w:val="45774447"/>
    <w:rsid w:val="45829BAD"/>
    <w:rsid w:val="45C19889"/>
    <w:rsid w:val="45C270C1"/>
    <w:rsid w:val="46653122"/>
    <w:rsid w:val="46CD16C3"/>
    <w:rsid w:val="46EA0571"/>
    <w:rsid w:val="46FBD00A"/>
    <w:rsid w:val="47A53F9C"/>
    <w:rsid w:val="47B7EACE"/>
    <w:rsid w:val="4890DF49"/>
    <w:rsid w:val="48A327D9"/>
    <w:rsid w:val="48F9394B"/>
    <w:rsid w:val="4917F446"/>
    <w:rsid w:val="49BB11B0"/>
    <w:rsid w:val="49F48EBA"/>
    <w:rsid w:val="49FAF456"/>
    <w:rsid w:val="4A33703B"/>
    <w:rsid w:val="4A4192CD"/>
    <w:rsid w:val="4A8D069D"/>
    <w:rsid w:val="4A9243A9"/>
    <w:rsid w:val="4BAD291A"/>
    <w:rsid w:val="4C315B3C"/>
    <w:rsid w:val="4C87DCC4"/>
    <w:rsid w:val="4D17623F"/>
    <w:rsid w:val="4D1B0687"/>
    <w:rsid w:val="4D2C2F7C"/>
    <w:rsid w:val="4E74A253"/>
    <w:rsid w:val="4E86BEF9"/>
    <w:rsid w:val="4EBBB29C"/>
    <w:rsid w:val="4EC888E5"/>
    <w:rsid w:val="4FD432C6"/>
    <w:rsid w:val="4FDD8522"/>
    <w:rsid w:val="50093A71"/>
    <w:rsid w:val="5014A7AC"/>
    <w:rsid w:val="502A1934"/>
    <w:rsid w:val="51245C59"/>
    <w:rsid w:val="519F0027"/>
    <w:rsid w:val="51B3CB26"/>
    <w:rsid w:val="51CE5292"/>
    <w:rsid w:val="529FAF4A"/>
    <w:rsid w:val="52C2D842"/>
    <w:rsid w:val="5382B58F"/>
    <w:rsid w:val="5382E765"/>
    <w:rsid w:val="546CCDA5"/>
    <w:rsid w:val="54DB9EB8"/>
    <w:rsid w:val="54E2DD4D"/>
    <w:rsid w:val="5560CD8B"/>
    <w:rsid w:val="55DD4EF1"/>
    <w:rsid w:val="56138143"/>
    <w:rsid w:val="56780867"/>
    <w:rsid w:val="567FC7E4"/>
    <w:rsid w:val="56D5DADC"/>
    <w:rsid w:val="581C02BC"/>
    <w:rsid w:val="58F179F3"/>
    <w:rsid w:val="58FA2AE4"/>
    <w:rsid w:val="58FE223E"/>
    <w:rsid w:val="591BCFF3"/>
    <w:rsid w:val="5939FCB7"/>
    <w:rsid w:val="595594ED"/>
    <w:rsid w:val="596B3F72"/>
    <w:rsid w:val="59704A2B"/>
    <w:rsid w:val="59FB1CF9"/>
    <w:rsid w:val="5A4CC6F8"/>
    <w:rsid w:val="5A508476"/>
    <w:rsid w:val="5ADA2EC9"/>
    <w:rsid w:val="5B581C4D"/>
    <w:rsid w:val="5BB899E7"/>
    <w:rsid w:val="5C1F770C"/>
    <w:rsid w:val="5C70BCF9"/>
    <w:rsid w:val="5C9227F9"/>
    <w:rsid w:val="5CC8EF4B"/>
    <w:rsid w:val="5CD2CB2E"/>
    <w:rsid w:val="5D3B41EB"/>
    <w:rsid w:val="5D652406"/>
    <w:rsid w:val="5D687584"/>
    <w:rsid w:val="5D7EE680"/>
    <w:rsid w:val="5DD81F26"/>
    <w:rsid w:val="5E55B168"/>
    <w:rsid w:val="5E785183"/>
    <w:rsid w:val="5EA8306D"/>
    <w:rsid w:val="5F4A1E23"/>
    <w:rsid w:val="5FA95BB0"/>
    <w:rsid w:val="5FDB4762"/>
    <w:rsid w:val="61116561"/>
    <w:rsid w:val="6144E521"/>
    <w:rsid w:val="619A9266"/>
    <w:rsid w:val="6233FA3B"/>
    <w:rsid w:val="6256EF8C"/>
    <w:rsid w:val="626EC6A5"/>
    <w:rsid w:val="62860D70"/>
    <w:rsid w:val="62E8CC83"/>
    <w:rsid w:val="62F0FDC1"/>
    <w:rsid w:val="62F844E5"/>
    <w:rsid w:val="6325D7B3"/>
    <w:rsid w:val="63397868"/>
    <w:rsid w:val="63B29211"/>
    <w:rsid w:val="641B0183"/>
    <w:rsid w:val="64250054"/>
    <w:rsid w:val="64E4278E"/>
    <w:rsid w:val="6527EF8D"/>
    <w:rsid w:val="653512AF"/>
    <w:rsid w:val="656F6B9B"/>
    <w:rsid w:val="661F1E61"/>
    <w:rsid w:val="66483038"/>
    <w:rsid w:val="66765D56"/>
    <w:rsid w:val="66D421E8"/>
    <w:rsid w:val="6775F563"/>
    <w:rsid w:val="678B2FC2"/>
    <w:rsid w:val="679AD513"/>
    <w:rsid w:val="68827637"/>
    <w:rsid w:val="6896EA1E"/>
    <w:rsid w:val="69F535FE"/>
    <w:rsid w:val="6A10B3CE"/>
    <w:rsid w:val="6A308FB2"/>
    <w:rsid w:val="6A3DDA2E"/>
    <w:rsid w:val="6A42D196"/>
    <w:rsid w:val="6A76D910"/>
    <w:rsid w:val="6ABADBF2"/>
    <w:rsid w:val="6AE041D3"/>
    <w:rsid w:val="6BBD82DA"/>
    <w:rsid w:val="6BC2C94A"/>
    <w:rsid w:val="6C1FAEAB"/>
    <w:rsid w:val="6C8E7755"/>
    <w:rsid w:val="6D62E214"/>
    <w:rsid w:val="6D9E0A1E"/>
    <w:rsid w:val="6E26D477"/>
    <w:rsid w:val="6E33435D"/>
    <w:rsid w:val="6EAA2E95"/>
    <w:rsid w:val="6EB26054"/>
    <w:rsid w:val="6F3E465D"/>
    <w:rsid w:val="6F65A46A"/>
    <w:rsid w:val="6F82FAAC"/>
    <w:rsid w:val="6F830E4F"/>
    <w:rsid w:val="6FAA1ED3"/>
    <w:rsid w:val="6FBA0CF0"/>
    <w:rsid w:val="6FC1E6A5"/>
    <w:rsid w:val="7012F3F4"/>
    <w:rsid w:val="70593D52"/>
    <w:rsid w:val="7090F3FD"/>
    <w:rsid w:val="70C6C3BE"/>
    <w:rsid w:val="70D4BBFC"/>
    <w:rsid w:val="7115F08F"/>
    <w:rsid w:val="713C227A"/>
    <w:rsid w:val="713D8310"/>
    <w:rsid w:val="720184FF"/>
    <w:rsid w:val="72444B21"/>
    <w:rsid w:val="72989C49"/>
    <w:rsid w:val="72E8DDB3"/>
    <w:rsid w:val="73BB780F"/>
    <w:rsid w:val="7455B5E9"/>
    <w:rsid w:val="74635389"/>
    <w:rsid w:val="7499AEDE"/>
    <w:rsid w:val="74D96181"/>
    <w:rsid w:val="752DFA93"/>
    <w:rsid w:val="757FDB78"/>
    <w:rsid w:val="759F8407"/>
    <w:rsid w:val="75E9BF77"/>
    <w:rsid w:val="7603BFC5"/>
    <w:rsid w:val="7649DA13"/>
    <w:rsid w:val="764AD5C0"/>
    <w:rsid w:val="7671ADAC"/>
    <w:rsid w:val="767BE505"/>
    <w:rsid w:val="768037FF"/>
    <w:rsid w:val="76D4F622"/>
    <w:rsid w:val="7767756B"/>
    <w:rsid w:val="7767A1F5"/>
    <w:rsid w:val="781ACA6B"/>
    <w:rsid w:val="782E8C0F"/>
    <w:rsid w:val="78B55AC4"/>
    <w:rsid w:val="78C71169"/>
    <w:rsid w:val="791FBAC0"/>
    <w:rsid w:val="795CF6FA"/>
    <w:rsid w:val="798B718F"/>
    <w:rsid w:val="799DDE9E"/>
    <w:rsid w:val="7A89E4BC"/>
    <w:rsid w:val="7A93D09A"/>
    <w:rsid w:val="7A985CDF"/>
    <w:rsid w:val="7AB86FFC"/>
    <w:rsid w:val="7AF8C75B"/>
    <w:rsid w:val="7B7D4706"/>
    <w:rsid w:val="7BA0D4C9"/>
    <w:rsid w:val="7BCD4A0C"/>
    <w:rsid w:val="7BDA0E46"/>
    <w:rsid w:val="7C224A3D"/>
    <w:rsid w:val="7C24D8F2"/>
    <w:rsid w:val="7C434314"/>
    <w:rsid w:val="7C693916"/>
    <w:rsid w:val="7C9B2381"/>
    <w:rsid w:val="7D079BE2"/>
    <w:rsid w:val="7D26286E"/>
    <w:rsid w:val="7D5C9AAD"/>
    <w:rsid w:val="7D7F1E45"/>
    <w:rsid w:val="7E036D93"/>
    <w:rsid w:val="7E5A8989"/>
    <w:rsid w:val="7E7EB050"/>
    <w:rsid w:val="7EE894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08829"/>
  <w15:docId w15:val="{8CAAC2E6-7A22-4A39-8333-4677D3DD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9D7"/>
    <w:rPr>
      <w:rFonts w:ascii="Verdana" w:hAnsi="Verdana"/>
      <w:color w:val="000000"/>
      <w:sz w:val="24"/>
      <w:szCs w:val="24"/>
      <w:lang w:eastAsia="en-US"/>
    </w:rPr>
  </w:style>
  <w:style w:type="paragraph" w:styleId="Heading1">
    <w:name w:val="heading 1"/>
    <w:basedOn w:val="Normal"/>
    <w:next w:val="Normal"/>
    <w:link w:val="Heading1Char"/>
    <w:qFormat/>
    <w:rsid w:val="008B71A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B71A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B71A9"/>
    <w:pPr>
      <w:keepNext/>
      <w:spacing w:before="240" w:after="60"/>
      <w:outlineLvl w:val="2"/>
    </w:pPr>
    <w:rPr>
      <w:rFonts w:ascii="Arial" w:hAnsi="Arial" w:cs="Arial"/>
      <w:b/>
      <w:bCs/>
      <w:color w:val="auto"/>
      <w:sz w:val="26"/>
      <w:szCs w:val="26"/>
    </w:rPr>
  </w:style>
  <w:style w:type="paragraph" w:styleId="Heading4">
    <w:name w:val="heading 4"/>
    <w:basedOn w:val="Normal"/>
    <w:next w:val="Normal"/>
    <w:link w:val="Heading4Char"/>
    <w:qFormat/>
    <w:rsid w:val="008B71A9"/>
    <w:pPr>
      <w:keepNext/>
      <w:spacing w:before="240" w:after="60"/>
      <w:outlineLvl w:val="3"/>
    </w:pPr>
    <w:rPr>
      <w:rFonts w:ascii="Times New Roman" w:hAnsi="Times New Roman"/>
      <w:b/>
      <w:bCs/>
      <w:color w:val="auto"/>
      <w:sz w:val="28"/>
      <w:szCs w:val="28"/>
    </w:rPr>
  </w:style>
  <w:style w:type="paragraph" w:styleId="Heading5">
    <w:name w:val="heading 5"/>
    <w:basedOn w:val="Normal"/>
    <w:next w:val="Normal"/>
    <w:link w:val="Heading5Char"/>
    <w:qFormat/>
    <w:rsid w:val="008B71A9"/>
    <w:pPr>
      <w:keepNext/>
      <w:widowControl w:val="0"/>
      <w:autoSpaceDE w:val="0"/>
      <w:autoSpaceDN w:val="0"/>
      <w:adjustRightInd w:val="0"/>
      <w:ind w:firstLine="567"/>
      <w:outlineLvl w:val="4"/>
    </w:pPr>
    <w:rPr>
      <w:b/>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6A01"/>
    <w:rPr>
      <w:rFonts w:ascii="Arial" w:hAnsi="Arial" w:cs="Arial"/>
      <w:b/>
      <w:bCs/>
      <w:color w:val="000000"/>
      <w:kern w:val="32"/>
      <w:sz w:val="32"/>
      <w:szCs w:val="32"/>
      <w:lang w:val="en-GB" w:eastAsia="en-US" w:bidi="ar-SA"/>
    </w:rPr>
  </w:style>
  <w:style w:type="character" w:customStyle="1" w:styleId="Heading2Char">
    <w:name w:val="Heading 2 Char"/>
    <w:link w:val="Heading2"/>
    <w:rsid w:val="00886A01"/>
    <w:rPr>
      <w:rFonts w:ascii="Arial" w:hAnsi="Arial" w:cs="Arial"/>
      <w:b/>
      <w:bCs/>
      <w:i/>
      <w:iCs/>
      <w:color w:val="000000"/>
      <w:sz w:val="28"/>
      <w:szCs w:val="28"/>
      <w:lang w:val="en-GB" w:eastAsia="en-US" w:bidi="ar-SA"/>
    </w:rPr>
  </w:style>
  <w:style w:type="character" w:customStyle="1" w:styleId="Heading3Char">
    <w:name w:val="Heading 3 Char"/>
    <w:link w:val="Heading3"/>
    <w:rsid w:val="00886A01"/>
    <w:rPr>
      <w:rFonts w:ascii="Arial" w:hAnsi="Arial" w:cs="Arial"/>
      <w:b/>
      <w:bCs/>
      <w:sz w:val="26"/>
      <w:szCs w:val="26"/>
      <w:lang w:val="en-GB" w:eastAsia="en-US" w:bidi="ar-SA"/>
    </w:rPr>
  </w:style>
  <w:style w:type="character" w:customStyle="1" w:styleId="Heading4Char">
    <w:name w:val="Heading 4 Char"/>
    <w:link w:val="Heading4"/>
    <w:rsid w:val="00886A01"/>
    <w:rPr>
      <w:b/>
      <w:bCs/>
      <w:sz w:val="28"/>
      <w:szCs w:val="28"/>
      <w:lang w:val="en-GB" w:eastAsia="en-US" w:bidi="ar-SA"/>
    </w:rPr>
  </w:style>
  <w:style w:type="character" w:customStyle="1" w:styleId="Heading5Char">
    <w:name w:val="Heading 5 Char"/>
    <w:link w:val="Heading5"/>
    <w:rsid w:val="00886A01"/>
    <w:rPr>
      <w:rFonts w:ascii="Verdana" w:hAnsi="Verdana"/>
      <w:b/>
      <w:sz w:val="22"/>
      <w:szCs w:val="22"/>
      <w:lang w:val="en-GB" w:eastAsia="en-US" w:bidi="ar-SA"/>
    </w:rPr>
  </w:style>
  <w:style w:type="paragraph" w:customStyle="1" w:styleId="HouseStyle1">
    <w:name w:val="House Style1"/>
    <w:basedOn w:val="Normal"/>
    <w:autoRedefine/>
    <w:rsid w:val="008B71A9"/>
    <w:pPr>
      <w:framePr w:wrap="around" w:vAnchor="text" w:hAnchor="text" w:y="1"/>
      <w:tabs>
        <w:tab w:val="left" w:pos="1701"/>
      </w:tabs>
      <w:ind w:left="-120"/>
    </w:pPr>
  </w:style>
  <w:style w:type="paragraph" w:customStyle="1" w:styleId="Style1">
    <w:name w:val="Style1"/>
    <w:basedOn w:val="Normal"/>
    <w:autoRedefine/>
    <w:rsid w:val="008B71A9"/>
    <w:pPr>
      <w:tabs>
        <w:tab w:val="left" w:pos="1701"/>
      </w:tabs>
    </w:pPr>
  </w:style>
  <w:style w:type="paragraph" w:styleId="Footer">
    <w:name w:val="footer"/>
    <w:basedOn w:val="Normal"/>
    <w:link w:val="FooterChar"/>
    <w:uiPriority w:val="99"/>
    <w:rsid w:val="008B71A9"/>
    <w:pPr>
      <w:tabs>
        <w:tab w:val="center" w:pos="4320"/>
        <w:tab w:val="right" w:pos="8640"/>
      </w:tabs>
    </w:pPr>
  </w:style>
  <w:style w:type="character" w:styleId="PageNumber">
    <w:name w:val="page number"/>
    <w:basedOn w:val="DefaultParagraphFont"/>
    <w:rsid w:val="008B71A9"/>
  </w:style>
  <w:style w:type="character" w:styleId="Hyperlink">
    <w:name w:val="Hyperlink"/>
    <w:uiPriority w:val="99"/>
    <w:rsid w:val="008B71A9"/>
    <w:rPr>
      <w:color w:val="0000FF"/>
      <w:u w:val="single"/>
    </w:rPr>
  </w:style>
  <w:style w:type="character" w:customStyle="1" w:styleId="HouseStyle1CharChar">
    <w:name w:val="House Style1 Char Char"/>
    <w:link w:val="HouseStyle1Char"/>
    <w:rsid w:val="008B71A9"/>
    <w:rPr>
      <w:rFonts w:ascii="Verdana" w:hAnsi="Verdana"/>
      <w:color w:val="000000"/>
      <w:sz w:val="24"/>
      <w:szCs w:val="24"/>
      <w:lang w:val="en-GB" w:eastAsia="en-US" w:bidi="ar-SA"/>
    </w:rPr>
  </w:style>
  <w:style w:type="paragraph" w:customStyle="1" w:styleId="HouseStyle1Char">
    <w:name w:val="House Style1 Char"/>
    <w:basedOn w:val="Normal"/>
    <w:link w:val="HouseStyle1CharChar"/>
    <w:autoRedefine/>
    <w:rsid w:val="008B71A9"/>
    <w:pPr>
      <w:framePr w:wrap="around" w:vAnchor="text" w:hAnchor="text" w:y="1"/>
      <w:tabs>
        <w:tab w:val="left" w:pos="1701"/>
      </w:tabs>
      <w:ind w:left="-120"/>
    </w:pPr>
  </w:style>
  <w:style w:type="paragraph" w:styleId="BodyText3">
    <w:name w:val="Body Text 3"/>
    <w:basedOn w:val="Normal"/>
    <w:link w:val="BodyText3Char"/>
    <w:rsid w:val="008B71A9"/>
    <w:pPr>
      <w:ind w:right="44"/>
      <w:jc w:val="both"/>
    </w:pPr>
    <w:rPr>
      <w:rFonts w:ascii="Times New Roman" w:hAnsi="Times New Roman"/>
      <w:color w:val="auto"/>
      <w:szCs w:val="22"/>
    </w:rPr>
  </w:style>
  <w:style w:type="character" w:customStyle="1" w:styleId="BodyText3Char">
    <w:name w:val="Body Text 3 Char"/>
    <w:link w:val="BodyText3"/>
    <w:rsid w:val="00517462"/>
    <w:rPr>
      <w:sz w:val="24"/>
      <w:szCs w:val="22"/>
      <w:lang w:val="en-GB" w:eastAsia="en-US" w:bidi="ar-SA"/>
    </w:rPr>
  </w:style>
  <w:style w:type="table" w:styleId="TableGrid">
    <w:name w:val="Table Grid"/>
    <w:basedOn w:val="TableNormal"/>
    <w:rsid w:val="008B71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B71A9"/>
    <w:rPr>
      <w:sz w:val="16"/>
      <w:szCs w:val="16"/>
    </w:rPr>
  </w:style>
  <w:style w:type="paragraph" w:styleId="CommentText">
    <w:name w:val="annotation text"/>
    <w:basedOn w:val="Normal"/>
    <w:link w:val="CommentTextChar"/>
    <w:rsid w:val="008B71A9"/>
    <w:rPr>
      <w:sz w:val="20"/>
      <w:szCs w:val="20"/>
    </w:rPr>
  </w:style>
  <w:style w:type="paragraph" w:styleId="CommentSubject">
    <w:name w:val="annotation subject"/>
    <w:basedOn w:val="CommentText"/>
    <w:next w:val="CommentText"/>
    <w:link w:val="CommentSubjectChar"/>
    <w:semiHidden/>
    <w:rsid w:val="008B71A9"/>
    <w:rPr>
      <w:b/>
      <w:bCs/>
    </w:rPr>
  </w:style>
  <w:style w:type="paragraph" w:styleId="BalloonText">
    <w:name w:val="Balloon Text"/>
    <w:basedOn w:val="Normal"/>
    <w:link w:val="BalloonTextChar"/>
    <w:rsid w:val="008B71A9"/>
    <w:rPr>
      <w:rFonts w:ascii="Tahoma" w:hAnsi="Tahoma" w:cs="Tahoma"/>
      <w:sz w:val="16"/>
      <w:szCs w:val="16"/>
    </w:rPr>
  </w:style>
  <w:style w:type="character" w:styleId="Strong">
    <w:name w:val="Strong"/>
    <w:qFormat/>
    <w:rsid w:val="008B71A9"/>
    <w:rPr>
      <w:b/>
      <w:bCs/>
    </w:rPr>
  </w:style>
  <w:style w:type="paragraph" w:styleId="NormalWeb">
    <w:name w:val="Normal (Web)"/>
    <w:basedOn w:val="Normal"/>
    <w:uiPriority w:val="99"/>
    <w:rsid w:val="008B71A9"/>
    <w:pPr>
      <w:spacing w:before="100" w:beforeAutospacing="1" w:after="100" w:afterAutospacing="1"/>
    </w:pPr>
    <w:rPr>
      <w:rFonts w:ascii="Times New Roman" w:hAnsi="Times New Roman"/>
      <w:color w:val="auto"/>
      <w:lang w:val="en-US"/>
    </w:rPr>
  </w:style>
  <w:style w:type="character" w:styleId="Emphasis">
    <w:name w:val="Emphasis"/>
    <w:qFormat/>
    <w:rsid w:val="008B71A9"/>
    <w:rPr>
      <w:i/>
      <w:iCs/>
    </w:rPr>
  </w:style>
  <w:style w:type="character" w:customStyle="1" w:styleId="doccontentheading1">
    <w:name w:val="doccontentheading1"/>
    <w:rsid w:val="008B71A9"/>
    <w:rPr>
      <w:b/>
      <w:bCs/>
      <w:color w:val="C64934"/>
      <w:sz w:val="17"/>
      <w:szCs w:val="17"/>
    </w:rPr>
  </w:style>
  <w:style w:type="paragraph" w:styleId="Header">
    <w:name w:val="header"/>
    <w:basedOn w:val="Normal"/>
    <w:link w:val="HeaderChar"/>
    <w:uiPriority w:val="99"/>
    <w:rsid w:val="008B71A9"/>
    <w:pPr>
      <w:tabs>
        <w:tab w:val="center" w:pos="4320"/>
        <w:tab w:val="right" w:pos="8640"/>
      </w:tabs>
    </w:pPr>
  </w:style>
  <w:style w:type="paragraph" w:styleId="BodyText">
    <w:name w:val="Body Text"/>
    <w:basedOn w:val="Normal"/>
    <w:link w:val="BodyTextChar"/>
    <w:qFormat/>
    <w:rsid w:val="008B71A9"/>
    <w:pPr>
      <w:spacing w:after="120"/>
    </w:pPr>
  </w:style>
  <w:style w:type="paragraph" w:styleId="BodyText2">
    <w:name w:val="Body Text 2"/>
    <w:basedOn w:val="Normal"/>
    <w:link w:val="BodyText2Char"/>
    <w:rsid w:val="008B71A9"/>
    <w:pPr>
      <w:spacing w:after="120" w:line="480" w:lineRule="auto"/>
    </w:pPr>
  </w:style>
  <w:style w:type="character" w:customStyle="1" w:styleId="BodyText2Char">
    <w:name w:val="Body Text 2 Char"/>
    <w:link w:val="BodyText2"/>
    <w:rsid w:val="00517462"/>
    <w:rPr>
      <w:rFonts w:ascii="Verdana" w:hAnsi="Verdana"/>
      <w:color w:val="000000"/>
      <w:sz w:val="24"/>
      <w:szCs w:val="24"/>
      <w:lang w:val="en-GB" w:eastAsia="en-US" w:bidi="ar-SA"/>
    </w:rPr>
  </w:style>
  <w:style w:type="paragraph" w:styleId="Title">
    <w:name w:val="Title"/>
    <w:basedOn w:val="Normal"/>
    <w:link w:val="TitleChar"/>
    <w:qFormat/>
    <w:rsid w:val="008B71A9"/>
    <w:pPr>
      <w:jc w:val="center"/>
    </w:pPr>
    <w:rPr>
      <w:rFonts w:ascii="Times New Roman" w:hAnsi="Times New Roman"/>
      <w:b/>
      <w:color w:val="auto"/>
      <w:sz w:val="28"/>
      <w:szCs w:val="20"/>
    </w:rPr>
  </w:style>
  <w:style w:type="character" w:customStyle="1" w:styleId="TitleChar">
    <w:name w:val="Title Char"/>
    <w:link w:val="Title"/>
    <w:rsid w:val="00517462"/>
    <w:rPr>
      <w:b/>
      <w:sz w:val="28"/>
      <w:lang w:val="en-GB" w:eastAsia="en-US" w:bidi="ar-SA"/>
    </w:rPr>
  </w:style>
  <w:style w:type="paragraph" w:styleId="BodyTextIndent">
    <w:name w:val="Body Text Indent"/>
    <w:basedOn w:val="Normal"/>
    <w:link w:val="BodyTextIndentChar"/>
    <w:rsid w:val="008B71A9"/>
    <w:pPr>
      <w:spacing w:after="120"/>
      <w:ind w:left="283"/>
    </w:pPr>
  </w:style>
  <w:style w:type="paragraph" w:styleId="BodyTextIndent3">
    <w:name w:val="Body Text Indent 3"/>
    <w:basedOn w:val="Normal"/>
    <w:link w:val="BodyTextIndent3Char"/>
    <w:rsid w:val="008B71A9"/>
    <w:pPr>
      <w:spacing w:after="120"/>
      <w:ind w:left="283"/>
    </w:pPr>
    <w:rPr>
      <w:sz w:val="16"/>
      <w:szCs w:val="16"/>
    </w:rPr>
  </w:style>
  <w:style w:type="character" w:customStyle="1" w:styleId="BodyTextIndent3Char">
    <w:name w:val="Body Text Indent 3 Char"/>
    <w:link w:val="BodyTextIndent3"/>
    <w:rsid w:val="00517462"/>
    <w:rPr>
      <w:rFonts w:ascii="Verdana" w:hAnsi="Verdana"/>
      <w:color w:val="000000"/>
      <w:sz w:val="16"/>
      <w:szCs w:val="16"/>
      <w:lang w:val="en-GB" w:eastAsia="en-US" w:bidi="ar-SA"/>
    </w:rPr>
  </w:style>
  <w:style w:type="paragraph" w:styleId="BodyTextIndent2">
    <w:name w:val="Body Text Indent 2"/>
    <w:basedOn w:val="Normal"/>
    <w:link w:val="BodyTextIndent2Char"/>
    <w:rsid w:val="008B71A9"/>
    <w:pPr>
      <w:spacing w:after="120" w:line="480" w:lineRule="auto"/>
      <w:ind w:left="283"/>
    </w:pPr>
    <w:rPr>
      <w:rFonts w:ascii="Times New Roman" w:hAnsi="Times New Roman"/>
      <w:color w:val="auto"/>
    </w:rPr>
  </w:style>
  <w:style w:type="character" w:customStyle="1" w:styleId="BodyTextIndent2Char">
    <w:name w:val="Body Text Indent 2 Char"/>
    <w:link w:val="BodyTextIndent2"/>
    <w:rsid w:val="00517462"/>
    <w:rPr>
      <w:sz w:val="24"/>
      <w:szCs w:val="24"/>
      <w:lang w:val="en-GB" w:eastAsia="en-US" w:bidi="ar-SA"/>
    </w:rPr>
  </w:style>
  <w:style w:type="character" w:styleId="FollowedHyperlink">
    <w:name w:val="FollowedHyperlink"/>
    <w:rsid w:val="008B71A9"/>
    <w:rPr>
      <w:color w:val="800080"/>
      <w:u w:val="single"/>
    </w:rPr>
  </w:style>
  <w:style w:type="paragraph" w:customStyle="1" w:styleId="sectionpara">
    <w:name w:val="sectionpara"/>
    <w:basedOn w:val="Normal"/>
    <w:rsid w:val="008B71A9"/>
    <w:pPr>
      <w:spacing w:after="240"/>
    </w:pPr>
    <w:rPr>
      <w:rFonts w:ascii="Arial" w:hAnsi="Arial" w:cs="Arial"/>
      <w:color w:val="auto"/>
      <w:lang w:val="en-US"/>
    </w:rPr>
  </w:style>
  <w:style w:type="paragraph" w:customStyle="1" w:styleId="H3">
    <w:name w:val="H3"/>
    <w:basedOn w:val="Normal"/>
    <w:next w:val="Normal"/>
    <w:rsid w:val="008B71A9"/>
    <w:pPr>
      <w:keepNext/>
      <w:spacing w:before="100" w:after="100"/>
      <w:outlineLvl w:val="3"/>
    </w:pPr>
    <w:rPr>
      <w:rFonts w:ascii="Times New Roman" w:hAnsi="Times New Roman"/>
      <w:b/>
      <w:snapToGrid w:val="0"/>
      <w:color w:val="auto"/>
      <w:sz w:val="28"/>
      <w:szCs w:val="20"/>
    </w:rPr>
  </w:style>
  <w:style w:type="paragraph" w:customStyle="1" w:styleId="DefinitionTerm">
    <w:name w:val="Definition Term"/>
    <w:basedOn w:val="Normal"/>
    <w:next w:val="Normal"/>
    <w:rsid w:val="008B71A9"/>
    <w:rPr>
      <w:rFonts w:ascii="Times New Roman" w:hAnsi="Times New Roman"/>
      <w:snapToGrid w:val="0"/>
      <w:color w:val="auto"/>
      <w:szCs w:val="20"/>
    </w:rPr>
  </w:style>
  <w:style w:type="paragraph" w:styleId="FootnoteText">
    <w:name w:val="footnote text"/>
    <w:aliases w:val="Footnote Text Char2,Footnote Text Char Char1,Footnote Text Char1 Char Char,Footnote Text Char Char Char Char,Footnote Text Char2 Char1 Char Char Char,Footnote Text Char1 Char1 Char1 Char Char Char,Footnote Text Char1,Footnote Text Char Cha"/>
    <w:basedOn w:val="Normal"/>
    <w:link w:val="FootnoteTextChar"/>
    <w:uiPriority w:val="99"/>
    <w:qFormat/>
    <w:rsid w:val="008B71A9"/>
    <w:rPr>
      <w:rFonts w:ascii="Times New Roman" w:hAnsi="Times New Roman"/>
      <w:color w:val="auto"/>
      <w:sz w:val="20"/>
      <w:szCs w:val="20"/>
      <w:lang w:eastAsia="en-GB"/>
    </w:rPr>
  </w:style>
  <w:style w:type="character" w:customStyle="1" w:styleId="FootnoteTextChar">
    <w:name w:val="Footnote Text Char"/>
    <w:aliases w:val="Footnote Text Char2 Char,Footnote Text Char Char1 Char,Footnote Text Char1 Char Char Char,Footnote Text Char Char Char Char Char,Footnote Text Char2 Char1 Char Char Char Char,Footnote Text Char1 Char1 Char1 Char Char Char Char"/>
    <w:link w:val="FootnoteText"/>
    <w:uiPriority w:val="99"/>
    <w:rsid w:val="00517462"/>
    <w:rPr>
      <w:lang w:val="en-GB" w:eastAsia="en-GB" w:bidi="ar-SA"/>
    </w:rPr>
  </w:style>
  <w:style w:type="paragraph" w:customStyle="1" w:styleId="Default">
    <w:name w:val="Default"/>
    <w:rsid w:val="008B71A9"/>
    <w:pPr>
      <w:autoSpaceDE w:val="0"/>
      <w:autoSpaceDN w:val="0"/>
      <w:adjustRightInd w:val="0"/>
    </w:pPr>
    <w:rPr>
      <w:rFonts w:ascii="Arial" w:hAnsi="Arial" w:cs="Arial"/>
      <w:color w:val="000000"/>
      <w:sz w:val="24"/>
      <w:szCs w:val="24"/>
      <w:lang w:val="en-US" w:eastAsia="en-US"/>
    </w:rPr>
  </w:style>
  <w:style w:type="paragraph" w:customStyle="1" w:styleId="Style3">
    <w:name w:val="Style 3"/>
    <w:basedOn w:val="Default"/>
    <w:next w:val="Default"/>
    <w:rsid w:val="008B71A9"/>
    <w:pPr>
      <w:spacing w:before="240" w:after="60"/>
    </w:pPr>
    <w:rPr>
      <w:rFonts w:cs="Times New Roman"/>
      <w:color w:val="auto"/>
    </w:rPr>
  </w:style>
  <w:style w:type="paragraph" w:customStyle="1" w:styleId="NormalWeb2">
    <w:name w:val="Normal (Web)2"/>
    <w:basedOn w:val="Normal"/>
    <w:rsid w:val="008B71A9"/>
    <w:pPr>
      <w:spacing w:before="100" w:beforeAutospacing="1" w:after="100" w:afterAutospacing="1"/>
    </w:pPr>
    <w:rPr>
      <w:rFonts w:ascii="Times New Roman" w:hAnsi="Times New Roman"/>
      <w:color w:val="auto"/>
      <w:lang w:val="en-US"/>
    </w:rPr>
  </w:style>
  <w:style w:type="character" w:customStyle="1" w:styleId="EmailStyle58">
    <w:name w:val="EmailStyle58"/>
    <w:semiHidden/>
    <w:rsid w:val="0009306C"/>
    <w:rPr>
      <w:rFonts w:ascii="Verdana" w:hAnsi="Verdana" w:hint="default"/>
      <w:b w:val="0"/>
      <w:bCs w:val="0"/>
      <w:i w:val="0"/>
      <w:iCs w:val="0"/>
      <w:strike w:val="0"/>
      <w:dstrike w:val="0"/>
      <w:color w:val="auto"/>
      <w:sz w:val="24"/>
      <w:szCs w:val="24"/>
      <w:u w:val="none"/>
      <w:effect w:val="none"/>
    </w:rPr>
  </w:style>
  <w:style w:type="paragraph" w:styleId="PlainText">
    <w:name w:val="Plain Text"/>
    <w:basedOn w:val="Normal"/>
    <w:link w:val="PlainTextChar"/>
    <w:uiPriority w:val="99"/>
    <w:rsid w:val="000E7801"/>
    <w:rPr>
      <w:rFonts w:ascii="Arial" w:hAnsi="Arial" w:cs="Tahoma"/>
      <w:color w:val="auto"/>
      <w:sz w:val="28"/>
      <w:szCs w:val="20"/>
    </w:rPr>
  </w:style>
  <w:style w:type="character" w:customStyle="1" w:styleId="PlainTextChar">
    <w:name w:val="Plain Text Char"/>
    <w:link w:val="PlainText"/>
    <w:uiPriority w:val="99"/>
    <w:rsid w:val="00886A01"/>
    <w:rPr>
      <w:rFonts w:ascii="Arial" w:hAnsi="Arial" w:cs="Tahoma"/>
      <w:sz w:val="28"/>
      <w:lang w:val="en-GB" w:eastAsia="en-US" w:bidi="ar-SA"/>
    </w:rPr>
  </w:style>
  <w:style w:type="character" w:customStyle="1" w:styleId="td">
    <w:name w:val="td"/>
    <w:basedOn w:val="DefaultParagraphFont"/>
    <w:rsid w:val="00F244A1"/>
  </w:style>
  <w:style w:type="paragraph" w:customStyle="1" w:styleId="text">
    <w:name w:val="text"/>
    <w:basedOn w:val="Normal"/>
    <w:rsid w:val="00F244A1"/>
    <w:pPr>
      <w:spacing w:after="280" w:line="280" w:lineRule="atLeast"/>
    </w:pPr>
    <w:rPr>
      <w:rFonts w:ascii="Times" w:eastAsia="Times" w:hAnsi="Times"/>
      <w:color w:val="auto"/>
      <w:szCs w:val="20"/>
    </w:rPr>
  </w:style>
  <w:style w:type="paragraph" w:customStyle="1" w:styleId="a">
    <w:name w:val="a"/>
    <w:aliases w:val="b,c"/>
    <w:basedOn w:val="Normal"/>
    <w:autoRedefine/>
    <w:rsid w:val="00F244A1"/>
    <w:pPr>
      <w:widowControl w:val="0"/>
      <w:numPr>
        <w:numId w:val="3"/>
      </w:numPr>
      <w:tabs>
        <w:tab w:val="left" w:pos="720"/>
        <w:tab w:val="left" w:pos="1440"/>
      </w:tabs>
      <w:spacing w:before="144" w:after="144"/>
      <w:jc w:val="both"/>
    </w:pPr>
    <w:rPr>
      <w:rFonts w:ascii="Times New Roman" w:hAnsi="Times New Roman"/>
      <w:snapToGrid w:val="0"/>
      <w:sz w:val="22"/>
      <w:szCs w:val="20"/>
      <w:lang w:val="en-IE"/>
    </w:rPr>
  </w:style>
  <w:style w:type="character" w:customStyle="1" w:styleId="apple-style-span">
    <w:name w:val="apple-style-span"/>
    <w:basedOn w:val="DefaultParagraphFont"/>
    <w:rsid w:val="00517462"/>
  </w:style>
  <w:style w:type="character" w:customStyle="1" w:styleId="apple-converted-space">
    <w:name w:val="apple-converted-space"/>
    <w:basedOn w:val="DefaultParagraphFont"/>
    <w:rsid w:val="00517462"/>
  </w:style>
  <w:style w:type="paragraph" w:styleId="DocumentMap">
    <w:name w:val="Document Map"/>
    <w:basedOn w:val="Normal"/>
    <w:link w:val="DocumentMapChar"/>
    <w:rsid w:val="00517462"/>
    <w:pPr>
      <w:shd w:val="clear" w:color="auto" w:fill="000080"/>
    </w:pPr>
    <w:rPr>
      <w:rFonts w:ascii="Tahoma" w:hAnsi="Tahoma" w:cs="Tahoma"/>
      <w:color w:val="auto"/>
      <w:sz w:val="20"/>
      <w:szCs w:val="20"/>
    </w:rPr>
  </w:style>
  <w:style w:type="character" w:customStyle="1" w:styleId="DocumentMapChar">
    <w:name w:val="Document Map Char"/>
    <w:link w:val="DocumentMap"/>
    <w:rsid w:val="00886A01"/>
    <w:rPr>
      <w:rFonts w:ascii="Tahoma" w:hAnsi="Tahoma" w:cs="Tahoma"/>
      <w:lang w:val="en-GB" w:eastAsia="en-US" w:bidi="ar-SA"/>
    </w:rPr>
  </w:style>
  <w:style w:type="character" w:customStyle="1" w:styleId="doccontentheading">
    <w:name w:val="doccontentheading"/>
    <w:basedOn w:val="DefaultParagraphFont"/>
    <w:rsid w:val="00517462"/>
  </w:style>
  <w:style w:type="character" w:customStyle="1" w:styleId="mcontent">
    <w:name w:val="mcontent"/>
    <w:basedOn w:val="DefaultParagraphFont"/>
    <w:rsid w:val="00517462"/>
  </w:style>
  <w:style w:type="character" w:customStyle="1" w:styleId="CharChar12">
    <w:name w:val="Char Char12"/>
    <w:rsid w:val="00886A01"/>
    <w:rPr>
      <w:rFonts w:ascii="Arial" w:hAnsi="Arial" w:cs="Arial"/>
      <w:b/>
      <w:bCs/>
      <w:color w:val="000000"/>
      <w:kern w:val="32"/>
      <w:sz w:val="32"/>
      <w:szCs w:val="32"/>
      <w:lang w:val="en-GB" w:eastAsia="en-US" w:bidi="ar-SA"/>
    </w:rPr>
  </w:style>
  <w:style w:type="character" w:customStyle="1" w:styleId="BodyTextCharChar">
    <w:name w:val="BodyText Char Char"/>
    <w:link w:val="BodyText0"/>
    <w:rsid w:val="005C4DD5"/>
    <w:rPr>
      <w:rFonts w:ascii="Arial" w:hAnsi="Arial"/>
      <w:color w:val="3F454B"/>
      <w:lang w:val="en-GB" w:eastAsia="en-US" w:bidi="ar-SA"/>
    </w:rPr>
  </w:style>
  <w:style w:type="paragraph" w:customStyle="1" w:styleId="BodyText0">
    <w:name w:val="BodyText"/>
    <w:link w:val="BodyTextCharChar"/>
    <w:rsid w:val="005C4DD5"/>
    <w:pPr>
      <w:tabs>
        <w:tab w:val="left" w:pos="1080"/>
      </w:tabs>
      <w:adjustRightInd w:val="0"/>
      <w:spacing w:after="170" w:line="280" w:lineRule="exact"/>
      <w:textAlignment w:val="baseline"/>
    </w:pPr>
    <w:rPr>
      <w:rFonts w:ascii="Arial" w:hAnsi="Arial"/>
      <w:color w:val="3F454B"/>
      <w:lang w:eastAsia="en-US"/>
    </w:rPr>
  </w:style>
  <w:style w:type="character" w:customStyle="1" w:styleId="Slogan">
    <w:name w:val="Slogan"/>
    <w:rsid w:val="005C4DD5"/>
    <w:rPr>
      <w:i/>
      <w:spacing w:val="-6"/>
      <w:sz w:val="24"/>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34"/>
    <w:qFormat/>
    <w:rsid w:val="00EB3E1A"/>
    <w:pPr>
      <w:ind w:left="720"/>
    </w:pPr>
  </w:style>
  <w:style w:type="character" w:customStyle="1" w:styleId="FooterChar">
    <w:name w:val="Footer Char"/>
    <w:link w:val="Footer"/>
    <w:uiPriority w:val="99"/>
    <w:rsid w:val="00692D04"/>
    <w:rPr>
      <w:rFonts w:ascii="Verdana" w:hAnsi="Verdana"/>
      <w:color w:val="000000"/>
      <w:sz w:val="24"/>
      <w:szCs w:val="24"/>
      <w:lang w:eastAsia="en-US"/>
    </w:rPr>
  </w:style>
  <w:style w:type="character" w:styleId="FootnoteReference">
    <w:name w:val="footnote reference"/>
    <w:uiPriority w:val="99"/>
    <w:rsid w:val="00E4615D"/>
    <w:rPr>
      <w:vertAlign w:val="superscript"/>
    </w:rPr>
  </w:style>
  <w:style w:type="character" w:customStyle="1" w:styleId="HeaderChar">
    <w:name w:val="Header Char"/>
    <w:link w:val="Header"/>
    <w:uiPriority w:val="99"/>
    <w:rsid w:val="00444E60"/>
    <w:rPr>
      <w:rFonts w:ascii="Verdana" w:hAnsi="Verdana"/>
      <w:color w:val="000000"/>
      <w:sz w:val="24"/>
      <w:szCs w:val="24"/>
      <w:lang w:eastAsia="en-US"/>
    </w:rPr>
  </w:style>
  <w:style w:type="character" w:customStyle="1" w:styleId="BodyTextChar">
    <w:name w:val="Body Text Char"/>
    <w:link w:val="BodyText"/>
    <w:rsid w:val="00444E60"/>
    <w:rPr>
      <w:rFonts w:ascii="Verdana" w:hAnsi="Verdana"/>
      <w:color w:val="000000"/>
      <w:sz w:val="24"/>
      <w:szCs w:val="24"/>
      <w:lang w:eastAsia="en-US"/>
    </w:rPr>
  </w:style>
  <w:style w:type="character" w:customStyle="1" w:styleId="BodyTextIndentChar">
    <w:name w:val="Body Text Indent Char"/>
    <w:link w:val="BodyTextIndent"/>
    <w:rsid w:val="00444E60"/>
    <w:rPr>
      <w:rFonts w:ascii="Verdana" w:hAnsi="Verdana"/>
      <w:color w:val="000000"/>
      <w:sz w:val="24"/>
      <w:szCs w:val="24"/>
      <w:lang w:eastAsia="en-US"/>
    </w:rPr>
  </w:style>
  <w:style w:type="character" w:customStyle="1" w:styleId="BalloonTextChar">
    <w:name w:val="Balloon Text Char"/>
    <w:link w:val="BalloonText"/>
    <w:rsid w:val="00444E60"/>
    <w:rPr>
      <w:rFonts w:ascii="Tahoma" w:hAnsi="Tahoma" w:cs="Tahoma"/>
      <w:color w:val="000000"/>
      <w:sz w:val="16"/>
      <w:szCs w:val="16"/>
      <w:lang w:eastAsia="en-US"/>
    </w:rPr>
  </w:style>
  <w:style w:type="paragraph" w:styleId="Revision">
    <w:name w:val="Revision"/>
    <w:hidden/>
    <w:uiPriority w:val="99"/>
    <w:semiHidden/>
    <w:rsid w:val="005630C2"/>
    <w:rPr>
      <w:rFonts w:ascii="Verdana" w:hAnsi="Verdana"/>
      <w:color w:val="000000"/>
      <w:sz w:val="24"/>
      <w:szCs w:val="24"/>
      <w:lang w:eastAsia="en-US"/>
    </w:rPr>
  </w:style>
  <w:style w:type="character" w:customStyle="1" w:styleId="CommentTextChar">
    <w:name w:val="Comment Text Char"/>
    <w:basedOn w:val="DefaultParagraphFont"/>
    <w:link w:val="CommentText"/>
    <w:rsid w:val="006C693F"/>
    <w:rPr>
      <w:rFonts w:ascii="Verdana" w:hAnsi="Verdana"/>
      <w:color w:val="000000"/>
      <w:lang w:eastAsia="en-US"/>
    </w:rPr>
  </w:style>
  <w:style w:type="paragraph" w:customStyle="1" w:styleId="Pa7">
    <w:name w:val="Pa7"/>
    <w:basedOn w:val="Normal"/>
    <w:next w:val="Normal"/>
    <w:uiPriority w:val="99"/>
    <w:rsid w:val="0073049C"/>
    <w:pPr>
      <w:autoSpaceDE w:val="0"/>
      <w:autoSpaceDN w:val="0"/>
      <w:adjustRightInd w:val="0"/>
      <w:spacing w:line="181" w:lineRule="atLeast"/>
    </w:pPr>
    <w:rPr>
      <w:rFonts w:ascii="Frutiger LT Std 45 Light" w:eastAsia="Calibri" w:hAnsi="Frutiger LT Std 45 Light"/>
      <w:color w:val="auto"/>
    </w:rPr>
  </w:style>
  <w:style w:type="paragraph" w:styleId="NoSpacing">
    <w:name w:val="No Spacing"/>
    <w:link w:val="NoSpacingChar"/>
    <w:uiPriority w:val="1"/>
    <w:qFormat/>
    <w:rsid w:val="006A739C"/>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6A739C"/>
    <w:rPr>
      <w:rFonts w:asciiTheme="minorHAnsi" w:eastAsiaTheme="minorEastAsia" w:hAnsiTheme="minorHAnsi" w:cstheme="minorBidi"/>
      <w:sz w:val="22"/>
      <w:szCs w:val="22"/>
      <w:lang w:val="en-US" w:eastAsia="ja-JP"/>
    </w:rPr>
  </w:style>
  <w:style w:type="character" w:styleId="LineNumber">
    <w:name w:val="line number"/>
    <w:basedOn w:val="DefaultParagraphFont"/>
    <w:rsid w:val="00D16A29"/>
  </w:style>
  <w:style w:type="paragraph" w:customStyle="1" w:styleId="BasicParagraph">
    <w:name w:val="[Basic Paragraph]"/>
    <w:basedOn w:val="Normal"/>
    <w:uiPriority w:val="99"/>
    <w:rsid w:val="007117EA"/>
    <w:pPr>
      <w:widowControl w:val="0"/>
      <w:autoSpaceDE w:val="0"/>
      <w:autoSpaceDN w:val="0"/>
      <w:adjustRightInd w:val="0"/>
      <w:spacing w:line="288" w:lineRule="auto"/>
      <w:textAlignment w:val="center"/>
    </w:pPr>
    <w:rPr>
      <w:rFonts w:ascii="MinionPro-Regular" w:eastAsiaTheme="minorEastAsia" w:hAnsi="MinionPro-Regular" w:cs="MinionPro-Regular"/>
    </w:rPr>
  </w:style>
  <w:style w:type="paragraph" w:customStyle="1" w:styleId="NIHRCFootnotes">
    <w:name w:val="NIHRC Footnotes"/>
    <w:basedOn w:val="Normal"/>
    <w:qFormat/>
    <w:rsid w:val="0045027A"/>
    <w:pPr>
      <w:tabs>
        <w:tab w:val="left" w:pos="284"/>
      </w:tabs>
    </w:pPr>
    <w:rPr>
      <w:rFonts w:eastAsiaTheme="minorEastAsia" w:cs="Arial"/>
      <w:color w:val="77328A"/>
      <w:sz w:val="16"/>
      <w:szCs w:val="16"/>
    </w:rPr>
  </w:style>
  <w:style w:type="paragraph" w:customStyle="1" w:styleId="BoxHeading">
    <w:name w:val="Box Heading"/>
    <w:basedOn w:val="Normal"/>
    <w:next w:val="Normal"/>
    <w:qFormat/>
    <w:rsid w:val="00F0089C"/>
    <w:pPr>
      <w:keepLines/>
      <w:spacing w:after="113" w:line="300" w:lineRule="exact"/>
      <w:outlineLvl w:val="1"/>
    </w:pPr>
    <w:rPr>
      <w:rFonts w:ascii="Futura Bk BT" w:eastAsiaTheme="minorHAnsi" w:hAnsi="Futura Bk BT" w:cstheme="minorBidi"/>
      <w:color w:val="4F81BD" w:themeColor="accent1"/>
      <w:sz w:val="26"/>
    </w:rPr>
  </w:style>
  <w:style w:type="numbering" w:customStyle="1" w:styleId="OBRChapterNumbers">
    <w:name w:val="OBR Chapter Numbers"/>
    <w:basedOn w:val="NoList"/>
    <w:uiPriority w:val="99"/>
    <w:rsid w:val="00F0089C"/>
    <w:pPr>
      <w:numPr>
        <w:numId w:val="13"/>
      </w:numPr>
    </w:pPr>
  </w:style>
  <w:style w:type="paragraph" w:customStyle="1" w:styleId="ChartHeading">
    <w:name w:val="Chart Heading"/>
    <w:basedOn w:val="Normal"/>
    <w:next w:val="Normal"/>
    <w:qFormat/>
    <w:rsid w:val="00F0089C"/>
    <w:pPr>
      <w:keepNext/>
      <w:keepLines/>
      <w:spacing w:after="113" w:line="300" w:lineRule="exact"/>
      <w:outlineLvl w:val="1"/>
    </w:pPr>
    <w:rPr>
      <w:rFonts w:ascii="Futura Bk BT" w:eastAsiaTheme="minorHAnsi" w:hAnsi="Futura Bk BT" w:cstheme="minorBidi"/>
      <w:color w:val="4F81BD" w:themeColor="accent1"/>
      <w:sz w:val="26"/>
    </w:rPr>
  </w:style>
  <w:style w:type="paragraph" w:customStyle="1" w:styleId="FigureHeading">
    <w:name w:val="Figure Heading"/>
    <w:basedOn w:val="Normal"/>
    <w:next w:val="Normal"/>
    <w:qFormat/>
    <w:rsid w:val="00F0089C"/>
    <w:pPr>
      <w:keepNext/>
      <w:keepLines/>
      <w:spacing w:after="113" w:line="300" w:lineRule="exact"/>
      <w:outlineLvl w:val="1"/>
    </w:pPr>
    <w:rPr>
      <w:rFonts w:ascii="Futura Bk BT" w:eastAsiaTheme="minorHAnsi" w:hAnsi="Futura Bk BT" w:cstheme="minorBidi"/>
      <w:color w:val="4F81BD" w:themeColor="accent1"/>
      <w:sz w:val="26"/>
    </w:rPr>
  </w:style>
  <w:style w:type="paragraph" w:customStyle="1" w:styleId="TableHeading">
    <w:name w:val="Table Heading"/>
    <w:basedOn w:val="Normal"/>
    <w:next w:val="Normal"/>
    <w:qFormat/>
    <w:rsid w:val="00F0089C"/>
    <w:pPr>
      <w:keepNext/>
      <w:keepLines/>
      <w:spacing w:after="113" w:line="300" w:lineRule="exact"/>
      <w:outlineLvl w:val="1"/>
    </w:pPr>
    <w:rPr>
      <w:rFonts w:ascii="Futura Bk BT" w:eastAsiaTheme="minorHAnsi" w:hAnsi="Futura Bk BT" w:cstheme="minorBidi"/>
      <w:color w:val="4F81BD" w:themeColor="accent1"/>
      <w:sz w:val="26"/>
    </w:rPr>
  </w:style>
  <w:style w:type="paragraph" w:customStyle="1" w:styleId="Standard">
    <w:name w:val="Standard"/>
    <w:rsid w:val="00C6256C"/>
    <w:pPr>
      <w:widowControl w:val="0"/>
      <w:suppressAutoHyphens/>
      <w:autoSpaceDN w:val="0"/>
      <w:textAlignment w:val="baseline"/>
    </w:pPr>
    <w:rPr>
      <w:rFonts w:eastAsia="SimSun" w:cs="Mangal"/>
      <w:kern w:val="3"/>
      <w:sz w:val="24"/>
      <w:szCs w:val="24"/>
      <w:lang w:eastAsia="zh-CN" w:bidi="hi-IN"/>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rsid w:val="00627E1D"/>
    <w:rPr>
      <w:rFonts w:ascii="Verdana" w:hAnsi="Verdana"/>
      <w:color w:val="000000"/>
      <w:sz w:val="24"/>
      <w:szCs w:val="24"/>
      <w:lang w:eastAsia="en-US"/>
    </w:rPr>
  </w:style>
  <w:style w:type="character" w:styleId="SubtleEmphasis">
    <w:name w:val="Subtle Emphasis"/>
    <w:basedOn w:val="DefaultParagraphFont"/>
    <w:uiPriority w:val="19"/>
    <w:qFormat/>
    <w:rsid w:val="00DC2DA5"/>
    <w:rPr>
      <w:i/>
      <w:iCs/>
      <w:color w:val="404040" w:themeColor="text1" w:themeTint="BF"/>
    </w:rPr>
  </w:style>
  <w:style w:type="paragraph" w:styleId="Subtitle">
    <w:name w:val="Subtitle"/>
    <w:basedOn w:val="Normal"/>
    <w:next w:val="Normal"/>
    <w:link w:val="SubtitleChar"/>
    <w:uiPriority w:val="11"/>
    <w:qFormat/>
    <w:rsid w:val="00DC2DA5"/>
    <w:pPr>
      <w:numPr>
        <w:ilvl w:val="1"/>
      </w:numPr>
      <w:spacing w:after="160"/>
    </w:pPr>
    <w:rPr>
      <w:rFonts w:asciiTheme="minorHAnsi" w:eastAsiaTheme="minorEastAsia" w:hAnsiTheme="minorHAnsi" w:cstheme="minorBidi"/>
      <w:color w:val="5A5A5A" w:themeColor="text1" w:themeTint="A5"/>
      <w:spacing w:val="15"/>
      <w:sz w:val="22"/>
      <w:szCs w:val="20"/>
      <w:lang w:eastAsia="en-GB" w:bidi="ne-NP"/>
    </w:rPr>
  </w:style>
  <w:style w:type="character" w:customStyle="1" w:styleId="SubtitleChar">
    <w:name w:val="Subtitle Char"/>
    <w:basedOn w:val="DefaultParagraphFont"/>
    <w:link w:val="Subtitle"/>
    <w:uiPriority w:val="11"/>
    <w:rsid w:val="00DC2DA5"/>
    <w:rPr>
      <w:rFonts w:asciiTheme="minorHAnsi" w:eastAsiaTheme="minorEastAsia" w:hAnsiTheme="minorHAnsi" w:cstheme="minorBidi"/>
      <w:color w:val="5A5A5A" w:themeColor="text1" w:themeTint="A5"/>
      <w:spacing w:val="15"/>
      <w:sz w:val="22"/>
      <w:lang w:bidi="ne-NP"/>
    </w:rPr>
  </w:style>
  <w:style w:type="paragraph" w:styleId="ListBullet">
    <w:name w:val="List Bullet"/>
    <w:basedOn w:val="Normal"/>
    <w:uiPriority w:val="99"/>
    <w:semiHidden/>
    <w:unhideWhenUsed/>
    <w:rsid w:val="00DC2DA5"/>
    <w:pPr>
      <w:contextualSpacing/>
    </w:pPr>
    <w:rPr>
      <w:rFonts w:ascii="Arial" w:hAnsi="Arial" w:cs="Mangal"/>
      <w:color w:val="auto"/>
      <w:sz w:val="20"/>
      <w:szCs w:val="18"/>
      <w:lang w:eastAsia="en-GB" w:bidi="ne-NP"/>
    </w:rPr>
  </w:style>
  <w:style w:type="character" w:customStyle="1" w:styleId="CommentSubjectChar">
    <w:name w:val="Comment Subject Char"/>
    <w:basedOn w:val="CommentTextChar"/>
    <w:link w:val="CommentSubject"/>
    <w:semiHidden/>
    <w:rsid w:val="002667DD"/>
    <w:rPr>
      <w:rFonts w:ascii="Verdana" w:hAnsi="Verdana"/>
      <w:b/>
      <w:bCs/>
      <w:color w:val="000000"/>
      <w:lang w:eastAsia="en-US"/>
    </w:rPr>
  </w:style>
  <w:style w:type="character" w:styleId="Mention">
    <w:name w:val="Mention"/>
    <w:basedOn w:val="DefaultParagraphFont"/>
    <w:uiPriority w:val="99"/>
    <w:unhideWhenUsed/>
    <w:rsid w:val="002667DD"/>
    <w:rPr>
      <w:color w:val="2B579A"/>
      <w:shd w:val="clear" w:color="auto" w:fill="E6E6E6"/>
    </w:rPr>
  </w:style>
  <w:style w:type="paragraph" w:customStyle="1" w:styleId="paragraph">
    <w:name w:val="paragraph"/>
    <w:basedOn w:val="Normal"/>
    <w:rsid w:val="002667DD"/>
    <w:pPr>
      <w:spacing w:before="100" w:beforeAutospacing="1" w:after="100" w:afterAutospacing="1"/>
    </w:pPr>
    <w:rPr>
      <w:rFonts w:ascii="Times New Roman" w:hAnsi="Times New Roman"/>
      <w:color w:val="auto"/>
      <w:lang w:eastAsia="en-GB"/>
    </w:rPr>
  </w:style>
  <w:style w:type="character" w:customStyle="1" w:styleId="normaltextrun">
    <w:name w:val="normaltextrun"/>
    <w:basedOn w:val="DefaultParagraphFont"/>
    <w:rsid w:val="002667DD"/>
  </w:style>
  <w:style w:type="paragraph" w:customStyle="1" w:styleId="pf0">
    <w:name w:val="pf0"/>
    <w:basedOn w:val="Normal"/>
    <w:rsid w:val="002667DD"/>
    <w:pPr>
      <w:spacing w:before="100" w:beforeAutospacing="1" w:after="100" w:afterAutospacing="1"/>
      <w:ind w:left="360"/>
    </w:pPr>
    <w:rPr>
      <w:rFonts w:ascii="Times New Roman" w:hAnsi="Times New Roman"/>
      <w:color w:val="auto"/>
      <w:lang w:eastAsia="en-GB"/>
    </w:rPr>
  </w:style>
  <w:style w:type="character" w:customStyle="1" w:styleId="cf01">
    <w:name w:val="cf01"/>
    <w:basedOn w:val="DefaultParagraphFont"/>
    <w:rsid w:val="002667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3251">
      <w:bodyDiv w:val="1"/>
      <w:marLeft w:val="0"/>
      <w:marRight w:val="0"/>
      <w:marTop w:val="0"/>
      <w:marBottom w:val="0"/>
      <w:divBdr>
        <w:top w:val="none" w:sz="0" w:space="0" w:color="auto"/>
        <w:left w:val="none" w:sz="0" w:space="0" w:color="auto"/>
        <w:bottom w:val="none" w:sz="0" w:space="0" w:color="auto"/>
        <w:right w:val="none" w:sz="0" w:space="0" w:color="auto"/>
      </w:divBdr>
    </w:div>
    <w:div w:id="113909938">
      <w:bodyDiv w:val="1"/>
      <w:marLeft w:val="0"/>
      <w:marRight w:val="0"/>
      <w:marTop w:val="0"/>
      <w:marBottom w:val="0"/>
      <w:divBdr>
        <w:top w:val="none" w:sz="0" w:space="0" w:color="auto"/>
        <w:left w:val="none" w:sz="0" w:space="0" w:color="auto"/>
        <w:bottom w:val="none" w:sz="0" w:space="0" w:color="auto"/>
        <w:right w:val="none" w:sz="0" w:space="0" w:color="auto"/>
      </w:divBdr>
    </w:div>
    <w:div w:id="114108299">
      <w:bodyDiv w:val="1"/>
      <w:marLeft w:val="0"/>
      <w:marRight w:val="0"/>
      <w:marTop w:val="0"/>
      <w:marBottom w:val="0"/>
      <w:divBdr>
        <w:top w:val="none" w:sz="0" w:space="0" w:color="auto"/>
        <w:left w:val="none" w:sz="0" w:space="0" w:color="auto"/>
        <w:bottom w:val="none" w:sz="0" w:space="0" w:color="auto"/>
        <w:right w:val="none" w:sz="0" w:space="0" w:color="auto"/>
      </w:divBdr>
      <w:divsChild>
        <w:div w:id="653602647">
          <w:marLeft w:val="547"/>
          <w:marRight w:val="0"/>
          <w:marTop w:val="0"/>
          <w:marBottom w:val="120"/>
          <w:divBdr>
            <w:top w:val="none" w:sz="0" w:space="0" w:color="auto"/>
            <w:left w:val="none" w:sz="0" w:space="0" w:color="auto"/>
            <w:bottom w:val="none" w:sz="0" w:space="0" w:color="auto"/>
            <w:right w:val="none" w:sz="0" w:space="0" w:color="auto"/>
          </w:divBdr>
        </w:div>
        <w:div w:id="1907177970">
          <w:marLeft w:val="547"/>
          <w:marRight w:val="0"/>
          <w:marTop w:val="0"/>
          <w:marBottom w:val="120"/>
          <w:divBdr>
            <w:top w:val="none" w:sz="0" w:space="0" w:color="auto"/>
            <w:left w:val="none" w:sz="0" w:space="0" w:color="auto"/>
            <w:bottom w:val="none" w:sz="0" w:space="0" w:color="auto"/>
            <w:right w:val="none" w:sz="0" w:space="0" w:color="auto"/>
          </w:divBdr>
        </w:div>
      </w:divsChild>
    </w:div>
    <w:div w:id="183133582">
      <w:bodyDiv w:val="1"/>
      <w:marLeft w:val="0"/>
      <w:marRight w:val="0"/>
      <w:marTop w:val="0"/>
      <w:marBottom w:val="0"/>
      <w:divBdr>
        <w:top w:val="none" w:sz="0" w:space="0" w:color="auto"/>
        <w:left w:val="none" w:sz="0" w:space="0" w:color="auto"/>
        <w:bottom w:val="none" w:sz="0" w:space="0" w:color="auto"/>
        <w:right w:val="none" w:sz="0" w:space="0" w:color="auto"/>
      </w:divBdr>
    </w:div>
    <w:div w:id="206726071">
      <w:bodyDiv w:val="1"/>
      <w:marLeft w:val="0"/>
      <w:marRight w:val="0"/>
      <w:marTop w:val="0"/>
      <w:marBottom w:val="0"/>
      <w:divBdr>
        <w:top w:val="none" w:sz="0" w:space="0" w:color="auto"/>
        <w:left w:val="none" w:sz="0" w:space="0" w:color="auto"/>
        <w:bottom w:val="none" w:sz="0" w:space="0" w:color="auto"/>
        <w:right w:val="none" w:sz="0" w:space="0" w:color="auto"/>
      </w:divBdr>
    </w:div>
    <w:div w:id="226116077">
      <w:bodyDiv w:val="1"/>
      <w:marLeft w:val="0"/>
      <w:marRight w:val="0"/>
      <w:marTop w:val="0"/>
      <w:marBottom w:val="0"/>
      <w:divBdr>
        <w:top w:val="none" w:sz="0" w:space="0" w:color="auto"/>
        <w:left w:val="none" w:sz="0" w:space="0" w:color="auto"/>
        <w:bottom w:val="none" w:sz="0" w:space="0" w:color="auto"/>
        <w:right w:val="none" w:sz="0" w:space="0" w:color="auto"/>
      </w:divBdr>
      <w:divsChild>
        <w:div w:id="1467427179">
          <w:marLeft w:val="547"/>
          <w:marRight w:val="0"/>
          <w:marTop w:val="0"/>
          <w:marBottom w:val="0"/>
          <w:divBdr>
            <w:top w:val="none" w:sz="0" w:space="0" w:color="auto"/>
            <w:left w:val="none" w:sz="0" w:space="0" w:color="auto"/>
            <w:bottom w:val="none" w:sz="0" w:space="0" w:color="auto"/>
            <w:right w:val="none" w:sz="0" w:space="0" w:color="auto"/>
          </w:divBdr>
        </w:div>
      </w:divsChild>
    </w:div>
    <w:div w:id="263271139">
      <w:bodyDiv w:val="1"/>
      <w:marLeft w:val="0"/>
      <w:marRight w:val="0"/>
      <w:marTop w:val="0"/>
      <w:marBottom w:val="0"/>
      <w:divBdr>
        <w:top w:val="none" w:sz="0" w:space="0" w:color="auto"/>
        <w:left w:val="none" w:sz="0" w:space="0" w:color="auto"/>
        <w:bottom w:val="none" w:sz="0" w:space="0" w:color="auto"/>
        <w:right w:val="none" w:sz="0" w:space="0" w:color="auto"/>
      </w:divBdr>
      <w:divsChild>
        <w:div w:id="1088577863">
          <w:marLeft w:val="0"/>
          <w:marRight w:val="0"/>
          <w:marTop w:val="0"/>
          <w:marBottom w:val="0"/>
          <w:divBdr>
            <w:top w:val="none" w:sz="0" w:space="0" w:color="auto"/>
            <w:left w:val="none" w:sz="0" w:space="0" w:color="auto"/>
            <w:bottom w:val="none" w:sz="0" w:space="0" w:color="auto"/>
            <w:right w:val="none" w:sz="0" w:space="0" w:color="auto"/>
          </w:divBdr>
          <w:divsChild>
            <w:div w:id="116026204">
              <w:marLeft w:val="0"/>
              <w:marRight w:val="0"/>
              <w:marTop w:val="0"/>
              <w:marBottom w:val="0"/>
              <w:divBdr>
                <w:top w:val="none" w:sz="0" w:space="0" w:color="auto"/>
                <w:left w:val="none" w:sz="0" w:space="0" w:color="auto"/>
                <w:bottom w:val="none" w:sz="0" w:space="0" w:color="auto"/>
                <w:right w:val="none" w:sz="0" w:space="0" w:color="auto"/>
              </w:divBdr>
              <w:divsChild>
                <w:div w:id="171503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20374">
      <w:bodyDiv w:val="1"/>
      <w:marLeft w:val="0"/>
      <w:marRight w:val="0"/>
      <w:marTop w:val="0"/>
      <w:marBottom w:val="0"/>
      <w:divBdr>
        <w:top w:val="none" w:sz="0" w:space="0" w:color="auto"/>
        <w:left w:val="none" w:sz="0" w:space="0" w:color="auto"/>
        <w:bottom w:val="none" w:sz="0" w:space="0" w:color="auto"/>
        <w:right w:val="none" w:sz="0" w:space="0" w:color="auto"/>
      </w:divBdr>
    </w:div>
    <w:div w:id="304942446">
      <w:bodyDiv w:val="1"/>
      <w:marLeft w:val="0"/>
      <w:marRight w:val="0"/>
      <w:marTop w:val="0"/>
      <w:marBottom w:val="0"/>
      <w:divBdr>
        <w:top w:val="none" w:sz="0" w:space="0" w:color="auto"/>
        <w:left w:val="none" w:sz="0" w:space="0" w:color="auto"/>
        <w:bottom w:val="none" w:sz="0" w:space="0" w:color="auto"/>
        <w:right w:val="none" w:sz="0" w:space="0" w:color="auto"/>
      </w:divBdr>
    </w:div>
    <w:div w:id="343094585">
      <w:bodyDiv w:val="1"/>
      <w:marLeft w:val="0"/>
      <w:marRight w:val="0"/>
      <w:marTop w:val="0"/>
      <w:marBottom w:val="0"/>
      <w:divBdr>
        <w:top w:val="none" w:sz="0" w:space="0" w:color="auto"/>
        <w:left w:val="none" w:sz="0" w:space="0" w:color="auto"/>
        <w:bottom w:val="none" w:sz="0" w:space="0" w:color="auto"/>
        <w:right w:val="none" w:sz="0" w:space="0" w:color="auto"/>
      </w:divBdr>
    </w:div>
    <w:div w:id="388113009">
      <w:bodyDiv w:val="1"/>
      <w:marLeft w:val="0"/>
      <w:marRight w:val="0"/>
      <w:marTop w:val="0"/>
      <w:marBottom w:val="0"/>
      <w:divBdr>
        <w:top w:val="none" w:sz="0" w:space="0" w:color="auto"/>
        <w:left w:val="none" w:sz="0" w:space="0" w:color="auto"/>
        <w:bottom w:val="none" w:sz="0" w:space="0" w:color="auto"/>
        <w:right w:val="none" w:sz="0" w:space="0" w:color="auto"/>
      </w:divBdr>
    </w:div>
    <w:div w:id="401560007">
      <w:bodyDiv w:val="1"/>
      <w:marLeft w:val="0"/>
      <w:marRight w:val="0"/>
      <w:marTop w:val="0"/>
      <w:marBottom w:val="0"/>
      <w:divBdr>
        <w:top w:val="none" w:sz="0" w:space="0" w:color="auto"/>
        <w:left w:val="none" w:sz="0" w:space="0" w:color="auto"/>
        <w:bottom w:val="none" w:sz="0" w:space="0" w:color="auto"/>
        <w:right w:val="none" w:sz="0" w:space="0" w:color="auto"/>
      </w:divBdr>
    </w:div>
    <w:div w:id="407382924">
      <w:bodyDiv w:val="1"/>
      <w:marLeft w:val="0"/>
      <w:marRight w:val="0"/>
      <w:marTop w:val="0"/>
      <w:marBottom w:val="0"/>
      <w:divBdr>
        <w:top w:val="none" w:sz="0" w:space="0" w:color="auto"/>
        <w:left w:val="none" w:sz="0" w:space="0" w:color="auto"/>
        <w:bottom w:val="none" w:sz="0" w:space="0" w:color="auto"/>
        <w:right w:val="none" w:sz="0" w:space="0" w:color="auto"/>
      </w:divBdr>
    </w:div>
    <w:div w:id="499780149">
      <w:bodyDiv w:val="1"/>
      <w:marLeft w:val="0"/>
      <w:marRight w:val="0"/>
      <w:marTop w:val="0"/>
      <w:marBottom w:val="0"/>
      <w:divBdr>
        <w:top w:val="none" w:sz="0" w:space="0" w:color="auto"/>
        <w:left w:val="none" w:sz="0" w:space="0" w:color="auto"/>
        <w:bottom w:val="none" w:sz="0" w:space="0" w:color="auto"/>
        <w:right w:val="none" w:sz="0" w:space="0" w:color="auto"/>
      </w:divBdr>
      <w:divsChild>
        <w:div w:id="1806198615">
          <w:marLeft w:val="547"/>
          <w:marRight w:val="0"/>
          <w:marTop w:val="0"/>
          <w:marBottom w:val="0"/>
          <w:divBdr>
            <w:top w:val="none" w:sz="0" w:space="0" w:color="auto"/>
            <w:left w:val="none" w:sz="0" w:space="0" w:color="auto"/>
            <w:bottom w:val="none" w:sz="0" w:space="0" w:color="auto"/>
            <w:right w:val="none" w:sz="0" w:space="0" w:color="auto"/>
          </w:divBdr>
        </w:div>
      </w:divsChild>
    </w:div>
    <w:div w:id="500203161">
      <w:bodyDiv w:val="1"/>
      <w:marLeft w:val="0"/>
      <w:marRight w:val="0"/>
      <w:marTop w:val="0"/>
      <w:marBottom w:val="0"/>
      <w:divBdr>
        <w:top w:val="none" w:sz="0" w:space="0" w:color="auto"/>
        <w:left w:val="none" w:sz="0" w:space="0" w:color="auto"/>
        <w:bottom w:val="none" w:sz="0" w:space="0" w:color="auto"/>
        <w:right w:val="none" w:sz="0" w:space="0" w:color="auto"/>
      </w:divBdr>
      <w:divsChild>
        <w:div w:id="1445879752">
          <w:marLeft w:val="0"/>
          <w:marRight w:val="0"/>
          <w:marTop w:val="0"/>
          <w:marBottom w:val="0"/>
          <w:divBdr>
            <w:top w:val="none" w:sz="0" w:space="0" w:color="auto"/>
            <w:left w:val="none" w:sz="0" w:space="0" w:color="auto"/>
            <w:bottom w:val="none" w:sz="0" w:space="0" w:color="auto"/>
            <w:right w:val="none" w:sz="0" w:space="0" w:color="auto"/>
          </w:divBdr>
          <w:divsChild>
            <w:div w:id="1626890783">
              <w:marLeft w:val="0"/>
              <w:marRight w:val="0"/>
              <w:marTop w:val="0"/>
              <w:marBottom w:val="0"/>
              <w:divBdr>
                <w:top w:val="none" w:sz="0" w:space="0" w:color="auto"/>
                <w:left w:val="none" w:sz="0" w:space="0" w:color="auto"/>
                <w:bottom w:val="none" w:sz="0" w:space="0" w:color="auto"/>
                <w:right w:val="none" w:sz="0" w:space="0" w:color="auto"/>
              </w:divBdr>
              <w:divsChild>
                <w:div w:id="212634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3531">
      <w:bodyDiv w:val="1"/>
      <w:marLeft w:val="0"/>
      <w:marRight w:val="0"/>
      <w:marTop w:val="0"/>
      <w:marBottom w:val="0"/>
      <w:divBdr>
        <w:top w:val="none" w:sz="0" w:space="0" w:color="auto"/>
        <w:left w:val="none" w:sz="0" w:space="0" w:color="auto"/>
        <w:bottom w:val="none" w:sz="0" w:space="0" w:color="auto"/>
        <w:right w:val="none" w:sz="0" w:space="0" w:color="auto"/>
      </w:divBdr>
    </w:div>
    <w:div w:id="514156347">
      <w:bodyDiv w:val="1"/>
      <w:marLeft w:val="0"/>
      <w:marRight w:val="0"/>
      <w:marTop w:val="0"/>
      <w:marBottom w:val="0"/>
      <w:divBdr>
        <w:top w:val="none" w:sz="0" w:space="0" w:color="auto"/>
        <w:left w:val="none" w:sz="0" w:space="0" w:color="auto"/>
        <w:bottom w:val="none" w:sz="0" w:space="0" w:color="auto"/>
        <w:right w:val="none" w:sz="0" w:space="0" w:color="auto"/>
      </w:divBdr>
    </w:div>
    <w:div w:id="526411805">
      <w:bodyDiv w:val="1"/>
      <w:marLeft w:val="0"/>
      <w:marRight w:val="0"/>
      <w:marTop w:val="0"/>
      <w:marBottom w:val="0"/>
      <w:divBdr>
        <w:top w:val="none" w:sz="0" w:space="0" w:color="auto"/>
        <w:left w:val="none" w:sz="0" w:space="0" w:color="auto"/>
        <w:bottom w:val="none" w:sz="0" w:space="0" w:color="auto"/>
        <w:right w:val="none" w:sz="0" w:space="0" w:color="auto"/>
      </w:divBdr>
    </w:div>
    <w:div w:id="554973822">
      <w:bodyDiv w:val="1"/>
      <w:marLeft w:val="0"/>
      <w:marRight w:val="0"/>
      <w:marTop w:val="0"/>
      <w:marBottom w:val="0"/>
      <w:divBdr>
        <w:top w:val="none" w:sz="0" w:space="0" w:color="auto"/>
        <w:left w:val="none" w:sz="0" w:space="0" w:color="auto"/>
        <w:bottom w:val="none" w:sz="0" w:space="0" w:color="auto"/>
        <w:right w:val="none" w:sz="0" w:space="0" w:color="auto"/>
      </w:divBdr>
    </w:div>
    <w:div w:id="647591145">
      <w:bodyDiv w:val="1"/>
      <w:marLeft w:val="0"/>
      <w:marRight w:val="0"/>
      <w:marTop w:val="0"/>
      <w:marBottom w:val="0"/>
      <w:divBdr>
        <w:top w:val="none" w:sz="0" w:space="0" w:color="auto"/>
        <w:left w:val="none" w:sz="0" w:space="0" w:color="auto"/>
        <w:bottom w:val="none" w:sz="0" w:space="0" w:color="auto"/>
        <w:right w:val="none" w:sz="0" w:space="0" w:color="auto"/>
      </w:divBdr>
    </w:div>
    <w:div w:id="667371515">
      <w:bodyDiv w:val="1"/>
      <w:marLeft w:val="0"/>
      <w:marRight w:val="0"/>
      <w:marTop w:val="0"/>
      <w:marBottom w:val="0"/>
      <w:divBdr>
        <w:top w:val="none" w:sz="0" w:space="0" w:color="auto"/>
        <w:left w:val="none" w:sz="0" w:space="0" w:color="auto"/>
        <w:bottom w:val="none" w:sz="0" w:space="0" w:color="auto"/>
        <w:right w:val="none" w:sz="0" w:space="0" w:color="auto"/>
      </w:divBdr>
    </w:div>
    <w:div w:id="678703200">
      <w:bodyDiv w:val="1"/>
      <w:marLeft w:val="0"/>
      <w:marRight w:val="0"/>
      <w:marTop w:val="0"/>
      <w:marBottom w:val="0"/>
      <w:divBdr>
        <w:top w:val="none" w:sz="0" w:space="0" w:color="auto"/>
        <w:left w:val="none" w:sz="0" w:space="0" w:color="auto"/>
        <w:bottom w:val="none" w:sz="0" w:space="0" w:color="auto"/>
        <w:right w:val="none" w:sz="0" w:space="0" w:color="auto"/>
      </w:divBdr>
    </w:div>
    <w:div w:id="723988776">
      <w:bodyDiv w:val="1"/>
      <w:marLeft w:val="0"/>
      <w:marRight w:val="0"/>
      <w:marTop w:val="0"/>
      <w:marBottom w:val="0"/>
      <w:divBdr>
        <w:top w:val="none" w:sz="0" w:space="0" w:color="auto"/>
        <w:left w:val="none" w:sz="0" w:space="0" w:color="auto"/>
        <w:bottom w:val="none" w:sz="0" w:space="0" w:color="auto"/>
        <w:right w:val="none" w:sz="0" w:space="0" w:color="auto"/>
      </w:divBdr>
      <w:divsChild>
        <w:div w:id="1299989504">
          <w:marLeft w:val="547"/>
          <w:marRight w:val="0"/>
          <w:marTop w:val="0"/>
          <w:marBottom w:val="120"/>
          <w:divBdr>
            <w:top w:val="none" w:sz="0" w:space="0" w:color="auto"/>
            <w:left w:val="none" w:sz="0" w:space="0" w:color="auto"/>
            <w:bottom w:val="none" w:sz="0" w:space="0" w:color="auto"/>
            <w:right w:val="none" w:sz="0" w:space="0" w:color="auto"/>
          </w:divBdr>
        </w:div>
        <w:div w:id="1314722139">
          <w:marLeft w:val="547"/>
          <w:marRight w:val="0"/>
          <w:marTop w:val="0"/>
          <w:marBottom w:val="120"/>
          <w:divBdr>
            <w:top w:val="none" w:sz="0" w:space="0" w:color="auto"/>
            <w:left w:val="none" w:sz="0" w:space="0" w:color="auto"/>
            <w:bottom w:val="none" w:sz="0" w:space="0" w:color="auto"/>
            <w:right w:val="none" w:sz="0" w:space="0" w:color="auto"/>
          </w:divBdr>
        </w:div>
        <w:div w:id="1334139885">
          <w:marLeft w:val="547"/>
          <w:marRight w:val="0"/>
          <w:marTop w:val="0"/>
          <w:marBottom w:val="120"/>
          <w:divBdr>
            <w:top w:val="none" w:sz="0" w:space="0" w:color="auto"/>
            <w:left w:val="none" w:sz="0" w:space="0" w:color="auto"/>
            <w:bottom w:val="none" w:sz="0" w:space="0" w:color="auto"/>
            <w:right w:val="none" w:sz="0" w:space="0" w:color="auto"/>
          </w:divBdr>
        </w:div>
      </w:divsChild>
    </w:div>
    <w:div w:id="735663231">
      <w:bodyDiv w:val="1"/>
      <w:marLeft w:val="0"/>
      <w:marRight w:val="0"/>
      <w:marTop w:val="0"/>
      <w:marBottom w:val="0"/>
      <w:divBdr>
        <w:top w:val="none" w:sz="0" w:space="0" w:color="auto"/>
        <w:left w:val="none" w:sz="0" w:space="0" w:color="auto"/>
        <w:bottom w:val="none" w:sz="0" w:space="0" w:color="auto"/>
        <w:right w:val="none" w:sz="0" w:space="0" w:color="auto"/>
      </w:divBdr>
    </w:div>
    <w:div w:id="802312313">
      <w:bodyDiv w:val="1"/>
      <w:marLeft w:val="0"/>
      <w:marRight w:val="0"/>
      <w:marTop w:val="0"/>
      <w:marBottom w:val="0"/>
      <w:divBdr>
        <w:top w:val="none" w:sz="0" w:space="0" w:color="auto"/>
        <w:left w:val="none" w:sz="0" w:space="0" w:color="auto"/>
        <w:bottom w:val="none" w:sz="0" w:space="0" w:color="auto"/>
        <w:right w:val="none" w:sz="0" w:space="0" w:color="auto"/>
      </w:divBdr>
    </w:div>
    <w:div w:id="808549926">
      <w:bodyDiv w:val="1"/>
      <w:marLeft w:val="0"/>
      <w:marRight w:val="0"/>
      <w:marTop w:val="0"/>
      <w:marBottom w:val="0"/>
      <w:divBdr>
        <w:top w:val="none" w:sz="0" w:space="0" w:color="auto"/>
        <w:left w:val="none" w:sz="0" w:space="0" w:color="auto"/>
        <w:bottom w:val="none" w:sz="0" w:space="0" w:color="auto"/>
        <w:right w:val="none" w:sz="0" w:space="0" w:color="auto"/>
      </w:divBdr>
    </w:div>
    <w:div w:id="875393700">
      <w:bodyDiv w:val="1"/>
      <w:marLeft w:val="0"/>
      <w:marRight w:val="0"/>
      <w:marTop w:val="0"/>
      <w:marBottom w:val="0"/>
      <w:divBdr>
        <w:top w:val="none" w:sz="0" w:space="0" w:color="auto"/>
        <w:left w:val="none" w:sz="0" w:space="0" w:color="auto"/>
        <w:bottom w:val="none" w:sz="0" w:space="0" w:color="auto"/>
        <w:right w:val="none" w:sz="0" w:space="0" w:color="auto"/>
      </w:divBdr>
    </w:div>
    <w:div w:id="879972614">
      <w:bodyDiv w:val="1"/>
      <w:marLeft w:val="0"/>
      <w:marRight w:val="0"/>
      <w:marTop w:val="0"/>
      <w:marBottom w:val="0"/>
      <w:divBdr>
        <w:top w:val="none" w:sz="0" w:space="0" w:color="auto"/>
        <w:left w:val="none" w:sz="0" w:space="0" w:color="auto"/>
        <w:bottom w:val="none" w:sz="0" w:space="0" w:color="auto"/>
        <w:right w:val="none" w:sz="0" w:space="0" w:color="auto"/>
      </w:divBdr>
    </w:div>
    <w:div w:id="880629231">
      <w:bodyDiv w:val="1"/>
      <w:marLeft w:val="0"/>
      <w:marRight w:val="0"/>
      <w:marTop w:val="0"/>
      <w:marBottom w:val="0"/>
      <w:divBdr>
        <w:top w:val="none" w:sz="0" w:space="0" w:color="auto"/>
        <w:left w:val="none" w:sz="0" w:space="0" w:color="auto"/>
        <w:bottom w:val="none" w:sz="0" w:space="0" w:color="auto"/>
        <w:right w:val="none" w:sz="0" w:space="0" w:color="auto"/>
      </w:divBdr>
    </w:div>
    <w:div w:id="905870492">
      <w:bodyDiv w:val="1"/>
      <w:marLeft w:val="0"/>
      <w:marRight w:val="0"/>
      <w:marTop w:val="0"/>
      <w:marBottom w:val="0"/>
      <w:divBdr>
        <w:top w:val="none" w:sz="0" w:space="0" w:color="auto"/>
        <w:left w:val="none" w:sz="0" w:space="0" w:color="auto"/>
        <w:bottom w:val="none" w:sz="0" w:space="0" w:color="auto"/>
        <w:right w:val="none" w:sz="0" w:space="0" w:color="auto"/>
      </w:divBdr>
    </w:div>
    <w:div w:id="973675065">
      <w:bodyDiv w:val="1"/>
      <w:marLeft w:val="0"/>
      <w:marRight w:val="0"/>
      <w:marTop w:val="0"/>
      <w:marBottom w:val="0"/>
      <w:divBdr>
        <w:top w:val="none" w:sz="0" w:space="0" w:color="auto"/>
        <w:left w:val="none" w:sz="0" w:space="0" w:color="auto"/>
        <w:bottom w:val="none" w:sz="0" w:space="0" w:color="auto"/>
        <w:right w:val="none" w:sz="0" w:space="0" w:color="auto"/>
      </w:divBdr>
    </w:div>
    <w:div w:id="985627440">
      <w:bodyDiv w:val="1"/>
      <w:marLeft w:val="0"/>
      <w:marRight w:val="0"/>
      <w:marTop w:val="0"/>
      <w:marBottom w:val="0"/>
      <w:divBdr>
        <w:top w:val="none" w:sz="0" w:space="0" w:color="auto"/>
        <w:left w:val="none" w:sz="0" w:space="0" w:color="auto"/>
        <w:bottom w:val="none" w:sz="0" w:space="0" w:color="auto"/>
        <w:right w:val="none" w:sz="0" w:space="0" w:color="auto"/>
      </w:divBdr>
    </w:div>
    <w:div w:id="1095904506">
      <w:bodyDiv w:val="1"/>
      <w:marLeft w:val="0"/>
      <w:marRight w:val="0"/>
      <w:marTop w:val="0"/>
      <w:marBottom w:val="0"/>
      <w:divBdr>
        <w:top w:val="none" w:sz="0" w:space="0" w:color="auto"/>
        <w:left w:val="none" w:sz="0" w:space="0" w:color="auto"/>
        <w:bottom w:val="none" w:sz="0" w:space="0" w:color="auto"/>
        <w:right w:val="none" w:sz="0" w:space="0" w:color="auto"/>
      </w:divBdr>
      <w:divsChild>
        <w:div w:id="2121216012">
          <w:marLeft w:val="0"/>
          <w:marRight w:val="0"/>
          <w:marTop w:val="0"/>
          <w:marBottom w:val="0"/>
          <w:divBdr>
            <w:top w:val="none" w:sz="0" w:space="0" w:color="auto"/>
            <w:left w:val="none" w:sz="0" w:space="0" w:color="auto"/>
            <w:bottom w:val="none" w:sz="0" w:space="0" w:color="auto"/>
            <w:right w:val="none" w:sz="0" w:space="0" w:color="auto"/>
          </w:divBdr>
          <w:divsChild>
            <w:div w:id="1555853023">
              <w:marLeft w:val="0"/>
              <w:marRight w:val="0"/>
              <w:marTop w:val="0"/>
              <w:marBottom w:val="0"/>
              <w:divBdr>
                <w:top w:val="none" w:sz="0" w:space="0" w:color="auto"/>
                <w:left w:val="none" w:sz="0" w:space="0" w:color="auto"/>
                <w:bottom w:val="none" w:sz="0" w:space="0" w:color="auto"/>
                <w:right w:val="none" w:sz="0" w:space="0" w:color="auto"/>
              </w:divBdr>
              <w:divsChild>
                <w:div w:id="170112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03618">
      <w:bodyDiv w:val="1"/>
      <w:marLeft w:val="0"/>
      <w:marRight w:val="0"/>
      <w:marTop w:val="0"/>
      <w:marBottom w:val="0"/>
      <w:divBdr>
        <w:top w:val="none" w:sz="0" w:space="0" w:color="auto"/>
        <w:left w:val="none" w:sz="0" w:space="0" w:color="auto"/>
        <w:bottom w:val="none" w:sz="0" w:space="0" w:color="auto"/>
        <w:right w:val="none" w:sz="0" w:space="0" w:color="auto"/>
      </w:divBdr>
      <w:divsChild>
        <w:div w:id="1316227214">
          <w:marLeft w:val="0"/>
          <w:marRight w:val="0"/>
          <w:marTop w:val="0"/>
          <w:marBottom w:val="0"/>
          <w:divBdr>
            <w:top w:val="none" w:sz="0" w:space="0" w:color="auto"/>
            <w:left w:val="none" w:sz="0" w:space="0" w:color="auto"/>
            <w:bottom w:val="none" w:sz="0" w:space="0" w:color="auto"/>
            <w:right w:val="none" w:sz="0" w:space="0" w:color="auto"/>
          </w:divBdr>
          <w:divsChild>
            <w:div w:id="2045867912">
              <w:marLeft w:val="0"/>
              <w:marRight w:val="0"/>
              <w:marTop w:val="0"/>
              <w:marBottom w:val="0"/>
              <w:divBdr>
                <w:top w:val="none" w:sz="0" w:space="0" w:color="auto"/>
                <w:left w:val="none" w:sz="0" w:space="0" w:color="auto"/>
                <w:bottom w:val="none" w:sz="0" w:space="0" w:color="auto"/>
                <w:right w:val="none" w:sz="0" w:space="0" w:color="auto"/>
              </w:divBdr>
              <w:divsChild>
                <w:div w:id="68776900">
                  <w:marLeft w:val="0"/>
                  <w:marRight w:val="0"/>
                  <w:marTop w:val="0"/>
                  <w:marBottom w:val="0"/>
                  <w:divBdr>
                    <w:top w:val="none" w:sz="0" w:space="0" w:color="auto"/>
                    <w:left w:val="none" w:sz="0" w:space="0" w:color="auto"/>
                    <w:bottom w:val="none" w:sz="0" w:space="0" w:color="auto"/>
                    <w:right w:val="none" w:sz="0" w:space="0" w:color="auto"/>
                  </w:divBdr>
                </w:div>
                <w:div w:id="14047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88247">
      <w:bodyDiv w:val="1"/>
      <w:marLeft w:val="0"/>
      <w:marRight w:val="0"/>
      <w:marTop w:val="0"/>
      <w:marBottom w:val="0"/>
      <w:divBdr>
        <w:top w:val="none" w:sz="0" w:space="0" w:color="auto"/>
        <w:left w:val="none" w:sz="0" w:space="0" w:color="auto"/>
        <w:bottom w:val="none" w:sz="0" w:space="0" w:color="auto"/>
        <w:right w:val="none" w:sz="0" w:space="0" w:color="auto"/>
      </w:divBdr>
      <w:divsChild>
        <w:div w:id="423189460">
          <w:marLeft w:val="547"/>
          <w:marRight w:val="0"/>
          <w:marTop w:val="0"/>
          <w:marBottom w:val="120"/>
          <w:divBdr>
            <w:top w:val="none" w:sz="0" w:space="0" w:color="auto"/>
            <w:left w:val="none" w:sz="0" w:space="0" w:color="auto"/>
            <w:bottom w:val="none" w:sz="0" w:space="0" w:color="auto"/>
            <w:right w:val="none" w:sz="0" w:space="0" w:color="auto"/>
          </w:divBdr>
        </w:div>
        <w:div w:id="1742171549">
          <w:marLeft w:val="547"/>
          <w:marRight w:val="0"/>
          <w:marTop w:val="0"/>
          <w:marBottom w:val="120"/>
          <w:divBdr>
            <w:top w:val="none" w:sz="0" w:space="0" w:color="auto"/>
            <w:left w:val="none" w:sz="0" w:space="0" w:color="auto"/>
            <w:bottom w:val="none" w:sz="0" w:space="0" w:color="auto"/>
            <w:right w:val="none" w:sz="0" w:space="0" w:color="auto"/>
          </w:divBdr>
        </w:div>
      </w:divsChild>
    </w:div>
    <w:div w:id="1293631058">
      <w:bodyDiv w:val="1"/>
      <w:marLeft w:val="0"/>
      <w:marRight w:val="0"/>
      <w:marTop w:val="0"/>
      <w:marBottom w:val="0"/>
      <w:divBdr>
        <w:top w:val="none" w:sz="0" w:space="0" w:color="auto"/>
        <w:left w:val="none" w:sz="0" w:space="0" w:color="auto"/>
        <w:bottom w:val="none" w:sz="0" w:space="0" w:color="auto"/>
        <w:right w:val="none" w:sz="0" w:space="0" w:color="auto"/>
      </w:divBdr>
    </w:div>
    <w:div w:id="1346206808">
      <w:bodyDiv w:val="1"/>
      <w:marLeft w:val="0"/>
      <w:marRight w:val="0"/>
      <w:marTop w:val="0"/>
      <w:marBottom w:val="0"/>
      <w:divBdr>
        <w:top w:val="none" w:sz="0" w:space="0" w:color="auto"/>
        <w:left w:val="none" w:sz="0" w:space="0" w:color="auto"/>
        <w:bottom w:val="none" w:sz="0" w:space="0" w:color="auto"/>
        <w:right w:val="none" w:sz="0" w:space="0" w:color="auto"/>
      </w:divBdr>
    </w:div>
    <w:div w:id="1356150465">
      <w:bodyDiv w:val="1"/>
      <w:marLeft w:val="0"/>
      <w:marRight w:val="0"/>
      <w:marTop w:val="0"/>
      <w:marBottom w:val="0"/>
      <w:divBdr>
        <w:top w:val="none" w:sz="0" w:space="0" w:color="auto"/>
        <w:left w:val="none" w:sz="0" w:space="0" w:color="auto"/>
        <w:bottom w:val="none" w:sz="0" w:space="0" w:color="auto"/>
        <w:right w:val="none" w:sz="0" w:space="0" w:color="auto"/>
      </w:divBdr>
      <w:divsChild>
        <w:div w:id="1086804693">
          <w:marLeft w:val="0"/>
          <w:marRight w:val="0"/>
          <w:marTop w:val="0"/>
          <w:marBottom w:val="0"/>
          <w:divBdr>
            <w:top w:val="none" w:sz="0" w:space="0" w:color="auto"/>
            <w:left w:val="none" w:sz="0" w:space="0" w:color="auto"/>
            <w:bottom w:val="none" w:sz="0" w:space="0" w:color="auto"/>
            <w:right w:val="none" w:sz="0" w:space="0" w:color="auto"/>
          </w:divBdr>
          <w:divsChild>
            <w:div w:id="2058697777">
              <w:marLeft w:val="0"/>
              <w:marRight w:val="0"/>
              <w:marTop w:val="0"/>
              <w:marBottom w:val="0"/>
              <w:divBdr>
                <w:top w:val="none" w:sz="0" w:space="0" w:color="auto"/>
                <w:left w:val="none" w:sz="0" w:space="0" w:color="auto"/>
                <w:bottom w:val="none" w:sz="0" w:space="0" w:color="auto"/>
                <w:right w:val="none" w:sz="0" w:space="0" w:color="auto"/>
              </w:divBdr>
              <w:divsChild>
                <w:div w:id="12941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99274">
      <w:bodyDiv w:val="1"/>
      <w:marLeft w:val="0"/>
      <w:marRight w:val="0"/>
      <w:marTop w:val="0"/>
      <w:marBottom w:val="0"/>
      <w:divBdr>
        <w:top w:val="none" w:sz="0" w:space="0" w:color="auto"/>
        <w:left w:val="none" w:sz="0" w:space="0" w:color="auto"/>
        <w:bottom w:val="none" w:sz="0" w:space="0" w:color="auto"/>
        <w:right w:val="none" w:sz="0" w:space="0" w:color="auto"/>
      </w:divBdr>
    </w:div>
    <w:div w:id="1405639098">
      <w:bodyDiv w:val="1"/>
      <w:marLeft w:val="0"/>
      <w:marRight w:val="0"/>
      <w:marTop w:val="0"/>
      <w:marBottom w:val="0"/>
      <w:divBdr>
        <w:top w:val="none" w:sz="0" w:space="0" w:color="auto"/>
        <w:left w:val="none" w:sz="0" w:space="0" w:color="auto"/>
        <w:bottom w:val="none" w:sz="0" w:space="0" w:color="auto"/>
        <w:right w:val="none" w:sz="0" w:space="0" w:color="auto"/>
      </w:divBdr>
    </w:div>
    <w:div w:id="1416633513">
      <w:bodyDiv w:val="1"/>
      <w:marLeft w:val="0"/>
      <w:marRight w:val="0"/>
      <w:marTop w:val="0"/>
      <w:marBottom w:val="0"/>
      <w:divBdr>
        <w:top w:val="none" w:sz="0" w:space="0" w:color="auto"/>
        <w:left w:val="none" w:sz="0" w:space="0" w:color="auto"/>
        <w:bottom w:val="none" w:sz="0" w:space="0" w:color="auto"/>
        <w:right w:val="none" w:sz="0" w:space="0" w:color="auto"/>
      </w:divBdr>
    </w:div>
    <w:div w:id="1449278173">
      <w:bodyDiv w:val="1"/>
      <w:marLeft w:val="0"/>
      <w:marRight w:val="0"/>
      <w:marTop w:val="0"/>
      <w:marBottom w:val="0"/>
      <w:divBdr>
        <w:top w:val="none" w:sz="0" w:space="0" w:color="auto"/>
        <w:left w:val="none" w:sz="0" w:space="0" w:color="auto"/>
        <w:bottom w:val="none" w:sz="0" w:space="0" w:color="auto"/>
        <w:right w:val="none" w:sz="0" w:space="0" w:color="auto"/>
      </w:divBdr>
      <w:divsChild>
        <w:div w:id="1329941868">
          <w:marLeft w:val="0"/>
          <w:marRight w:val="0"/>
          <w:marTop w:val="0"/>
          <w:marBottom w:val="0"/>
          <w:divBdr>
            <w:top w:val="none" w:sz="0" w:space="0" w:color="auto"/>
            <w:left w:val="none" w:sz="0" w:space="0" w:color="auto"/>
            <w:bottom w:val="none" w:sz="0" w:space="0" w:color="auto"/>
            <w:right w:val="none" w:sz="0" w:space="0" w:color="auto"/>
          </w:divBdr>
          <w:divsChild>
            <w:div w:id="1879002039">
              <w:marLeft w:val="0"/>
              <w:marRight w:val="0"/>
              <w:marTop w:val="0"/>
              <w:marBottom w:val="0"/>
              <w:divBdr>
                <w:top w:val="none" w:sz="0" w:space="0" w:color="auto"/>
                <w:left w:val="none" w:sz="0" w:space="0" w:color="auto"/>
                <w:bottom w:val="none" w:sz="0" w:space="0" w:color="auto"/>
                <w:right w:val="none" w:sz="0" w:space="0" w:color="auto"/>
              </w:divBdr>
              <w:divsChild>
                <w:div w:id="14017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79781">
      <w:bodyDiv w:val="1"/>
      <w:marLeft w:val="0"/>
      <w:marRight w:val="0"/>
      <w:marTop w:val="0"/>
      <w:marBottom w:val="0"/>
      <w:divBdr>
        <w:top w:val="none" w:sz="0" w:space="0" w:color="auto"/>
        <w:left w:val="none" w:sz="0" w:space="0" w:color="auto"/>
        <w:bottom w:val="none" w:sz="0" w:space="0" w:color="auto"/>
        <w:right w:val="none" w:sz="0" w:space="0" w:color="auto"/>
      </w:divBdr>
    </w:div>
    <w:div w:id="1597056588">
      <w:bodyDiv w:val="1"/>
      <w:marLeft w:val="0"/>
      <w:marRight w:val="0"/>
      <w:marTop w:val="0"/>
      <w:marBottom w:val="0"/>
      <w:divBdr>
        <w:top w:val="none" w:sz="0" w:space="0" w:color="auto"/>
        <w:left w:val="none" w:sz="0" w:space="0" w:color="auto"/>
        <w:bottom w:val="none" w:sz="0" w:space="0" w:color="auto"/>
        <w:right w:val="none" w:sz="0" w:space="0" w:color="auto"/>
      </w:divBdr>
    </w:div>
    <w:div w:id="1683046752">
      <w:bodyDiv w:val="1"/>
      <w:marLeft w:val="0"/>
      <w:marRight w:val="0"/>
      <w:marTop w:val="0"/>
      <w:marBottom w:val="0"/>
      <w:divBdr>
        <w:top w:val="none" w:sz="0" w:space="0" w:color="auto"/>
        <w:left w:val="none" w:sz="0" w:space="0" w:color="auto"/>
        <w:bottom w:val="none" w:sz="0" w:space="0" w:color="auto"/>
        <w:right w:val="none" w:sz="0" w:space="0" w:color="auto"/>
      </w:divBdr>
    </w:div>
    <w:div w:id="1710716409">
      <w:bodyDiv w:val="1"/>
      <w:marLeft w:val="0"/>
      <w:marRight w:val="0"/>
      <w:marTop w:val="0"/>
      <w:marBottom w:val="0"/>
      <w:divBdr>
        <w:top w:val="none" w:sz="0" w:space="0" w:color="auto"/>
        <w:left w:val="none" w:sz="0" w:space="0" w:color="auto"/>
        <w:bottom w:val="none" w:sz="0" w:space="0" w:color="auto"/>
        <w:right w:val="none" w:sz="0" w:space="0" w:color="auto"/>
      </w:divBdr>
    </w:div>
    <w:div w:id="1764834845">
      <w:bodyDiv w:val="1"/>
      <w:marLeft w:val="0"/>
      <w:marRight w:val="0"/>
      <w:marTop w:val="0"/>
      <w:marBottom w:val="0"/>
      <w:divBdr>
        <w:top w:val="none" w:sz="0" w:space="0" w:color="auto"/>
        <w:left w:val="none" w:sz="0" w:space="0" w:color="auto"/>
        <w:bottom w:val="none" w:sz="0" w:space="0" w:color="auto"/>
        <w:right w:val="none" w:sz="0" w:space="0" w:color="auto"/>
      </w:divBdr>
    </w:div>
    <w:div w:id="1780055497">
      <w:bodyDiv w:val="1"/>
      <w:marLeft w:val="0"/>
      <w:marRight w:val="0"/>
      <w:marTop w:val="0"/>
      <w:marBottom w:val="0"/>
      <w:divBdr>
        <w:top w:val="none" w:sz="0" w:space="0" w:color="auto"/>
        <w:left w:val="none" w:sz="0" w:space="0" w:color="auto"/>
        <w:bottom w:val="none" w:sz="0" w:space="0" w:color="auto"/>
        <w:right w:val="none" w:sz="0" w:space="0" w:color="auto"/>
      </w:divBdr>
      <w:divsChild>
        <w:div w:id="1104881069">
          <w:marLeft w:val="0"/>
          <w:marRight w:val="0"/>
          <w:marTop w:val="0"/>
          <w:marBottom w:val="0"/>
          <w:divBdr>
            <w:top w:val="none" w:sz="0" w:space="0" w:color="auto"/>
            <w:left w:val="none" w:sz="0" w:space="0" w:color="auto"/>
            <w:bottom w:val="none" w:sz="0" w:space="0" w:color="auto"/>
            <w:right w:val="none" w:sz="0" w:space="0" w:color="auto"/>
          </w:divBdr>
          <w:divsChild>
            <w:div w:id="239750715">
              <w:marLeft w:val="0"/>
              <w:marRight w:val="0"/>
              <w:marTop w:val="0"/>
              <w:marBottom w:val="0"/>
              <w:divBdr>
                <w:top w:val="none" w:sz="0" w:space="0" w:color="auto"/>
                <w:left w:val="none" w:sz="0" w:space="0" w:color="auto"/>
                <w:bottom w:val="none" w:sz="0" w:space="0" w:color="auto"/>
                <w:right w:val="none" w:sz="0" w:space="0" w:color="auto"/>
              </w:divBdr>
              <w:divsChild>
                <w:div w:id="197120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78385">
      <w:bodyDiv w:val="1"/>
      <w:marLeft w:val="0"/>
      <w:marRight w:val="0"/>
      <w:marTop w:val="0"/>
      <w:marBottom w:val="0"/>
      <w:divBdr>
        <w:top w:val="none" w:sz="0" w:space="0" w:color="auto"/>
        <w:left w:val="none" w:sz="0" w:space="0" w:color="auto"/>
        <w:bottom w:val="none" w:sz="0" w:space="0" w:color="auto"/>
        <w:right w:val="none" w:sz="0" w:space="0" w:color="auto"/>
      </w:divBdr>
    </w:div>
    <w:div w:id="1925605044">
      <w:bodyDiv w:val="1"/>
      <w:marLeft w:val="0"/>
      <w:marRight w:val="0"/>
      <w:marTop w:val="0"/>
      <w:marBottom w:val="0"/>
      <w:divBdr>
        <w:top w:val="none" w:sz="0" w:space="0" w:color="auto"/>
        <w:left w:val="none" w:sz="0" w:space="0" w:color="auto"/>
        <w:bottom w:val="none" w:sz="0" w:space="0" w:color="auto"/>
        <w:right w:val="none" w:sz="0" w:space="0" w:color="auto"/>
      </w:divBdr>
      <w:divsChild>
        <w:div w:id="1283878732">
          <w:marLeft w:val="0"/>
          <w:marRight w:val="0"/>
          <w:marTop w:val="0"/>
          <w:marBottom w:val="0"/>
          <w:divBdr>
            <w:top w:val="none" w:sz="0" w:space="0" w:color="auto"/>
            <w:left w:val="none" w:sz="0" w:space="0" w:color="auto"/>
            <w:bottom w:val="none" w:sz="0" w:space="0" w:color="auto"/>
            <w:right w:val="none" w:sz="0" w:space="0" w:color="auto"/>
          </w:divBdr>
          <w:divsChild>
            <w:div w:id="2129003272">
              <w:marLeft w:val="0"/>
              <w:marRight w:val="0"/>
              <w:marTop w:val="0"/>
              <w:marBottom w:val="0"/>
              <w:divBdr>
                <w:top w:val="none" w:sz="0" w:space="0" w:color="auto"/>
                <w:left w:val="none" w:sz="0" w:space="0" w:color="auto"/>
                <w:bottom w:val="none" w:sz="0" w:space="0" w:color="auto"/>
                <w:right w:val="none" w:sz="0" w:space="0" w:color="auto"/>
              </w:divBdr>
              <w:divsChild>
                <w:div w:id="5564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1531">
      <w:bodyDiv w:val="1"/>
      <w:marLeft w:val="0"/>
      <w:marRight w:val="0"/>
      <w:marTop w:val="0"/>
      <w:marBottom w:val="0"/>
      <w:divBdr>
        <w:top w:val="none" w:sz="0" w:space="0" w:color="auto"/>
        <w:left w:val="none" w:sz="0" w:space="0" w:color="auto"/>
        <w:bottom w:val="none" w:sz="0" w:space="0" w:color="auto"/>
        <w:right w:val="none" w:sz="0" w:space="0" w:color="auto"/>
      </w:divBdr>
    </w:div>
    <w:div w:id="1975601910">
      <w:bodyDiv w:val="1"/>
      <w:marLeft w:val="0"/>
      <w:marRight w:val="0"/>
      <w:marTop w:val="0"/>
      <w:marBottom w:val="0"/>
      <w:divBdr>
        <w:top w:val="none" w:sz="0" w:space="0" w:color="auto"/>
        <w:left w:val="none" w:sz="0" w:space="0" w:color="auto"/>
        <w:bottom w:val="none" w:sz="0" w:space="0" w:color="auto"/>
        <w:right w:val="none" w:sz="0" w:space="0" w:color="auto"/>
      </w:divBdr>
    </w:div>
    <w:div w:id="1998261814">
      <w:bodyDiv w:val="1"/>
      <w:marLeft w:val="0"/>
      <w:marRight w:val="0"/>
      <w:marTop w:val="0"/>
      <w:marBottom w:val="0"/>
      <w:divBdr>
        <w:top w:val="none" w:sz="0" w:space="0" w:color="auto"/>
        <w:left w:val="none" w:sz="0" w:space="0" w:color="auto"/>
        <w:bottom w:val="none" w:sz="0" w:space="0" w:color="auto"/>
        <w:right w:val="none" w:sz="0" w:space="0" w:color="auto"/>
      </w:divBdr>
      <w:divsChild>
        <w:div w:id="365448180">
          <w:marLeft w:val="0"/>
          <w:marRight w:val="0"/>
          <w:marTop w:val="0"/>
          <w:marBottom w:val="0"/>
          <w:divBdr>
            <w:top w:val="none" w:sz="0" w:space="0" w:color="auto"/>
            <w:left w:val="none" w:sz="0" w:space="0" w:color="auto"/>
            <w:bottom w:val="none" w:sz="0" w:space="0" w:color="auto"/>
            <w:right w:val="none" w:sz="0" w:space="0" w:color="auto"/>
          </w:divBdr>
          <w:divsChild>
            <w:div w:id="534544340">
              <w:marLeft w:val="0"/>
              <w:marRight w:val="0"/>
              <w:marTop w:val="0"/>
              <w:marBottom w:val="0"/>
              <w:divBdr>
                <w:top w:val="none" w:sz="0" w:space="0" w:color="auto"/>
                <w:left w:val="none" w:sz="0" w:space="0" w:color="auto"/>
                <w:bottom w:val="none" w:sz="0" w:space="0" w:color="auto"/>
                <w:right w:val="none" w:sz="0" w:space="0" w:color="auto"/>
              </w:divBdr>
              <w:divsChild>
                <w:div w:id="20704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0876">
      <w:bodyDiv w:val="1"/>
      <w:marLeft w:val="0"/>
      <w:marRight w:val="0"/>
      <w:marTop w:val="0"/>
      <w:marBottom w:val="0"/>
      <w:divBdr>
        <w:top w:val="none" w:sz="0" w:space="0" w:color="auto"/>
        <w:left w:val="none" w:sz="0" w:space="0" w:color="auto"/>
        <w:bottom w:val="none" w:sz="0" w:space="0" w:color="auto"/>
        <w:right w:val="none" w:sz="0" w:space="0" w:color="auto"/>
      </w:divBdr>
    </w:div>
    <w:div w:id="2051998334">
      <w:bodyDiv w:val="1"/>
      <w:marLeft w:val="0"/>
      <w:marRight w:val="0"/>
      <w:marTop w:val="0"/>
      <w:marBottom w:val="0"/>
      <w:divBdr>
        <w:top w:val="none" w:sz="0" w:space="0" w:color="auto"/>
        <w:left w:val="none" w:sz="0" w:space="0" w:color="auto"/>
        <w:bottom w:val="none" w:sz="0" w:space="0" w:color="auto"/>
        <w:right w:val="none" w:sz="0" w:space="0" w:color="auto"/>
      </w:divBdr>
      <w:divsChild>
        <w:div w:id="86968914">
          <w:marLeft w:val="0"/>
          <w:marRight w:val="0"/>
          <w:marTop w:val="0"/>
          <w:marBottom w:val="0"/>
          <w:divBdr>
            <w:top w:val="none" w:sz="0" w:space="0" w:color="auto"/>
            <w:left w:val="none" w:sz="0" w:space="0" w:color="auto"/>
            <w:bottom w:val="none" w:sz="0" w:space="0" w:color="auto"/>
            <w:right w:val="none" w:sz="0" w:space="0" w:color="auto"/>
          </w:divBdr>
          <w:divsChild>
            <w:div w:id="237835859">
              <w:marLeft w:val="0"/>
              <w:marRight w:val="0"/>
              <w:marTop w:val="0"/>
              <w:marBottom w:val="0"/>
              <w:divBdr>
                <w:top w:val="none" w:sz="0" w:space="0" w:color="auto"/>
                <w:left w:val="none" w:sz="0" w:space="0" w:color="auto"/>
                <w:bottom w:val="none" w:sz="0" w:space="0" w:color="auto"/>
                <w:right w:val="none" w:sz="0" w:space="0" w:color="auto"/>
              </w:divBdr>
              <w:divsChild>
                <w:div w:id="142233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83916">
      <w:bodyDiv w:val="1"/>
      <w:marLeft w:val="0"/>
      <w:marRight w:val="0"/>
      <w:marTop w:val="0"/>
      <w:marBottom w:val="0"/>
      <w:divBdr>
        <w:top w:val="none" w:sz="0" w:space="0" w:color="auto"/>
        <w:left w:val="none" w:sz="0" w:space="0" w:color="auto"/>
        <w:bottom w:val="none" w:sz="0" w:space="0" w:color="auto"/>
        <w:right w:val="none" w:sz="0" w:space="0" w:color="auto"/>
      </w:divBdr>
      <w:divsChild>
        <w:div w:id="656688386">
          <w:marLeft w:val="0"/>
          <w:marRight w:val="0"/>
          <w:marTop w:val="0"/>
          <w:marBottom w:val="0"/>
          <w:divBdr>
            <w:top w:val="none" w:sz="0" w:space="0" w:color="auto"/>
            <w:left w:val="none" w:sz="0" w:space="0" w:color="auto"/>
            <w:bottom w:val="none" w:sz="0" w:space="0" w:color="auto"/>
            <w:right w:val="none" w:sz="0" w:space="0" w:color="auto"/>
          </w:divBdr>
          <w:divsChild>
            <w:div w:id="1947497484">
              <w:marLeft w:val="0"/>
              <w:marRight w:val="0"/>
              <w:marTop w:val="0"/>
              <w:marBottom w:val="0"/>
              <w:divBdr>
                <w:top w:val="none" w:sz="0" w:space="0" w:color="auto"/>
                <w:left w:val="none" w:sz="0" w:space="0" w:color="auto"/>
                <w:bottom w:val="none" w:sz="0" w:space="0" w:color="auto"/>
                <w:right w:val="none" w:sz="0" w:space="0" w:color="auto"/>
              </w:divBdr>
              <w:divsChild>
                <w:div w:id="96700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5983">
      <w:bodyDiv w:val="1"/>
      <w:marLeft w:val="0"/>
      <w:marRight w:val="0"/>
      <w:marTop w:val="0"/>
      <w:marBottom w:val="0"/>
      <w:divBdr>
        <w:top w:val="none" w:sz="0" w:space="0" w:color="auto"/>
        <w:left w:val="none" w:sz="0" w:space="0" w:color="auto"/>
        <w:bottom w:val="none" w:sz="0" w:space="0" w:color="auto"/>
        <w:right w:val="none" w:sz="0" w:space="0" w:color="auto"/>
      </w:divBdr>
      <w:divsChild>
        <w:div w:id="1182285324">
          <w:marLeft w:val="547"/>
          <w:marRight w:val="0"/>
          <w:marTop w:val="0"/>
          <w:marBottom w:val="120"/>
          <w:divBdr>
            <w:top w:val="none" w:sz="0" w:space="0" w:color="auto"/>
            <w:left w:val="none" w:sz="0" w:space="0" w:color="auto"/>
            <w:bottom w:val="none" w:sz="0" w:space="0" w:color="auto"/>
            <w:right w:val="none" w:sz="0" w:space="0" w:color="auto"/>
          </w:divBdr>
        </w:div>
        <w:div w:id="1335306375">
          <w:marLeft w:val="547"/>
          <w:marRight w:val="0"/>
          <w:marTop w:val="0"/>
          <w:marBottom w:val="120"/>
          <w:divBdr>
            <w:top w:val="none" w:sz="0" w:space="0" w:color="auto"/>
            <w:left w:val="none" w:sz="0" w:space="0" w:color="auto"/>
            <w:bottom w:val="none" w:sz="0" w:space="0" w:color="auto"/>
            <w:right w:val="none" w:sz="0" w:space="0" w:color="auto"/>
          </w:divBdr>
        </w:div>
        <w:div w:id="1587768130">
          <w:marLeft w:val="547"/>
          <w:marRight w:val="0"/>
          <w:marTop w:val="0"/>
          <w:marBottom w:val="120"/>
          <w:divBdr>
            <w:top w:val="none" w:sz="0" w:space="0" w:color="auto"/>
            <w:left w:val="none" w:sz="0" w:space="0" w:color="auto"/>
            <w:bottom w:val="none" w:sz="0" w:space="0" w:color="auto"/>
            <w:right w:val="none" w:sz="0" w:space="0" w:color="auto"/>
          </w:divBdr>
        </w:div>
        <w:div w:id="1626304593">
          <w:marLeft w:val="547"/>
          <w:marRight w:val="0"/>
          <w:marTop w:val="0"/>
          <w:marBottom w:val="120"/>
          <w:divBdr>
            <w:top w:val="none" w:sz="0" w:space="0" w:color="auto"/>
            <w:left w:val="none" w:sz="0" w:space="0" w:color="auto"/>
            <w:bottom w:val="none" w:sz="0" w:space="0" w:color="auto"/>
            <w:right w:val="none" w:sz="0" w:space="0" w:color="auto"/>
          </w:divBdr>
        </w:div>
        <w:div w:id="1809664338">
          <w:marLeft w:val="547"/>
          <w:marRight w:val="0"/>
          <w:marTop w:val="0"/>
          <w:marBottom w:val="120"/>
          <w:divBdr>
            <w:top w:val="none" w:sz="0" w:space="0" w:color="auto"/>
            <w:left w:val="none" w:sz="0" w:space="0" w:color="auto"/>
            <w:bottom w:val="none" w:sz="0" w:space="0" w:color="auto"/>
            <w:right w:val="none" w:sz="0" w:space="0" w:color="auto"/>
          </w:divBdr>
        </w:div>
        <w:div w:id="1859390739">
          <w:marLeft w:val="547"/>
          <w:marRight w:val="0"/>
          <w:marTop w:val="0"/>
          <w:marBottom w:val="120"/>
          <w:divBdr>
            <w:top w:val="none" w:sz="0" w:space="0" w:color="auto"/>
            <w:left w:val="none" w:sz="0" w:space="0" w:color="auto"/>
            <w:bottom w:val="none" w:sz="0" w:space="0" w:color="auto"/>
            <w:right w:val="none" w:sz="0" w:space="0" w:color="auto"/>
          </w:divBdr>
        </w:div>
        <w:div w:id="1959220656">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ionalarchives.gov.uk/doc/open-government-licence/version/3" TargetMode="External"/><Relationship Id="rId18" Type="http://schemas.openxmlformats.org/officeDocument/2006/relationships/footer" Target="footer2.xml"/><Relationship Id="rId26" Type="http://schemas.microsoft.com/office/2007/relationships/diagramDrawing" Target="diagrams/drawing1.xm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www.ohchr.org/english/law/parisprinciples"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diagramColors" Target="diagrams/colors1.xm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ww.nihrc.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QuickStyle" Target="diagrams/quickStyle1.xml"/><Relationship Id="rId32" Type="http://schemas.openxmlformats.org/officeDocument/2006/relationships/hyperlink" Target="https://www.frc.org.uk/auditors/audit-assurance/auditor-s-responsibilities-for-the-audit-of-the-fi/description-of-the-auditor%e2%80%99s-responsibilities-for" TargetMode="External"/><Relationship Id="rId37" Type="http://schemas.openxmlformats.org/officeDocument/2006/relationships/header" Target="header6.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diagramLayout" Target="diagrams/layout1.xml"/><Relationship Id="rId28" Type="http://schemas.openxmlformats.org/officeDocument/2006/relationships/hyperlink" Target="http://www.nihrc.org"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civilservicepensionscheme.org.uk/about-us/scheme-valu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official-documents" TargetMode="External"/><Relationship Id="rId22" Type="http://schemas.openxmlformats.org/officeDocument/2006/relationships/diagramData" Target="diagrams/data1.xml"/><Relationship Id="rId27" Type="http://schemas.openxmlformats.org/officeDocument/2006/relationships/image" Target="media/image3.png"/><Relationship Id="rId30" Type="http://schemas.openxmlformats.org/officeDocument/2006/relationships/hyperlink" Target="https://nihrc.org/publication/detail/strategic-plan-2022-2025" TargetMode="External"/><Relationship Id="rId35"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committees.parliament.uk/publications/31662/documents/177968/default/" TargetMode="External"/><Relationship Id="rId3" Type="http://schemas.openxmlformats.org/officeDocument/2006/relationships/hyperlink" Target="https://nihrc.org/publication/detail/nihrc-and-ecni-working-paper-the-scope-of-article-21-of-the-ireland-northern-ireland-protocol" TargetMode="External"/><Relationship Id="rId7" Type="http://schemas.openxmlformats.org/officeDocument/2006/relationships/hyperlink" Target="https://nihrc.org/uploads/publications/Legacy-Bill-FINAL.pdf" TargetMode="External"/><Relationship Id="rId12" Type="http://schemas.openxmlformats.org/officeDocument/2006/relationships/hyperlink" Target="https://nihrc.org/publication/detail/nihrc-response-to-the-european-commission-consultation-on-the-racial-equality-directive" TargetMode="External"/><Relationship Id="rId2" Type="http://schemas.openxmlformats.org/officeDocument/2006/relationships/hyperlink" Target="https://nihrc.org/publication/detail/annual-report-of-the-nihrc-and-ecni-on-the-implementation-of-protocol-article-2-2021-2022" TargetMode="External"/><Relationship Id="rId1" Type="http://schemas.openxmlformats.org/officeDocument/2006/relationships/hyperlink" Target="https://nihrc.org/publication/detail/annual-statement-2021" TargetMode="External"/><Relationship Id="rId6" Type="http://schemas.openxmlformats.org/officeDocument/2006/relationships/hyperlink" Target="https://nihrc.org/publication/detail/nihrc-and-ecni-preliminary-briefing-on-the-northern-ireland-protocol-bill" TargetMode="External"/><Relationship Id="rId11" Type="http://schemas.openxmlformats.org/officeDocument/2006/relationships/hyperlink" Target="https://committees.parliament.uk/publications/31836/documents/178954/default/" TargetMode="External"/><Relationship Id="rId5" Type="http://schemas.openxmlformats.org/officeDocument/2006/relationships/hyperlink" Target="https://nihrc.org/publication/detail/nihrc-and-ecni-briefing-on-the-retained-eu-law-revocation-and-reform-bill" TargetMode="External"/><Relationship Id="rId10" Type="http://schemas.openxmlformats.org/officeDocument/2006/relationships/hyperlink" Target="https://committees.parliament.uk/publications/33943/documents/186051/default/" TargetMode="External"/><Relationship Id="rId4" Type="http://schemas.openxmlformats.org/officeDocument/2006/relationships/hyperlink" Target="https://nihrc.org/publication/detail/table-of-eu-directives-which-underpin-the-rights-safeguards-and-equality-of-opportunity-provisions-included-in-the-chapter-of-the-belfast-good-friday-agreement-of-the-same-name-and-implementing-domestic-legislation" TargetMode="External"/><Relationship Id="rId9" Type="http://schemas.openxmlformats.org/officeDocument/2006/relationships/hyperlink" Target="https://committees.parliament.uk/publications/33515/documents/182120/defaul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A91A2C-1372-43A2-A421-115F3B916835}"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055D086B-AB15-4250-A620-793840C91487}">
      <dgm:prSet phldrT="[Text]" custT="1"/>
      <dgm:spPr>
        <a:solidFill>
          <a:srgbClr val="7030A0"/>
        </a:solidFill>
      </dgm:spPr>
      <dgm:t>
        <a:bodyPr/>
        <a:lstStyle/>
        <a:p>
          <a:r>
            <a:rPr lang="en-GB" sz="1800" baseline="0">
              <a:solidFill>
                <a:schemeClr val="bg1"/>
              </a:solidFill>
            </a:rPr>
            <a:t>Chief Executive &amp; Accounting Officer</a:t>
          </a:r>
        </a:p>
      </dgm:t>
    </dgm:pt>
    <dgm:pt modelId="{8C8AE3CA-0519-443B-AAC6-33061EC45E4F}" type="parTrans" cxnId="{39C84C32-38AF-42D8-9929-649C0506BE13}">
      <dgm:prSet/>
      <dgm:spPr/>
      <dgm:t>
        <a:bodyPr/>
        <a:lstStyle/>
        <a:p>
          <a:endParaRPr lang="en-GB"/>
        </a:p>
      </dgm:t>
    </dgm:pt>
    <dgm:pt modelId="{843C94DD-195F-4F9E-BC78-3B92B22BEA0E}" type="sibTrans" cxnId="{39C84C32-38AF-42D8-9929-649C0506BE13}">
      <dgm:prSet/>
      <dgm:spPr/>
      <dgm:t>
        <a:bodyPr/>
        <a:lstStyle/>
        <a:p>
          <a:endParaRPr lang="en-GB"/>
        </a:p>
      </dgm:t>
    </dgm:pt>
    <dgm:pt modelId="{74682392-1DD0-43C7-A0CC-A85421D311D0}">
      <dgm:prSet phldrT="[Text]"/>
      <dgm:spPr>
        <a:solidFill>
          <a:srgbClr val="7030A0"/>
        </a:solidFill>
      </dgm:spPr>
      <dgm:t>
        <a:bodyPr/>
        <a:lstStyle/>
        <a:p>
          <a:r>
            <a:rPr lang="en-GB" baseline="0">
              <a:solidFill>
                <a:schemeClr val="bg1"/>
              </a:solidFill>
            </a:rPr>
            <a:t>Director (Legal Services)</a:t>
          </a:r>
        </a:p>
      </dgm:t>
    </dgm:pt>
    <dgm:pt modelId="{89BC8241-3F98-4EBB-9119-10516A2A020D}" type="parTrans" cxnId="{498FF303-5BE0-49E6-B66E-B6595448F106}">
      <dgm:prSet/>
      <dgm:spPr/>
      <dgm:t>
        <a:bodyPr/>
        <a:lstStyle/>
        <a:p>
          <a:endParaRPr lang="en-GB"/>
        </a:p>
      </dgm:t>
    </dgm:pt>
    <dgm:pt modelId="{5E35FE08-FC61-4022-BEF5-F758742CD011}" type="sibTrans" cxnId="{498FF303-5BE0-49E6-B66E-B6595448F106}">
      <dgm:prSet/>
      <dgm:spPr/>
      <dgm:t>
        <a:bodyPr/>
        <a:lstStyle/>
        <a:p>
          <a:endParaRPr lang="en-GB"/>
        </a:p>
      </dgm:t>
    </dgm:pt>
    <dgm:pt modelId="{5F373A2B-8789-4FED-A249-EE0F669E5B31}">
      <dgm:prSet phldrT="[Text]"/>
      <dgm:spPr>
        <a:solidFill>
          <a:srgbClr val="7030A0"/>
        </a:solidFill>
      </dgm:spPr>
      <dgm:t>
        <a:bodyPr/>
        <a:lstStyle/>
        <a:p>
          <a:r>
            <a:rPr lang="en-GB" baseline="0">
              <a:solidFill>
                <a:schemeClr val="bg1"/>
              </a:solidFill>
            </a:rPr>
            <a:t>Solicitors (Legal &amp; Research Officers) x 3</a:t>
          </a:r>
        </a:p>
        <a:p>
          <a:r>
            <a:rPr lang="en-GB" baseline="0">
              <a:solidFill>
                <a:schemeClr val="bg1"/>
              </a:solidFill>
            </a:rPr>
            <a:t>(1 currently on maternity leave)</a:t>
          </a:r>
        </a:p>
      </dgm:t>
    </dgm:pt>
    <dgm:pt modelId="{95ADC381-6E8E-4E1E-B5A4-A6AFDED78C00}" type="parTrans" cxnId="{4DCC4A86-C292-494B-A17A-A99C9ACFB5C6}">
      <dgm:prSet/>
      <dgm:spPr/>
      <dgm:t>
        <a:bodyPr/>
        <a:lstStyle/>
        <a:p>
          <a:endParaRPr lang="en-GB"/>
        </a:p>
      </dgm:t>
    </dgm:pt>
    <dgm:pt modelId="{F2D13C97-2937-4848-80D3-67921B7250B3}" type="sibTrans" cxnId="{4DCC4A86-C292-494B-A17A-A99C9ACFB5C6}">
      <dgm:prSet/>
      <dgm:spPr/>
      <dgm:t>
        <a:bodyPr/>
        <a:lstStyle/>
        <a:p>
          <a:endParaRPr lang="en-GB"/>
        </a:p>
      </dgm:t>
    </dgm:pt>
    <dgm:pt modelId="{375B24A6-4BBD-4A9C-BD7F-80ABED0E8D67}">
      <dgm:prSet phldrT="[Text]"/>
      <dgm:spPr>
        <a:solidFill>
          <a:srgbClr val="7030A0"/>
        </a:solidFill>
      </dgm:spPr>
      <dgm:t>
        <a:bodyPr/>
        <a:lstStyle/>
        <a:p>
          <a:r>
            <a:rPr lang="en-GB" baseline="0">
              <a:solidFill>
                <a:schemeClr val="bg1"/>
              </a:solidFill>
            </a:rPr>
            <a:t>Senior Policy &amp; Research Officer	</a:t>
          </a:r>
        </a:p>
      </dgm:t>
    </dgm:pt>
    <dgm:pt modelId="{BB7A3625-ED02-4C26-BF40-C4828D858686}" type="parTrans" cxnId="{649BC496-6E01-47A0-9330-77598DB031F1}">
      <dgm:prSet/>
      <dgm:spPr/>
      <dgm:t>
        <a:bodyPr/>
        <a:lstStyle/>
        <a:p>
          <a:endParaRPr lang="en-GB"/>
        </a:p>
      </dgm:t>
    </dgm:pt>
    <dgm:pt modelId="{015E3313-2602-4825-84D1-5FAA3C63FC06}" type="sibTrans" cxnId="{649BC496-6E01-47A0-9330-77598DB031F1}">
      <dgm:prSet/>
      <dgm:spPr/>
      <dgm:t>
        <a:bodyPr/>
        <a:lstStyle/>
        <a:p>
          <a:endParaRPr lang="en-GB"/>
        </a:p>
      </dgm:t>
    </dgm:pt>
    <dgm:pt modelId="{F79CA767-ABAC-48D3-89B3-B3FD31D67392}">
      <dgm:prSet phldrT="[Text]"/>
      <dgm:spPr>
        <a:solidFill>
          <a:srgbClr val="7030A0"/>
        </a:solidFill>
      </dgm:spPr>
      <dgm:t>
        <a:bodyPr/>
        <a:lstStyle/>
        <a:p>
          <a:r>
            <a:rPr lang="en-GB" baseline="0">
              <a:solidFill>
                <a:schemeClr val="bg1"/>
              </a:solidFill>
            </a:rPr>
            <a:t>Director (Finance, Personnel &amp; Corporate Affairs)</a:t>
          </a:r>
        </a:p>
      </dgm:t>
    </dgm:pt>
    <dgm:pt modelId="{9D8C39BB-F56D-40E1-821C-9F81B6BA855A}" type="parTrans" cxnId="{0A4BE452-2D30-439D-B6D7-64D15839C906}">
      <dgm:prSet/>
      <dgm:spPr/>
      <dgm:t>
        <a:bodyPr/>
        <a:lstStyle/>
        <a:p>
          <a:endParaRPr lang="en-GB"/>
        </a:p>
      </dgm:t>
    </dgm:pt>
    <dgm:pt modelId="{AD95F1A7-9AA7-4514-A2E3-75FE0962AB0C}" type="sibTrans" cxnId="{0A4BE452-2D30-439D-B6D7-64D15839C906}">
      <dgm:prSet/>
      <dgm:spPr/>
      <dgm:t>
        <a:bodyPr/>
        <a:lstStyle/>
        <a:p>
          <a:endParaRPr lang="en-GB"/>
        </a:p>
      </dgm:t>
    </dgm:pt>
    <dgm:pt modelId="{9A0B9B5E-18BE-45CC-995B-E8AA576BAB1F}">
      <dgm:prSet phldrT="[Text]"/>
      <dgm:spPr>
        <a:solidFill>
          <a:srgbClr val="7030A0"/>
        </a:solidFill>
      </dgm:spPr>
      <dgm:t>
        <a:bodyPr/>
        <a:lstStyle/>
        <a:p>
          <a:r>
            <a:rPr lang="en-GB" baseline="0">
              <a:solidFill>
                <a:schemeClr val="bg1"/>
              </a:solidFill>
            </a:rPr>
            <a:t>Senior Finance, Personnel &amp; Corporate Affairs Officer</a:t>
          </a:r>
        </a:p>
      </dgm:t>
    </dgm:pt>
    <dgm:pt modelId="{F7047F99-3856-408F-A52E-58A08DA76C9E}" type="parTrans" cxnId="{8BDE8CF4-615D-4ABF-957F-E2A3E9FB6CED}">
      <dgm:prSet/>
      <dgm:spPr/>
      <dgm:t>
        <a:bodyPr/>
        <a:lstStyle/>
        <a:p>
          <a:endParaRPr lang="en-GB"/>
        </a:p>
      </dgm:t>
    </dgm:pt>
    <dgm:pt modelId="{CB2E5F4F-9643-4D3B-97D8-0FC8B5CAE944}" type="sibTrans" cxnId="{8BDE8CF4-615D-4ABF-957F-E2A3E9FB6CED}">
      <dgm:prSet/>
      <dgm:spPr/>
      <dgm:t>
        <a:bodyPr/>
        <a:lstStyle/>
        <a:p>
          <a:endParaRPr lang="en-GB"/>
        </a:p>
      </dgm:t>
    </dgm:pt>
    <dgm:pt modelId="{AF2C8F75-15D0-4F7D-ABD6-30E100700F99}">
      <dgm:prSet/>
      <dgm:spPr>
        <a:solidFill>
          <a:srgbClr val="7030A0"/>
        </a:solidFill>
      </dgm:spPr>
      <dgm:t>
        <a:bodyPr/>
        <a:lstStyle/>
        <a:p>
          <a:r>
            <a:rPr lang="en-GB" baseline="0">
              <a:solidFill>
                <a:schemeClr val="bg1"/>
              </a:solidFill>
            </a:rPr>
            <a:t>Director (Engagement &amp; Communications)</a:t>
          </a:r>
        </a:p>
      </dgm:t>
    </dgm:pt>
    <dgm:pt modelId="{1724D17B-7E58-44B7-BDB6-6EF23DE8CE30}" type="parTrans" cxnId="{2F33CAC1-5347-4ADA-8A65-39EC2B234AAB}">
      <dgm:prSet/>
      <dgm:spPr/>
      <dgm:t>
        <a:bodyPr/>
        <a:lstStyle/>
        <a:p>
          <a:endParaRPr lang="en-GB"/>
        </a:p>
      </dgm:t>
    </dgm:pt>
    <dgm:pt modelId="{0CCC5833-D87C-4E0B-B862-4BF2735A51A7}" type="sibTrans" cxnId="{2F33CAC1-5347-4ADA-8A65-39EC2B234AAB}">
      <dgm:prSet/>
      <dgm:spPr/>
      <dgm:t>
        <a:bodyPr/>
        <a:lstStyle/>
        <a:p>
          <a:endParaRPr lang="en-GB"/>
        </a:p>
      </dgm:t>
    </dgm:pt>
    <dgm:pt modelId="{33CAFDE1-8B06-45B8-9772-FAD6CB376A33}">
      <dgm:prSet/>
      <dgm:spPr>
        <a:solidFill>
          <a:srgbClr val="7030A0"/>
        </a:solidFill>
      </dgm:spPr>
      <dgm:t>
        <a:bodyPr/>
        <a:lstStyle/>
        <a:p>
          <a:r>
            <a:rPr lang="en-GB" baseline="0">
              <a:solidFill>
                <a:schemeClr val="bg1"/>
              </a:solidFill>
            </a:rPr>
            <a:t>Director (Human Rights after Brexit)</a:t>
          </a:r>
        </a:p>
      </dgm:t>
    </dgm:pt>
    <dgm:pt modelId="{7331D93B-DA9C-44A5-9992-ABF61A6E90FD}" type="parTrans" cxnId="{AD046FCB-769A-4D7E-BB49-E797C3BE4734}">
      <dgm:prSet/>
      <dgm:spPr/>
      <dgm:t>
        <a:bodyPr/>
        <a:lstStyle/>
        <a:p>
          <a:endParaRPr lang="en-GB"/>
        </a:p>
      </dgm:t>
    </dgm:pt>
    <dgm:pt modelId="{EA83F9CA-38B4-476B-B131-A0469DDE6DEA}" type="sibTrans" cxnId="{AD046FCB-769A-4D7E-BB49-E797C3BE4734}">
      <dgm:prSet/>
      <dgm:spPr/>
      <dgm:t>
        <a:bodyPr/>
        <a:lstStyle/>
        <a:p>
          <a:endParaRPr lang="en-GB"/>
        </a:p>
      </dgm:t>
    </dgm:pt>
    <dgm:pt modelId="{46FDCEFF-5EF0-4D8D-96FB-0F510AF1185B}">
      <dgm:prSet/>
      <dgm:spPr>
        <a:solidFill>
          <a:srgbClr val="7030A0"/>
        </a:solidFill>
      </dgm:spPr>
      <dgm:t>
        <a:bodyPr/>
        <a:lstStyle/>
        <a:p>
          <a:r>
            <a:rPr lang="en-GB" baseline="0">
              <a:solidFill>
                <a:schemeClr val="bg1"/>
              </a:solidFill>
            </a:rPr>
            <a:t>Director (Advice to Government, Research &amp; Investigations)</a:t>
          </a:r>
        </a:p>
      </dgm:t>
    </dgm:pt>
    <dgm:pt modelId="{31F5B1FF-B3A2-4A2A-888A-6F4AF14F2F46}" type="parTrans" cxnId="{3CA1E97A-6D14-4A87-BAC7-FB77B164A932}">
      <dgm:prSet/>
      <dgm:spPr/>
      <dgm:t>
        <a:bodyPr/>
        <a:lstStyle/>
        <a:p>
          <a:endParaRPr lang="en-GB"/>
        </a:p>
      </dgm:t>
    </dgm:pt>
    <dgm:pt modelId="{B3510E34-C8AD-4414-AF48-C7D76C8574D3}" type="sibTrans" cxnId="{3CA1E97A-6D14-4A87-BAC7-FB77B164A932}">
      <dgm:prSet/>
      <dgm:spPr/>
      <dgm:t>
        <a:bodyPr/>
        <a:lstStyle/>
        <a:p>
          <a:endParaRPr lang="en-GB"/>
        </a:p>
      </dgm:t>
    </dgm:pt>
    <dgm:pt modelId="{881D7432-8CD0-4494-A45D-4439148962BE}">
      <dgm:prSet/>
      <dgm:spPr>
        <a:solidFill>
          <a:srgbClr val="7030A0"/>
        </a:solidFill>
      </dgm:spPr>
      <dgm:t>
        <a:bodyPr/>
        <a:lstStyle/>
        <a:p>
          <a:r>
            <a:rPr lang="en-GB" baseline="0">
              <a:solidFill>
                <a:schemeClr val="bg1"/>
              </a:solidFill>
            </a:rPr>
            <a:t>Senior Policy &amp; Research Officer</a:t>
          </a:r>
        </a:p>
      </dgm:t>
    </dgm:pt>
    <dgm:pt modelId="{611DDA1E-0B0D-4200-8895-6FF04BEA56DE}" type="parTrans" cxnId="{8440BECF-B4FB-4CD5-9BA3-54A8ADB8AB90}">
      <dgm:prSet/>
      <dgm:spPr/>
      <dgm:t>
        <a:bodyPr/>
        <a:lstStyle/>
        <a:p>
          <a:endParaRPr lang="en-GB"/>
        </a:p>
      </dgm:t>
    </dgm:pt>
    <dgm:pt modelId="{0AF6B7AE-EA4A-4842-9893-CE09EB36131D}" type="sibTrans" cxnId="{8440BECF-B4FB-4CD5-9BA3-54A8ADB8AB90}">
      <dgm:prSet/>
      <dgm:spPr/>
      <dgm:t>
        <a:bodyPr/>
        <a:lstStyle/>
        <a:p>
          <a:endParaRPr lang="en-GB"/>
        </a:p>
      </dgm:t>
    </dgm:pt>
    <dgm:pt modelId="{1B7DF147-5499-4D78-B6F1-23E6042733E3}">
      <dgm:prSet/>
      <dgm:spPr>
        <a:solidFill>
          <a:srgbClr val="7030A0"/>
        </a:solidFill>
      </dgm:spPr>
      <dgm:t>
        <a:bodyPr/>
        <a:lstStyle/>
        <a:p>
          <a:r>
            <a:rPr lang="en-GB" baseline="0">
              <a:solidFill>
                <a:schemeClr val="bg1"/>
              </a:solidFill>
            </a:rPr>
            <a:t>Senior Policy &amp; Research Officer</a:t>
          </a:r>
        </a:p>
      </dgm:t>
    </dgm:pt>
    <dgm:pt modelId="{16BDD566-4A8D-4C53-8866-C42D119004E1}" type="parTrans" cxnId="{E96B216E-81DB-45D7-A38A-55BB83667A31}">
      <dgm:prSet/>
      <dgm:spPr/>
      <dgm:t>
        <a:bodyPr/>
        <a:lstStyle/>
        <a:p>
          <a:endParaRPr lang="en-GB"/>
        </a:p>
      </dgm:t>
    </dgm:pt>
    <dgm:pt modelId="{813DE423-E8DA-49D9-BA92-CC65313A25C1}" type="sibTrans" cxnId="{E96B216E-81DB-45D7-A38A-55BB83667A31}">
      <dgm:prSet/>
      <dgm:spPr/>
      <dgm:t>
        <a:bodyPr/>
        <a:lstStyle/>
        <a:p>
          <a:endParaRPr lang="en-GB"/>
        </a:p>
      </dgm:t>
    </dgm:pt>
    <dgm:pt modelId="{B9E36E2E-AF80-4980-B8B3-2300B26633BC}">
      <dgm:prSet/>
      <dgm:spPr>
        <a:solidFill>
          <a:srgbClr val="7030A0"/>
        </a:solidFill>
      </dgm:spPr>
      <dgm:t>
        <a:bodyPr/>
        <a:lstStyle/>
        <a:p>
          <a:r>
            <a:rPr lang="en-GB" baseline="0">
              <a:solidFill>
                <a:schemeClr val="bg1"/>
              </a:solidFill>
            </a:rPr>
            <a:t>Senior Engagment &amp; Communications Officer</a:t>
          </a:r>
        </a:p>
      </dgm:t>
    </dgm:pt>
    <dgm:pt modelId="{84F630C2-936F-453A-9758-A29B09AF1590}" type="parTrans" cxnId="{823452E7-023B-4BEC-B588-8DEA545F2EED}">
      <dgm:prSet/>
      <dgm:spPr/>
      <dgm:t>
        <a:bodyPr/>
        <a:lstStyle/>
        <a:p>
          <a:endParaRPr lang="en-GB"/>
        </a:p>
      </dgm:t>
    </dgm:pt>
    <dgm:pt modelId="{B0EC7324-BCC5-4FB4-BE95-C197C8AA8954}" type="sibTrans" cxnId="{823452E7-023B-4BEC-B588-8DEA545F2EED}">
      <dgm:prSet/>
      <dgm:spPr/>
      <dgm:t>
        <a:bodyPr/>
        <a:lstStyle/>
        <a:p>
          <a:endParaRPr lang="en-GB"/>
        </a:p>
      </dgm:t>
    </dgm:pt>
    <dgm:pt modelId="{7057CF23-079D-4097-8966-732BE59D5678}">
      <dgm:prSet/>
      <dgm:spPr>
        <a:solidFill>
          <a:srgbClr val="7030A0"/>
        </a:solidFill>
      </dgm:spPr>
      <dgm:t>
        <a:bodyPr/>
        <a:lstStyle/>
        <a:p>
          <a:r>
            <a:rPr lang="en-GB" baseline="0">
              <a:solidFill>
                <a:schemeClr val="bg1"/>
              </a:solidFill>
            </a:rPr>
            <a:t>Senior Engagement &amp; Communications Officer</a:t>
          </a:r>
        </a:p>
      </dgm:t>
    </dgm:pt>
    <dgm:pt modelId="{264C43C3-53E7-4F58-BFB3-B17A6C4CFDA0}" type="parTrans" cxnId="{20F3F0AD-81AD-4120-A5F2-E179F7E228C7}">
      <dgm:prSet/>
      <dgm:spPr/>
      <dgm:t>
        <a:bodyPr/>
        <a:lstStyle/>
        <a:p>
          <a:endParaRPr lang="en-GB"/>
        </a:p>
      </dgm:t>
    </dgm:pt>
    <dgm:pt modelId="{0888D89C-1C2E-4605-BD2B-982B12099C58}" type="sibTrans" cxnId="{20F3F0AD-81AD-4120-A5F2-E179F7E228C7}">
      <dgm:prSet/>
      <dgm:spPr/>
      <dgm:t>
        <a:bodyPr/>
        <a:lstStyle/>
        <a:p>
          <a:endParaRPr lang="en-GB"/>
        </a:p>
      </dgm:t>
    </dgm:pt>
    <dgm:pt modelId="{EEA65B0D-0ED4-4949-B5C5-E3F69ECDB024}">
      <dgm:prSet/>
      <dgm:spPr>
        <a:solidFill>
          <a:srgbClr val="7030A0"/>
        </a:solidFill>
      </dgm:spPr>
      <dgm:t>
        <a:bodyPr/>
        <a:lstStyle/>
        <a:p>
          <a:r>
            <a:rPr lang="en-GB" baseline="0">
              <a:solidFill>
                <a:schemeClr val="bg1"/>
              </a:solidFill>
            </a:rPr>
            <a:t>Senior Engagement &amp; Communications Officer</a:t>
          </a:r>
        </a:p>
      </dgm:t>
    </dgm:pt>
    <dgm:pt modelId="{CFFAAD95-E640-4B6F-B862-3530C40EC969}" type="parTrans" cxnId="{D8149F0F-3C75-4989-9F58-4A0D6EE13147}">
      <dgm:prSet/>
      <dgm:spPr/>
      <dgm:t>
        <a:bodyPr/>
        <a:lstStyle/>
        <a:p>
          <a:endParaRPr lang="en-GB"/>
        </a:p>
      </dgm:t>
    </dgm:pt>
    <dgm:pt modelId="{436291F1-1FFF-4C96-A7CF-9DB66C7E9CC2}" type="sibTrans" cxnId="{D8149F0F-3C75-4989-9F58-4A0D6EE13147}">
      <dgm:prSet/>
      <dgm:spPr/>
      <dgm:t>
        <a:bodyPr/>
        <a:lstStyle/>
        <a:p>
          <a:endParaRPr lang="en-GB"/>
        </a:p>
      </dgm:t>
    </dgm:pt>
    <dgm:pt modelId="{167CDA3B-F08B-412B-B345-2965D304CC49}">
      <dgm:prSet/>
      <dgm:spPr>
        <a:solidFill>
          <a:srgbClr val="7030A0"/>
        </a:solidFill>
      </dgm:spPr>
      <dgm:t>
        <a:bodyPr/>
        <a:lstStyle/>
        <a:p>
          <a:r>
            <a:rPr lang="en-GB" baseline="0">
              <a:solidFill>
                <a:schemeClr val="bg1"/>
              </a:solidFill>
            </a:rPr>
            <a:t>Executive Assistant</a:t>
          </a:r>
        </a:p>
      </dgm:t>
    </dgm:pt>
    <dgm:pt modelId="{88B0A9D1-8470-4822-A7A5-928BF0308038}" type="parTrans" cxnId="{1AE01886-EB9A-47B0-B5F0-220F08540888}">
      <dgm:prSet/>
      <dgm:spPr/>
      <dgm:t>
        <a:bodyPr/>
        <a:lstStyle/>
        <a:p>
          <a:endParaRPr lang="en-GB"/>
        </a:p>
      </dgm:t>
    </dgm:pt>
    <dgm:pt modelId="{344FBAE8-B752-4B39-BBAA-31B1C7CAF456}" type="sibTrans" cxnId="{1AE01886-EB9A-47B0-B5F0-220F08540888}">
      <dgm:prSet/>
      <dgm:spPr/>
      <dgm:t>
        <a:bodyPr/>
        <a:lstStyle/>
        <a:p>
          <a:endParaRPr lang="en-GB"/>
        </a:p>
      </dgm:t>
    </dgm:pt>
    <dgm:pt modelId="{EFA9DE8D-1CC2-44AA-93AE-1E2346068C4C}">
      <dgm:prSet/>
      <dgm:spPr>
        <a:solidFill>
          <a:srgbClr val="7030A0"/>
        </a:solidFill>
      </dgm:spPr>
      <dgm:t>
        <a:bodyPr/>
        <a:lstStyle/>
        <a:p>
          <a:r>
            <a:rPr lang="en-GB" baseline="0">
              <a:solidFill>
                <a:schemeClr val="bg1"/>
              </a:solidFill>
            </a:rPr>
            <a:t>Paralegal</a:t>
          </a:r>
        </a:p>
      </dgm:t>
    </dgm:pt>
    <dgm:pt modelId="{E58BE69A-9B25-4BB3-BB05-CDF7CCE82D97}" type="parTrans" cxnId="{32C9480A-E392-4F12-B208-8689B7D4504B}">
      <dgm:prSet/>
      <dgm:spPr/>
      <dgm:t>
        <a:bodyPr/>
        <a:lstStyle/>
        <a:p>
          <a:endParaRPr lang="en-GB"/>
        </a:p>
      </dgm:t>
    </dgm:pt>
    <dgm:pt modelId="{372D80FD-2C00-4CDF-B3CC-BDFBF56F34AA}" type="sibTrans" cxnId="{32C9480A-E392-4F12-B208-8689B7D4504B}">
      <dgm:prSet/>
      <dgm:spPr/>
      <dgm:t>
        <a:bodyPr/>
        <a:lstStyle/>
        <a:p>
          <a:endParaRPr lang="en-GB"/>
        </a:p>
      </dgm:t>
    </dgm:pt>
    <dgm:pt modelId="{A7C629C7-3379-4B28-ACBF-814EFAED8A48}">
      <dgm:prSet/>
      <dgm:spPr>
        <a:solidFill>
          <a:srgbClr val="7030A0"/>
        </a:solidFill>
      </dgm:spPr>
      <dgm:t>
        <a:bodyPr/>
        <a:lstStyle/>
        <a:p>
          <a:r>
            <a:rPr lang="en-GB" baseline="0">
              <a:solidFill>
                <a:schemeClr val="bg1"/>
              </a:solidFill>
            </a:rPr>
            <a:t>Policy &amp; Research Officers x 2 </a:t>
          </a:r>
        </a:p>
        <a:p>
          <a:r>
            <a:rPr lang="en-GB" baseline="0">
              <a:solidFill>
                <a:schemeClr val="bg1"/>
              </a:solidFill>
            </a:rPr>
            <a:t>(1 currently vacant)</a:t>
          </a:r>
        </a:p>
      </dgm:t>
    </dgm:pt>
    <dgm:pt modelId="{B0BB92DB-6DFA-4AA6-9B81-B521A991D380}" type="parTrans" cxnId="{80F9CEB0-6E5F-4712-BE37-CD847B7ADF53}">
      <dgm:prSet/>
      <dgm:spPr/>
      <dgm:t>
        <a:bodyPr/>
        <a:lstStyle/>
        <a:p>
          <a:endParaRPr lang="en-GB"/>
        </a:p>
      </dgm:t>
    </dgm:pt>
    <dgm:pt modelId="{D1255A9F-89AC-45EB-AAA9-FE52986443D6}" type="sibTrans" cxnId="{80F9CEB0-6E5F-4712-BE37-CD847B7ADF53}">
      <dgm:prSet/>
      <dgm:spPr/>
      <dgm:t>
        <a:bodyPr/>
        <a:lstStyle/>
        <a:p>
          <a:endParaRPr lang="en-GB"/>
        </a:p>
      </dgm:t>
    </dgm:pt>
    <dgm:pt modelId="{C217340C-41EF-4738-8386-EA209B07A167}">
      <dgm:prSet/>
      <dgm:spPr>
        <a:solidFill>
          <a:srgbClr val="7030A0"/>
        </a:solidFill>
      </dgm:spPr>
      <dgm:t>
        <a:bodyPr/>
        <a:lstStyle/>
        <a:p>
          <a:r>
            <a:rPr lang="en-GB" baseline="0">
              <a:solidFill>
                <a:schemeClr val="bg1"/>
              </a:solidFill>
            </a:rPr>
            <a:t>Policy &amp; Research Officers x 2</a:t>
          </a:r>
        </a:p>
        <a:p>
          <a:r>
            <a:rPr lang="en-GB" baseline="0">
              <a:solidFill>
                <a:schemeClr val="bg1"/>
              </a:solidFill>
            </a:rPr>
            <a:t>(1 currently vacant)</a:t>
          </a:r>
        </a:p>
      </dgm:t>
    </dgm:pt>
    <dgm:pt modelId="{9B6F4AA0-6B01-4E55-B3D3-8251B163E696}" type="parTrans" cxnId="{C7130B7B-1C89-4239-90E4-EB8386434586}">
      <dgm:prSet/>
      <dgm:spPr/>
      <dgm:t>
        <a:bodyPr/>
        <a:lstStyle/>
        <a:p>
          <a:endParaRPr lang="en-GB"/>
        </a:p>
      </dgm:t>
    </dgm:pt>
    <dgm:pt modelId="{58FB0DF1-E1A1-46FF-973B-FEF3765E9D8A}" type="sibTrans" cxnId="{C7130B7B-1C89-4239-90E4-EB8386434586}">
      <dgm:prSet/>
      <dgm:spPr/>
      <dgm:t>
        <a:bodyPr/>
        <a:lstStyle/>
        <a:p>
          <a:endParaRPr lang="en-GB"/>
        </a:p>
      </dgm:t>
    </dgm:pt>
    <dgm:pt modelId="{723A616D-9AE9-495F-87DC-ADF7656CB55E}">
      <dgm:prSet/>
      <dgm:spPr>
        <a:solidFill>
          <a:srgbClr val="7030A0"/>
        </a:solidFill>
      </dgm:spPr>
      <dgm:t>
        <a:bodyPr/>
        <a:lstStyle/>
        <a:p>
          <a:r>
            <a:rPr lang="en-GB" baseline="0">
              <a:solidFill>
                <a:schemeClr val="bg1"/>
              </a:solidFill>
            </a:rPr>
            <a:t>Policy &amp; Research Officers x 3</a:t>
          </a:r>
        </a:p>
      </dgm:t>
    </dgm:pt>
    <dgm:pt modelId="{664B28DF-80E1-4BF5-9804-09BD2DA2389F}" type="parTrans" cxnId="{9589FAA8-3651-4FA4-974C-F8CCE651E607}">
      <dgm:prSet/>
      <dgm:spPr/>
      <dgm:t>
        <a:bodyPr/>
        <a:lstStyle/>
        <a:p>
          <a:endParaRPr lang="en-GB"/>
        </a:p>
      </dgm:t>
    </dgm:pt>
    <dgm:pt modelId="{DBF72AE7-4A69-40F6-A71B-3E6B7FBB06C0}" type="sibTrans" cxnId="{9589FAA8-3651-4FA4-974C-F8CCE651E607}">
      <dgm:prSet/>
      <dgm:spPr/>
      <dgm:t>
        <a:bodyPr/>
        <a:lstStyle/>
        <a:p>
          <a:endParaRPr lang="en-GB"/>
        </a:p>
      </dgm:t>
    </dgm:pt>
    <dgm:pt modelId="{2C12309B-6B0A-4E03-B10A-4301834C1C7D}">
      <dgm:prSet/>
      <dgm:spPr>
        <a:solidFill>
          <a:srgbClr val="7030A0"/>
        </a:solidFill>
      </dgm:spPr>
      <dgm:t>
        <a:bodyPr/>
        <a:lstStyle/>
        <a:p>
          <a:r>
            <a:rPr lang="en-GB" baseline="0">
              <a:solidFill>
                <a:schemeClr val="bg1"/>
              </a:solidFill>
            </a:rPr>
            <a:t>Engagement &amp; Communications Officer x 2</a:t>
          </a:r>
        </a:p>
        <a:p>
          <a:r>
            <a:rPr lang="en-GB" baseline="0">
              <a:solidFill>
                <a:schemeClr val="bg1"/>
              </a:solidFill>
            </a:rPr>
            <a:t>(1 currently vacant)</a:t>
          </a:r>
        </a:p>
      </dgm:t>
    </dgm:pt>
    <dgm:pt modelId="{0478B478-EC20-4FE5-8FAE-1276E74D27FD}" type="parTrans" cxnId="{252DD74B-D069-483B-A217-A3FF606A19DF}">
      <dgm:prSet/>
      <dgm:spPr/>
      <dgm:t>
        <a:bodyPr/>
        <a:lstStyle/>
        <a:p>
          <a:endParaRPr lang="en-GB"/>
        </a:p>
      </dgm:t>
    </dgm:pt>
    <dgm:pt modelId="{709DC24D-66A1-45D7-8C55-98B4E68EF7CB}" type="sibTrans" cxnId="{252DD74B-D069-483B-A217-A3FF606A19DF}">
      <dgm:prSet/>
      <dgm:spPr/>
      <dgm:t>
        <a:bodyPr/>
        <a:lstStyle/>
        <a:p>
          <a:endParaRPr lang="en-GB"/>
        </a:p>
      </dgm:t>
    </dgm:pt>
    <dgm:pt modelId="{4E151958-5C8F-4C6B-8893-F93B3D221B81}">
      <dgm:prSet/>
      <dgm:spPr>
        <a:solidFill>
          <a:srgbClr val="7030A0"/>
        </a:solidFill>
      </dgm:spPr>
      <dgm:t>
        <a:bodyPr/>
        <a:lstStyle/>
        <a:p>
          <a:r>
            <a:rPr lang="en-GB" baseline="0">
              <a:solidFill>
                <a:schemeClr val="bg1"/>
              </a:solidFill>
            </a:rPr>
            <a:t>Engagement &amp; Communications Officer</a:t>
          </a:r>
        </a:p>
      </dgm:t>
    </dgm:pt>
    <dgm:pt modelId="{0306E3DD-4B34-4DD0-B8C8-8A90621621A8}" type="parTrans" cxnId="{FEBB6EBE-B4FB-47C8-9E36-D8152A644709}">
      <dgm:prSet/>
      <dgm:spPr/>
      <dgm:t>
        <a:bodyPr/>
        <a:lstStyle/>
        <a:p>
          <a:endParaRPr lang="en-GB"/>
        </a:p>
      </dgm:t>
    </dgm:pt>
    <dgm:pt modelId="{58FC1B1C-D913-4F59-B5DA-7439DAC6ED85}" type="sibTrans" cxnId="{FEBB6EBE-B4FB-47C8-9E36-D8152A644709}">
      <dgm:prSet/>
      <dgm:spPr/>
      <dgm:t>
        <a:bodyPr/>
        <a:lstStyle/>
        <a:p>
          <a:endParaRPr lang="en-GB"/>
        </a:p>
      </dgm:t>
    </dgm:pt>
    <dgm:pt modelId="{BBF4EFD6-1B96-4BB0-8BF0-90E008A47175}">
      <dgm:prSet/>
      <dgm:spPr>
        <a:solidFill>
          <a:srgbClr val="7030A0"/>
        </a:solidFill>
      </dgm:spPr>
      <dgm:t>
        <a:bodyPr/>
        <a:lstStyle/>
        <a:p>
          <a:r>
            <a:rPr lang="en-GB" baseline="0">
              <a:solidFill>
                <a:schemeClr val="bg1"/>
              </a:solidFill>
            </a:rPr>
            <a:t>Administrative Officers (Full-time x 2) </a:t>
          </a:r>
        </a:p>
        <a:p>
          <a:r>
            <a:rPr lang="en-GB" baseline="0">
              <a:solidFill>
                <a:schemeClr val="bg1"/>
              </a:solidFill>
            </a:rPr>
            <a:t>(1 currently vacant)</a:t>
          </a:r>
        </a:p>
        <a:p>
          <a:r>
            <a:rPr lang="en-GB" baseline="0">
              <a:solidFill>
                <a:schemeClr val="bg1"/>
              </a:solidFill>
            </a:rPr>
            <a:t>Administrative Officer (Part-time)</a:t>
          </a:r>
        </a:p>
        <a:p>
          <a:r>
            <a:rPr lang="en-GB" baseline="0">
              <a:solidFill>
                <a:schemeClr val="bg1"/>
              </a:solidFill>
            </a:rPr>
            <a:t>Administrative Officer (Agency)</a:t>
          </a:r>
        </a:p>
      </dgm:t>
    </dgm:pt>
    <dgm:pt modelId="{B5A53B6A-4B64-496B-9B83-C766311112B0}" type="parTrans" cxnId="{4DF55321-A66A-4DC7-B55B-14D2C1A05E82}">
      <dgm:prSet/>
      <dgm:spPr/>
      <dgm:t>
        <a:bodyPr/>
        <a:lstStyle/>
        <a:p>
          <a:endParaRPr lang="en-GB"/>
        </a:p>
      </dgm:t>
    </dgm:pt>
    <dgm:pt modelId="{7511F7F7-F760-444D-9C9C-5CE2900CE626}" type="sibTrans" cxnId="{4DF55321-A66A-4DC7-B55B-14D2C1A05E82}">
      <dgm:prSet/>
      <dgm:spPr/>
      <dgm:t>
        <a:bodyPr/>
        <a:lstStyle/>
        <a:p>
          <a:endParaRPr lang="en-GB"/>
        </a:p>
      </dgm:t>
    </dgm:pt>
    <dgm:pt modelId="{749AFA74-64FF-45B8-AD52-B82695E9CA77}" type="pres">
      <dgm:prSet presAssocID="{DFA91A2C-1372-43A2-A421-115F3B916835}" presName="Name0" presStyleCnt="0">
        <dgm:presLayoutVars>
          <dgm:chPref val="1"/>
          <dgm:dir/>
          <dgm:animOne val="branch"/>
          <dgm:animLvl val="lvl"/>
          <dgm:resizeHandles/>
        </dgm:presLayoutVars>
      </dgm:prSet>
      <dgm:spPr/>
    </dgm:pt>
    <dgm:pt modelId="{D5C86E72-AAC6-486E-8077-2D7B78645577}" type="pres">
      <dgm:prSet presAssocID="{055D086B-AB15-4250-A620-793840C91487}" presName="vertOne" presStyleCnt="0"/>
      <dgm:spPr/>
    </dgm:pt>
    <dgm:pt modelId="{42922883-BF52-4CA5-BD21-F614B41E9B43}" type="pres">
      <dgm:prSet presAssocID="{055D086B-AB15-4250-A620-793840C91487}" presName="txOne" presStyleLbl="node0" presStyleIdx="0" presStyleCnt="1">
        <dgm:presLayoutVars>
          <dgm:chPref val="3"/>
        </dgm:presLayoutVars>
      </dgm:prSet>
      <dgm:spPr/>
    </dgm:pt>
    <dgm:pt modelId="{092C6C07-CB65-4E1E-AED0-7315F6FA2544}" type="pres">
      <dgm:prSet presAssocID="{055D086B-AB15-4250-A620-793840C91487}" presName="parTransOne" presStyleCnt="0"/>
      <dgm:spPr/>
    </dgm:pt>
    <dgm:pt modelId="{A20EC388-A67D-4FE1-95BF-02A00C257095}" type="pres">
      <dgm:prSet presAssocID="{055D086B-AB15-4250-A620-793840C91487}" presName="horzOne" presStyleCnt="0"/>
      <dgm:spPr/>
    </dgm:pt>
    <dgm:pt modelId="{54159A59-E45C-48A7-B315-AA352C038D61}" type="pres">
      <dgm:prSet presAssocID="{74682392-1DD0-43C7-A0CC-A85421D311D0}" presName="vertTwo" presStyleCnt="0"/>
      <dgm:spPr/>
    </dgm:pt>
    <dgm:pt modelId="{5B89CF88-9AD3-4177-B113-9BD060DCC4DD}" type="pres">
      <dgm:prSet presAssocID="{74682392-1DD0-43C7-A0CC-A85421D311D0}" presName="txTwo" presStyleLbl="node2" presStyleIdx="0" presStyleCnt="5" custScaleX="32615" custLinFactNeighborX="-17439" custLinFactNeighborY="16509">
        <dgm:presLayoutVars>
          <dgm:chPref val="3"/>
        </dgm:presLayoutVars>
      </dgm:prSet>
      <dgm:spPr/>
    </dgm:pt>
    <dgm:pt modelId="{687D40D7-7683-4EB3-A60B-CE870C36A7AC}" type="pres">
      <dgm:prSet presAssocID="{74682392-1DD0-43C7-A0CC-A85421D311D0}" presName="parTransTwo" presStyleCnt="0"/>
      <dgm:spPr/>
    </dgm:pt>
    <dgm:pt modelId="{08C34DB1-C6A6-462F-9432-44141F9AFAC7}" type="pres">
      <dgm:prSet presAssocID="{74682392-1DD0-43C7-A0CC-A85421D311D0}" presName="horzTwo" presStyleCnt="0"/>
      <dgm:spPr/>
    </dgm:pt>
    <dgm:pt modelId="{F709F776-3B3C-4A0A-9A4E-3D89CA4E7AEE}" type="pres">
      <dgm:prSet presAssocID="{5F373A2B-8789-4FED-A249-EE0F669E5B31}" presName="vertThree" presStyleCnt="0"/>
      <dgm:spPr/>
    </dgm:pt>
    <dgm:pt modelId="{21EDFFE0-E30A-4743-A551-A56F58F60A23}" type="pres">
      <dgm:prSet presAssocID="{5F373A2B-8789-4FED-A249-EE0F669E5B31}" presName="txThree" presStyleLbl="node3" presStyleIdx="0" presStyleCnt="9" custLinFactNeighborX="51052" custLinFactNeighborY="-2219">
        <dgm:presLayoutVars>
          <dgm:chPref val="3"/>
        </dgm:presLayoutVars>
      </dgm:prSet>
      <dgm:spPr/>
    </dgm:pt>
    <dgm:pt modelId="{8D2BA319-573C-4040-8CEF-DB27FA9B63C2}" type="pres">
      <dgm:prSet presAssocID="{5F373A2B-8789-4FED-A249-EE0F669E5B31}" presName="parTransThree" presStyleCnt="0"/>
      <dgm:spPr/>
    </dgm:pt>
    <dgm:pt modelId="{B8CE2FE1-696B-4E40-8D5A-712B4F5BA9DE}" type="pres">
      <dgm:prSet presAssocID="{5F373A2B-8789-4FED-A249-EE0F669E5B31}" presName="horzThree" presStyleCnt="0"/>
      <dgm:spPr/>
    </dgm:pt>
    <dgm:pt modelId="{A1A7B121-044F-4A1A-9D33-D8CCE83B3B51}" type="pres">
      <dgm:prSet presAssocID="{EFA9DE8D-1CC2-44AA-93AE-1E2346068C4C}" presName="vertFour" presStyleCnt="0">
        <dgm:presLayoutVars>
          <dgm:chPref val="3"/>
        </dgm:presLayoutVars>
      </dgm:prSet>
      <dgm:spPr/>
    </dgm:pt>
    <dgm:pt modelId="{CBEF0E80-62F1-4A98-8639-2695A17808F6}" type="pres">
      <dgm:prSet presAssocID="{EFA9DE8D-1CC2-44AA-93AE-1E2346068C4C}" presName="txFour" presStyleLbl="node4" presStyleIdx="0" presStyleCnt="7" custLinFactNeighborX="52030" custLinFactNeighborY="-425">
        <dgm:presLayoutVars>
          <dgm:chPref val="3"/>
        </dgm:presLayoutVars>
      </dgm:prSet>
      <dgm:spPr/>
    </dgm:pt>
    <dgm:pt modelId="{B6255818-71AB-434C-9E99-DD7823DEFEC8}" type="pres">
      <dgm:prSet presAssocID="{EFA9DE8D-1CC2-44AA-93AE-1E2346068C4C}" presName="horzFour" presStyleCnt="0"/>
      <dgm:spPr/>
    </dgm:pt>
    <dgm:pt modelId="{7598BC55-9E3A-471E-B75F-1CAB03421029}" type="pres">
      <dgm:prSet presAssocID="{F2D13C97-2937-4848-80D3-67921B7250B3}" presName="sibSpaceThree" presStyleCnt="0"/>
      <dgm:spPr/>
    </dgm:pt>
    <dgm:pt modelId="{926256A9-3B56-465B-AE85-C220B8CD5379}" type="pres">
      <dgm:prSet presAssocID="{375B24A6-4BBD-4A9C-BD7F-80ABED0E8D67}" presName="vertThree" presStyleCnt="0"/>
      <dgm:spPr/>
    </dgm:pt>
    <dgm:pt modelId="{72F54AF8-EFF7-4770-8ADE-7858622D9B44}" type="pres">
      <dgm:prSet presAssocID="{375B24A6-4BBD-4A9C-BD7F-80ABED0E8D67}" presName="txThree" presStyleLbl="node3" presStyleIdx="1" presStyleCnt="9" custLinFactNeighborX="66392" custLinFactNeighborY="-2703">
        <dgm:presLayoutVars>
          <dgm:chPref val="3"/>
        </dgm:presLayoutVars>
      </dgm:prSet>
      <dgm:spPr/>
    </dgm:pt>
    <dgm:pt modelId="{F5899F07-0AE5-4761-A9F4-310B41EAE60E}" type="pres">
      <dgm:prSet presAssocID="{375B24A6-4BBD-4A9C-BD7F-80ABED0E8D67}" presName="parTransThree" presStyleCnt="0"/>
      <dgm:spPr/>
    </dgm:pt>
    <dgm:pt modelId="{0E8ACF74-17C1-4DEF-B772-59322EB4B901}" type="pres">
      <dgm:prSet presAssocID="{375B24A6-4BBD-4A9C-BD7F-80ABED0E8D67}" presName="horzThree" presStyleCnt="0"/>
      <dgm:spPr/>
    </dgm:pt>
    <dgm:pt modelId="{8CECA099-8CC6-45DB-B1C8-2602A172361D}" type="pres">
      <dgm:prSet presAssocID="{A7C629C7-3379-4B28-ACBF-814EFAED8A48}" presName="vertFour" presStyleCnt="0">
        <dgm:presLayoutVars>
          <dgm:chPref val="3"/>
        </dgm:presLayoutVars>
      </dgm:prSet>
      <dgm:spPr/>
    </dgm:pt>
    <dgm:pt modelId="{B9A17049-230B-47A8-991B-25E6AF3402CF}" type="pres">
      <dgm:prSet presAssocID="{A7C629C7-3379-4B28-ACBF-814EFAED8A48}" presName="txFour" presStyleLbl="node4" presStyleIdx="1" presStyleCnt="7" custLinFactNeighborX="65496" custLinFactNeighborY="-425">
        <dgm:presLayoutVars>
          <dgm:chPref val="3"/>
        </dgm:presLayoutVars>
      </dgm:prSet>
      <dgm:spPr/>
    </dgm:pt>
    <dgm:pt modelId="{7BE2D062-7675-4308-A5AF-164AA1542D5D}" type="pres">
      <dgm:prSet presAssocID="{A7C629C7-3379-4B28-ACBF-814EFAED8A48}" presName="horzFour" presStyleCnt="0"/>
      <dgm:spPr/>
    </dgm:pt>
    <dgm:pt modelId="{6A68A4F5-8F2C-480B-934F-A9C738761945}" type="pres">
      <dgm:prSet presAssocID="{015E3313-2602-4825-84D1-5FAA3C63FC06}" presName="sibSpaceThree" presStyleCnt="0"/>
      <dgm:spPr/>
    </dgm:pt>
    <dgm:pt modelId="{79D0B572-DE8D-4C73-9DA1-24F70CD221AE}" type="pres">
      <dgm:prSet presAssocID="{881D7432-8CD0-4494-A45D-4439148962BE}" presName="vertThree" presStyleCnt="0"/>
      <dgm:spPr/>
    </dgm:pt>
    <dgm:pt modelId="{F04BADE2-B3EE-4650-897C-17257D5DD376}" type="pres">
      <dgm:prSet presAssocID="{881D7432-8CD0-4494-A45D-4439148962BE}" presName="txThree" presStyleLbl="node3" presStyleIdx="2" presStyleCnt="9" custLinFactNeighborX="70992" custLinFactNeighborY="-1751">
        <dgm:presLayoutVars>
          <dgm:chPref val="3"/>
        </dgm:presLayoutVars>
      </dgm:prSet>
      <dgm:spPr/>
    </dgm:pt>
    <dgm:pt modelId="{9F014C28-48CD-422A-B562-ED7140287343}" type="pres">
      <dgm:prSet presAssocID="{881D7432-8CD0-4494-A45D-4439148962BE}" presName="parTransThree" presStyleCnt="0"/>
      <dgm:spPr/>
    </dgm:pt>
    <dgm:pt modelId="{C8E76066-EFEA-4B1C-BA4B-2C0FEF86848F}" type="pres">
      <dgm:prSet presAssocID="{881D7432-8CD0-4494-A45D-4439148962BE}" presName="horzThree" presStyleCnt="0"/>
      <dgm:spPr/>
    </dgm:pt>
    <dgm:pt modelId="{9B8F6A34-BB98-4A36-92DB-5D3619685F8A}" type="pres">
      <dgm:prSet presAssocID="{C217340C-41EF-4738-8386-EA209B07A167}" presName="vertFour" presStyleCnt="0">
        <dgm:presLayoutVars>
          <dgm:chPref val="3"/>
        </dgm:presLayoutVars>
      </dgm:prSet>
      <dgm:spPr/>
    </dgm:pt>
    <dgm:pt modelId="{1CE98861-B629-4CE8-BEAD-BAA1E4BAE172}" type="pres">
      <dgm:prSet presAssocID="{C217340C-41EF-4738-8386-EA209B07A167}" presName="txFour" presStyleLbl="node4" presStyleIdx="2" presStyleCnt="7" custLinFactNeighborX="74085" custLinFactNeighborY="50">
        <dgm:presLayoutVars>
          <dgm:chPref val="3"/>
        </dgm:presLayoutVars>
      </dgm:prSet>
      <dgm:spPr/>
    </dgm:pt>
    <dgm:pt modelId="{E16F7E31-9EE5-4069-B72F-B77F6EFBFC1A}" type="pres">
      <dgm:prSet presAssocID="{C217340C-41EF-4738-8386-EA209B07A167}" presName="horzFour" presStyleCnt="0"/>
      <dgm:spPr/>
    </dgm:pt>
    <dgm:pt modelId="{4B4B51AC-EE6D-4AA8-ACC7-AE382394E918}" type="pres">
      <dgm:prSet presAssocID="{5E35FE08-FC61-4022-BEF5-F758742CD011}" presName="sibSpaceTwo" presStyleCnt="0"/>
      <dgm:spPr/>
    </dgm:pt>
    <dgm:pt modelId="{1DADB38A-61B9-4407-B98B-D1C61E461D65}" type="pres">
      <dgm:prSet presAssocID="{46FDCEFF-5EF0-4D8D-96FB-0F510AF1185B}" presName="vertTwo" presStyleCnt="0"/>
      <dgm:spPr/>
    </dgm:pt>
    <dgm:pt modelId="{B229D561-C419-4A7F-894F-450C47EFCC60}" type="pres">
      <dgm:prSet presAssocID="{46FDCEFF-5EF0-4D8D-96FB-0F510AF1185B}" presName="txTwo" presStyleLbl="node2" presStyleIdx="1" presStyleCnt="5" custLinFactNeighborX="-87552" custLinFactNeighborY="2725">
        <dgm:presLayoutVars>
          <dgm:chPref val="3"/>
        </dgm:presLayoutVars>
      </dgm:prSet>
      <dgm:spPr/>
    </dgm:pt>
    <dgm:pt modelId="{B44F1B0D-B4D7-46C6-9A9A-118A7233B517}" type="pres">
      <dgm:prSet presAssocID="{46FDCEFF-5EF0-4D8D-96FB-0F510AF1185B}" presName="horzTwo" presStyleCnt="0"/>
      <dgm:spPr/>
    </dgm:pt>
    <dgm:pt modelId="{6E0D0710-14AC-4E8A-A8B6-AF99C9C6ED10}" type="pres">
      <dgm:prSet presAssocID="{B3510E34-C8AD-4414-AF48-C7D76C8574D3}" presName="sibSpaceTwo" presStyleCnt="0"/>
      <dgm:spPr/>
    </dgm:pt>
    <dgm:pt modelId="{3F8AE468-0FB0-4840-B43D-C18C5202A7E7}" type="pres">
      <dgm:prSet presAssocID="{33CAFDE1-8B06-45B8-9772-FAD6CB376A33}" presName="vertTwo" presStyleCnt="0"/>
      <dgm:spPr/>
    </dgm:pt>
    <dgm:pt modelId="{00A47A13-EB4B-40C7-B1CE-CF410339F805}" type="pres">
      <dgm:prSet presAssocID="{33CAFDE1-8B06-45B8-9772-FAD6CB376A33}" presName="txTwo" presStyleLbl="node2" presStyleIdx="2" presStyleCnt="5" custLinFactNeighborX="-28485" custLinFactNeighborY="2853">
        <dgm:presLayoutVars>
          <dgm:chPref val="3"/>
        </dgm:presLayoutVars>
      </dgm:prSet>
      <dgm:spPr/>
    </dgm:pt>
    <dgm:pt modelId="{8352725C-4566-4438-BE05-B5E26FF8BA52}" type="pres">
      <dgm:prSet presAssocID="{33CAFDE1-8B06-45B8-9772-FAD6CB376A33}" presName="parTransTwo" presStyleCnt="0"/>
      <dgm:spPr/>
    </dgm:pt>
    <dgm:pt modelId="{3DC3B120-E777-4E6B-9E55-564CA9493DD7}" type="pres">
      <dgm:prSet presAssocID="{33CAFDE1-8B06-45B8-9772-FAD6CB376A33}" presName="horzTwo" presStyleCnt="0"/>
      <dgm:spPr/>
    </dgm:pt>
    <dgm:pt modelId="{1BD1928C-94DD-473E-B059-0CFFB8130C77}" type="pres">
      <dgm:prSet presAssocID="{1B7DF147-5499-4D78-B6F1-23E6042733E3}" presName="vertThree" presStyleCnt="0"/>
      <dgm:spPr/>
    </dgm:pt>
    <dgm:pt modelId="{9E0DB2A6-8EE4-4E5A-AD0B-BCB22D5D6DE6}" type="pres">
      <dgm:prSet presAssocID="{1B7DF147-5499-4D78-B6F1-23E6042733E3}" presName="txThree" presStyleLbl="node3" presStyleIdx="3" presStyleCnt="9" custLinFactNeighborX="-26246" custLinFactNeighborY="-1268">
        <dgm:presLayoutVars>
          <dgm:chPref val="3"/>
        </dgm:presLayoutVars>
      </dgm:prSet>
      <dgm:spPr/>
    </dgm:pt>
    <dgm:pt modelId="{F0290CD4-DFB0-4EF2-97C7-001522352DE6}" type="pres">
      <dgm:prSet presAssocID="{1B7DF147-5499-4D78-B6F1-23E6042733E3}" presName="parTransThree" presStyleCnt="0"/>
      <dgm:spPr/>
    </dgm:pt>
    <dgm:pt modelId="{72A5061B-C3A3-4C0E-BFEF-CB59F0A4D17D}" type="pres">
      <dgm:prSet presAssocID="{1B7DF147-5499-4D78-B6F1-23E6042733E3}" presName="horzThree" presStyleCnt="0"/>
      <dgm:spPr/>
    </dgm:pt>
    <dgm:pt modelId="{2EB4C387-21F6-4214-AE7D-AF6B53D85748}" type="pres">
      <dgm:prSet presAssocID="{723A616D-9AE9-495F-87DC-ADF7656CB55E}" presName="vertFour" presStyleCnt="0">
        <dgm:presLayoutVars>
          <dgm:chPref val="3"/>
        </dgm:presLayoutVars>
      </dgm:prSet>
      <dgm:spPr/>
    </dgm:pt>
    <dgm:pt modelId="{7380801E-36EB-420D-AE1A-38AF4B56F74A}" type="pres">
      <dgm:prSet presAssocID="{723A616D-9AE9-495F-87DC-ADF7656CB55E}" presName="txFour" presStyleLbl="node4" presStyleIdx="3" presStyleCnt="7" custLinFactNeighborX="-28120" custLinFactNeighborY="-752">
        <dgm:presLayoutVars>
          <dgm:chPref val="3"/>
        </dgm:presLayoutVars>
      </dgm:prSet>
      <dgm:spPr/>
    </dgm:pt>
    <dgm:pt modelId="{484E1A5C-599A-473B-AAD7-44C9C24B10FF}" type="pres">
      <dgm:prSet presAssocID="{723A616D-9AE9-495F-87DC-ADF7656CB55E}" presName="horzFour" presStyleCnt="0"/>
      <dgm:spPr/>
    </dgm:pt>
    <dgm:pt modelId="{7B4D4F0B-4878-429C-9F37-C50DB6816785}" type="pres">
      <dgm:prSet presAssocID="{EA83F9CA-38B4-476B-B131-A0469DDE6DEA}" presName="sibSpaceTwo" presStyleCnt="0"/>
      <dgm:spPr/>
    </dgm:pt>
    <dgm:pt modelId="{8EA42459-6180-4E1D-852C-9F16F5B24C4A}" type="pres">
      <dgm:prSet presAssocID="{AF2C8F75-15D0-4F7D-ABD6-30E100700F99}" presName="vertTwo" presStyleCnt="0"/>
      <dgm:spPr/>
    </dgm:pt>
    <dgm:pt modelId="{F5C01370-A5B5-4E7D-81FB-9E03E1D33DFF}" type="pres">
      <dgm:prSet presAssocID="{AF2C8F75-15D0-4F7D-ABD6-30E100700F99}" presName="txTwo" presStyleLbl="node2" presStyleIdx="3" presStyleCnt="5" custScaleX="35318" custLinFactNeighborX="-5381" custLinFactNeighborY="-11939">
        <dgm:presLayoutVars>
          <dgm:chPref val="3"/>
        </dgm:presLayoutVars>
      </dgm:prSet>
      <dgm:spPr/>
    </dgm:pt>
    <dgm:pt modelId="{8E143131-300E-46DC-B252-4C7A9D0A48ED}" type="pres">
      <dgm:prSet presAssocID="{AF2C8F75-15D0-4F7D-ABD6-30E100700F99}" presName="parTransTwo" presStyleCnt="0"/>
      <dgm:spPr/>
    </dgm:pt>
    <dgm:pt modelId="{2EA5CE74-7C0F-4253-B7FD-B4A593590413}" type="pres">
      <dgm:prSet presAssocID="{AF2C8F75-15D0-4F7D-ABD6-30E100700F99}" presName="horzTwo" presStyleCnt="0"/>
      <dgm:spPr/>
    </dgm:pt>
    <dgm:pt modelId="{0B8AAB3E-45DD-4D2B-B1C7-6D2142FAF0F7}" type="pres">
      <dgm:prSet presAssocID="{B9E36E2E-AF80-4980-B8B3-2300B26633BC}" presName="vertThree" presStyleCnt="0"/>
      <dgm:spPr/>
    </dgm:pt>
    <dgm:pt modelId="{726F3160-6CDE-42E0-BF2D-3AD295D8CC71}" type="pres">
      <dgm:prSet presAssocID="{B9E36E2E-AF80-4980-B8B3-2300B26633BC}" presName="txThree" presStyleLbl="node3" presStyleIdx="4" presStyleCnt="9" custLinFactNeighborX="-21516" custLinFactNeighborY="-1585">
        <dgm:presLayoutVars>
          <dgm:chPref val="3"/>
        </dgm:presLayoutVars>
      </dgm:prSet>
      <dgm:spPr/>
    </dgm:pt>
    <dgm:pt modelId="{628C1B24-1587-4E72-9CD7-9077EE643DE5}" type="pres">
      <dgm:prSet presAssocID="{B9E36E2E-AF80-4980-B8B3-2300B26633BC}" presName="parTransThree" presStyleCnt="0"/>
      <dgm:spPr/>
    </dgm:pt>
    <dgm:pt modelId="{9BE4CB7E-C18C-4ADE-A593-3F200BA983C8}" type="pres">
      <dgm:prSet presAssocID="{B9E36E2E-AF80-4980-B8B3-2300B26633BC}" presName="horzThree" presStyleCnt="0"/>
      <dgm:spPr/>
    </dgm:pt>
    <dgm:pt modelId="{71DC99AD-22B8-4785-BAFE-9664873662C5}" type="pres">
      <dgm:prSet presAssocID="{2C12309B-6B0A-4E03-B10A-4301834C1C7D}" presName="vertFour" presStyleCnt="0">
        <dgm:presLayoutVars>
          <dgm:chPref val="3"/>
        </dgm:presLayoutVars>
      </dgm:prSet>
      <dgm:spPr/>
    </dgm:pt>
    <dgm:pt modelId="{F8DCB87F-02D2-457F-9B80-CE2922C16E1B}" type="pres">
      <dgm:prSet presAssocID="{2C12309B-6B0A-4E03-B10A-4301834C1C7D}" presName="txFour" presStyleLbl="node4" presStyleIdx="4" presStyleCnt="7" custLinFactNeighborX="-19468" custLinFactNeighborY="-376">
        <dgm:presLayoutVars>
          <dgm:chPref val="3"/>
        </dgm:presLayoutVars>
      </dgm:prSet>
      <dgm:spPr/>
    </dgm:pt>
    <dgm:pt modelId="{759556B4-8D87-44F8-91E8-1C1334397969}" type="pres">
      <dgm:prSet presAssocID="{2C12309B-6B0A-4E03-B10A-4301834C1C7D}" presName="horzFour" presStyleCnt="0"/>
      <dgm:spPr/>
    </dgm:pt>
    <dgm:pt modelId="{83485D99-CA79-41E6-B1F3-0CE206A91B12}" type="pres">
      <dgm:prSet presAssocID="{B0EC7324-BCC5-4FB4-BE95-C197C8AA8954}" presName="sibSpaceThree" presStyleCnt="0"/>
      <dgm:spPr/>
    </dgm:pt>
    <dgm:pt modelId="{A4CE3D11-5F42-4143-960A-EF9AC29627CE}" type="pres">
      <dgm:prSet presAssocID="{7057CF23-079D-4097-8966-732BE59D5678}" presName="vertThree" presStyleCnt="0"/>
      <dgm:spPr/>
    </dgm:pt>
    <dgm:pt modelId="{74B9AAAD-3DD0-4C80-B5E7-0D89799E0485}" type="pres">
      <dgm:prSet presAssocID="{7057CF23-079D-4097-8966-732BE59D5678}" presName="txThree" presStyleLbl="node3" presStyleIdx="5" presStyleCnt="9" custLinFactNeighborX="-17102" custLinFactNeighborY="-1902">
        <dgm:presLayoutVars>
          <dgm:chPref val="3"/>
        </dgm:presLayoutVars>
      </dgm:prSet>
      <dgm:spPr/>
    </dgm:pt>
    <dgm:pt modelId="{90F0BA4D-F6F6-4BE1-9D75-7892BA848213}" type="pres">
      <dgm:prSet presAssocID="{7057CF23-079D-4097-8966-732BE59D5678}" presName="horzThree" presStyleCnt="0"/>
      <dgm:spPr/>
    </dgm:pt>
    <dgm:pt modelId="{CD941FD6-23DB-4936-AFE0-3D69B5C33F51}" type="pres">
      <dgm:prSet presAssocID="{0888D89C-1C2E-4605-BD2B-982B12099C58}" presName="sibSpaceThree" presStyleCnt="0"/>
      <dgm:spPr/>
    </dgm:pt>
    <dgm:pt modelId="{98FB39F0-3771-4186-AAF6-47E4D7141343}" type="pres">
      <dgm:prSet presAssocID="{EEA65B0D-0ED4-4949-B5C5-E3F69ECDB024}" presName="vertThree" presStyleCnt="0"/>
      <dgm:spPr/>
    </dgm:pt>
    <dgm:pt modelId="{C4806E96-D246-4D93-8F86-26617F27F0F2}" type="pres">
      <dgm:prSet presAssocID="{EEA65B0D-0ED4-4949-B5C5-E3F69ECDB024}" presName="txThree" presStyleLbl="node3" presStyleIdx="6" presStyleCnt="9" custLinFactNeighborX="-15447" custLinFactNeighborY="-2853">
        <dgm:presLayoutVars>
          <dgm:chPref val="3"/>
        </dgm:presLayoutVars>
      </dgm:prSet>
      <dgm:spPr/>
    </dgm:pt>
    <dgm:pt modelId="{746E8FD6-AFFF-4553-BCEF-833C26FD0242}" type="pres">
      <dgm:prSet presAssocID="{EEA65B0D-0ED4-4949-B5C5-E3F69ECDB024}" presName="parTransThree" presStyleCnt="0"/>
      <dgm:spPr/>
    </dgm:pt>
    <dgm:pt modelId="{EA0EFFE2-2E8D-4F86-980A-81725E1ECDEC}" type="pres">
      <dgm:prSet presAssocID="{EEA65B0D-0ED4-4949-B5C5-E3F69ECDB024}" presName="horzThree" presStyleCnt="0"/>
      <dgm:spPr/>
    </dgm:pt>
    <dgm:pt modelId="{AFD4C6C7-2EA7-4C23-B756-21647763F8E1}" type="pres">
      <dgm:prSet presAssocID="{4E151958-5C8F-4C6B-8893-F93B3D221B81}" presName="vertFour" presStyleCnt="0">
        <dgm:presLayoutVars>
          <dgm:chPref val="3"/>
        </dgm:presLayoutVars>
      </dgm:prSet>
      <dgm:spPr/>
    </dgm:pt>
    <dgm:pt modelId="{597B2866-ED80-4D8A-85DE-4CDEC3D72AEA}" type="pres">
      <dgm:prSet presAssocID="{4E151958-5C8F-4C6B-8893-F93B3D221B81}" presName="txFour" presStyleLbl="node4" presStyleIdx="5" presStyleCnt="7" custLinFactNeighborX="-14060" custLinFactNeighborY="50">
        <dgm:presLayoutVars>
          <dgm:chPref val="3"/>
        </dgm:presLayoutVars>
      </dgm:prSet>
      <dgm:spPr/>
    </dgm:pt>
    <dgm:pt modelId="{9A6676C1-4F54-434C-9CD9-026E18624A2C}" type="pres">
      <dgm:prSet presAssocID="{4E151958-5C8F-4C6B-8893-F93B3D221B81}" presName="horzFour" presStyleCnt="0"/>
      <dgm:spPr/>
    </dgm:pt>
    <dgm:pt modelId="{55A2E7BF-A171-4C15-A027-7CC1771CE448}" type="pres">
      <dgm:prSet presAssocID="{0CCC5833-D87C-4E0B-B862-4BF2735A51A7}" presName="sibSpaceTwo" presStyleCnt="0"/>
      <dgm:spPr/>
    </dgm:pt>
    <dgm:pt modelId="{1B37E9BC-C061-4863-B828-8722B7596874}" type="pres">
      <dgm:prSet presAssocID="{F79CA767-ABAC-48D3-89B3-B3FD31D67392}" presName="vertTwo" presStyleCnt="0"/>
      <dgm:spPr/>
    </dgm:pt>
    <dgm:pt modelId="{3802C256-192A-4D9D-A0CE-9BDB29EA994B}" type="pres">
      <dgm:prSet presAssocID="{F79CA767-ABAC-48D3-89B3-B3FD31D67392}" presName="txTwo" presStyleLbl="node2" presStyleIdx="4" presStyleCnt="5" custScaleX="47236" custLinFactNeighborX="-9248" custLinFactNeighborY="-3302">
        <dgm:presLayoutVars>
          <dgm:chPref val="3"/>
        </dgm:presLayoutVars>
      </dgm:prSet>
      <dgm:spPr/>
    </dgm:pt>
    <dgm:pt modelId="{70731998-A383-4080-AC91-2A80EA5307E0}" type="pres">
      <dgm:prSet presAssocID="{F79CA767-ABAC-48D3-89B3-B3FD31D67392}" presName="parTransTwo" presStyleCnt="0"/>
      <dgm:spPr/>
    </dgm:pt>
    <dgm:pt modelId="{A6658BC8-B758-4D2F-A710-3AABCF424A8B}" type="pres">
      <dgm:prSet presAssocID="{F79CA767-ABAC-48D3-89B3-B3FD31D67392}" presName="horzTwo" presStyleCnt="0"/>
      <dgm:spPr/>
    </dgm:pt>
    <dgm:pt modelId="{6D761F63-0A94-40C3-AFB4-76FCD9D16081}" type="pres">
      <dgm:prSet presAssocID="{9A0B9B5E-18BE-45CC-995B-E8AA576BAB1F}" presName="vertThree" presStyleCnt="0"/>
      <dgm:spPr/>
    </dgm:pt>
    <dgm:pt modelId="{B67D2C12-CAFA-47C2-B2E6-AA9EBE7E1C23}" type="pres">
      <dgm:prSet presAssocID="{9A0B9B5E-18BE-45CC-995B-E8AA576BAB1F}" presName="txThree" presStyleLbl="node3" presStyleIdx="7" presStyleCnt="9" custLinFactNeighborX="-7184" custLinFactNeighborY="-7761">
        <dgm:presLayoutVars>
          <dgm:chPref val="3"/>
        </dgm:presLayoutVars>
      </dgm:prSet>
      <dgm:spPr/>
    </dgm:pt>
    <dgm:pt modelId="{AB340711-ED64-4686-85BF-07066A3AEB9F}" type="pres">
      <dgm:prSet presAssocID="{9A0B9B5E-18BE-45CC-995B-E8AA576BAB1F}" presName="parTransThree" presStyleCnt="0"/>
      <dgm:spPr/>
    </dgm:pt>
    <dgm:pt modelId="{52A39AF4-95B0-4E07-AAFB-BABFEA892506}" type="pres">
      <dgm:prSet presAssocID="{9A0B9B5E-18BE-45CC-995B-E8AA576BAB1F}" presName="horzThree" presStyleCnt="0"/>
      <dgm:spPr/>
    </dgm:pt>
    <dgm:pt modelId="{D677CB02-83E7-430A-B6C3-084D17E206EB}" type="pres">
      <dgm:prSet presAssocID="{BBF4EFD6-1B96-4BB0-8BF0-90E008A47175}" presName="vertFour" presStyleCnt="0">
        <dgm:presLayoutVars>
          <dgm:chPref val="3"/>
        </dgm:presLayoutVars>
      </dgm:prSet>
      <dgm:spPr/>
    </dgm:pt>
    <dgm:pt modelId="{07F70453-3D08-458D-8F96-9E34904C30E4}" type="pres">
      <dgm:prSet presAssocID="{BBF4EFD6-1B96-4BB0-8BF0-90E008A47175}" presName="txFour" presStyleLbl="node4" presStyleIdx="6" presStyleCnt="7" custScaleX="109537" custScaleY="104488" custLinFactNeighborX="-4867" custLinFactNeighborY="50">
        <dgm:presLayoutVars>
          <dgm:chPref val="3"/>
        </dgm:presLayoutVars>
      </dgm:prSet>
      <dgm:spPr/>
    </dgm:pt>
    <dgm:pt modelId="{F8AC560E-9262-4E47-BE42-4194F07F57A4}" type="pres">
      <dgm:prSet presAssocID="{BBF4EFD6-1B96-4BB0-8BF0-90E008A47175}" presName="horzFour" presStyleCnt="0"/>
      <dgm:spPr/>
    </dgm:pt>
    <dgm:pt modelId="{24C45C6C-BDDC-4A9D-B5B3-EA59A5186454}" type="pres">
      <dgm:prSet presAssocID="{CB2E5F4F-9643-4D3B-97D8-0FC8B5CAE944}" presName="sibSpaceThree" presStyleCnt="0"/>
      <dgm:spPr/>
    </dgm:pt>
    <dgm:pt modelId="{B6559C6F-895A-42B9-98C8-51E57A68FC8F}" type="pres">
      <dgm:prSet presAssocID="{167CDA3B-F08B-412B-B345-2965D304CC49}" presName="vertThree" presStyleCnt="0"/>
      <dgm:spPr/>
    </dgm:pt>
    <dgm:pt modelId="{04CCEF7E-6EFF-431F-901F-82631F1D5714}" type="pres">
      <dgm:prSet presAssocID="{167CDA3B-F08B-412B-B345-2965D304CC49}" presName="txThree" presStyleLbl="node3" presStyleIdx="8" presStyleCnt="9" custScaleX="108963" custScaleY="102061" custLinFactNeighborX="-7567" custLinFactNeighborY="-1969">
        <dgm:presLayoutVars>
          <dgm:chPref val="3"/>
        </dgm:presLayoutVars>
      </dgm:prSet>
      <dgm:spPr/>
    </dgm:pt>
    <dgm:pt modelId="{A27EEF5E-2EBA-4C56-8FDE-5FF9AD27BA32}" type="pres">
      <dgm:prSet presAssocID="{167CDA3B-F08B-412B-B345-2965D304CC49}" presName="horzThree" presStyleCnt="0"/>
      <dgm:spPr/>
    </dgm:pt>
  </dgm:ptLst>
  <dgm:cxnLst>
    <dgm:cxn modelId="{498FF303-5BE0-49E6-B66E-B6595448F106}" srcId="{055D086B-AB15-4250-A620-793840C91487}" destId="{74682392-1DD0-43C7-A0CC-A85421D311D0}" srcOrd="0" destOrd="0" parTransId="{89BC8241-3F98-4EBB-9119-10516A2A020D}" sibTransId="{5E35FE08-FC61-4022-BEF5-F758742CD011}"/>
    <dgm:cxn modelId="{7E4F4207-5E48-4F27-9FAC-BBEE8A03471B}" type="presOf" srcId="{5F373A2B-8789-4FED-A249-EE0F669E5B31}" destId="{21EDFFE0-E30A-4743-A551-A56F58F60A23}" srcOrd="0" destOrd="0" presId="urn:microsoft.com/office/officeart/2005/8/layout/hierarchy4"/>
    <dgm:cxn modelId="{32C9480A-E392-4F12-B208-8689B7D4504B}" srcId="{5F373A2B-8789-4FED-A249-EE0F669E5B31}" destId="{EFA9DE8D-1CC2-44AA-93AE-1E2346068C4C}" srcOrd="0" destOrd="0" parTransId="{E58BE69A-9B25-4BB3-BB05-CDF7CCE82D97}" sibTransId="{372D80FD-2C00-4CDF-B3CC-BDFBF56F34AA}"/>
    <dgm:cxn modelId="{D8149F0F-3C75-4989-9F58-4A0D6EE13147}" srcId="{AF2C8F75-15D0-4F7D-ABD6-30E100700F99}" destId="{EEA65B0D-0ED4-4949-B5C5-E3F69ECDB024}" srcOrd="2" destOrd="0" parTransId="{CFFAAD95-E640-4B6F-B862-3530C40EC969}" sibTransId="{436291F1-1FFF-4C96-A7CF-9DB66C7E9CC2}"/>
    <dgm:cxn modelId="{35389819-28B8-48AC-9429-EAE85B56757B}" type="presOf" srcId="{F79CA767-ABAC-48D3-89B3-B3FD31D67392}" destId="{3802C256-192A-4D9D-A0CE-9BDB29EA994B}" srcOrd="0" destOrd="0" presId="urn:microsoft.com/office/officeart/2005/8/layout/hierarchy4"/>
    <dgm:cxn modelId="{BB90D91A-EE5B-49A0-A91F-347C1591A4F8}" type="presOf" srcId="{B9E36E2E-AF80-4980-B8B3-2300B26633BC}" destId="{726F3160-6CDE-42E0-BF2D-3AD295D8CC71}" srcOrd="0" destOrd="0" presId="urn:microsoft.com/office/officeart/2005/8/layout/hierarchy4"/>
    <dgm:cxn modelId="{4C32E81B-9A40-41FB-9D53-EA49027A38B2}" type="presOf" srcId="{7057CF23-079D-4097-8966-732BE59D5678}" destId="{74B9AAAD-3DD0-4C80-B5E7-0D89799E0485}" srcOrd="0" destOrd="0" presId="urn:microsoft.com/office/officeart/2005/8/layout/hierarchy4"/>
    <dgm:cxn modelId="{22FEDC1D-974C-4D1F-A3A6-26C20DA43F0C}" type="presOf" srcId="{723A616D-9AE9-495F-87DC-ADF7656CB55E}" destId="{7380801E-36EB-420D-AE1A-38AF4B56F74A}" srcOrd="0" destOrd="0" presId="urn:microsoft.com/office/officeart/2005/8/layout/hierarchy4"/>
    <dgm:cxn modelId="{4DF55321-A66A-4DC7-B55B-14D2C1A05E82}" srcId="{9A0B9B5E-18BE-45CC-995B-E8AA576BAB1F}" destId="{BBF4EFD6-1B96-4BB0-8BF0-90E008A47175}" srcOrd="0" destOrd="0" parTransId="{B5A53B6A-4B64-496B-9B83-C766311112B0}" sibTransId="{7511F7F7-F760-444D-9C9C-5CE2900CE626}"/>
    <dgm:cxn modelId="{F31BF82B-7D34-4846-8241-CB06EA72EE58}" type="presOf" srcId="{EFA9DE8D-1CC2-44AA-93AE-1E2346068C4C}" destId="{CBEF0E80-62F1-4A98-8639-2695A17808F6}" srcOrd="0" destOrd="0" presId="urn:microsoft.com/office/officeart/2005/8/layout/hierarchy4"/>
    <dgm:cxn modelId="{59D8E92C-1042-4E5D-9A42-641D42F1716F}" type="presOf" srcId="{375B24A6-4BBD-4A9C-BD7F-80ABED0E8D67}" destId="{72F54AF8-EFF7-4770-8ADE-7858622D9B44}" srcOrd="0" destOrd="0" presId="urn:microsoft.com/office/officeart/2005/8/layout/hierarchy4"/>
    <dgm:cxn modelId="{39C84C32-38AF-42D8-9929-649C0506BE13}" srcId="{DFA91A2C-1372-43A2-A421-115F3B916835}" destId="{055D086B-AB15-4250-A620-793840C91487}" srcOrd="0" destOrd="0" parTransId="{8C8AE3CA-0519-443B-AAC6-33061EC45E4F}" sibTransId="{843C94DD-195F-4F9E-BC78-3B92B22BEA0E}"/>
    <dgm:cxn modelId="{1BABA637-0166-4045-BEAB-07AD1101CAF3}" type="presOf" srcId="{BBF4EFD6-1B96-4BB0-8BF0-90E008A47175}" destId="{07F70453-3D08-458D-8F96-9E34904C30E4}" srcOrd="0" destOrd="0" presId="urn:microsoft.com/office/officeart/2005/8/layout/hierarchy4"/>
    <dgm:cxn modelId="{FCA6803C-C7D3-4408-9B96-8F1377AFB3C8}" type="presOf" srcId="{33CAFDE1-8B06-45B8-9772-FAD6CB376A33}" destId="{00A47A13-EB4B-40C7-B1CE-CF410339F805}" srcOrd="0" destOrd="0" presId="urn:microsoft.com/office/officeart/2005/8/layout/hierarchy4"/>
    <dgm:cxn modelId="{29BDEB41-6509-4848-AD27-FE110BE0E53C}" type="presOf" srcId="{4E151958-5C8F-4C6B-8893-F93B3D221B81}" destId="{597B2866-ED80-4D8A-85DE-4CDEC3D72AEA}" srcOrd="0" destOrd="0" presId="urn:microsoft.com/office/officeart/2005/8/layout/hierarchy4"/>
    <dgm:cxn modelId="{59741868-1970-4377-BF48-6BEAD699C8E5}" type="presOf" srcId="{1B7DF147-5499-4D78-B6F1-23E6042733E3}" destId="{9E0DB2A6-8EE4-4E5A-AD0B-BCB22D5D6DE6}" srcOrd="0" destOrd="0" presId="urn:microsoft.com/office/officeart/2005/8/layout/hierarchy4"/>
    <dgm:cxn modelId="{252DD74B-D069-483B-A217-A3FF606A19DF}" srcId="{B9E36E2E-AF80-4980-B8B3-2300B26633BC}" destId="{2C12309B-6B0A-4E03-B10A-4301834C1C7D}" srcOrd="0" destOrd="0" parTransId="{0478B478-EC20-4FE5-8FAE-1276E74D27FD}" sibTransId="{709DC24D-66A1-45D7-8C55-98B4E68EF7CB}"/>
    <dgm:cxn modelId="{E96B216E-81DB-45D7-A38A-55BB83667A31}" srcId="{33CAFDE1-8B06-45B8-9772-FAD6CB376A33}" destId="{1B7DF147-5499-4D78-B6F1-23E6042733E3}" srcOrd="0" destOrd="0" parTransId="{16BDD566-4A8D-4C53-8866-C42D119004E1}" sibTransId="{813DE423-E8DA-49D9-BA92-CC65313A25C1}"/>
    <dgm:cxn modelId="{549B004F-67A9-459E-9031-3513CF39699A}" type="presOf" srcId="{167CDA3B-F08B-412B-B345-2965D304CC49}" destId="{04CCEF7E-6EFF-431F-901F-82631F1D5714}" srcOrd="0" destOrd="0" presId="urn:microsoft.com/office/officeart/2005/8/layout/hierarchy4"/>
    <dgm:cxn modelId="{0A4BE452-2D30-439D-B6D7-64D15839C906}" srcId="{055D086B-AB15-4250-A620-793840C91487}" destId="{F79CA767-ABAC-48D3-89B3-B3FD31D67392}" srcOrd="4" destOrd="0" parTransId="{9D8C39BB-F56D-40E1-821C-9F81B6BA855A}" sibTransId="{AD95F1A7-9AA7-4514-A2E3-75FE0962AB0C}"/>
    <dgm:cxn modelId="{41621F55-A630-462C-957F-82542294A9CD}" type="presOf" srcId="{A7C629C7-3379-4B28-ACBF-814EFAED8A48}" destId="{B9A17049-230B-47A8-991B-25E6AF3402CF}" srcOrd="0" destOrd="0" presId="urn:microsoft.com/office/officeart/2005/8/layout/hierarchy4"/>
    <dgm:cxn modelId="{3CA1E97A-6D14-4A87-BAC7-FB77B164A932}" srcId="{055D086B-AB15-4250-A620-793840C91487}" destId="{46FDCEFF-5EF0-4D8D-96FB-0F510AF1185B}" srcOrd="1" destOrd="0" parTransId="{31F5B1FF-B3A2-4A2A-888A-6F4AF14F2F46}" sibTransId="{B3510E34-C8AD-4414-AF48-C7D76C8574D3}"/>
    <dgm:cxn modelId="{C7130B7B-1C89-4239-90E4-EB8386434586}" srcId="{881D7432-8CD0-4494-A45D-4439148962BE}" destId="{C217340C-41EF-4738-8386-EA209B07A167}" srcOrd="0" destOrd="0" parTransId="{9B6F4AA0-6B01-4E55-B3D3-8251B163E696}" sibTransId="{58FB0DF1-E1A1-46FF-973B-FEF3765E9D8A}"/>
    <dgm:cxn modelId="{CF63167D-58C4-4620-B859-76D122D3B7F6}" type="presOf" srcId="{74682392-1DD0-43C7-A0CC-A85421D311D0}" destId="{5B89CF88-9AD3-4177-B113-9BD060DCC4DD}" srcOrd="0" destOrd="0" presId="urn:microsoft.com/office/officeart/2005/8/layout/hierarchy4"/>
    <dgm:cxn modelId="{5842197D-6667-406B-B6B4-140194837D09}" type="presOf" srcId="{881D7432-8CD0-4494-A45D-4439148962BE}" destId="{F04BADE2-B3EE-4650-897C-17257D5DD376}" srcOrd="0" destOrd="0" presId="urn:microsoft.com/office/officeart/2005/8/layout/hierarchy4"/>
    <dgm:cxn modelId="{1AE01886-EB9A-47B0-B5F0-220F08540888}" srcId="{F79CA767-ABAC-48D3-89B3-B3FD31D67392}" destId="{167CDA3B-F08B-412B-B345-2965D304CC49}" srcOrd="1" destOrd="0" parTransId="{88B0A9D1-8470-4822-A7A5-928BF0308038}" sibTransId="{344FBAE8-B752-4B39-BBAA-31B1C7CAF456}"/>
    <dgm:cxn modelId="{4DCC4A86-C292-494B-A17A-A99C9ACFB5C6}" srcId="{74682392-1DD0-43C7-A0CC-A85421D311D0}" destId="{5F373A2B-8789-4FED-A249-EE0F669E5B31}" srcOrd="0" destOrd="0" parTransId="{95ADC381-6E8E-4E1E-B5A4-A6AFDED78C00}" sibTransId="{F2D13C97-2937-4848-80D3-67921B7250B3}"/>
    <dgm:cxn modelId="{085D2E8E-4534-455C-83A0-1522FB0E820E}" type="presOf" srcId="{AF2C8F75-15D0-4F7D-ABD6-30E100700F99}" destId="{F5C01370-A5B5-4E7D-81FB-9E03E1D33DFF}" srcOrd="0" destOrd="0" presId="urn:microsoft.com/office/officeart/2005/8/layout/hierarchy4"/>
    <dgm:cxn modelId="{649BC496-6E01-47A0-9330-77598DB031F1}" srcId="{74682392-1DD0-43C7-A0CC-A85421D311D0}" destId="{375B24A6-4BBD-4A9C-BD7F-80ABED0E8D67}" srcOrd="1" destOrd="0" parTransId="{BB7A3625-ED02-4C26-BF40-C4828D858686}" sibTransId="{015E3313-2602-4825-84D1-5FAA3C63FC06}"/>
    <dgm:cxn modelId="{A9805D97-5226-4CFF-B112-8D154EB654B4}" type="presOf" srcId="{C217340C-41EF-4738-8386-EA209B07A167}" destId="{1CE98861-B629-4CE8-BEAD-BAA1E4BAE172}" srcOrd="0" destOrd="0" presId="urn:microsoft.com/office/officeart/2005/8/layout/hierarchy4"/>
    <dgm:cxn modelId="{3EB1C3A7-4B1B-4C01-A3D8-1D0B5B6B2731}" type="presOf" srcId="{9A0B9B5E-18BE-45CC-995B-E8AA576BAB1F}" destId="{B67D2C12-CAFA-47C2-B2E6-AA9EBE7E1C23}" srcOrd="0" destOrd="0" presId="urn:microsoft.com/office/officeart/2005/8/layout/hierarchy4"/>
    <dgm:cxn modelId="{9589FAA8-3651-4FA4-974C-F8CCE651E607}" srcId="{1B7DF147-5499-4D78-B6F1-23E6042733E3}" destId="{723A616D-9AE9-495F-87DC-ADF7656CB55E}" srcOrd="0" destOrd="0" parTransId="{664B28DF-80E1-4BF5-9804-09BD2DA2389F}" sibTransId="{DBF72AE7-4A69-40F6-A71B-3E6B7FBB06C0}"/>
    <dgm:cxn modelId="{20F3F0AD-81AD-4120-A5F2-E179F7E228C7}" srcId="{AF2C8F75-15D0-4F7D-ABD6-30E100700F99}" destId="{7057CF23-079D-4097-8966-732BE59D5678}" srcOrd="1" destOrd="0" parTransId="{264C43C3-53E7-4F58-BFB3-B17A6C4CFDA0}" sibTransId="{0888D89C-1C2E-4605-BD2B-982B12099C58}"/>
    <dgm:cxn modelId="{5B6931AF-3A0E-4F6E-9A70-AAD130B4B26D}" type="presOf" srcId="{46FDCEFF-5EF0-4D8D-96FB-0F510AF1185B}" destId="{B229D561-C419-4A7F-894F-450C47EFCC60}" srcOrd="0" destOrd="0" presId="urn:microsoft.com/office/officeart/2005/8/layout/hierarchy4"/>
    <dgm:cxn modelId="{80F9CEB0-6E5F-4712-BE37-CD847B7ADF53}" srcId="{375B24A6-4BBD-4A9C-BD7F-80ABED0E8D67}" destId="{A7C629C7-3379-4B28-ACBF-814EFAED8A48}" srcOrd="0" destOrd="0" parTransId="{B0BB92DB-6DFA-4AA6-9B81-B521A991D380}" sibTransId="{D1255A9F-89AC-45EB-AAA9-FE52986443D6}"/>
    <dgm:cxn modelId="{55656FB7-37A5-4197-8978-DD16C6CB58B7}" type="presOf" srcId="{2C12309B-6B0A-4E03-B10A-4301834C1C7D}" destId="{F8DCB87F-02D2-457F-9B80-CE2922C16E1B}" srcOrd="0" destOrd="0" presId="urn:microsoft.com/office/officeart/2005/8/layout/hierarchy4"/>
    <dgm:cxn modelId="{FEBB6EBE-B4FB-47C8-9E36-D8152A644709}" srcId="{EEA65B0D-0ED4-4949-B5C5-E3F69ECDB024}" destId="{4E151958-5C8F-4C6B-8893-F93B3D221B81}" srcOrd="0" destOrd="0" parTransId="{0306E3DD-4B34-4DD0-B8C8-8A90621621A8}" sibTransId="{58FC1B1C-D913-4F59-B5DA-7439DAC6ED85}"/>
    <dgm:cxn modelId="{2F33CAC1-5347-4ADA-8A65-39EC2B234AAB}" srcId="{055D086B-AB15-4250-A620-793840C91487}" destId="{AF2C8F75-15D0-4F7D-ABD6-30E100700F99}" srcOrd="3" destOrd="0" parTransId="{1724D17B-7E58-44B7-BDB6-6EF23DE8CE30}" sibTransId="{0CCC5833-D87C-4E0B-B862-4BF2735A51A7}"/>
    <dgm:cxn modelId="{AD046FCB-769A-4D7E-BB49-E797C3BE4734}" srcId="{055D086B-AB15-4250-A620-793840C91487}" destId="{33CAFDE1-8B06-45B8-9772-FAD6CB376A33}" srcOrd="2" destOrd="0" parTransId="{7331D93B-DA9C-44A5-9992-ABF61A6E90FD}" sibTransId="{EA83F9CA-38B4-476B-B131-A0469DDE6DEA}"/>
    <dgm:cxn modelId="{8440BECF-B4FB-4CD5-9BA3-54A8ADB8AB90}" srcId="{74682392-1DD0-43C7-A0CC-A85421D311D0}" destId="{881D7432-8CD0-4494-A45D-4439148962BE}" srcOrd="2" destOrd="0" parTransId="{611DDA1E-0B0D-4200-8895-6FF04BEA56DE}" sibTransId="{0AF6B7AE-EA4A-4842-9893-CE09EB36131D}"/>
    <dgm:cxn modelId="{60688BE3-54C4-4DE4-BE5D-18359B8B1620}" type="presOf" srcId="{EEA65B0D-0ED4-4949-B5C5-E3F69ECDB024}" destId="{C4806E96-D246-4D93-8F86-26617F27F0F2}" srcOrd="0" destOrd="0" presId="urn:microsoft.com/office/officeart/2005/8/layout/hierarchy4"/>
    <dgm:cxn modelId="{76009EE4-50C1-468D-A89A-C3E15E8A1C41}" type="presOf" srcId="{055D086B-AB15-4250-A620-793840C91487}" destId="{42922883-BF52-4CA5-BD21-F614B41E9B43}" srcOrd="0" destOrd="0" presId="urn:microsoft.com/office/officeart/2005/8/layout/hierarchy4"/>
    <dgm:cxn modelId="{823452E7-023B-4BEC-B588-8DEA545F2EED}" srcId="{AF2C8F75-15D0-4F7D-ABD6-30E100700F99}" destId="{B9E36E2E-AF80-4980-B8B3-2300B26633BC}" srcOrd="0" destOrd="0" parTransId="{84F630C2-936F-453A-9758-A29B09AF1590}" sibTransId="{B0EC7324-BCC5-4FB4-BE95-C197C8AA8954}"/>
    <dgm:cxn modelId="{8BDE8CF4-615D-4ABF-957F-E2A3E9FB6CED}" srcId="{F79CA767-ABAC-48D3-89B3-B3FD31D67392}" destId="{9A0B9B5E-18BE-45CC-995B-E8AA576BAB1F}" srcOrd="0" destOrd="0" parTransId="{F7047F99-3856-408F-A52E-58A08DA76C9E}" sibTransId="{CB2E5F4F-9643-4D3B-97D8-0FC8B5CAE944}"/>
    <dgm:cxn modelId="{F8DE35FF-C35C-48A1-A327-0A5F71A8E5F8}" type="presOf" srcId="{DFA91A2C-1372-43A2-A421-115F3B916835}" destId="{749AFA74-64FF-45B8-AD52-B82695E9CA77}" srcOrd="0" destOrd="0" presId="urn:microsoft.com/office/officeart/2005/8/layout/hierarchy4"/>
    <dgm:cxn modelId="{B204AC58-BCD0-434B-BFF4-CBB1BA1ACC08}" type="presParOf" srcId="{749AFA74-64FF-45B8-AD52-B82695E9CA77}" destId="{D5C86E72-AAC6-486E-8077-2D7B78645577}" srcOrd="0" destOrd="0" presId="urn:microsoft.com/office/officeart/2005/8/layout/hierarchy4"/>
    <dgm:cxn modelId="{FECC1C90-5242-410B-9179-D887939FAA8D}" type="presParOf" srcId="{D5C86E72-AAC6-486E-8077-2D7B78645577}" destId="{42922883-BF52-4CA5-BD21-F614B41E9B43}" srcOrd="0" destOrd="0" presId="urn:microsoft.com/office/officeart/2005/8/layout/hierarchy4"/>
    <dgm:cxn modelId="{78FE89E8-8DF3-4079-ABCF-9C412556D87E}" type="presParOf" srcId="{D5C86E72-AAC6-486E-8077-2D7B78645577}" destId="{092C6C07-CB65-4E1E-AED0-7315F6FA2544}" srcOrd="1" destOrd="0" presId="urn:microsoft.com/office/officeart/2005/8/layout/hierarchy4"/>
    <dgm:cxn modelId="{CE3B574E-066D-46ED-B6BA-F2AD0BB9A411}" type="presParOf" srcId="{D5C86E72-AAC6-486E-8077-2D7B78645577}" destId="{A20EC388-A67D-4FE1-95BF-02A00C257095}" srcOrd="2" destOrd="0" presId="urn:microsoft.com/office/officeart/2005/8/layout/hierarchy4"/>
    <dgm:cxn modelId="{B74F6609-544A-47B3-9E96-63C338BC8930}" type="presParOf" srcId="{A20EC388-A67D-4FE1-95BF-02A00C257095}" destId="{54159A59-E45C-48A7-B315-AA352C038D61}" srcOrd="0" destOrd="0" presId="urn:microsoft.com/office/officeart/2005/8/layout/hierarchy4"/>
    <dgm:cxn modelId="{B3092A8E-A1E7-482A-8C4D-4D858728B97E}" type="presParOf" srcId="{54159A59-E45C-48A7-B315-AA352C038D61}" destId="{5B89CF88-9AD3-4177-B113-9BD060DCC4DD}" srcOrd="0" destOrd="0" presId="urn:microsoft.com/office/officeart/2005/8/layout/hierarchy4"/>
    <dgm:cxn modelId="{1585AA6C-1A7A-413E-8868-766DBA674B66}" type="presParOf" srcId="{54159A59-E45C-48A7-B315-AA352C038D61}" destId="{687D40D7-7683-4EB3-A60B-CE870C36A7AC}" srcOrd="1" destOrd="0" presId="urn:microsoft.com/office/officeart/2005/8/layout/hierarchy4"/>
    <dgm:cxn modelId="{41506846-85A7-4B50-B0FE-3EE9BAB40021}" type="presParOf" srcId="{54159A59-E45C-48A7-B315-AA352C038D61}" destId="{08C34DB1-C6A6-462F-9432-44141F9AFAC7}" srcOrd="2" destOrd="0" presId="urn:microsoft.com/office/officeart/2005/8/layout/hierarchy4"/>
    <dgm:cxn modelId="{04F24A27-776E-4EB9-AE15-EDA2EAA36A73}" type="presParOf" srcId="{08C34DB1-C6A6-462F-9432-44141F9AFAC7}" destId="{F709F776-3B3C-4A0A-9A4E-3D89CA4E7AEE}" srcOrd="0" destOrd="0" presId="urn:microsoft.com/office/officeart/2005/8/layout/hierarchy4"/>
    <dgm:cxn modelId="{E07E3714-7138-45D1-8688-96207C1DA787}" type="presParOf" srcId="{F709F776-3B3C-4A0A-9A4E-3D89CA4E7AEE}" destId="{21EDFFE0-E30A-4743-A551-A56F58F60A23}" srcOrd="0" destOrd="0" presId="urn:microsoft.com/office/officeart/2005/8/layout/hierarchy4"/>
    <dgm:cxn modelId="{50CD3186-63F5-4A10-AE93-42CFA27F0135}" type="presParOf" srcId="{F709F776-3B3C-4A0A-9A4E-3D89CA4E7AEE}" destId="{8D2BA319-573C-4040-8CEF-DB27FA9B63C2}" srcOrd="1" destOrd="0" presId="urn:microsoft.com/office/officeart/2005/8/layout/hierarchy4"/>
    <dgm:cxn modelId="{9DC42211-1278-4CA6-9DFB-7264358A2CAD}" type="presParOf" srcId="{F709F776-3B3C-4A0A-9A4E-3D89CA4E7AEE}" destId="{B8CE2FE1-696B-4E40-8D5A-712B4F5BA9DE}" srcOrd="2" destOrd="0" presId="urn:microsoft.com/office/officeart/2005/8/layout/hierarchy4"/>
    <dgm:cxn modelId="{781FF016-51F0-40F3-AF5B-F0667ED0CB93}" type="presParOf" srcId="{B8CE2FE1-696B-4E40-8D5A-712B4F5BA9DE}" destId="{A1A7B121-044F-4A1A-9D33-D8CCE83B3B51}" srcOrd="0" destOrd="0" presId="urn:microsoft.com/office/officeart/2005/8/layout/hierarchy4"/>
    <dgm:cxn modelId="{4F7349E5-B740-4A17-B095-9D5474865EE6}" type="presParOf" srcId="{A1A7B121-044F-4A1A-9D33-D8CCE83B3B51}" destId="{CBEF0E80-62F1-4A98-8639-2695A17808F6}" srcOrd="0" destOrd="0" presId="urn:microsoft.com/office/officeart/2005/8/layout/hierarchy4"/>
    <dgm:cxn modelId="{FE4F1E0B-745A-4C8D-90C3-D22A1E6A04BB}" type="presParOf" srcId="{A1A7B121-044F-4A1A-9D33-D8CCE83B3B51}" destId="{B6255818-71AB-434C-9E99-DD7823DEFEC8}" srcOrd="1" destOrd="0" presId="urn:microsoft.com/office/officeart/2005/8/layout/hierarchy4"/>
    <dgm:cxn modelId="{5491CDFE-90EB-4F54-B36F-1EC2A6D6A428}" type="presParOf" srcId="{08C34DB1-C6A6-462F-9432-44141F9AFAC7}" destId="{7598BC55-9E3A-471E-B75F-1CAB03421029}" srcOrd="1" destOrd="0" presId="urn:microsoft.com/office/officeart/2005/8/layout/hierarchy4"/>
    <dgm:cxn modelId="{2E41AB39-1327-4D85-B173-897985795BEA}" type="presParOf" srcId="{08C34DB1-C6A6-462F-9432-44141F9AFAC7}" destId="{926256A9-3B56-465B-AE85-C220B8CD5379}" srcOrd="2" destOrd="0" presId="urn:microsoft.com/office/officeart/2005/8/layout/hierarchy4"/>
    <dgm:cxn modelId="{E62344A0-04D7-4FDA-801A-68964E5DA2AF}" type="presParOf" srcId="{926256A9-3B56-465B-AE85-C220B8CD5379}" destId="{72F54AF8-EFF7-4770-8ADE-7858622D9B44}" srcOrd="0" destOrd="0" presId="urn:microsoft.com/office/officeart/2005/8/layout/hierarchy4"/>
    <dgm:cxn modelId="{0AB4E8B2-3E2F-4EF8-B0E2-F47DE2929203}" type="presParOf" srcId="{926256A9-3B56-465B-AE85-C220B8CD5379}" destId="{F5899F07-0AE5-4761-A9F4-310B41EAE60E}" srcOrd="1" destOrd="0" presId="urn:microsoft.com/office/officeart/2005/8/layout/hierarchy4"/>
    <dgm:cxn modelId="{009BAFEC-7B99-4765-A479-D7E06738A740}" type="presParOf" srcId="{926256A9-3B56-465B-AE85-C220B8CD5379}" destId="{0E8ACF74-17C1-4DEF-B772-59322EB4B901}" srcOrd="2" destOrd="0" presId="urn:microsoft.com/office/officeart/2005/8/layout/hierarchy4"/>
    <dgm:cxn modelId="{D133F2A6-2DBC-493D-A54B-3D71225092E8}" type="presParOf" srcId="{0E8ACF74-17C1-4DEF-B772-59322EB4B901}" destId="{8CECA099-8CC6-45DB-B1C8-2602A172361D}" srcOrd="0" destOrd="0" presId="urn:microsoft.com/office/officeart/2005/8/layout/hierarchy4"/>
    <dgm:cxn modelId="{7E552746-E7CA-44B5-8DD1-1A839C6D3FBD}" type="presParOf" srcId="{8CECA099-8CC6-45DB-B1C8-2602A172361D}" destId="{B9A17049-230B-47A8-991B-25E6AF3402CF}" srcOrd="0" destOrd="0" presId="urn:microsoft.com/office/officeart/2005/8/layout/hierarchy4"/>
    <dgm:cxn modelId="{7C945391-977C-492F-A64C-EA89F5B9FC6E}" type="presParOf" srcId="{8CECA099-8CC6-45DB-B1C8-2602A172361D}" destId="{7BE2D062-7675-4308-A5AF-164AA1542D5D}" srcOrd="1" destOrd="0" presId="urn:microsoft.com/office/officeart/2005/8/layout/hierarchy4"/>
    <dgm:cxn modelId="{1CC4A673-1266-440A-847F-6BD348E87C3E}" type="presParOf" srcId="{08C34DB1-C6A6-462F-9432-44141F9AFAC7}" destId="{6A68A4F5-8F2C-480B-934F-A9C738761945}" srcOrd="3" destOrd="0" presId="urn:microsoft.com/office/officeart/2005/8/layout/hierarchy4"/>
    <dgm:cxn modelId="{87102F5B-A6B3-41C2-8D93-69D579780E89}" type="presParOf" srcId="{08C34DB1-C6A6-462F-9432-44141F9AFAC7}" destId="{79D0B572-DE8D-4C73-9DA1-24F70CD221AE}" srcOrd="4" destOrd="0" presId="urn:microsoft.com/office/officeart/2005/8/layout/hierarchy4"/>
    <dgm:cxn modelId="{12F57651-E3BC-4FF7-8E4E-91FBB8EB6EA0}" type="presParOf" srcId="{79D0B572-DE8D-4C73-9DA1-24F70CD221AE}" destId="{F04BADE2-B3EE-4650-897C-17257D5DD376}" srcOrd="0" destOrd="0" presId="urn:microsoft.com/office/officeart/2005/8/layout/hierarchy4"/>
    <dgm:cxn modelId="{C08C8EB0-2EAB-47BE-9278-9D367A621BAF}" type="presParOf" srcId="{79D0B572-DE8D-4C73-9DA1-24F70CD221AE}" destId="{9F014C28-48CD-422A-B562-ED7140287343}" srcOrd="1" destOrd="0" presId="urn:microsoft.com/office/officeart/2005/8/layout/hierarchy4"/>
    <dgm:cxn modelId="{EFA92255-E647-446A-9320-3C40E1C82262}" type="presParOf" srcId="{79D0B572-DE8D-4C73-9DA1-24F70CD221AE}" destId="{C8E76066-EFEA-4B1C-BA4B-2C0FEF86848F}" srcOrd="2" destOrd="0" presId="urn:microsoft.com/office/officeart/2005/8/layout/hierarchy4"/>
    <dgm:cxn modelId="{901B4757-1C58-47F8-9838-180977C92B2B}" type="presParOf" srcId="{C8E76066-EFEA-4B1C-BA4B-2C0FEF86848F}" destId="{9B8F6A34-BB98-4A36-92DB-5D3619685F8A}" srcOrd="0" destOrd="0" presId="urn:microsoft.com/office/officeart/2005/8/layout/hierarchy4"/>
    <dgm:cxn modelId="{9763F14F-18B5-4D77-B520-5715634D7CE8}" type="presParOf" srcId="{9B8F6A34-BB98-4A36-92DB-5D3619685F8A}" destId="{1CE98861-B629-4CE8-BEAD-BAA1E4BAE172}" srcOrd="0" destOrd="0" presId="urn:microsoft.com/office/officeart/2005/8/layout/hierarchy4"/>
    <dgm:cxn modelId="{8F0E8EFC-5802-49D6-A9DF-02C36E1C4DE6}" type="presParOf" srcId="{9B8F6A34-BB98-4A36-92DB-5D3619685F8A}" destId="{E16F7E31-9EE5-4069-B72F-B77F6EFBFC1A}" srcOrd="1" destOrd="0" presId="urn:microsoft.com/office/officeart/2005/8/layout/hierarchy4"/>
    <dgm:cxn modelId="{EDDD69B4-15B7-4BA9-ACBF-C5BAE9E2C809}" type="presParOf" srcId="{A20EC388-A67D-4FE1-95BF-02A00C257095}" destId="{4B4B51AC-EE6D-4AA8-ACC7-AE382394E918}" srcOrd="1" destOrd="0" presId="urn:microsoft.com/office/officeart/2005/8/layout/hierarchy4"/>
    <dgm:cxn modelId="{C2B09BB2-6A5E-48CF-9785-5A233AC78A50}" type="presParOf" srcId="{A20EC388-A67D-4FE1-95BF-02A00C257095}" destId="{1DADB38A-61B9-4407-B98B-D1C61E461D65}" srcOrd="2" destOrd="0" presId="urn:microsoft.com/office/officeart/2005/8/layout/hierarchy4"/>
    <dgm:cxn modelId="{6B8F4AD5-34E1-4A78-9872-84E657DD53D7}" type="presParOf" srcId="{1DADB38A-61B9-4407-B98B-D1C61E461D65}" destId="{B229D561-C419-4A7F-894F-450C47EFCC60}" srcOrd="0" destOrd="0" presId="urn:microsoft.com/office/officeart/2005/8/layout/hierarchy4"/>
    <dgm:cxn modelId="{F8D07A71-9D1A-479F-98F8-C8511BECB8F0}" type="presParOf" srcId="{1DADB38A-61B9-4407-B98B-D1C61E461D65}" destId="{B44F1B0D-B4D7-46C6-9A9A-118A7233B517}" srcOrd="1" destOrd="0" presId="urn:microsoft.com/office/officeart/2005/8/layout/hierarchy4"/>
    <dgm:cxn modelId="{DE651539-FD33-4190-9AFD-BEB4DD4C1555}" type="presParOf" srcId="{A20EC388-A67D-4FE1-95BF-02A00C257095}" destId="{6E0D0710-14AC-4E8A-A8B6-AF99C9C6ED10}" srcOrd="3" destOrd="0" presId="urn:microsoft.com/office/officeart/2005/8/layout/hierarchy4"/>
    <dgm:cxn modelId="{25A15764-682E-4FF2-9D6A-C97A18E7E22F}" type="presParOf" srcId="{A20EC388-A67D-4FE1-95BF-02A00C257095}" destId="{3F8AE468-0FB0-4840-B43D-C18C5202A7E7}" srcOrd="4" destOrd="0" presId="urn:microsoft.com/office/officeart/2005/8/layout/hierarchy4"/>
    <dgm:cxn modelId="{22B2C1AD-ACF8-4AEF-8A07-A2708830C8F4}" type="presParOf" srcId="{3F8AE468-0FB0-4840-B43D-C18C5202A7E7}" destId="{00A47A13-EB4B-40C7-B1CE-CF410339F805}" srcOrd="0" destOrd="0" presId="urn:microsoft.com/office/officeart/2005/8/layout/hierarchy4"/>
    <dgm:cxn modelId="{CF29E968-518D-4401-AC72-9456C888DE0B}" type="presParOf" srcId="{3F8AE468-0FB0-4840-B43D-C18C5202A7E7}" destId="{8352725C-4566-4438-BE05-B5E26FF8BA52}" srcOrd="1" destOrd="0" presId="urn:microsoft.com/office/officeart/2005/8/layout/hierarchy4"/>
    <dgm:cxn modelId="{39B5231D-E34C-4339-8014-C02305B69B8F}" type="presParOf" srcId="{3F8AE468-0FB0-4840-B43D-C18C5202A7E7}" destId="{3DC3B120-E777-4E6B-9E55-564CA9493DD7}" srcOrd="2" destOrd="0" presId="urn:microsoft.com/office/officeart/2005/8/layout/hierarchy4"/>
    <dgm:cxn modelId="{49BC715D-8A4C-46BB-985D-8A07AB9E0EDD}" type="presParOf" srcId="{3DC3B120-E777-4E6B-9E55-564CA9493DD7}" destId="{1BD1928C-94DD-473E-B059-0CFFB8130C77}" srcOrd="0" destOrd="0" presId="urn:microsoft.com/office/officeart/2005/8/layout/hierarchy4"/>
    <dgm:cxn modelId="{63536817-1917-4320-8ACB-17440538AE88}" type="presParOf" srcId="{1BD1928C-94DD-473E-B059-0CFFB8130C77}" destId="{9E0DB2A6-8EE4-4E5A-AD0B-BCB22D5D6DE6}" srcOrd="0" destOrd="0" presId="urn:microsoft.com/office/officeart/2005/8/layout/hierarchy4"/>
    <dgm:cxn modelId="{0204D6BB-06FA-450A-93CC-38EE012E0B69}" type="presParOf" srcId="{1BD1928C-94DD-473E-B059-0CFFB8130C77}" destId="{F0290CD4-DFB0-4EF2-97C7-001522352DE6}" srcOrd="1" destOrd="0" presId="urn:microsoft.com/office/officeart/2005/8/layout/hierarchy4"/>
    <dgm:cxn modelId="{E86423CF-5021-4CBF-A6C0-52E7CE821B3D}" type="presParOf" srcId="{1BD1928C-94DD-473E-B059-0CFFB8130C77}" destId="{72A5061B-C3A3-4C0E-BFEF-CB59F0A4D17D}" srcOrd="2" destOrd="0" presId="urn:microsoft.com/office/officeart/2005/8/layout/hierarchy4"/>
    <dgm:cxn modelId="{83AC4552-663C-4F6A-8571-DD6A50A2DD37}" type="presParOf" srcId="{72A5061B-C3A3-4C0E-BFEF-CB59F0A4D17D}" destId="{2EB4C387-21F6-4214-AE7D-AF6B53D85748}" srcOrd="0" destOrd="0" presId="urn:microsoft.com/office/officeart/2005/8/layout/hierarchy4"/>
    <dgm:cxn modelId="{2CF82B39-2779-4310-913A-EC61F9C3A2A0}" type="presParOf" srcId="{2EB4C387-21F6-4214-AE7D-AF6B53D85748}" destId="{7380801E-36EB-420D-AE1A-38AF4B56F74A}" srcOrd="0" destOrd="0" presId="urn:microsoft.com/office/officeart/2005/8/layout/hierarchy4"/>
    <dgm:cxn modelId="{C12080B4-1D8B-4896-A6B0-B1FEB81EE260}" type="presParOf" srcId="{2EB4C387-21F6-4214-AE7D-AF6B53D85748}" destId="{484E1A5C-599A-473B-AAD7-44C9C24B10FF}" srcOrd="1" destOrd="0" presId="urn:microsoft.com/office/officeart/2005/8/layout/hierarchy4"/>
    <dgm:cxn modelId="{2ACE6726-2E97-433C-AE8A-77E414EEAE50}" type="presParOf" srcId="{A20EC388-A67D-4FE1-95BF-02A00C257095}" destId="{7B4D4F0B-4878-429C-9F37-C50DB6816785}" srcOrd="5" destOrd="0" presId="urn:microsoft.com/office/officeart/2005/8/layout/hierarchy4"/>
    <dgm:cxn modelId="{97BEB176-11ED-4D09-B9BE-C4A6FFFE5AFE}" type="presParOf" srcId="{A20EC388-A67D-4FE1-95BF-02A00C257095}" destId="{8EA42459-6180-4E1D-852C-9F16F5B24C4A}" srcOrd="6" destOrd="0" presId="urn:microsoft.com/office/officeart/2005/8/layout/hierarchy4"/>
    <dgm:cxn modelId="{8A0FE35D-174B-447D-AA6E-8E2470595548}" type="presParOf" srcId="{8EA42459-6180-4E1D-852C-9F16F5B24C4A}" destId="{F5C01370-A5B5-4E7D-81FB-9E03E1D33DFF}" srcOrd="0" destOrd="0" presId="urn:microsoft.com/office/officeart/2005/8/layout/hierarchy4"/>
    <dgm:cxn modelId="{6FBAD1CE-75B5-40F3-A6F7-CD67A7FD401D}" type="presParOf" srcId="{8EA42459-6180-4E1D-852C-9F16F5B24C4A}" destId="{8E143131-300E-46DC-B252-4C7A9D0A48ED}" srcOrd="1" destOrd="0" presId="urn:microsoft.com/office/officeart/2005/8/layout/hierarchy4"/>
    <dgm:cxn modelId="{B58CB696-83B2-469C-91DB-93DE43027A81}" type="presParOf" srcId="{8EA42459-6180-4E1D-852C-9F16F5B24C4A}" destId="{2EA5CE74-7C0F-4253-B7FD-B4A593590413}" srcOrd="2" destOrd="0" presId="urn:microsoft.com/office/officeart/2005/8/layout/hierarchy4"/>
    <dgm:cxn modelId="{B6B7DC9D-92E0-463E-8E9C-15B15CDCA06E}" type="presParOf" srcId="{2EA5CE74-7C0F-4253-B7FD-B4A593590413}" destId="{0B8AAB3E-45DD-4D2B-B1C7-6D2142FAF0F7}" srcOrd="0" destOrd="0" presId="urn:microsoft.com/office/officeart/2005/8/layout/hierarchy4"/>
    <dgm:cxn modelId="{D10761AE-C253-439E-8A64-9AD75CFD4611}" type="presParOf" srcId="{0B8AAB3E-45DD-4D2B-B1C7-6D2142FAF0F7}" destId="{726F3160-6CDE-42E0-BF2D-3AD295D8CC71}" srcOrd="0" destOrd="0" presId="urn:microsoft.com/office/officeart/2005/8/layout/hierarchy4"/>
    <dgm:cxn modelId="{D18712BA-1312-4D07-810E-606B4B8C226E}" type="presParOf" srcId="{0B8AAB3E-45DD-4D2B-B1C7-6D2142FAF0F7}" destId="{628C1B24-1587-4E72-9CD7-9077EE643DE5}" srcOrd="1" destOrd="0" presId="urn:microsoft.com/office/officeart/2005/8/layout/hierarchy4"/>
    <dgm:cxn modelId="{CDAF2805-3D68-4665-A636-33F7BF0E29ED}" type="presParOf" srcId="{0B8AAB3E-45DD-4D2B-B1C7-6D2142FAF0F7}" destId="{9BE4CB7E-C18C-4ADE-A593-3F200BA983C8}" srcOrd="2" destOrd="0" presId="urn:microsoft.com/office/officeart/2005/8/layout/hierarchy4"/>
    <dgm:cxn modelId="{0063EA8B-F6DC-499E-97EF-C37EA203F851}" type="presParOf" srcId="{9BE4CB7E-C18C-4ADE-A593-3F200BA983C8}" destId="{71DC99AD-22B8-4785-BAFE-9664873662C5}" srcOrd="0" destOrd="0" presId="urn:microsoft.com/office/officeart/2005/8/layout/hierarchy4"/>
    <dgm:cxn modelId="{4435715C-8547-4FE0-B404-1283423794B7}" type="presParOf" srcId="{71DC99AD-22B8-4785-BAFE-9664873662C5}" destId="{F8DCB87F-02D2-457F-9B80-CE2922C16E1B}" srcOrd="0" destOrd="0" presId="urn:microsoft.com/office/officeart/2005/8/layout/hierarchy4"/>
    <dgm:cxn modelId="{49E50AAA-A2F3-4E62-AAAC-F47EF5A1E4CC}" type="presParOf" srcId="{71DC99AD-22B8-4785-BAFE-9664873662C5}" destId="{759556B4-8D87-44F8-91E8-1C1334397969}" srcOrd="1" destOrd="0" presId="urn:microsoft.com/office/officeart/2005/8/layout/hierarchy4"/>
    <dgm:cxn modelId="{50B798BC-B5A9-4720-A7F0-F38FB2ADE230}" type="presParOf" srcId="{2EA5CE74-7C0F-4253-B7FD-B4A593590413}" destId="{83485D99-CA79-41E6-B1F3-0CE206A91B12}" srcOrd="1" destOrd="0" presId="urn:microsoft.com/office/officeart/2005/8/layout/hierarchy4"/>
    <dgm:cxn modelId="{83CE927A-4B01-47D0-9B5D-C3CBBD2A4C33}" type="presParOf" srcId="{2EA5CE74-7C0F-4253-B7FD-B4A593590413}" destId="{A4CE3D11-5F42-4143-960A-EF9AC29627CE}" srcOrd="2" destOrd="0" presId="urn:microsoft.com/office/officeart/2005/8/layout/hierarchy4"/>
    <dgm:cxn modelId="{46FA4B60-44B8-4027-9D8D-AF7D81E689AD}" type="presParOf" srcId="{A4CE3D11-5F42-4143-960A-EF9AC29627CE}" destId="{74B9AAAD-3DD0-4C80-B5E7-0D89799E0485}" srcOrd="0" destOrd="0" presId="urn:microsoft.com/office/officeart/2005/8/layout/hierarchy4"/>
    <dgm:cxn modelId="{5181CD08-066C-42EF-9E8F-2DDD0A09B074}" type="presParOf" srcId="{A4CE3D11-5F42-4143-960A-EF9AC29627CE}" destId="{90F0BA4D-F6F6-4BE1-9D75-7892BA848213}" srcOrd="1" destOrd="0" presId="urn:microsoft.com/office/officeart/2005/8/layout/hierarchy4"/>
    <dgm:cxn modelId="{A29B656E-B835-41FE-A05E-385C6F2F521F}" type="presParOf" srcId="{2EA5CE74-7C0F-4253-B7FD-B4A593590413}" destId="{CD941FD6-23DB-4936-AFE0-3D69B5C33F51}" srcOrd="3" destOrd="0" presId="urn:microsoft.com/office/officeart/2005/8/layout/hierarchy4"/>
    <dgm:cxn modelId="{02417624-A7A3-4605-93B7-9A528B649F9E}" type="presParOf" srcId="{2EA5CE74-7C0F-4253-B7FD-B4A593590413}" destId="{98FB39F0-3771-4186-AAF6-47E4D7141343}" srcOrd="4" destOrd="0" presId="urn:microsoft.com/office/officeart/2005/8/layout/hierarchy4"/>
    <dgm:cxn modelId="{28352EE6-3F36-42A9-B52A-051F55C5999A}" type="presParOf" srcId="{98FB39F0-3771-4186-AAF6-47E4D7141343}" destId="{C4806E96-D246-4D93-8F86-26617F27F0F2}" srcOrd="0" destOrd="0" presId="urn:microsoft.com/office/officeart/2005/8/layout/hierarchy4"/>
    <dgm:cxn modelId="{1F2FF2D0-DADB-415F-9407-7280602C1CF6}" type="presParOf" srcId="{98FB39F0-3771-4186-AAF6-47E4D7141343}" destId="{746E8FD6-AFFF-4553-BCEF-833C26FD0242}" srcOrd="1" destOrd="0" presId="urn:microsoft.com/office/officeart/2005/8/layout/hierarchy4"/>
    <dgm:cxn modelId="{11D7CFEA-8216-4F0F-98FB-6362BC6A5FD9}" type="presParOf" srcId="{98FB39F0-3771-4186-AAF6-47E4D7141343}" destId="{EA0EFFE2-2E8D-4F86-980A-81725E1ECDEC}" srcOrd="2" destOrd="0" presId="urn:microsoft.com/office/officeart/2005/8/layout/hierarchy4"/>
    <dgm:cxn modelId="{39770EE7-A9D5-4CFA-B537-A3B3737A501D}" type="presParOf" srcId="{EA0EFFE2-2E8D-4F86-980A-81725E1ECDEC}" destId="{AFD4C6C7-2EA7-4C23-B756-21647763F8E1}" srcOrd="0" destOrd="0" presId="urn:microsoft.com/office/officeart/2005/8/layout/hierarchy4"/>
    <dgm:cxn modelId="{7A90BBB3-001B-4096-8B35-745EE065975A}" type="presParOf" srcId="{AFD4C6C7-2EA7-4C23-B756-21647763F8E1}" destId="{597B2866-ED80-4D8A-85DE-4CDEC3D72AEA}" srcOrd="0" destOrd="0" presId="urn:microsoft.com/office/officeart/2005/8/layout/hierarchy4"/>
    <dgm:cxn modelId="{7E99F392-432B-4A53-9A3F-6CE83DF4E584}" type="presParOf" srcId="{AFD4C6C7-2EA7-4C23-B756-21647763F8E1}" destId="{9A6676C1-4F54-434C-9CD9-026E18624A2C}" srcOrd="1" destOrd="0" presId="urn:microsoft.com/office/officeart/2005/8/layout/hierarchy4"/>
    <dgm:cxn modelId="{67A9869C-0A7C-42CB-A1D6-8C699858B809}" type="presParOf" srcId="{A20EC388-A67D-4FE1-95BF-02A00C257095}" destId="{55A2E7BF-A171-4C15-A027-7CC1771CE448}" srcOrd="7" destOrd="0" presId="urn:microsoft.com/office/officeart/2005/8/layout/hierarchy4"/>
    <dgm:cxn modelId="{2DBC0C10-EC39-49FC-ADAB-20FCDD978E0C}" type="presParOf" srcId="{A20EC388-A67D-4FE1-95BF-02A00C257095}" destId="{1B37E9BC-C061-4863-B828-8722B7596874}" srcOrd="8" destOrd="0" presId="urn:microsoft.com/office/officeart/2005/8/layout/hierarchy4"/>
    <dgm:cxn modelId="{FFEC54CA-FA77-4EC7-B7F5-B35DC487E825}" type="presParOf" srcId="{1B37E9BC-C061-4863-B828-8722B7596874}" destId="{3802C256-192A-4D9D-A0CE-9BDB29EA994B}" srcOrd="0" destOrd="0" presId="urn:microsoft.com/office/officeart/2005/8/layout/hierarchy4"/>
    <dgm:cxn modelId="{A1D12E98-9FAD-4BB0-A79D-D6A7257F05F4}" type="presParOf" srcId="{1B37E9BC-C061-4863-B828-8722B7596874}" destId="{70731998-A383-4080-AC91-2A80EA5307E0}" srcOrd="1" destOrd="0" presId="urn:microsoft.com/office/officeart/2005/8/layout/hierarchy4"/>
    <dgm:cxn modelId="{4F6F6608-0ACF-46F0-BF0A-3E5177AA6810}" type="presParOf" srcId="{1B37E9BC-C061-4863-B828-8722B7596874}" destId="{A6658BC8-B758-4D2F-A710-3AABCF424A8B}" srcOrd="2" destOrd="0" presId="urn:microsoft.com/office/officeart/2005/8/layout/hierarchy4"/>
    <dgm:cxn modelId="{10E49E14-F440-4A92-A3D1-6DB417D85537}" type="presParOf" srcId="{A6658BC8-B758-4D2F-A710-3AABCF424A8B}" destId="{6D761F63-0A94-40C3-AFB4-76FCD9D16081}" srcOrd="0" destOrd="0" presId="urn:microsoft.com/office/officeart/2005/8/layout/hierarchy4"/>
    <dgm:cxn modelId="{85CB0495-087E-4332-8B96-BB17A8D579D8}" type="presParOf" srcId="{6D761F63-0A94-40C3-AFB4-76FCD9D16081}" destId="{B67D2C12-CAFA-47C2-B2E6-AA9EBE7E1C23}" srcOrd="0" destOrd="0" presId="urn:microsoft.com/office/officeart/2005/8/layout/hierarchy4"/>
    <dgm:cxn modelId="{565537C0-53EE-40A9-83C9-231481D97C56}" type="presParOf" srcId="{6D761F63-0A94-40C3-AFB4-76FCD9D16081}" destId="{AB340711-ED64-4686-85BF-07066A3AEB9F}" srcOrd="1" destOrd="0" presId="urn:microsoft.com/office/officeart/2005/8/layout/hierarchy4"/>
    <dgm:cxn modelId="{A609B61C-6DE4-49F4-873E-BF7AE004B0FC}" type="presParOf" srcId="{6D761F63-0A94-40C3-AFB4-76FCD9D16081}" destId="{52A39AF4-95B0-4E07-AAFB-BABFEA892506}" srcOrd="2" destOrd="0" presId="urn:microsoft.com/office/officeart/2005/8/layout/hierarchy4"/>
    <dgm:cxn modelId="{AFD6307B-89E8-42B3-B66A-D429238B688B}" type="presParOf" srcId="{52A39AF4-95B0-4E07-AAFB-BABFEA892506}" destId="{D677CB02-83E7-430A-B6C3-084D17E206EB}" srcOrd="0" destOrd="0" presId="urn:microsoft.com/office/officeart/2005/8/layout/hierarchy4"/>
    <dgm:cxn modelId="{C00A9C91-B09E-418D-B947-C036A32FEF62}" type="presParOf" srcId="{D677CB02-83E7-430A-B6C3-084D17E206EB}" destId="{07F70453-3D08-458D-8F96-9E34904C30E4}" srcOrd="0" destOrd="0" presId="urn:microsoft.com/office/officeart/2005/8/layout/hierarchy4"/>
    <dgm:cxn modelId="{7F73E95C-76DA-45A5-8AA2-EAA7C793BE9B}" type="presParOf" srcId="{D677CB02-83E7-430A-B6C3-084D17E206EB}" destId="{F8AC560E-9262-4E47-BE42-4194F07F57A4}" srcOrd="1" destOrd="0" presId="urn:microsoft.com/office/officeart/2005/8/layout/hierarchy4"/>
    <dgm:cxn modelId="{56BEA523-E19E-4B5A-9C59-9C232A8B646D}" type="presParOf" srcId="{A6658BC8-B758-4D2F-A710-3AABCF424A8B}" destId="{24C45C6C-BDDC-4A9D-B5B3-EA59A5186454}" srcOrd="1" destOrd="0" presId="urn:microsoft.com/office/officeart/2005/8/layout/hierarchy4"/>
    <dgm:cxn modelId="{B6F85BD2-1E19-4446-A702-E3CEB7608C6C}" type="presParOf" srcId="{A6658BC8-B758-4D2F-A710-3AABCF424A8B}" destId="{B6559C6F-895A-42B9-98C8-51E57A68FC8F}" srcOrd="2" destOrd="0" presId="urn:microsoft.com/office/officeart/2005/8/layout/hierarchy4"/>
    <dgm:cxn modelId="{B8013484-7113-4DF1-81EB-32C60CF7243A}" type="presParOf" srcId="{B6559C6F-895A-42B9-98C8-51E57A68FC8F}" destId="{04CCEF7E-6EFF-431F-901F-82631F1D5714}" srcOrd="0" destOrd="0" presId="urn:microsoft.com/office/officeart/2005/8/layout/hierarchy4"/>
    <dgm:cxn modelId="{1740FD5A-3804-4196-AC1E-E18C53E31D6A}" type="presParOf" srcId="{B6559C6F-895A-42B9-98C8-51E57A68FC8F}" destId="{A27EEF5E-2EBA-4C56-8FDE-5FF9AD27BA32}" srcOrd="1" destOrd="0" presId="urn:microsoft.com/office/officeart/2005/8/layout/hierarchy4"/>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922883-BF52-4CA5-BD21-F614B41E9B43}">
      <dsp:nvSpPr>
        <dsp:cNvPr id="0" name=""/>
        <dsp:cNvSpPr/>
      </dsp:nvSpPr>
      <dsp:spPr>
        <a:xfrm>
          <a:off x="2176" y="264"/>
          <a:ext cx="5672546"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baseline="0">
              <a:solidFill>
                <a:schemeClr val="bg1"/>
              </a:solidFill>
            </a:rPr>
            <a:t>Chief Executive &amp; Accounting Officer</a:t>
          </a:r>
        </a:p>
      </dsp:txBody>
      <dsp:txXfrm>
        <a:off x="25267" y="23355"/>
        <a:ext cx="5626364" cy="742202"/>
      </dsp:txXfrm>
    </dsp:sp>
    <dsp:sp modelId="{5B89CF88-9AD3-4177-B113-9BD060DCC4DD}">
      <dsp:nvSpPr>
        <dsp:cNvPr id="0" name=""/>
        <dsp:cNvSpPr/>
      </dsp:nvSpPr>
      <dsp:spPr>
        <a:xfrm>
          <a:off x="273994" y="874283"/>
          <a:ext cx="530797"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Director (Legal Services)</a:t>
          </a:r>
        </a:p>
      </dsp:txBody>
      <dsp:txXfrm>
        <a:off x="289541" y="889830"/>
        <a:ext cx="499703" cy="757290"/>
      </dsp:txXfrm>
    </dsp:sp>
    <dsp:sp modelId="{21EDFFE0-E30A-4743-A551-A56F58F60A23}">
      <dsp:nvSpPr>
        <dsp:cNvPr id="0" name=""/>
        <dsp:cNvSpPr/>
      </dsp:nvSpPr>
      <dsp:spPr>
        <a:xfrm>
          <a:off x="278968" y="1722402"/>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Solicitors (Legal &amp; Research Officers) x 3</a:t>
          </a:r>
        </a:p>
        <a:p>
          <a:pPr marL="0" lvl="0" indent="0" algn="ctr" defTabSz="222250">
            <a:lnSpc>
              <a:spcPct val="90000"/>
            </a:lnSpc>
            <a:spcBef>
              <a:spcPct val="0"/>
            </a:spcBef>
            <a:spcAft>
              <a:spcPct val="35000"/>
            </a:spcAft>
            <a:buNone/>
          </a:pPr>
          <a:r>
            <a:rPr lang="en-GB" sz="500" kern="1200" baseline="0">
              <a:solidFill>
                <a:schemeClr val="bg1"/>
              </a:solidFill>
            </a:rPr>
            <a:t>(1 currently on maternity leave)</a:t>
          </a:r>
        </a:p>
      </dsp:txBody>
      <dsp:txXfrm>
        <a:off x="294424" y="1737858"/>
        <a:ext cx="496800" cy="757472"/>
      </dsp:txXfrm>
    </dsp:sp>
    <dsp:sp modelId="{CBEF0E80-62F1-4A98-8639-2695A17808F6}">
      <dsp:nvSpPr>
        <dsp:cNvPr id="0" name=""/>
        <dsp:cNvSpPr/>
      </dsp:nvSpPr>
      <dsp:spPr>
        <a:xfrm>
          <a:off x="284129" y="2582567"/>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Paralegal</a:t>
          </a:r>
        </a:p>
      </dsp:txBody>
      <dsp:txXfrm>
        <a:off x="299585" y="2598023"/>
        <a:ext cx="496800" cy="757472"/>
      </dsp:txXfrm>
    </dsp:sp>
    <dsp:sp modelId="{72F54AF8-EFF7-4770-8ADE-7858622D9B44}">
      <dsp:nvSpPr>
        <dsp:cNvPr id="0" name=""/>
        <dsp:cNvSpPr/>
      </dsp:nvSpPr>
      <dsp:spPr>
        <a:xfrm>
          <a:off x="909709" y="1722047"/>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Senior Policy &amp; Research Officer	</a:t>
          </a:r>
        </a:p>
      </dsp:txBody>
      <dsp:txXfrm>
        <a:off x="925165" y="1737503"/>
        <a:ext cx="496800" cy="757472"/>
      </dsp:txXfrm>
    </dsp:sp>
    <dsp:sp modelId="{B9A17049-230B-47A8-991B-25E6AF3402CF}">
      <dsp:nvSpPr>
        <dsp:cNvPr id="0" name=""/>
        <dsp:cNvSpPr/>
      </dsp:nvSpPr>
      <dsp:spPr>
        <a:xfrm>
          <a:off x="904981" y="2582567"/>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Policy &amp; Research Officers x 2 </a:t>
          </a:r>
        </a:p>
        <a:p>
          <a:pPr marL="0" lvl="0" indent="0" algn="ctr" defTabSz="222250">
            <a:lnSpc>
              <a:spcPct val="90000"/>
            </a:lnSpc>
            <a:spcBef>
              <a:spcPct val="0"/>
            </a:spcBef>
            <a:spcAft>
              <a:spcPct val="35000"/>
            </a:spcAft>
            <a:buNone/>
          </a:pPr>
          <a:r>
            <a:rPr lang="en-GB" sz="500" kern="1200" baseline="0">
              <a:solidFill>
                <a:schemeClr val="bg1"/>
              </a:solidFill>
            </a:rPr>
            <a:t>(1 currently vacant)</a:t>
          </a:r>
        </a:p>
      </dsp:txBody>
      <dsp:txXfrm>
        <a:off x="920437" y="2598023"/>
        <a:ext cx="496800" cy="757472"/>
      </dsp:txXfrm>
    </dsp:sp>
    <dsp:sp modelId="{F04BADE2-B3EE-4650-897C-17257D5DD376}">
      <dsp:nvSpPr>
        <dsp:cNvPr id="0" name=""/>
        <dsp:cNvSpPr/>
      </dsp:nvSpPr>
      <dsp:spPr>
        <a:xfrm>
          <a:off x="1483774" y="1722746"/>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Senior Policy &amp; Research Officer</a:t>
          </a:r>
        </a:p>
      </dsp:txBody>
      <dsp:txXfrm>
        <a:off x="1499230" y="1738202"/>
        <a:ext cx="496800" cy="757472"/>
      </dsp:txXfrm>
    </dsp:sp>
    <dsp:sp modelId="{1CE98861-B629-4CE8-BEAD-BAA1E4BAE172}">
      <dsp:nvSpPr>
        <dsp:cNvPr id="0" name=""/>
        <dsp:cNvSpPr/>
      </dsp:nvSpPr>
      <dsp:spPr>
        <a:xfrm>
          <a:off x="1500096" y="2586312"/>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Policy &amp; Research Officers x 2</a:t>
          </a:r>
        </a:p>
        <a:p>
          <a:pPr marL="0" lvl="0" indent="0" algn="ctr" defTabSz="222250">
            <a:lnSpc>
              <a:spcPct val="90000"/>
            </a:lnSpc>
            <a:spcBef>
              <a:spcPct val="0"/>
            </a:spcBef>
            <a:spcAft>
              <a:spcPct val="35000"/>
            </a:spcAft>
            <a:buNone/>
          </a:pPr>
          <a:r>
            <a:rPr lang="en-GB" sz="500" kern="1200" baseline="0">
              <a:solidFill>
                <a:schemeClr val="bg1"/>
              </a:solidFill>
            </a:rPr>
            <a:t>(1 currently vacant)</a:t>
          </a:r>
        </a:p>
      </dsp:txBody>
      <dsp:txXfrm>
        <a:off x="1515552" y="2601768"/>
        <a:ext cx="496800" cy="757472"/>
      </dsp:txXfrm>
    </dsp:sp>
    <dsp:sp modelId="{B229D561-C419-4A7F-894F-450C47EFCC60}">
      <dsp:nvSpPr>
        <dsp:cNvPr id="0" name=""/>
        <dsp:cNvSpPr/>
      </dsp:nvSpPr>
      <dsp:spPr>
        <a:xfrm>
          <a:off x="1219114" y="883632"/>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Director (Advice to Government, Research &amp; Investigations)</a:t>
          </a:r>
        </a:p>
      </dsp:txBody>
      <dsp:txXfrm>
        <a:off x="1234570" y="899088"/>
        <a:ext cx="496800" cy="757472"/>
      </dsp:txXfrm>
    </dsp:sp>
    <dsp:sp modelId="{00A47A13-EB4B-40C7-B1CE-CF410339F805}">
      <dsp:nvSpPr>
        <dsp:cNvPr id="0" name=""/>
        <dsp:cNvSpPr/>
      </dsp:nvSpPr>
      <dsp:spPr>
        <a:xfrm>
          <a:off x="2102815" y="864246"/>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Director (Human Rights after Brexit)</a:t>
          </a:r>
        </a:p>
      </dsp:txBody>
      <dsp:txXfrm>
        <a:off x="2118271" y="879702"/>
        <a:ext cx="496800" cy="757472"/>
      </dsp:txXfrm>
    </dsp:sp>
    <dsp:sp modelId="{9E0DB2A6-8EE4-4E5A-AD0B-BCB22D5D6DE6}">
      <dsp:nvSpPr>
        <dsp:cNvPr id="0" name=""/>
        <dsp:cNvSpPr/>
      </dsp:nvSpPr>
      <dsp:spPr>
        <a:xfrm>
          <a:off x="2114631" y="1723101"/>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Senior Policy &amp; Research Officer</a:t>
          </a:r>
        </a:p>
      </dsp:txBody>
      <dsp:txXfrm>
        <a:off x="2130087" y="1738557"/>
        <a:ext cx="496800" cy="757472"/>
      </dsp:txXfrm>
    </dsp:sp>
    <dsp:sp modelId="{7380801E-36EB-420D-AE1A-38AF4B56F74A}">
      <dsp:nvSpPr>
        <dsp:cNvPr id="0" name=""/>
        <dsp:cNvSpPr/>
      </dsp:nvSpPr>
      <dsp:spPr>
        <a:xfrm>
          <a:off x="2104741" y="2579989"/>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Policy &amp; Research Officers x 3</a:t>
          </a:r>
        </a:p>
      </dsp:txBody>
      <dsp:txXfrm>
        <a:off x="2120197" y="2595445"/>
        <a:ext cx="496800" cy="757472"/>
      </dsp:txXfrm>
    </dsp:sp>
    <dsp:sp modelId="{F5C01370-A5B5-4E7D-81FB-9E03E1D33DFF}">
      <dsp:nvSpPr>
        <dsp:cNvPr id="0" name=""/>
        <dsp:cNvSpPr/>
      </dsp:nvSpPr>
      <dsp:spPr>
        <a:xfrm>
          <a:off x="3263809" y="853373"/>
          <a:ext cx="574787"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Director (Engagement &amp; Communications)</a:t>
          </a:r>
        </a:p>
      </dsp:txBody>
      <dsp:txXfrm>
        <a:off x="3280644" y="870208"/>
        <a:ext cx="541117" cy="754714"/>
      </dsp:txXfrm>
    </dsp:sp>
    <dsp:sp modelId="{726F3160-6CDE-42E0-BF2D-3AD295D8CC71}">
      <dsp:nvSpPr>
        <dsp:cNvPr id="0" name=""/>
        <dsp:cNvSpPr/>
      </dsp:nvSpPr>
      <dsp:spPr>
        <a:xfrm>
          <a:off x="2711588" y="1722868"/>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Senior Engagment &amp; Communications Officer</a:t>
          </a:r>
        </a:p>
      </dsp:txBody>
      <dsp:txXfrm>
        <a:off x="2727044" y="1738324"/>
        <a:ext cx="496800" cy="757472"/>
      </dsp:txXfrm>
    </dsp:sp>
    <dsp:sp modelId="{F8DCB87F-02D2-457F-9B80-CE2922C16E1B}">
      <dsp:nvSpPr>
        <dsp:cNvPr id="0" name=""/>
        <dsp:cNvSpPr/>
      </dsp:nvSpPr>
      <dsp:spPr>
        <a:xfrm>
          <a:off x="2722396" y="2582954"/>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Engagement &amp; Communications Officer x 2</a:t>
          </a:r>
        </a:p>
        <a:p>
          <a:pPr marL="0" lvl="0" indent="0" algn="ctr" defTabSz="222250">
            <a:lnSpc>
              <a:spcPct val="90000"/>
            </a:lnSpc>
            <a:spcBef>
              <a:spcPct val="0"/>
            </a:spcBef>
            <a:spcAft>
              <a:spcPct val="35000"/>
            </a:spcAft>
            <a:buNone/>
          </a:pPr>
          <a:r>
            <a:rPr lang="en-GB" sz="500" kern="1200" baseline="0">
              <a:solidFill>
                <a:schemeClr val="bg1"/>
              </a:solidFill>
            </a:rPr>
            <a:t>(1 currently vacant)</a:t>
          </a:r>
        </a:p>
      </dsp:txBody>
      <dsp:txXfrm>
        <a:off x="2737852" y="2598410"/>
        <a:ext cx="496800" cy="757472"/>
      </dsp:txXfrm>
    </dsp:sp>
    <dsp:sp modelId="{74B9AAAD-3DD0-4C80-B5E7-0D89799E0485}">
      <dsp:nvSpPr>
        <dsp:cNvPr id="0" name=""/>
        <dsp:cNvSpPr/>
      </dsp:nvSpPr>
      <dsp:spPr>
        <a:xfrm>
          <a:off x="3284671" y="1709038"/>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Senior Engagement &amp; Communications Officer</a:t>
          </a:r>
        </a:p>
      </dsp:txBody>
      <dsp:txXfrm>
        <a:off x="3300127" y="1724494"/>
        <a:ext cx="496800" cy="757472"/>
      </dsp:txXfrm>
    </dsp:sp>
    <dsp:sp modelId="{C4806E96-D246-4D93-8F86-26617F27F0F2}">
      <dsp:nvSpPr>
        <dsp:cNvPr id="0" name=""/>
        <dsp:cNvSpPr/>
      </dsp:nvSpPr>
      <dsp:spPr>
        <a:xfrm>
          <a:off x="3843194" y="1721936"/>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Senior Engagement &amp; Communications Officer</a:t>
          </a:r>
        </a:p>
      </dsp:txBody>
      <dsp:txXfrm>
        <a:off x="3858650" y="1737392"/>
        <a:ext cx="496800" cy="757472"/>
      </dsp:txXfrm>
    </dsp:sp>
    <dsp:sp modelId="{597B2866-ED80-4D8A-85DE-4CDEC3D72AEA}">
      <dsp:nvSpPr>
        <dsp:cNvPr id="0" name=""/>
        <dsp:cNvSpPr/>
      </dsp:nvSpPr>
      <dsp:spPr>
        <a:xfrm>
          <a:off x="3850514" y="2586312"/>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Engagement &amp; Communications Officer</a:t>
          </a:r>
        </a:p>
      </dsp:txBody>
      <dsp:txXfrm>
        <a:off x="3865970" y="2601768"/>
        <a:ext cx="496800" cy="757472"/>
      </dsp:txXfrm>
    </dsp:sp>
    <dsp:sp modelId="{3802C256-192A-4D9D-A0CE-9BDB29EA994B}">
      <dsp:nvSpPr>
        <dsp:cNvPr id="0" name=""/>
        <dsp:cNvSpPr/>
      </dsp:nvSpPr>
      <dsp:spPr>
        <a:xfrm>
          <a:off x="4695776" y="859722"/>
          <a:ext cx="555124"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Director (Finance, Personnel &amp; Corporate Affairs)</a:t>
          </a:r>
        </a:p>
      </dsp:txBody>
      <dsp:txXfrm>
        <a:off x="4712035" y="875981"/>
        <a:ext cx="522606" cy="755866"/>
      </dsp:txXfrm>
    </dsp:sp>
    <dsp:sp modelId="{B67D2C12-CAFA-47C2-B2E6-AA9EBE7E1C23}">
      <dsp:nvSpPr>
        <dsp:cNvPr id="0" name=""/>
        <dsp:cNvSpPr/>
      </dsp:nvSpPr>
      <dsp:spPr>
        <a:xfrm>
          <a:off x="4455343" y="1718329"/>
          <a:ext cx="575785"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Senior Finance, Personnel &amp; Corporate Affairs Officer</a:t>
          </a:r>
        </a:p>
      </dsp:txBody>
      <dsp:txXfrm>
        <a:off x="4472207" y="1735193"/>
        <a:ext cx="542057" cy="754656"/>
      </dsp:txXfrm>
    </dsp:sp>
    <dsp:sp modelId="{07F70453-3D08-458D-8F96-9E34904C30E4}">
      <dsp:nvSpPr>
        <dsp:cNvPr id="0" name=""/>
        <dsp:cNvSpPr/>
      </dsp:nvSpPr>
      <dsp:spPr>
        <a:xfrm>
          <a:off x="4473564" y="2586182"/>
          <a:ext cx="571302" cy="823767"/>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Administrative Officers (Full-time x 2) </a:t>
          </a:r>
        </a:p>
        <a:p>
          <a:pPr marL="0" lvl="0" indent="0" algn="ctr" defTabSz="222250">
            <a:lnSpc>
              <a:spcPct val="90000"/>
            </a:lnSpc>
            <a:spcBef>
              <a:spcPct val="0"/>
            </a:spcBef>
            <a:spcAft>
              <a:spcPct val="35000"/>
            </a:spcAft>
            <a:buNone/>
          </a:pPr>
          <a:r>
            <a:rPr lang="en-GB" sz="500" kern="1200" baseline="0">
              <a:solidFill>
                <a:schemeClr val="bg1"/>
              </a:solidFill>
            </a:rPr>
            <a:t>(1 currently vacant)</a:t>
          </a:r>
        </a:p>
        <a:p>
          <a:pPr marL="0" lvl="0" indent="0" algn="ctr" defTabSz="222250">
            <a:lnSpc>
              <a:spcPct val="90000"/>
            </a:lnSpc>
            <a:spcBef>
              <a:spcPct val="0"/>
            </a:spcBef>
            <a:spcAft>
              <a:spcPct val="35000"/>
            </a:spcAft>
            <a:buNone/>
          </a:pPr>
          <a:r>
            <a:rPr lang="en-GB" sz="500" kern="1200" baseline="0">
              <a:solidFill>
                <a:schemeClr val="bg1"/>
              </a:solidFill>
            </a:rPr>
            <a:t>Administrative Officer (Part-time)</a:t>
          </a:r>
        </a:p>
        <a:p>
          <a:pPr marL="0" lvl="0" indent="0" algn="ctr" defTabSz="222250">
            <a:lnSpc>
              <a:spcPct val="90000"/>
            </a:lnSpc>
            <a:spcBef>
              <a:spcPct val="0"/>
            </a:spcBef>
            <a:spcAft>
              <a:spcPct val="35000"/>
            </a:spcAft>
            <a:buNone/>
          </a:pPr>
          <a:r>
            <a:rPr lang="en-GB" sz="500" kern="1200" baseline="0">
              <a:solidFill>
                <a:schemeClr val="bg1"/>
              </a:solidFill>
            </a:rPr>
            <a:t>Administrative Officer (Agency)</a:t>
          </a:r>
        </a:p>
      </dsp:txBody>
      <dsp:txXfrm>
        <a:off x="4490297" y="2602915"/>
        <a:ext cx="537836" cy="790301"/>
      </dsp:txXfrm>
    </dsp:sp>
    <dsp:sp modelId="{04CCEF7E-6EFF-431F-901F-82631F1D5714}">
      <dsp:nvSpPr>
        <dsp:cNvPr id="0" name=""/>
        <dsp:cNvSpPr/>
      </dsp:nvSpPr>
      <dsp:spPr>
        <a:xfrm>
          <a:off x="5054794" y="1708510"/>
          <a:ext cx="572768" cy="804633"/>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Executive Assistant</a:t>
          </a:r>
        </a:p>
      </dsp:txBody>
      <dsp:txXfrm>
        <a:off x="5071570" y="1725286"/>
        <a:ext cx="539216" cy="77108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SharedWithUsers xmlns="806d6863-a85d-4a14-ba5d-ada9e5b222dd">
      <UserInfo>
        <DisplayName>Jacqueline McClintock</DisplayName>
        <AccountId>67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5" ma:contentTypeDescription="Create a new document." ma:contentTypeScope="" ma:versionID="90a1614633501ec1343f4d7b86bc3aa7">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f0cbf7324fedd348347fef82f34de55c"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074D9-EEC5-4935-8D34-3A3505F318C0}">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2.xml><?xml version="1.0" encoding="utf-8"?>
<ds:datastoreItem xmlns:ds="http://schemas.openxmlformats.org/officeDocument/2006/customXml" ds:itemID="{609EF0E4-74E6-4683-9B68-0A13926555A8}">
  <ds:schemaRefs>
    <ds:schemaRef ds:uri="http://schemas.microsoft.com/sharepoint/v3/contenttype/forms"/>
  </ds:schemaRefs>
</ds:datastoreItem>
</file>

<file path=customXml/itemProps3.xml><?xml version="1.0" encoding="utf-8"?>
<ds:datastoreItem xmlns:ds="http://schemas.openxmlformats.org/officeDocument/2006/customXml" ds:itemID="{207AC907-E384-4D37-B4E5-A22E35586837}">
  <ds:schemaRefs>
    <ds:schemaRef ds:uri="http://schemas.openxmlformats.org/officeDocument/2006/bibliography"/>
  </ds:schemaRefs>
</ds:datastoreItem>
</file>

<file path=customXml/itemProps4.xml><?xml version="1.0" encoding="utf-8"?>
<ds:datastoreItem xmlns:ds="http://schemas.openxmlformats.org/officeDocument/2006/customXml" ds:itemID="{51E5DF44-6FF6-4ACF-A1F0-81C0C6B53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21696</Words>
  <Characters>123672</Characters>
  <Application>Microsoft Office Word</Application>
  <DocSecurity>4</DocSecurity>
  <Lines>1030</Lines>
  <Paragraphs>290</Paragraphs>
  <ScaleCrop>false</ScaleCrop>
  <HeadingPairs>
    <vt:vector size="2" baseType="variant">
      <vt:variant>
        <vt:lpstr>Title</vt:lpstr>
      </vt:variant>
      <vt:variant>
        <vt:i4>1</vt:i4>
      </vt:variant>
    </vt:vector>
  </HeadingPairs>
  <TitlesOfParts>
    <vt:vector size="1" baseType="lpstr">
      <vt:lpstr>Chief Commissioner’s Foreword</vt:lpstr>
    </vt:vector>
  </TitlesOfParts>
  <Company/>
  <LinksUpToDate>false</LinksUpToDate>
  <CharactersWithSpaces>145078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Commissioner’s Foreword</dc:title>
  <dc:subject/>
  <dc:creator>Don.Leeson</dc:creator>
  <cp:keywords/>
  <cp:lastModifiedBy>Barbara Smith</cp:lastModifiedBy>
  <cp:revision>2</cp:revision>
  <cp:lastPrinted>2022-09-08T15:31:00Z</cp:lastPrinted>
  <dcterms:created xsi:type="dcterms:W3CDTF">2023-07-20T08:07:00Z</dcterms:created>
  <dcterms:modified xsi:type="dcterms:W3CDTF">2023-07-20T08:07:00Z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-222357991</vt:i4>
  </property>
  <property fmtid="{D5CDD505-2E9C-101B-9397-08002B2CF9AE}" pid="3" name="ContentTypeId">
    <vt:lpwstr>0x010100F41320E77E35C644A511CBC5C12B0A0B</vt:lpwstr>
  </property>
  <property fmtid="{D5CDD505-2E9C-101B-9397-08002B2CF9AE}" pid="4" name="Order">
    <vt:r8>833600</vt:r8>
  </property>
  <property fmtid="{D5CDD505-2E9C-101B-9397-08002B2CF9AE}" pid="5" name="MediaServiceImageTags">
    <vt:lpwstr/>
  </property>
</Properties>
</file>