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44C3" w14:textId="77777777" w:rsidR="002667DD" w:rsidRDefault="002667DD" w:rsidP="002667DD">
      <w:pPr>
        <w:pStyle w:val="BasicParagraph"/>
        <w:suppressAutoHyphens/>
        <w:jc w:val="center"/>
        <w:rPr>
          <w:rFonts w:cs="Arial"/>
          <w:b/>
          <w:bCs/>
          <w:color w:val="77328A"/>
          <w:sz w:val="36"/>
          <w:szCs w:val="36"/>
        </w:rPr>
      </w:pPr>
      <w:r>
        <w:rPr>
          <w:noProof/>
        </w:rPr>
        <w:drawing>
          <wp:inline distT="0" distB="0" distL="0" distR="0" wp14:anchorId="4ADD1D0A" wp14:editId="1FAFF894">
            <wp:extent cx="2908485" cy="3886623"/>
            <wp:effectExtent l="0" t="0" r="0" b="0"/>
            <wp:docPr id="9" name="Picture 9"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2908485" cy="3886623"/>
                    </a:xfrm>
                    <a:prstGeom prst="rect">
                      <a:avLst/>
                    </a:prstGeom>
                  </pic:spPr>
                </pic:pic>
              </a:graphicData>
            </a:graphic>
          </wp:inline>
        </w:drawing>
      </w:r>
      <w:r w:rsidRPr="3285EAFF">
        <w:rPr>
          <w:rFonts w:cs="Arial"/>
          <w:b/>
          <w:bCs/>
          <w:color w:val="77328A"/>
          <w:sz w:val="36"/>
          <w:szCs w:val="36"/>
        </w:rPr>
        <w:t xml:space="preserve"> </w:t>
      </w:r>
    </w:p>
    <w:p w14:paraId="0DE3D5E5" w14:textId="77777777" w:rsidR="002667DD" w:rsidRDefault="002667DD" w:rsidP="002667DD">
      <w:pPr>
        <w:pStyle w:val="BasicParagraph"/>
        <w:suppressAutoHyphens/>
        <w:jc w:val="center"/>
        <w:rPr>
          <w:rFonts w:cs="Arial"/>
          <w:b/>
          <w:bCs/>
          <w:color w:val="77328A"/>
          <w:sz w:val="36"/>
          <w:szCs w:val="36"/>
        </w:rPr>
      </w:pPr>
    </w:p>
    <w:p w14:paraId="789158A0" w14:textId="77777777" w:rsidR="002667DD" w:rsidRDefault="002667DD" w:rsidP="002667DD">
      <w:pPr>
        <w:pStyle w:val="BasicParagraph"/>
        <w:suppressAutoHyphens/>
        <w:jc w:val="center"/>
        <w:rPr>
          <w:rFonts w:ascii="Verdana" w:hAnsi="Verdana" w:cs="Arial"/>
          <w:b/>
          <w:bCs/>
          <w:color w:val="77328A"/>
          <w:sz w:val="36"/>
          <w:szCs w:val="36"/>
        </w:rPr>
      </w:pPr>
    </w:p>
    <w:p w14:paraId="7B01F94B" w14:textId="77777777" w:rsidR="002667DD" w:rsidRDefault="002667DD" w:rsidP="002667DD">
      <w:pPr>
        <w:pStyle w:val="BasicParagraph"/>
        <w:suppressAutoHyphens/>
        <w:jc w:val="center"/>
        <w:rPr>
          <w:rFonts w:ascii="Verdana" w:hAnsi="Verdana" w:cs="Arial"/>
          <w:b/>
          <w:bCs/>
          <w:color w:val="77328A"/>
          <w:sz w:val="36"/>
          <w:szCs w:val="36"/>
        </w:rPr>
      </w:pPr>
    </w:p>
    <w:p w14:paraId="15C5A62A" w14:textId="77777777" w:rsidR="002667DD" w:rsidRPr="005E31A9" w:rsidRDefault="002667DD" w:rsidP="002667DD">
      <w:pPr>
        <w:pStyle w:val="BasicParagraph"/>
        <w:suppressAutoHyphens/>
        <w:jc w:val="center"/>
        <w:rPr>
          <w:rFonts w:ascii="Verdana" w:hAnsi="Verdana" w:cs="Arial"/>
          <w:b/>
          <w:bCs/>
          <w:color w:val="77328A"/>
          <w:sz w:val="36"/>
          <w:szCs w:val="36"/>
        </w:rPr>
      </w:pPr>
      <w:r w:rsidRPr="005E31A9">
        <w:rPr>
          <w:rFonts w:ascii="Verdana" w:hAnsi="Verdana" w:cs="Arial"/>
          <w:b/>
          <w:bCs/>
          <w:color w:val="77328A"/>
          <w:sz w:val="36"/>
          <w:szCs w:val="36"/>
        </w:rPr>
        <w:t>Annual Report and Accounts</w:t>
      </w:r>
    </w:p>
    <w:p w14:paraId="5A844CBB" w14:textId="7D9FF810" w:rsidR="002667DD" w:rsidRDefault="002667DD" w:rsidP="002667DD">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202</w:t>
      </w:r>
      <w:r w:rsidR="0052412A">
        <w:rPr>
          <w:rFonts w:ascii="Verdana" w:hAnsi="Verdana" w:cs="Arial"/>
          <w:b/>
          <w:bCs/>
          <w:color w:val="77328A"/>
          <w:sz w:val="36"/>
          <w:szCs w:val="36"/>
        </w:rPr>
        <w:t>4</w:t>
      </w:r>
      <w:r>
        <w:rPr>
          <w:rFonts w:ascii="Verdana" w:hAnsi="Verdana" w:cs="Arial"/>
          <w:b/>
          <w:bCs/>
          <w:color w:val="77328A"/>
          <w:sz w:val="36"/>
          <w:szCs w:val="36"/>
        </w:rPr>
        <w:t>-2</w:t>
      </w:r>
      <w:r w:rsidR="0052412A">
        <w:rPr>
          <w:rFonts w:ascii="Verdana" w:hAnsi="Verdana" w:cs="Arial"/>
          <w:b/>
          <w:bCs/>
          <w:color w:val="77328A"/>
          <w:sz w:val="36"/>
          <w:szCs w:val="36"/>
        </w:rPr>
        <w:t>5</w:t>
      </w:r>
    </w:p>
    <w:p w14:paraId="208099F9" w14:textId="77777777" w:rsidR="002667DD" w:rsidRDefault="002667DD" w:rsidP="002667DD">
      <w:pPr>
        <w:pStyle w:val="BasicParagraph"/>
        <w:suppressAutoHyphens/>
        <w:jc w:val="center"/>
        <w:rPr>
          <w:rFonts w:ascii="Verdana" w:hAnsi="Verdana" w:cs="Arial"/>
          <w:b/>
          <w:bCs/>
          <w:color w:val="77328A"/>
          <w:sz w:val="36"/>
          <w:szCs w:val="36"/>
        </w:rPr>
      </w:pPr>
    </w:p>
    <w:p w14:paraId="009F987D" w14:textId="77777777" w:rsidR="002667DD" w:rsidRDefault="002667DD" w:rsidP="002667DD">
      <w:pPr>
        <w:pStyle w:val="BasicParagraph"/>
        <w:suppressAutoHyphens/>
        <w:jc w:val="center"/>
        <w:rPr>
          <w:rFonts w:ascii="Verdana" w:hAnsi="Verdana" w:cs="Arial"/>
          <w:b/>
          <w:bCs/>
          <w:color w:val="77328A"/>
          <w:sz w:val="36"/>
          <w:szCs w:val="36"/>
        </w:rPr>
      </w:pPr>
    </w:p>
    <w:p w14:paraId="05A99B47" w14:textId="77777777" w:rsidR="002667DD" w:rsidRDefault="002667DD" w:rsidP="002667DD">
      <w:pPr>
        <w:pStyle w:val="BasicParagraph"/>
        <w:suppressAutoHyphens/>
        <w:jc w:val="center"/>
        <w:rPr>
          <w:rFonts w:ascii="Verdana" w:hAnsi="Verdana" w:cs="Arial"/>
          <w:b/>
          <w:bCs/>
          <w:color w:val="77328A"/>
          <w:sz w:val="36"/>
          <w:szCs w:val="36"/>
        </w:rPr>
      </w:pPr>
    </w:p>
    <w:p w14:paraId="56B6982F" w14:textId="77777777" w:rsidR="002667DD" w:rsidRDefault="002667DD" w:rsidP="002667DD">
      <w:pPr>
        <w:pStyle w:val="BasicParagraph"/>
        <w:suppressAutoHyphens/>
        <w:jc w:val="center"/>
        <w:rPr>
          <w:rFonts w:ascii="Verdana" w:hAnsi="Verdana" w:cs="Arial"/>
          <w:b/>
          <w:bCs/>
          <w:color w:val="77328A"/>
          <w:sz w:val="36"/>
          <w:szCs w:val="36"/>
        </w:rPr>
      </w:pPr>
    </w:p>
    <w:p w14:paraId="35F91A8D" w14:textId="77777777" w:rsidR="002667DD" w:rsidRDefault="002667DD" w:rsidP="002667DD">
      <w:pPr>
        <w:pStyle w:val="BasicParagraph"/>
        <w:suppressAutoHyphens/>
        <w:jc w:val="center"/>
        <w:rPr>
          <w:rFonts w:ascii="Verdana" w:hAnsi="Verdana" w:cs="Arial"/>
          <w:b/>
          <w:bCs/>
          <w:color w:val="77328A"/>
          <w:sz w:val="36"/>
          <w:szCs w:val="36"/>
        </w:rPr>
      </w:pPr>
    </w:p>
    <w:p w14:paraId="307C54C9" w14:textId="77777777" w:rsidR="002667DD" w:rsidRDefault="002667DD" w:rsidP="002667DD">
      <w:pPr>
        <w:pStyle w:val="BasicParagraph"/>
        <w:suppressAutoHyphens/>
        <w:jc w:val="center"/>
        <w:rPr>
          <w:rFonts w:ascii="Verdana" w:hAnsi="Verdana" w:cs="Arial"/>
          <w:b/>
          <w:bCs/>
          <w:color w:val="77328A"/>
          <w:sz w:val="36"/>
          <w:szCs w:val="36"/>
        </w:rPr>
      </w:pPr>
    </w:p>
    <w:p w14:paraId="2CCD7A63" w14:textId="77777777" w:rsidR="002667DD" w:rsidRPr="005E31A9" w:rsidRDefault="002667DD" w:rsidP="002667DD">
      <w:pPr>
        <w:pStyle w:val="BasicParagraph"/>
        <w:suppressAutoHyphens/>
        <w:jc w:val="center"/>
        <w:rPr>
          <w:rFonts w:ascii="Verdana" w:hAnsi="Verdana" w:cs="Arial"/>
          <w:b/>
          <w:bCs/>
          <w:color w:val="77328A"/>
          <w:sz w:val="72"/>
          <w:szCs w:val="72"/>
        </w:rPr>
      </w:pPr>
    </w:p>
    <w:p w14:paraId="61DCF9DC" w14:textId="546AF7FB" w:rsidR="002667DD" w:rsidRDefault="00080AB2" w:rsidP="002667DD">
      <w:r w:rsidRPr="00F22688">
        <w:t>HC</w:t>
      </w:r>
      <w:r w:rsidR="002667DD" w:rsidRPr="00F22688">
        <w:t xml:space="preserve"> </w:t>
      </w:r>
      <w:r w:rsidR="00F22688">
        <w:t>1027</w:t>
      </w:r>
    </w:p>
    <w:p w14:paraId="756A5B37" w14:textId="77777777" w:rsidR="002667DD" w:rsidRDefault="002667DD" w:rsidP="002667DD">
      <w:r>
        <w:br w:type="page"/>
      </w:r>
    </w:p>
    <w:p w14:paraId="0C3A3536" w14:textId="77777777" w:rsidR="002667DD" w:rsidRPr="005E31A9" w:rsidRDefault="002667DD" w:rsidP="002667DD">
      <w:pPr>
        <w:rPr>
          <w:rFonts w:cs="Arial"/>
          <w:b/>
          <w:bCs/>
          <w:color w:val="77328A"/>
          <w:sz w:val="36"/>
          <w:szCs w:val="36"/>
        </w:rPr>
      </w:pPr>
      <w:r>
        <w:rPr>
          <w:rFonts w:cs="Arial"/>
          <w:b/>
          <w:bCs/>
          <w:color w:val="77328A"/>
          <w:sz w:val="36"/>
          <w:szCs w:val="36"/>
        </w:rPr>
        <w:lastRenderedPageBreak/>
        <w:br w:type="page"/>
      </w:r>
    </w:p>
    <w:p w14:paraId="23A65CA3" w14:textId="68BF8B52" w:rsidR="002667DD" w:rsidRPr="00B80F07" w:rsidRDefault="00302923" w:rsidP="00302923">
      <w:pPr>
        <w:jc w:val="center"/>
        <w:rPr>
          <w:highlight w:val="yellow"/>
        </w:rPr>
      </w:pPr>
      <w:r>
        <w:rPr>
          <w:noProof/>
          <w:lang w:eastAsia="en-GB"/>
        </w:rPr>
        <w:lastRenderedPageBreak/>
        <w:drawing>
          <wp:inline distT="0" distB="0" distL="0" distR="0" wp14:anchorId="009ED320" wp14:editId="68161D7B">
            <wp:extent cx="2908485" cy="3886623"/>
            <wp:effectExtent l="0" t="0" r="0" b="0"/>
            <wp:docPr id="1547574103" name="Picture 1547574103"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2908485" cy="3886623"/>
                    </a:xfrm>
                    <a:prstGeom prst="rect">
                      <a:avLst/>
                    </a:prstGeom>
                  </pic:spPr>
                </pic:pic>
              </a:graphicData>
            </a:graphic>
          </wp:inline>
        </w:drawing>
      </w:r>
    </w:p>
    <w:p w14:paraId="403C9E86" w14:textId="77777777" w:rsidR="002667DD" w:rsidRPr="005A7FE6" w:rsidRDefault="002667DD" w:rsidP="002667DD">
      <w:pPr>
        <w:rPr>
          <w:b/>
          <w:sz w:val="36"/>
        </w:rPr>
      </w:pPr>
    </w:p>
    <w:p w14:paraId="709A5531" w14:textId="77777777" w:rsidR="002667DD" w:rsidRDefault="002667DD" w:rsidP="002667DD">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Annual Report and Accounts</w:t>
      </w:r>
    </w:p>
    <w:p w14:paraId="6BC322D2" w14:textId="38762584" w:rsidR="002667DD" w:rsidRDefault="002667DD" w:rsidP="002667DD">
      <w:pPr>
        <w:widowControl w:val="0"/>
        <w:autoSpaceDE w:val="0"/>
        <w:autoSpaceDN w:val="0"/>
        <w:adjustRightInd w:val="0"/>
        <w:jc w:val="center"/>
        <w:rPr>
          <w:rFonts w:cs="Arial"/>
          <w:b/>
          <w:bCs/>
          <w:color w:val="77328A"/>
          <w:sz w:val="36"/>
          <w:szCs w:val="36"/>
        </w:rPr>
      </w:pPr>
      <w:r>
        <w:rPr>
          <w:rFonts w:cs="Arial"/>
          <w:b/>
          <w:bCs/>
          <w:color w:val="77328A"/>
          <w:sz w:val="36"/>
          <w:szCs w:val="36"/>
        </w:rPr>
        <w:t>202</w:t>
      </w:r>
      <w:r w:rsidR="00465189">
        <w:rPr>
          <w:rFonts w:cs="Arial"/>
          <w:b/>
          <w:bCs/>
          <w:color w:val="77328A"/>
          <w:sz w:val="36"/>
          <w:szCs w:val="36"/>
        </w:rPr>
        <w:t>4</w:t>
      </w:r>
      <w:r>
        <w:rPr>
          <w:rFonts w:cs="Arial"/>
          <w:b/>
          <w:bCs/>
          <w:color w:val="77328A"/>
          <w:sz w:val="36"/>
          <w:szCs w:val="36"/>
        </w:rPr>
        <w:t>-</w:t>
      </w:r>
      <w:r w:rsidR="00AB28E9">
        <w:rPr>
          <w:rFonts w:cs="Arial"/>
          <w:b/>
          <w:bCs/>
          <w:color w:val="77328A"/>
          <w:sz w:val="36"/>
          <w:szCs w:val="36"/>
        </w:rPr>
        <w:t>20</w:t>
      </w:r>
      <w:r>
        <w:rPr>
          <w:rFonts w:cs="Arial"/>
          <w:b/>
          <w:bCs/>
          <w:color w:val="77328A"/>
          <w:sz w:val="36"/>
          <w:szCs w:val="36"/>
        </w:rPr>
        <w:t>2</w:t>
      </w:r>
      <w:r w:rsidR="00465189">
        <w:rPr>
          <w:rFonts w:cs="Arial"/>
          <w:b/>
          <w:bCs/>
          <w:color w:val="77328A"/>
          <w:sz w:val="36"/>
          <w:szCs w:val="36"/>
        </w:rPr>
        <w:t>5</w:t>
      </w:r>
    </w:p>
    <w:p w14:paraId="5D331014" w14:textId="77777777" w:rsidR="00BC0926" w:rsidRDefault="00BC0926" w:rsidP="002667DD">
      <w:pPr>
        <w:widowControl w:val="0"/>
        <w:autoSpaceDE w:val="0"/>
        <w:autoSpaceDN w:val="0"/>
        <w:adjustRightInd w:val="0"/>
        <w:jc w:val="center"/>
        <w:rPr>
          <w:rFonts w:cs="Arial"/>
          <w:b/>
          <w:bCs/>
          <w:color w:val="77328A"/>
          <w:sz w:val="36"/>
          <w:szCs w:val="36"/>
        </w:rPr>
      </w:pPr>
    </w:p>
    <w:p w14:paraId="70758B54" w14:textId="18D509EE" w:rsidR="00BC0926" w:rsidRPr="005C6D9D" w:rsidRDefault="00BC0926" w:rsidP="002667DD">
      <w:pPr>
        <w:widowControl w:val="0"/>
        <w:autoSpaceDE w:val="0"/>
        <w:autoSpaceDN w:val="0"/>
        <w:adjustRightInd w:val="0"/>
        <w:jc w:val="center"/>
        <w:rPr>
          <w:b/>
          <w:sz w:val="36"/>
          <w:szCs w:val="36"/>
        </w:rPr>
      </w:pPr>
      <w:r>
        <w:rPr>
          <w:rFonts w:cs="Arial"/>
          <w:b/>
          <w:bCs/>
          <w:color w:val="77328A"/>
          <w:sz w:val="36"/>
          <w:szCs w:val="36"/>
        </w:rPr>
        <w:t xml:space="preserve">For the period </w:t>
      </w:r>
      <w:r w:rsidR="00804D02">
        <w:rPr>
          <w:rFonts w:cs="Arial"/>
          <w:b/>
          <w:bCs/>
          <w:color w:val="77328A"/>
          <w:sz w:val="36"/>
          <w:szCs w:val="36"/>
        </w:rPr>
        <w:t>1 April 202</w:t>
      </w:r>
      <w:r w:rsidR="00465189">
        <w:rPr>
          <w:rFonts w:cs="Arial"/>
          <w:b/>
          <w:bCs/>
          <w:color w:val="77328A"/>
          <w:sz w:val="36"/>
          <w:szCs w:val="36"/>
        </w:rPr>
        <w:t>4</w:t>
      </w:r>
      <w:r w:rsidR="00804D02">
        <w:rPr>
          <w:rFonts w:cs="Arial"/>
          <w:b/>
          <w:bCs/>
          <w:color w:val="77328A"/>
          <w:sz w:val="36"/>
          <w:szCs w:val="36"/>
        </w:rPr>
        <w:t xml:space="preserve"> to 31 March 202</w:t>
      </w:r>
      <w:r w:rsidR="00465189">
        <w:rPr>
          <w:rFonts w:cs="Arial"/>
          <w:b/>
          <w:bCs/>
          <w:color w:val="77328A"/>
          <w:sz w:val="36"/>
          <w:szCs w:val="36"/>
        </w:rPr>
        <w:t>5</w:t>
      </w:r>
    </w:p>
    <w:p w14:paraId="381BD364" w14:textId="77777777" w:rsidR="002667DD" w:rsidRDefault="002667DD" w:rsidP="002667DD">
      <w:pPr>
        <w:widowControl w:val="0"/>
        <w:autoSpaceDE w:val="0"/>
        <w:autoSpaceDN w:val="0"/>
        <w:adjustRightInd w:val="0"/>
        <w:jc w:val="center"/>
        <w:rPr>
          <w:b/>
          <w:sz w:val="32"/>
          <w:szCs w:val="32"/>
        </w:rPr>
      </w:pPr>
    </w:p>
    <w:p w14:paraId="1E897BF8" w14:textId="77777777" w:rsidR="002667DD" w:rsidRDefault="002667DD" w:rsidP="002667DD">
      <w:pPr>
        <w:widowControl w:val="0"/>
        <w:autoSpaceDE w:val="0"/>
        <w:autoSpaceDN w:val="0"/>
        <w:adjustRightInd w:val="0"/>
        <w:jc w:val="center"/>
        <w:rPr>
          <w:b/>
          <w:sz w:val="32"/>
          <w:szCs w:val="32"/>
        </w:rPr>
      </w:pPr>
    </w:p>
    <w:p w14:paraId="1B65AE5D" w14:textId="77777777" w:rsidR="002667DD" w:rsidRDefault="002667DD" w:rsidP="002667DD">
      <w:pPr>
        <w:widowControl w:val="0"/>
        <w:autoSpaceDE w:val="0"/>
        <w:autoSpaceDN w:val="0"/>
        <w:adjustRightInd w:val="0"/>
        <w:jc w:val="center"/>
        <w:rPr>
          <w:b/>
          <w:sz w:val="32"/>
          <w:szCs w:val="32"/>
        </w:rPr>
      </w:pPr>
    </w:p>
    <w:p w14:paraId="26DEF463" w14:textId="77777777" w:rsidR="002667DD" w:rsidRPr="005A7FE6" w:rsidRDefault="002667DD" w:rsidP="002667DD"/>
    <w:p w14:paraId="52524232" w14:textId="77777777" w:rsidR="002667DD" w:rsidRPr="00EB5423" w:rsidRDefault="002667DD" w:rsidP="002667DD">
      <w:pPr>
        <w:autoSpaceDE w:val="0"/>
        <w:autoSpaceDN w:val="0"/>
        <w:jc w:val="center"/>
        <w:rPr>
          <w:sz w:val="22"/>
          <w:szCs w:val="22"/>
          <w:lang w:val="en-US"/>
        </w:rPr>
      </w:pPr>
      <w:r w:rsidRPr="00EB5423">
        <w:rPr>
          <w:sz w:val="22"/>
          <w:szCs w:val="22"/>
          <w:lang w:val="en-US"/>
        </w:rPr>
        <w:t xml:space="preserve">Presented to Parliament </w:t>
      </w:r>
      <w:r>
        <w:rPr>
          <w:sz w:val="22"/>
          <w:szCs w:val="22"/>
          <w:lang w:val="en-US"/>
        </w:rPr>
        <w:t>pursuant</w:t>
      </w:r>
      <w:r w:rsidRPr="00EB5423">
        <w:rPr>
          <w:sz w:val="22"/>
          <w:szCs w:val="22"/>
          <w:lang w:val="en-US"/>
        </w:rPr>
        <w:t xml:space="preserve"> </w:t>
      </w:r>
      <w:r>
        <w:rPr>
          <w:sz w:val="22"/>
          <w:szCs w:val="22"/>
          <w:lang w:val="en-US"/>
        </w:rPr>
        <w:t>to</w:t>
      </w:r>
      <w:r w:rsidRPr="00EB5423">
        <w:rPr>
          <w:sz w:val="22"/>
          <w:szCs w:val="22"/>
          <w:lang w:val="en-US"/>
        </w:rPr>
        <w:t xml:space="preserve"> paragraph 5(2) </w:t>
      </w:r>
      <w:r>
        <w:rPr>
          <w:sz w:val="22"/>
          <w:szCs w:val="22"/>
          <w:lang w:val="en-US"/>
        </w:rPr>
        <w:t>and</w:t>
      </w:r>
      <w:r w:rsidRPr="00EB5423">
        <w:rPr>
          <w:sz w:val="22"/>
          <w:szCs w:val="22"/>
          <w:lang w:val="en-US"/>
        </w:rPr>
        <w:t xml:space="preserve"> paragraph 7(3)(b) of Schedule 7 to the Northern Ireland Act 1998.</w:t>
      </w:r>
    </w:p>
    <w:p w14:paraId="38C255E6" w14:textId="77777777" w:rsidR="002667DD" w:rsidRDefault="002667DD" w:rsidP="002667DD">
      <w:pPr>
        <w:rPr>
          <w:sz w:val="32"/>
          <w:szCs w:val="44"/>
        </w:rPr>
      </w:pPr>
    </w:p>
    <w:p w14:paraId="12663B50" w14:textId="77777777" w:rsidR="002667DD" w:rsidRDefault="002667DD" w:rsidP="002667DD">
      <w:pPr>
        <w:rPr>
          <w:sz w:val="32"/>
          <w:szCs w:val="44"/>
        </w:rPr>
      </w:pPr>
    </w:p>
    <w:p w14:paraId="76FE2EF8" w14:textId="77777777" w:rsidR="002667DD" w:rsidRDefault="002667DD" w:rsidP="002667DD">
      <w:pPr>
        <w:rPr>
          <w:sz w:val="32"/>
          <w:szCs w:val="44"/>
        </w:rPr>
      </w:pPr>
    </w:p>
    <w:p w14:paraId="105CE82B" w14:textId="77777777" w:rsidR="002667DD" w:rsidRDefault="002667DD" w:rsidP="002667DD">
      <w:pPr>
        <w:pStyle w:val="Pa7"/>
        <w:jc w:val="center"/>
        <w:outlineLvl w:val="0"/>
        <w:rPr>
          <w:rFonts w:ascii="Verdana" w:hAnsi="Verdana" w:cs="Arial"/>
          <w:color w:val="000000"/>
          <w:sz w:val="28"/>
          <w:szCs w:val="28"/>
        </w:rPr>
      </w:pPr>
      <w:r w:rsidRPr="0073049C">
        <w:rPr>
          <w:rFonts w:ascii="Verdana" w:hAnsi="Verdana" w:cs="Arial"/>
          <w:color w:val="000000"/>
          <w:sz w:val="28"/>
          <w:szCs w:val="28"/>
        </w:rPr>
        <w:t>Ordered by the House of Commons to be printed</w:t>
      </w:r>
    </w:p>
    <w:p w14:paraId="574367B3" w14:textId="15238B9F" w:rsidR="002667DD" w:rsidRPr="00671DA5" w:rsidRDefault="002667DD" w:rsidP="002667DD">
      <w:pPr>
        <w:jc w:val="center"/>
        <w:rPr>
          <w:sz w:val="28"/>
          <w:szCs w:val="28"/>
        </w:rPr>
      </w:pPr>
      <w:r w:rsidRPr="00671DA5">
        <w:rPr>
          <w:sz w:val="28"/>
          <w:szCs w:val="28"/>
        </w:rPr>
        <w:t xml:space="preserve">on </w:t>
      </w:r>
      <w:r w:rsidR="00410296">
        <w:rPr>
          <w:sz w:val="28"/>
          <w:szCs w:val="28"/>
        </w:rPr>
        <w:t>10 July 202</w:t>
      </w:r>
      <w:r w:rsidR="00647FE7">
        <w:rPr>
          <w:sz w:val="28"/>
          <w:szCs w:val="28"/>
        </w:rPr>
        <w:t>5</w:t>
      </w:r>
    </w:p>
    <w:p w14:paraId="4FEE3311" w14:textId="77777777" w:rsidR="002667DD" w:rsidRDefault="002667DD" w:rsidP="002667DD">
      <w:pPr>
        <w:pStyle w:val="Header"/>
        <w:jc w:val="center"/>
        <w:rPr>
          <w:rFonts w:cs="ZurichBT-LightCondensed"/>
          <w:sz w:val="28"/>
          <w:szCs w:val="28"/>
          <w:lang w:val="en-US"/>
        </w:rPr>
      </w:pPr>
      <w:r w:rsidRPr="0073049C">
        <w:rPr>
          <w:rFonts w:cs="ZurichBT-LightCondensed"/>
          <w:sz w:val="28"/>
          <w:szCs w:val="28"/>
          <w:lang w:val="en-US"/>
        </w:rPr>
        <w:t xml:space="preserve"> </w:t>
      </w:r>
    </w:p>
    <w:p w14:paraId="4E218E45" w14:textId="77777777" w:rsidR="002667DD" w:rsidRDefault="002667DD" w:rsidP="002667DD">
      <w:pPr>
        <w:pStyle w:val="Header"/>
        <w:rPr>
          <w:rFonts w:cs="ZurichBT-LightCondensed"/>
          <w:lang w:val="en-US"/>
        </w:rPr>
      </w:pPr>
    </w:p>
    <w:p w14:paraId="785BDBBB" w14:textId="77777777" w:rsidR="002667DD" w:rsidRDefault="002667DD" w:rsidP="002667DD">
      <w:pPr>
        <w:pStyle w:val="Header"/>
        <w:rPr>
          <w:rFonts w:cs="ZurichBT-LightCondensed"/>
          <w:lang w:val="en-US"/>
        </w:rPr>
      </w:pPr>
    </w:p>
    <w:p w14:paraId="77099FFF" w14:textId="77777777" w:rsidR="002667DD" w:rsidRDefault="002667DD" w:rsidP="002667DD">
      <w:pPr>
        <w:pStyle w:val="Header"/>
        <w:rPr>
          <w:rFonts w:cs="ZurichBT-LightCondensed"/>
          <w:lang w:val="en-US"/>
        </w:rPr>
      </w:pPr>
    </w:p>
    <w:p w14:paraId="474BFEA2" w14:textId="179704F9" w:rsidR="002667DD" w:rsidRPr="00684F41" w:rsidRDefault="00080AB2" w:rsidP="002667DD">
      <w:pPr>
        <w:pStyle w:val="Header"/>
      </w:pPr>
      <w:r w:rsidRPr="00F22688">
        <w:rPr>
          <w:rFonts w:cs="ZurichBT-LightCondensed"/>
          <w:lang w:val="en-US"/>
        </w:rPr>
        <w:t>HC</w:t>
      </w:r>
      <w:r w:rsidR="002667DD" w:rsidRPr="00F22688">
        <w:rPr>
          <w:rFonts w:cs="ZurichBT-LightCondensed"/>
          <w:lang w:val="en-US"/>
        </w:rPr>
        <w:t xml:space="preserve"> </w:t>
      </w:r>
      <w:r w:rsidR="00F22688">
        <w:rPr>
          <w:rFonts w:cs="ZurichBT-LightCondensed"/>
          <w:lang w:val="en-US"/>
        </w:rPr>
        <w:t>1027</w:t>
      </w:r>
    </w:p>
    <w:p w14:paraId="49747693" w14:textId="77777777" w:rsidR="002667DD" w:rsidRPr="005A7FE6" w:rsidRDefault="002667DD" w:rsidP="002667DD">
      <w:pPr>
        <w:pStyle w:val="Header"/>
        <w:jc w:val="center"/>
      </w:pPr>
    </w:p>
    <w:p w14:paraId="13F5CA8F" w14:textId="77777777" w:rsidR="002667DD" w:rsidRPr="005A7FE6" w:rsidRDefault="002667DD" w:rsidP="002667DD">
      <w:pPr>
        <w:pStyle w:val="Header"/>
        <w:jc w:val="center"/>
      </w:pPr>
    </w:p>
    <w:p w14:paraId="57688BAA" w14:textId="77777777" w:rsidR="002667DD" w:rsidRPr="005A7FE6" w:rsidRDefault="002667DD" w:rsidP="002667DD">
      <w:pPr>
        <w:jc w:val="center"/>
        <w:rPr>
          <w:b/>
          <w:caps/>
          <w:sz w:val="28"/>
          <w:szCs w:val="28"/>
        </w:rPr>
      </w:pPr>
    </w:p>
    <w:p w14:paraId="60C2F00B" w14:textId="77777777" w:rsidR="002667DD" w:rsidRPr="005A7FE6" w:rsidRDefault="002667DD" w:rsidP="002667DD">
      <w:pPr>
        <w:jc w:val="center"/>
        <w:rPr>
          <w:b/>
          <w:caps/>
          <w:sz w:val="28"/>
          <w:szCs w:val="28"/>
        </w:rPr>
      </w:pPr>
    </w:p>
    <w:p w14:paraId="317FB66E" w14:textId="77777777" w:rsidR="002667DD" w:rsidRPr="005A7FE6" w:rsidRDefault="002667DD" w:rsidP="002667DD">
      <w:pPr>
        <w:jc w:val="center"/>
        <w:rPr>
          <w:b/>
          <w:caps/>
          <w:sz w:val="28"/>
          <w:szCs w:val="28"/>
        </w:rPr>
      </w:pPr>
    </w:p>
    <w:p w14:paraId="0B866B09" w14:textId="77777777" w:rsidR="002667DD" w:rsidRPr="005A7FE6" w:rsidRDefault="002667DD" w:rsidP="002667DD">
      <w:pPr>
        <w:jc w:val="center"/>
        <w:rPr>
          <w:b/>
          <w:caps/>
          <w:sz w:val="28"/>
          <w:szCs w:val="28"/>
        </w:rPr>
      </w:pPr>
    </w:p>
    <w:p w14:paraId="3EC50047" w14:textId="77777777" w:rsidR="002667DD" w:rsidRPr="005A7FE6" w:rsidRDefault="002667DD" w:rsidP="002667DD">
      <w:pPr>
        <w:jc w:val="center"/>
        <w:rPr>
          <w:b/>
          <w:caps/>
          <w:sz w:val="28"/>
          <w:szCs w:val="28"/>
        </w:rPr>
      </w:pPr>
    </w:p>
    <w:p w14:paraId="26A86CA0" w14:textId="77777777" w:rsidR="002667DD" w:rsidRPr="005A7FE6" w:rsidRDefault="002667DD" w:rsidP="002667DD">
      <w:pPr>
        <w:jc w:val="center"/>
        <w:rPr>
          <w:b/>
          <w:caps/>
          <w:sz w:val="28"/>
          <w:szCs w:val="28"/>
        </w:rPr>
      </w:pPr>
    </w:p>
    <w:p w14:paraId="265BFEE2" w14:textId="77777777" w:rsidR="002667DD" w:rsidRPr="005A7FE6" w:rsidRDefault="002667DD" w:rsidP="002667DD">
      <w:pPr>
        <w:jc w:val="center"/>
        <w:rPr>
          <w:b/>
          <w:caps/>
          <w:sz w:val="28"/>
          <w:szCs w:val="28"/>
        </w:rPr>
      </w:pPr>
    </w:p>
    <w:p w14:paraId="324DE5E4" w14:textId="77777777" w:rsidR="002667DD" w:rsidRPr="005A7FE6" w:rsidRDefault="002667DD" w:rsidP="002667DD">
      <w:pPr>
        <w:jc w:val="center"/>
        <w:rPr>
          <w:b/>
          <w:caps/>
          <w:sz w:val="28"/>
          <w:szCs w:val="28"/>
        </w:rPr>
      </w:pPr>
    </w:p>
    <w:p w14:paraId="717921BC" w14:textId="77777777" w:rsidR="002667DD" w:rsidRPr="005A7FE6" w:rsidRDefault="002667DD" w:rsidP="002667DD">
      <w:pPr>
        <w:jc w:val="center"/>
        <w:rPr>
          <w:b/>
          <w:caps/>
          <w:sz w:val="28"/>
          <w:szCs w:val="28"/>
        </w:rPr>
      </w:pPr>
    </w:p>
    <w:p w14:paraId="4F101531" w14:textId="77777777" w:rsidR="002667DD" w:rsidRPr="005A7FE6" w:rsidRDefault="002667DD" w:rsidP="002667DD">
      <w:pPr>
        <w:jc w:val="center"/>
        <w:rPr>
          <w:b/>
          <w:caps/>
          <w:sz w:val="28"/>
          <w:szCs w:val="28"/>
        </w:rPr>
      </w:pPr>
    </w:p>
    <w:p w14:paraId="3709E838" w14:textId="77777777" w:rsidR="002667DD" w:rsidRDefault="002667DD" w:rsidP="002667DD">
      <w:pPr>
        <w:jc w:val="center"/>
        <w:rPr>
          <w:b/>
          <w:caps/>
          <w:sz w:val="28"/>
          <w:szCs w:val="28"/>
        </w:rPr>
      </w:pPr>
    </w:p>
    <w:p w14:paraId="121E8A02" w14:textId="77777777" w:rsidR="002667DD" w:rsidRDefault="002667DD" w:rsidP="002667DD">
      <w:pPr>
        <w:jc w:val="center"/>
        <w:rPr>
          <w:b/>
          <w:caps/>
          <w:sz w:val="28"/>
          <w:szCs w:val="28"/>
        </w:rPr>
      </w:pPr>
    </w:p>
    <w:p w14:paraId="38A12427" w14:textId="77777777" w:rsidR="002667DD" w:rsidRDefault="002667DD" w:rsidP="002667DD">
      <w:pPr>
        <w:jc w:val="center"/>
        <w:rPr>
          <w:b/>
          <w:caps/>
          <w:sz w:val="28"/>
          <w:szCs w:val="28"/>
        </w:rPr>
      </w:pPr>
    </w:p>
    <w:p w14:paraId="3EB90D37" w14:textId="77777777" w:rsidR="00A17D52" w:rsidRPr="00D20178" w:rsidRDefault="00A17D52" w:rsidP="00A17D52">
      <w:pPr>
        <w:shd w:val="clear" w:color="auto" w:fill="FFFFFF"/>
        <w:spacing w:after="320"/>
        <w:rPr>
          <w:rFonts w:ascii="Arial" w:hAnsi="Arial" w:cs="Arial"/>
          <w:lang w:eastAsia="en-GB"/>
        </w:rPr>
      </w:pPr>
      <w:r w:rsidRPr="00D20178">
        <w:rPr>
          <w:noProof/>
          <w:lang w:eastAsia="en-GB"/>
        </w:rPr>
        <w:drawing>
          <wp:inline distT="0" distB="0" distL="0" distR="0" wp14:anchorId="665803BD" wp14:editId="59944DD7">
            <wp:extent cx="715645" cy="335666"/>
            <wp:effectExtent l="0" t="0" r="0" b="0"/>
            <wp:docPr id="1351716189" name="Picture 1351716189"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 log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076" t="-1" b="11892"/>
                    <a:stretch/>
                  </pic:blipFill>
                  <pic:spPr bwMode="auto">
                    <a:xfrm>
                      <a:off x="0" y="0"/>
                      <a:ext cx="715701" cy="335692"/>
                    </a:xfrm>
                    <a:prstGeom prst="rect">
                      <a:avLst/>
                    </a:prstGeom>
                    <a:noFill/>
                    <a:ln>
                      <a:noFill/>
                    </a:ln>
                    <a:extLst>
                      <a:ext uri="{53640926-AAD7-44D8-BBD7-CCE9431645EC}">
                        <a14:shadowObscured xmlns:a14="http://schemas.microsoft.com/office/drawing/2010/main"/>
                      </a:ext>
                    </a:extLst>
                  </pic:spPr>
                </pic:pic>
              </a:graphicData>
            </a:graphic>
          </wp:inline>
        </w:drawing>
      </w:r>
    </w:p>
    <w:p w14:paraId="5C3CC308" w14:textId="5E47BA94" w:rsidR="00A17D52" w:rsidRPr="00D20178" w:rsidRDefault="00A17D52" w:rsidP="00A17D52">
      <w:pPr>
        <w:shd w:val="clear" w:color="auto" w:fill="FFFFFF"/>
        <w:spacing w:after="320"/>
        <w:rPr>
          <w:rFonts w:ascii="Arial" w:hAnsi="Arial" w:cs="Arial"/>
          <w:lang w:eastAsia="en-GB"/>
        </w:rPr>
      </w:pPr>
      <w:r w:rsidRPr="00D20178">
        <w:rPr>
          <w:rFonts w:ascii="Arial" w:hAnsi="Arial" w:cs="Arial"/>
          <w:lang w:eastAsia="en-GB"/>
        </w:rPr>
        <w:t>© Northern Ireland Human Rights Commission copyright </w:t>
      </w:r>
      <w:r w:rsidR="00FD1894" w:rsidRPr="00D20178">
        <w:rPr>
          <w:rFonts w:ascii="Arial" w:hAnsi="Arial" w:cs="Arial"/>
          <w:b/>
          <w:bCs/>
          <w:lang w:eastAsia="en-GB"/>
        </w:rPr>
        <w:t>202</w:t>
      </w:r>
      <w:r w:rsidR="00CC0BB5">
        <w:rPr>
          <w:rFonts w:ascii="Arial" w:hAnsi="Arial" w:cs="Arial"/>
          <w:b/>
          <w:bCs/>
          <w:lang w:eastAsia="en-GB"/>
        </w:rPr>
        <w:t>5</w:t>
      </w:r>
    </w:p>
    <w:p w14:paraId="2212F1C2" w14:textId="77777777" w:rsidR="00A17D52" w:rsidRPr="00D20178" w:rsidRDefault="00A17D52" w:rsidP="00A17D52">
      <w:pPr>
        <w:shd w:val="clear" w:color="auto" w:fill="FFFFFF"/>
        <w:spacing w:after="320"/>
        <w:rPr>
          <w:rFonts w:cs="Arial"/>
          <w:sz w:val="22"/>
          <w:szCs w:val="22"/>
          <w:lang w:eastAsia="en-GB"/>
        </w:rPr>
      </w:pPr>
      <w:r w:rsidRPr="00D20178">
        <w:rPr>
          <w:rFonts w:cs="Arial"/>
          <w:sz w:val="22"/>
          <w:szCs w:val="22"/>
          <w:lang w:eastAsia="en-GB"/>
        </w:rPr>
        <w:t>This publication is licensed under the terms of the Open Government Licence v3.0 except where otherwise stated. To view this licence, visit </w:t>
      </w:r>
      <w:hyperlink r:id="rId13" w:history="1">
        <w:r w:rsidRPr="00D20178">
          <w:rPr>
            <w:rFonts w:cs="Arial"/>
            <w:color w:val="2A5DB0"/>
            <w:sz w:val="22"/>
            <w:szCs w:val="22"/>
            <w:u w:val="single"/>
            <w:lang w:eastAsia="en-GB"/>
          </w:rPr>
          <w:t>nationalarchives.gov.uk/doc/open-government-licence/version/3</w:t>
        </w:r>
      </w:hyperlink>
      <w:r w:rsidRPr="00D20178">
        <w:rPr>
          <w:rFonts w:cs="Arial"/>
          <w:sz w:val="22"/>
          <w:szCs w:val="22"/>
          <w:lang w:eastAsia="en-GB"/>
        </w:rPr>
        <w:t>.</w:t>
      </w:r>
    </w:p>
    <w:p w14:paraId="4BD16FE0" w14:textId="77777777" w:rsidR="00A17D52" w:rsidRPr="00D20178" w:rsidRDefault="00A17D52" w:rsidP="00A17D52">
      <w:pPr>
        <w:shd w:val="clear" w:color="auto" w:fill="FFFFFF"/>
        <w:spacing w:after="320"/>
        <w:rPr>
          <w:rFonts w:cs="Arial"/>
          <w:sz w:val="22"/>
          <w:szCs w:val="22"/>
          <w:lang w:eastAsia="en-GB"/>
        </w:rPr>
      </w:pPr>
      <w:r w:rsidRPr="00D20178">
        <w:rPr>
          <w:rFonts w:cs="Arial"/>
          <w:sz w:val="22"/>
          <w:szCs w:val="22"/>
          <w:lang w:eastAsia="en-GB"/>
        </w:rPr>
        <w:t>Where we have identified any third party copyright information you will need to obtain permission from the copyright holders concerned.</w:t>
      </w:r>
    </w:p>
    <w:p w14:paraId="3CBDBA65" w14:textId="77777777" w:rsidR="00A17D52" w:rsidRPr="00D20178" w:rsidRDefault="00A17D52" w:rsidP="00A17D52">
      <w:pPr>
        <w:shd w:val="clear" w:color="auto" w:fill="FFFFFF"/>
        <w:spacing w:after="320"/>
        <w:rPr>
          <w:rFonts w:cs="Arial"/>
          <w:sz w:val="22"/>
          <w:szCs w:val="22"/>
          <w:lang w:eastAsia="en-GB"/>
        </w:rPr>
      </w:pPr>
      <w:r w:rsidRPr="00D20178">
        <w:rPr>
          <w:rFonts w:cs="Arial"/>
          <w:sz w:val="22"/>
          <w:szCs w:val="22"/>
          <w:lang w:eastAsia="en-GB"/>
        </w:rPr>
        <w:t xml:space="preserve">This publication is available at </w:t>
      </w:r>
      <w:hyperlink r:id="rId14">
        <w:r w:rsidRPr="00D20178">
          <w:rPr>
            <w:rStyle w:val="Hyperlink"/>
            <w:rFonts w:eastAsia="Arial"/>
            <w:color w:val="2A5DB0"/>
            <w:sz w:val="22"/>
            <w:szCs w:val="22"/>
            <w:lang w:eastAsia="en-GB"/>
          </w:rPr>
          <w:t>www.gov.uk/official-documents</w:t>
        </w:r>
      </w:hyperlink>
      <w:r w:rsidRPr="00D20178">
        <w:rPr>
          <w:rFonts w:cs="Arial"/>
          <w:sz w:val="22"/>
          <w:szCs w:val="22"/>
          <w:lang w:eastAsia="en-GB"/>
        </w:rPr>
        <w:t>.</w:t>
      </w:r>
    </w:p>
    <w:p w14:paraId="381E244C" w14:textId="59D0A29C" w:rsidR="00874C45" w:rsidRPr="00D20178" w:rsidRDefault="00A17D52" w:rsidP="00874C45">
      <w:pPr>
        <w:shd w:val="clear" w:color="auto" w:fill="FFFFFF"/>
        <w:spacing w:after="320"/>
        <w:rPr>
          <w:rFonts w:cs="Arial"/>
          <w:sz w:val="22"/>
          <w:szCs w:val="22"/>
          <w:lang w:eastAsia="en-GB"/>
        </w:rPr>
      </w:pPr>
      <w:r w:rsidRPr="00D20178">
        <w:rPr>
          <w:rFonts w:cs="Arial"/>
          <w:sz w:val="22"/>
          <w:szCs w:val="22"/>
          <w:lang w:eastAsia="en-GB"/>
        </w:rPr>
        <w:t>Any enquiries regarding this publication should be sent to us at </w:t>
      </w:r>
      <w:r w:rsidR="00874C45" w:rsidRPr="00D20178">
        <w:rPr>
          <w:rFonts w:cs="Arial"/>
          <w:sz w:val="22"/>
          <w:szCs w:val="22"/>
          <w:lang w:eastAsia="en-GB"/>
        </w:rPr>
        <w:t>info@nihrc.org</w:t>
      </w:r>
    </w:p>
    <w:p w14:paraId="223F68A3" w14:textId="2590D4F9" w:rsidR="00A17D52" w:rsidRPr="00D20178" w:rsidRDefault="00A17D52" w:rsidP="000F57DA">
      <w:pPr>
        <w:shd w:val="clear" w:color="auto" w:fill="FFFFFF"/>
        <w:spacing w:after="320"/>
        <w:jc w:val="center"/>
        <w:rPr>
          <w:rFonts w:cs="Arial"/>
          <w:sz w:val="22"/>
          <w:szCs w:val="22"/>
          <w:lang w:eastAsia="en-GB"/>
        </w:rPr>
      </w:pPr>
      <w:r w:rsidRPr="00D20178">
        <w:rPr>
          <w:rFonts w:cs="Arial"/>
          <w:sz w:val="22"/>
          <w:szCs w:val="22"/>
          <w:lang w:eastAsia="en-GB"/>
        </w:rPr>
        <w:t>ISBN 978-</w:t>
      </w:r>
      <w:r w:rsidR="006E7AB4" w:rsidRPr="00D20178">
        <w:rPr>
          <w:rFonts w:cs="Arial"/>
          <w:sz w:val="22"/>
          <w:szCs w:val="22"/>
          <w:lang w:eastAsia="en-GB"/>
        </w:rPr>
        <w:t>1</w:t>
      </w:r>
      <w:r w:rsidRPr="00D20178">
        <w:rPr>
          <w:rFonts w:cs="Arial"/>
          <w:sz w:val="22"/>
          <w:szCs w:val="22"/>
          <w:lang w:eastAsia="en-GB"/>
        </w:rPr>
        <w:t>-</w:t>
      </w:r>
      <w:r w:rsidR="006E7AB4" w:rsidRPr="00D20178">
        <w:rPr>
          <w:rFonts w:cs="Arial"/>
          <w:sz w:val="22"/>
          <w:szCs w:val="22"/>
          <w:lang w:eastAsia="en-GB"/>
        </w:rPr>
        <w:t>52</w:t>
      </w:r>
      <w:r w:rsidR="000D48C3" w:rsidRPr="00D20178">
        <w:rPr>
          <w:rFonts w:cs="Arial"/>
          <w:sz w:val="22"/>
          <w:szCs w:val="22"/>
          <w:lang w:eastAsia="en-GB"/>
        </w:rPr>
        <w:t>86</w:t>
      </w:r>
      <w:r w:rsidRPr="00D20178">
        <w:rPr>
          <w:rFonts w:cs="Arial"/>
          <w:sz w:val="22"/>
          <w:szCs w:val="22"/>
          <w:lang w:eastAsia="en-GB"/>
        </w:rPr>
        <w:t>-</w:t>
      </w:r>
      <w:r w:rsidR="000D48C3" w:rsidRPr="00D20178">
        <w:rPr>
          <w:rFonts w:cs="Arial"/>
          <w:sz w:val="22"/>
          <w:szCs w:val="22"/>
          <w:lang w:eastAsia="en-GB"/>
        </w:rPr>
        <w:t>5</w:t>
      </w:r>
      <w:r w:rsidR="00AB1581">
        <w:rPr>
          <w:rFonts w:cs="Arial"/>
          <w:sz w:val="22"/>
          <w:szCs w:val="22"/>
          <w:lang w:eastAsia="en-GB"/>
        </w:rPr>
        <w:t>755</w:t>
      </w:r>
      <w:r w:rsidRPr="00D20178">
        <w:rPr>
          <w:rFonts w:cs="Arial"/>
          <w:sz w:val="22"/>
          <w:szCs w:val="22"/>
          <w:lang w:eastAsia="en-GB"/>
        </w:rPr>
        <w:t>-</w:t>
      </w:r>
      <w:r w:rsidR="00AB1581">
        <w:rPr>
          <w:rFonts w:cs="Arial"/>
          <w:sz w:val="22"/>
          <w:szCs w:val="22"/>
          <w:lang w:eastAsia="en-GB"/>
        </w:rPr>
        <w:t>6</w:t>
      </w:r>
    </w:p>
    <w:p w14:paraId="759DF055" w14:textId="5678EAF3" w:rsidR="00A17D52" w:rsidRPr="00D20178" w:rsidRDefault="002B495A" w:rsidP="000F57DA">
      <w:pPr>
        <w:pStyle w:val="NoSpacing"/>
        <w:spacing w:after="320"/>
        <w:jc w:val="center"/>
        <w:rPr>
          <w:rFonts w:ascii="Verdana" w:eastAsia="Times New Roman" w:hAnsi="Verdana" w:cs="Arial"/>
          <w:color w:val="000000"/>
          <w:lang w:eastAsia="en-GB"/>
        </w:rPr>
      </w:pPr>
      <w:r w:rsidRPr="00D20178">
        <w:rPr>
          <w:rFonts w:ascii="Verdana" w:hAnsi="Verdana"/>
        </w:rPr>
        <w:t xml:space="preserve">E-Number </w:t>
      </w:r>
      <w:r w:rsidR="00AA0244" w:rsidRPr="00D20178">
        <w:rPr>
          <w:rFonts w:ascii="Verdana" w:hAnsi="Verdana"/>
        </w:rPr>
        <w:t>E03</w:t>
      </w:r>
      <w:r w:rsidR="00AB1581">
        <w:rPr>
          <w:rFonts w:ascii="Verdana" w:hAnsi="Verdana"/>
        </w:rPr>
        <w:t>369291</w:t>
      </w:r>
      <w:r w:rsidR="00AA0244" w:rsidRPr="00D20178">
        <w:rPr>
          <w:rFonts w:ascii="Verdana" w:hAnsi="Verdana"/>
        </w:rPr>
        <w:t xml:space="preserve"> </w:t>
      </w:r>
      <w:r w:rsidR="00A17D52" w:rsidRPr="00D20178">
        <w:rPr>
          <w:rFonts w:ascii="Verdana" w:eastAsia="Times New Roman" w:hAnsi="Verdana" w:cs="Arial"/>
          <w:color w:val="000000" w:themeColor="text1"/>
          <w:lang w:eastAsia="en-GB"/>
        </w:rPr>
        <w:t> </w:t>
      </w:r>
      <w:r w:rsidR="000F57DA" w:rsidRPr="002A4A3A">
        <w:rPr>
          <w:rFonts w:ascii="Verdana" w:eastAsia="Times New Roman" w:hAnsi="Verdana" w:cs="Arial"/>
          <w:color w:val="000000" w:themeColor="text1"/>
          <w:lang w:eastAsia="en-GB"/>
        </w:rPr>
        <w:t>07</w:t>
      </w:r>
      <w:r w:rsidR="00A17D52" w:rsidRPr="002A4A3A">
        <w:rPr>
          <w:rFonts w:ascii="Verdana" w:eastAsia="Times New Roman" w:hAnsi="Verdana" w:cs="Arial"/>
          <w:color w:val="000000" w:themeColor="text1"/>
          <w:lang w:eastAsia="en-GB"/>
        </w:rPr>
        <w:t>/</w:t>
      </w:r>
      <w:r w:rsidR="000F57DA" w:rsidRPr="002A4A3A">
        <w:rPr>
          <w:rFonts w:ascii="Verdana" w:eastAsia="Times New Roman" w:hAnsi="Verdana" w:cs="Arial"/>
          <w:color w:val="000000" w:themeColor="text1"/>
          <w:lang w:eastAsia="en-GB"/>
        </w:rPr>
        <w:t>2</w:t>
      </w:r>
      <w:r w:rsidR="00AB1581" w:rsidRPr="002A4A3A">
        <w:rPr>
          <w:rFonts w:ascii="Verdana" w:eastAsia="Times New Roman" w:hAnsi="Verdana" w:cs="Arial"/>
          <w:color w:val="000000" w:themeColor="text1"/>
          <w:lang w:eastAsia="en-GB"/>
        </w:rPr>
        <w:t>5</w:t>
      </w:r>
    </w:p>
    <w:p w14:paraId="4719D2C8" w14:textId="77777777" w:rsidR="00A17D52" w:rsidRPr="00D20178" w:rsidRDefault="00A17D52" w:rsidP="00A17D52">
      <w:pPr>
        <w:pStyle w:val="NoSpacing"/>
        <w:spacing w:after="320"/>
        <w:rPr>
          <w:rFonts w:ascii="Verdana" w:eastAsia="Times New Roman" w:hAnsi="Verdana" w:cs="Arial"/>
          <w:color w:val="000000" w:themeColor="text1"/>
          <w:lang w:eastAsia="en-GB"/>
        </w:rPr>
      </w:pPr>
      <w:r w:rsidRPr="00D20178">
        <w:rPr>
          <w:rFonts w:ascii="Verdana" w:eastAsia="Times New Roman" w:hAnsi="Verdana" w:cs="Arial"/>
          <w:color w:val="000000" w:themeColor="text1"/>
          <w:lang w:eastAsia="en-GB"/>
        </w:rPr>
        <w:t>Printed on paper containing 40% recycled fibre content minimum</w:t>
      </w:r>
    </w:p>
    <w:p w14:paraId="18F4B334" w14:textId="44B81DB2" w:rsidR="002667DD" w:rsidRPr="00FD1894" w:rsidRDefault="00A17D52" w:rsidP="006E7AB4">
      <w:pPr>
        <w:rPr>
          <w:b/>
          <w:caps/>
          <w:sz w:val="22"/>
          <w:szCs w:val="22"/>
        </w:rPr>
      </w:pPr>
      <w:r w:rsidRPr="00D20178">
        <w:rPr>
          <w:rFonts w:cs="Arial"/>
          <w:color w:val="000000" w:themeColor="text1"/>
          <w:sz w:val="22"/>
          <w:szCs w:val="22"/>
          <w:lang w:eastAsia="en-GB"/>
        </w:rPr>
        <w:t>Printed in the UK by HH Associates Ltd. on behalf of the Controller of His Majesty’s Stationery Office</w:t>
      </w:r>
    </w:p>
    <w:p w14:paraId="759D1DEC" w14:textId="77777777" w:rsidR="002667DD" w:rsidRDefault="002667DD" w:rsidP="002667DD">
      <w:pPr>
        <w:tabs>
          <w:tab w:val="left" w:pos="0"/>
        </w:tabs>
        <w:jc w:val="center"/>
        <w:rPr>
          <w:rFonts w:cs="ZurichBT-LightCondensed"/>
          <w:lang w:val="en-US"/>
        </w:rPr>
      </w:pPr>
    </w:p>
    <w:p w14:paraId="2791CF30" w14:textId="77777777" w:rsidR="002667DD" w:rsidRDefault="002667DD" w:rsidP="002667DD">
      <w:pPr>
        <w:tabs>
          <w:tab w:val="left" w:pos="0"/>
        </w:tabs>
        <w:rPr>
          <w:sz w:val="22"/>
          <w:szCs w:val="22"/>
        </w:rPr>
      </w:pPr>
    </w:p>
    <w:p w14:paraId="1FC62002" w14:textId="77777777" w:rsidR="002667DD" w:rsidRDefault="002667DD" w:rsidP="002667DD">
      <w:pPr>
        <w:tabs>
          <w:tab w:val="left" w:pos="0"/>
        </w:tabs>
        <w:rPr>
          <w:sz w:val="22"/>
          <w:szCs w:val="22"/>
        </w:rPr>
      </w:pPr>
    </w:p>
    <w:p w14:paraId="0EC6AFB7" w14:textId="77777777" w:rsidR="002667DD" w:rsidRDefault="002667DD" w:rsidP="002667DD">
      <w:pPr>
        <w:tabs>
          <w:tab w:val="left" w:pos="0"/>
        </w:tabs>
        <w:rPr>
          <w:sz w:val="22"/>
          <w:szCs w:val="22"/>
        </w:rPr>
      </w:pPr>
    </w:p>
    <w:p w14:paraId="774FC1CA" w14:textId="77777777" w:rsidR="002667DD" w:rsidRDefault="002667DD" w:rsidP="002667DD">
      <w:pPr>
        <w:tabs>
          <w:tab w:val="left" w:pos="0"/>
        </w:tabs>
        <w:rPr>
          <w:sz w:val="22"/>
          <w:szCs w:val="22"/>
        </w:rPr>
      </w:pPr>
    </w:p>
    <w:p w14:paraId="49CA5912" w14:textId="77777777" w:rsidR="002667DD" w:rsidRDefault="002667DD" w:rsidP="002667DD">
      <w:pPr>
        <w:tabs>
          <w:tab w:val="left" w:pos="0"/>
        </w:tabs>
        <w:rPr>
          <w:sz w:val="22"/>
          <w:szCs w:val="22"/>
        </w:rPr>
      </w:pPr>
    </w:p>
    <w:p w14:paraId="72C7D696" w14:textId="77777777" w:rsidR="002667DD" w:rsidRDefault="002667DD" w:rsidP="002667DD">
      <w:pPr>
        <w:tabs>
          <w:tab w:val="left" w:pos="0"/>
        </w:tabs>
        <w:rPr>
          <w:sz w:val="22"/>
          <w:szCs w:val="22"/>
        </w:rPr>
      </w:pPr>
    </w:p>
    <w:p w14:paraId="77802A88" w14:textId="77777777" w:rsidR="002667DD" w:rsidRDefault="002667DD" w:rsidP="002667DD">
      <w:pPr>
        <w:tabs>
          <w:tab w:val="left" w:pos="0"/>
        </w:tabs>
        <w:rPr>
          <w:sz w:val="22"/>
          <w:szCs w:val="22"/>
        </w:rPr>
      </w:pPr>
    </w:p>
    <w:p w14:paraId="0AEC8EEF" w14:textId="77777777" w:rsidR="002667DD" w:rsidRPr="007F2DCD" w:rsidRDefault="002667DD" w:rsidP="002667DD">
      <w:pPr>
        <w:tabs>
          <w:tab w:val="left" w:pos="0"/>
        </w:tabs>
        <w:rPr>
          <w:sz w:val="22"/>
          <w:szCs w:val="22"/>
        </w:rPr>
      </w:pPr>
    </w:p>
    <w:p w14:paraId="30340D1D" w14:textId="77777777" w:rsidR="002667DD" w:rsidRPr="007F2DCD" w:rsidRDefault="002667DD" w:rsidP="002667DD">
      <w:pPr>
        <w:tabs>
          <w:tab w:val="left" w:pos="0"/>
        </w:tabs>
        <w:rPr>
          <w:sz w:val="22"/>
          <w:szCs w:val="22"/>
        </w:rPr>
      </w:pPr>
    </w:p>
    <w:p w14:paraId="57E7E468" w14:textId="77777777" w:rsidR="002667DD" w:rsidRPr="007F2DCD" w:rsidRDefault="002667DD" w:rsidP="002667DD">
      <w:pPr>
        <w:tabs>
          <w:tab w:val="left" w:pos="0"/>
        </w:tabs>
        <w:rPr>
          <w:sz w:val="22"/>
          <w:szCs w:val="22"/>
        </w:rPr>
      </w:pPr>
    </w:p>
    <w:p w14:paraId="76323F92" w14:textId="33D77711" w:rsidR="002667DD" w:rsidRPr="007F2DCD" w:rsidRDefault="00544736" w:rsidP="002667DD">
      <w:pPr>
        <w:tabs>
          <w:tab w:val="left" w:pos="0"/>
        </w:tabs>
        <w:rPr>
          <w:sz w:val="22"/>
          <w:szCs w:val="22"/>
        </w:rPr>
      </w:pPr>
      <w:r>
        <w:rPr>
          <w:sz w:val="22"/>
          <w:szCs w:val="22"/>
        </w:rPr>
        <w:t>4</w:t>
      </w:r>
      <w:r w:rsidR="00410296">
        <w:rPr>
          <w:sz w:val="22"/>
          <w:szCs w:val="22"/>
        </w:rPr>
        <w:t xml:space="preserve"> </w:t>
      </w:r>
      <w:r>
        <w:rPr>
          <w:sz w:val="22"/>
          <w:szCs w:val="22"/>
        </w:rPr>
        <w:t>July</w:t>
      </w:r>
      <w:r w:rsidR="00410296">
        <w:rPr>
          <w:sz w:val="22"/>
          <w:szCs w:val="22"/>
        </w:rPr>
        <w:t xml:space="preserve"> 202</w:t>
      </w:r>
      <w:r w:rsidR="00647FE7">
        <w:rPr>
          <w:sz w:val="22"/>
          <w:szCs w:val="22"/>
        </w:rPr>
        <w:t>5</w:t>
      </w:r>
    </w:p>
    <w:p w14:paraId="00BDC36C" w14:textId="77777777" w:rsidR="002667DD" w:rsidRPr="007F2DCD" w:rsidRDefault="002667DD" w:rsidP="002667DD">
      <w:pPr>
        <w:tabs>
          <w:tab w:val="left" w:pos="0"/>
        </w:tabs>
        <w:rPr>
          <w:sz w:val="22"/>
          <w:szCs w:val="22"/>
        </w:rPr>
      </w:pPr>
    </w:p>
    <w:p w14:paraId="05C6829B" w14:textId="4FCF4861" w:rsidR="00810EED" w:rsidRDefault="00810EED" w:rsidP="002667DD">
      <w:pPr>
        <w:tabs>
          <w:tab w:val="left" w:pos="0"/>
        </w:tabs>
        <w:rPr>
          <w:sz w:val="22"/>
          <w:szCs w:val="22"/>
        </w:rPr>
      </w:pPr>
      <w:r>
        <w:rPr>
          <w:sz w:val="22"/>
          <w:szCs w:val="22"/>
        </w:rPr>
        <w:t>Rt Hon</w:t>
      </w:r>
      <w:r w:rsidR="00315757">
        <w:rPr>
          <w:sz w:val="22"/>
          <w:szCs w:val="22"/>
        </w:rPr>
        <w:t xml:space="preserve"> Hilary Benn MP</w:t>
      </w:r>
    </w:p>
    <w:p w14:paraId="67F0DAC1" w14:textId="30108B8E" w:rsidR="002667DD" w:rsidRPr="007F2DCD" w:rsidRDefault="002667DD" w:rsidP="002667DD">
      <w:pPr>
        <w:tabs>
          <w:tab w:val="left" w:pos="0"/>
        </w:tabs>
        <w:rPr>
          <w:sz w:val="22"/>
          <w:szCs w:val="22"/>
        </w:rPr>
      </w:pPr>
      <w:r w:rsidRPr="007F2DCD">
        <w:rPr>
          <w:sz w:val="22"/>
          <w:szCs w:val="22"/>
        </w:rPr>
        <w:t>Secretary of State for Northern Ireland</w:t>
      </w:r>
    </w:p>
    <w:p w14:paraId="1E051A16" w14:textId="77777777" w:rsidR="002667DD" w:rsidRDefault="002667DD" w:rsidP="002667DD">
      <w:pPr>
        <w:tabs>
          <w:tab w:val="left" w:pos="0"/>
        </w:tabs>
        <w:rPr>
          <w:sz w:val="22"/>
          <w:szCs w:val="22"/>
        </w:rPr>
      </w:pPr>
      <w:r>
        <w:rPr>
          <w:sz w:val="22"/>
          <w:szCs w:val="22"/>
        </w:rPr>
        <w:t>Erskine House</w:t>
      </w:r>
    </w:p>
    <w:p w14:paraId="44C67271" w14:textId="77777777" w:rsidR="002667DD" w:rsidRDefault="002667DD" w:rsidP="002667DD">
      <w:pPr>
        <w:tabs>
          <w:tab w:val="left" w:pos="0"/>
        </w:tabs>
        <w:rPr>
          <w:sz w:val="22"/>
          <w:szCs w:val="22"/>
        </w:rPr>
      </w:pPr>
      <w:r>
        <w:rPr>
          <w:sz w:val="22"/>
          <w:szCs w:val="22"/>
        </w:rPr>
        <w:t>20-32 Chichester Street</w:t>
      </w:r>
    </w:p>
    <w:p w14:paraId="0C213896" w14:textId="77777777" w:rsidR="002667DD" w:rsidRDefault="002667DD" w:rsidP="002667DD">
      <w:pPr>
        <w:tabs>
          <w:tab w:val="left" w:pos="0"/>
        </w:tabs>
        <w:rPr>
          <w:sz w:val="22"/>
          <w:szCs w:val="22"/>
        </w:rPr>
      </w:pPr>
      <w:r>
        <w:rPr>
          <w:sz w:val="22"/>
          <w:szCs w:val="22"/>
        </w:rPr>
        <w:t>Belfast</w:t>
      </w:r>
    </w:p>
    <w:p w14:paraId="71849CAB" w14:textId="77777777" w:rsidR="002667DD" w:rsidRPr="007F2DCD" w:rsidRDefault="002667DD" w:rsidP="002667DD">
      <w:pPr>
        <w:tabs>
          <w:tab w:val="left" w:pos="0"/>
        </w:tabs>
        <w:rPr>
          <w:sz w:val="22"/>
          <w:szCs w:val="22"/>
        </w:rPr>
      </w:pPr>
      <w:r>
        <w:rPr>
          <w:sz w:val="22"/>
          <w:szCs w:val="22"/>
        </w:rPr>
        <w:t>BT1 4GF</w:t>
      </w:r>
    </w:p>
    <w:p w14:paraId="077B4595" w14:textId="77777777" w:rsidR="002667DD" w:rsidRPr="007F2DCD" w:rsidRDefault="002667DD" w:rsidP="002667DD">
      <w:pPr>
        <w:tabs>
          <w:tab w:val="left" w:pos="0"/>
        </w:tabs>
        <w:rPr>
          <w:sz w:val="22"/>
          <w:szCs w:val="22"/>
        </w:rPr>
      </w:pPr>
    </w:p>
    <w:p w14:paraId="1F29298A" w14:textId="77777777" w:rsidR="002667DD" w:rsidRPr="007F2DCD" w:rsidRDefault="002667DD" w:rsidP="002667DD">
      <w:pPr>
        <w:tabs>
          <w:tab w:val="left" w:pos="0"/>
        </w:tabs>
        <w:rPr>
          <w:sz w:val="22"/>
          <w:szCs w:val="22"/>
        </w:rPr>
      </w:pPr>
    </w:p>
    <w:p w14:paraId="092B66C2" w14:textId="77777777" w:rsidR="002667DD" w:rsidRPr="007F2DCD" w:rsidRDefault="002667DD" w:rsidP="002667DD">
      <w:pPr>
        <w:tabs>
          <w:tab w:val="left" w:pos="0"/>
        </w:tabs>
        <w:rPr>
          <w:sz w:val="22"/>
          <w:szCs w:val="22"/>
        </w:rPr>
      </w:pPr>
    </w:p>
    <w:p w14:paraId="6111C8DC" w14:textId="77777777" w:rsidR="002667DD" w:rsidRPr="007F2DCD" w:rsidRDefault="002667DD" w:rsidP="002667DD">
      <w:pPr>
        <w:tabs>
          <w:tab w:val="left" w:pos="0"/>
        </w:tabs>
        <w:rPr>
          <w:sz w:val="22"/>
          <w:szCs w:val="22"/>
        </w:rPr>
      </w:pPr>
      <w:r w:rsidRPr="007F2DCD">
        <w:rPr>
          <w:sz w:val="22"/>
          <w:szCs w:val="22"/>
        </w:rPr>
        <w:t>Dear Secretary of State</w:t>
      </w:r>
    </w:p>
    <w:p w14:paraId="02539C75" w14:textId="77777777" w:rsidR="002667DD" w:rsidRPr="007F2DCD" w:rsidRDefault="002667DD" w:rsidP="002667DD">
      <w:pPr>
        <w:tabs>
          <w:tab w:val="left" w:pos="0"/>
        </w:tabs>
        <w:rPr>
          <w:sz w:val="22"/>
          <w:szCs w:val="22"/>
        </w:rPr>
      </w:pPr>
    </w:p>
    <w:p w14:paraId="5CA5E3A2" w14:textId="6E3536F0" w:rsidR="002667DD" w:rsidRPr="007F2DCD" w:rsidRDefault="002667DD" w:rsidP="002667DD">
      <w:pPr>
        <w:tabs>
          <w:tab w:val="left" w:pos="0"/>
        </w:tabs>
        <w:rPr>
          <w:sz w:val="22"/>
          <w:szCs w:val="22"/>
        </w:rPr>
      </w:pPr>
      <w:r w:rsidRPr="007F2DCD">
        <w:rPr>
          <w:sz w:val="22"/>
          <w:szCs w:val="22"/>
        </w:rPr>
        <w:t xml:space="preserve">I have pleasure in submitting to you, as required by paragraph 5(1) of Schedule 7 of the Northern Ireland Act 1998, the </w:t>
      </w:r>
      <w:r>
        <w:rPr>
          <w:sz w:val="22"/>
          <w:szCs w:val="22"/>
        </w:rPr>
        <w:t xml:space="preserve">twenty </w:t>
      </w:r>
      <w:r w:rsidR="00BB0673">
        <w:rPr>
          <w:sz w:val="22"/>
          <w:szCs w:val="22"/>
        </w:rPr>
        <w:t>f</w:t>
      </w:r>
      <w:r w:rsidR="00BF4695">
        <w:rPr>
          <w:sz w:val="22"/>
          <w:szCs w:val="22"/>
        </w:rPr>
        <w:t>ifth</w:t>
      </w:r>
      <w:r w:rsidRPr="007F2DCD">
        <w:rPr>
          <w:sz w:val="22"/>
          <w:szCs w:val="22"/>
        </w:rPr>
        <w:t xml:space="preserve"> Annual Report of the Northern Ireland Human Rights Commission.  It shows how the Commission has performed its functions during the year 1 April 20</w:t>
      </w:r>
      <w:r>
        <w:rPr>
          <w:sz w:val="22"/>
          <w:szCs w:val="22"/>
        </w:rPr>
        <w:t>2</w:t>
      </w:r>
      <w:r w:rsidR="00BF4695">
        <w:rPr>
          <w:sz w:val="22"/>
          <w:szCs w:val="22"/>
        </w:rPr>
        <w:t>4</w:t>
      </w:r>
      <w:r>
        <w:rPr>
          <w:sz w:val="22"/>
          <w:szCs w:val="22"/>
        </w:rPr>
        <w:t xml:space="preserve"> to 31 March 202</w:t>
      </w:r>
      <w:r w:rsidR="00BF4695">
        <w:rPr>
          <w:sz w:val="22"/>
          <w:szCs w:val="22"/>
        </w:rPr>
        <w:t>5</w:t>
      </w:r>
      <w:r w:rsidRPr="007F2DCD">
        <w:rPr>
          <w:sz w:val="22"/>
          <w:szCs w:val="22"/>
        </w:rPr>
        <w:t>.</w:t>
      </w:r>
    </w:p>
    <w:p w14:paraId="631AA15B" w14:textId="77777777" w:rsidR="002667DD" w:rsidRPr="007F2DCD" w:rsidRDefault="002667DD" w:rsidP="002667DD">
      <w:pPr>
        <w:tabs>
          <w:tab w:val="left" w:pos="0"/>
        </w:tabs>
        <w:rPr>
          <w:sz w:val="22"/>
          <w:szCs w:val="22"/>
        </w:rPr>
      </w:pPr>
    </w:p>
    <w:p w14:paraId="0FAD194C" w14:textId="5DE5FB64" w:rsidR="002667DD" w:rsidRDefault="002667DD" w:rsidP="002667DD">
      <w:pPr>
        <w:tabs>
          <w:tab w:val="left" w:pos="0"/>
        </w:tabs>
        <w:rPr>
          <w:sz w:val="22"/>
          <w:szCs w:val="22"/>
        </w:rPr>
      </w:pPr>
      <w:r w:rsidRPr="007F2DCD">
        <w:rPr>
          <w:sz w:val="22"/>
          <w:szCs w:val="22"/>
        </w:rPr>
        <w:t xml:space="preserve">The Annual Report </w:t>
      </w:r>
      <w:r>
        <w:rPr>
          <w:sz w:val="22"/>
          <w:szCs w:val="22"/>
        </w:rPr>
        <w:t xml:space="preserve">and Accounts </w:t>
      </w:r>
      <w:r w:rsidRPr="007F2DCD">
        <w:rPr>
          <w:sz w:val="22"/>
          <w:szCs w:val="22"/>
        </w:rPr>
        <w:t xml:space="preserve">includes the Commission’s financial statements </w:t>
      </w:r>
      <w:r>
        <w:rPr>
          <w:sz w:val="22"/>
          <w:szCs w:val="22"/>
        </w:rPr>
        <w:t>for the year ending 31 March 202</w:t>
      </w:r>
      <w:r w:rsidR="00BF4695">
        <w:rPr>
          <w:sz w:val="22"/>
          <w:szCs w:val="22"/>
        </w:rPr>
        <w:t>5</w:t>
      </w:r>
      <w:r w:rsidRPr="007F2DCD">
        <w:rPr>
          <w:sz w:val="22"/>
          <w:szCs w:val="22"/>
        </w:rPr>
        <w:t>, which have been prepared in accordance with Paragraph 7 of Schedule 7 of the Northern Ireland Act 1998, and which were certified by the Comptroller and Auditor General</w:t>
      </w:r>
      <w:r>
        <w:rPr>
          <w:sz w:val="22"/>
          <w:szCs w:val="22"/>
        </w:rPr>
        <w:t xml:space="preserve"> on </w:t>
      </w:r>
      <w:r w:rsidR="00544736">
        <w:rPr>
          <w:sz w:val="22"/>
          <w:szCs w:val="22"/>
        </w:rPr>
        <w:t>4</w:t>
      </w:r>
      <w:r w:rsidR="00410296">
        <w:rPr>
          <w:sz w:val="22"/>
          <w:szCs w:val="22"/>
        </w:rPr>
        <w:t xml:space="preserve"> </w:t>
      </w:r>
      <w:r w:rsidR="00544736">
        <w:rPr>
          <w:sz w:val="22"/>
          <w:szCs w:val="22"/>
        </w:rPr>
        <w:t>July</w:t>
      </w:r>
      <w:r w:rsidR="00410296">
        <w:rPr>
          <w:sz w:val="22"/>
          <w:szCs w:val="22"/>
        </w:rPr>
        <w:t xml:space="preserve"> 202</w:t>
      </w:r>
      <w:r w:rsidR="00647FE7">
        <w:rPr>
          <w:sz w:val="22"/>
          <w:szCs w:val="22"/>
        </w:rPr>
        <w:t>5</w:t>
      </w:r>
      <w:r>
        <w:rPr>
          <w:sz w:val="22"/>
          <w:szCs w:val="22"/>
        </w:rPr>
        <w:t>.</w:t>
      </w:r>
    </w:p>
    <w:p w14:paraId="7EB02809" w14:textId="77777777" w:rsidR="002667DD" w:rsidRPr="007F2DCD" w:rsidRDefault="002667DD" w:rsidP="002667DD">
      <w:pPr>
        <w:tabs>
          <w:tab w:val="left" w:pos="0"/>
        </w:tabs>
        <w:rPr>
          <w:sz w:val="22"/>
          <w:szCs w:val="22"/>
        </w:rPr>
      </w:pPr>
    </w:p>
    <w:p w14:paraId="46FCE0A6" w14:textId="77777777" w:rsidR="002667DD" w:rsidRPr="007F2DCD" w:rsidRDefault="002667DD" w:rsidP="002667DD">
      <w:pPr>
        <w:tabs>
          <w:tab w:val="left" w:pos="0"/>
        </w:tabs>
        <w:rPr>
          <w:sz w:val="22"/>
          <w:szCs w:val="22"/>
        </w:rPr>
      </w:pPr>
      <w:r w:rsidRPr="007F2DCD">
        <w:rPr>
          <w:sz w:val="22"/>
          <w:szCs w:val="22"/>
        </w:rPr>
        <w:t>Yours sincerely</w:t>
      </w:r>
    </w:p>
    <w:p w14:paraId="6E43120D" w14:textId="77777777" w:rsidR="002667DD" w:rsidRPr="007F2DCD" w:rsidRDefault="002667DD" w:rsidP="002667DD">
      <w:pPr>
        <w:tabs>
          <w:tab w:val="left" w:pos="0"/>
        </w:tabs>
        <w:rPr>
          <w:sz w:val="22"/>
          <w:szCs w:val="22"/>
        </w:rPr>
      </w:pPr>
    </w:p>
    <w:p w14:paraId="1E185D15" w14:textId="77777777" w:rsidR="002667DD" w:rsidRDefault="002667DD" w:rsidP="002667DD">
      <w:pPr>
        <w:tabs>
          <w:tab w:val="left" w:pos="0"/>
        </w:tabs>
        <w:rPr>
          <w:noProof/>
          <w:lang w:eastAsia="en-GB"/>
        </w:rPr>
      </w:pPr>
    </w:p>
    <w:p w14:paraId="27B7B8E2" w14:textId="77777777" w:rsidR="002667DD" w:rsidRDefault="002667DD" w:rsidP="002667DD">
      <w:pPr>
        <w:tabs>
          <w:tab w:val="left" w:pos="0"/>
        </w:tabs>
        <w:rPr>
          <w:noProof/>
          <w:lang w:eastAsia="en-GB"/>
        </w:rPr>
      </w:pPr>
    </w:p>
    <w:p w14:paraId="4E3C902A" w14:textId="0E30A53F" w:rsidR="002667DD" w:rsidRDefault="009867A9" w:rsidP="002667DD">
      <w:pPr>
        <w:tabs>
          <w:tab w:val="left" w:pos="0"/>
        </w:tabs>
        <w:rPr>
          <w:noProof/>
          <w:lang w:eastAsia="en-GB"/>
        </w:rPr>
      </w:pPr>
      <w:r w:rsidRPr="00FC45DB">
        <w:rPr>
          <w:noProof/>
        </w:rPr>
        <w:drawing>
          <wp:inline distT="0" distB="0" distL="0" distR="0" wp14:anchorId="7B4019EE" wp14:editId="6EE5EF15">
            <wp:extent cx="1960813" cy="961072"/>
            <wp:effectExtent l="0" t="0" r="1905" b="0"/>
            <wp:docPr id="1157432847" name="Picture 1157432847"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32847" name="Picture 1157432847" descr="A signature on a white background&#10;&#10;Description automatically generated"/>
                    <pic:cNvPicPr/>
                  </pic:nvPicPr>
                  <pic:blipFill>
                    <a:blip r:embed="rId15"/>
                    <a:stretch>
                      <a:fillRect/>
                    </a:stretch>
                  </pic:blipFill>
                  <pic:spPr>
                    <a:xfrm>
                      <a:off x="0" y="0"/>
                      <a:ext cx="1969809" cy="965481"/>
                    </a:xfrm>
                    <a:prstGeom prst="rect">
                      <a:avLst/>
                    </a:prstGeom>
                  </pic:spPr>
                </pic:pic>
              </a:graphicData>
            </a:graphic>
          </wp:inline>
        </w:drawing>
      </w:r>
    </w:p>
    <w:p w14:paraId="047381D7" w14:textId="77777777" w:rsidR="002667DD" w:rsidRPr="007F2DCD" w:rsidRDefault="002667DD" w:rsidP="002667DD">
      <w:pPr>
        <w:tabs>
          <w:tab w:val="left" w:pos="0"/>
        </w:tabs>
        <w:rPr>
          <w:sz w:val="22"/>
          <w:szCs w:val="22"/>
        </w:rPr>
      </w:pPr>
    </w:p>
    <w:p w14:paraId="5E48BBC4" w14:textId="77777777" w:rsidR="002667DD" w:rsidRPr="007F2DCD" w:rsidRDefault="002667DD" w:rsidP="002667DD">
      <w:pPr>
        <w:tabs>
          <w:tab w:val="left" w:pos="0"/>
        </w:tabs>
        <w:rPr>
          <w:sz w:val="22"/>
          <w:szCs w:val="22"/>
        </w:rPr>
      </w:pPr>
    </w:p>
    <w:p w14:paraId="275843EB" w14:textId="77777777" w:rsidR="002667DD" w:rsidRPr="007F2DCD" w:rsidRDefault="002667DD" w:rsidP="002667DD">
      <w:pPr>
        <w:tabs>
          <w:tab w:val="left" w:pos="0"/>
        </w:tabs>
        <w:rPr>
          <w:b/>
          <w:sz w:val="22"/>
          <w:szCs w:val="22"/>
        </w:rPr>
      </w:pPr>
      <w:r>
        <w:rPr>
          <w:b/>
          <w:sz w:val="22"/>
          <w:szCs w:val="22"/>
        </w:rPr>
        <w:t>Alyson Kilpatrick</w:t>
      </w:r>
    </w:p>
    <w:p w14:paraId="00324F90" w14:textId="77777777" w:rsidR="002667DD" w:rsidRPr="007F2DCD" w:rsidRDefault="002667DD" w:rsidP="002667DD">
      <w:pPr>
        <w:rPr>
          <w:b/>
          <w:sz w:val="22"/>
          <w:szCs w:val="22"/>
        </w:rPr>
      </w:pPr>
      <w:r w:rsidRPr="007F2DCD">
        <w:rPr>
          <w:b/>
          <w:sz w:val="22"/>
          <w:szCs w:val="22"/>
        </w:rPr>
        <w:t>Chief Commissioner</w:t>
      </w:r>
    </w:p>
    <w:p w14:paraId="2522FBD7" w14:textId="77777777" w:rsidR="002667DD" w:rsidRPr="007F2DCD" w:rsidRDefault="002667DD" w:rsidP="002667DD">
      <w:pPr>
        <w:rPr>
          <w:b/>
          <w:sz w:val="22"/>
          <w:szCs w:val="22"/>
        </w:rPr>
      </w:pPr>
    </w:p>
    <w:p w14:paraId="68027054" w14:textId="77777777" w:rsidR="002667DD" w:rsidRPr="007F2DCD" w:rsidRDefault="002667DD" w:rsidP="002667DD">
      <w:pPr>
        <w:rPr>
          <w:b/>
          <w:sz w:val="22"/>
          <w:szCs w:val="22"/>
        </w:rPr>
      </w:pPr>
    </w:p>
    <w:p w14:paraId="409C3B8E" w14:textId="77777777" w:rsidR="002667DD" w:rsidRPr="007F2DCD" w:rsidRDefault="002667DD" w:rsidP="002667DD">
      <w:pPr>
        <w:rPr>
          <w:b/>
          <w:sz w:val="22"/>
          <w:szCs w:val="22"/>
        </w:rPr>
      </w:pPr>
    </w:p>
    <w:p w14:paraId="44A585C9" w14:textId="77777777" w:rsidR="002667DD" w:rsidRPr="007F2DCD" w:rsidRDefault="002667DD" w:rsidP="002667DD">
      <w:pPr>
        <w:rPr>
          <w:b/>
          <w:sz w:val="22"/>
          <w:szCs w:val="22"/>
        </w:rPr>
      </w:pPr>
    </w:p>
    <w:p w14:paraId="1D0A49A3" w14:textId="77777777" w:rsidR="002667DD" w:rsidRDefault="002667DD" w:rsidP="002667DD">
      <w:pPr>
        <w:rPr>
          <w:b/>
          <w:sz w:val="22"/>
          <w:szCs w:val="22"/>
        </w:rPr>
      </w:pPr>
    </w:p>
    <w:p w14:paraId="2EB7AEFC" w14:textId="77777777" w:rsidR="002667DD" w:rsidRPr="007F2DCD" w:rsidRDefault="002667DD" w:rsidP="002667DD">
      <w:pPr>
        <w:rPr>
          <w:b/>
          <w:sz w:val="22"/>
          <w:szCs w:val="22"/>
        </w:rPr>
      </w:pPr>
    </w:p>
    <w:p w14:paraId="57C0B8EF" w14:textId="77777777" w:rsidR="002667DD" w:rsidRPr="007F2DCD" w:rsidRDefault="002667DD" w:rsidP="002667DD">
      <w:pPr>
        <w:rPr>
          <w:b/>
          <w:sz w:val="22"/>
          <w:szCs w:val="22"/>
        </w:rPr>
      </w:pPr>
    </w:p>
    <w:p w14:paraId="17839C4B" w14:textId="77777777" w:rsidR="002667DD" w:rsidRPr="007F2DCD" w:rsidRDefault="002667DD" w:rsidP="002667DD">
      <w:pPr>
        <w:rPr>
          <w:b/>
          <w:sz w:val="22"/>
          <w:szCs w:val="22"/>
        </w:rPr>
      </w:pPr>
    </w:p>
    <w:p w14:paraId="2F0F9934" w14:textId="77777777" w:rsidR="002667DD" w:rsidRPr="007F2DCD" w:rsidRDefault="002667DD" w:rsidP="002667DD">
      <w:pPr>
        <w:rPr>
          <w:sz w:val="22"/>
          <w:szCs w:val="22"/>
        </w:rPr>
      </w:pPr>
    </w:p>
    <w:p w14:paraId="04751CF6" w14:textId="77777777" w:rsidR="002667DD" w:rsidRPr="007F2DCD" w:rsidRDefault="002667DD" w:rsidP="002667DD">
      <w:pPr>
        <w:rPr>
          <w:sz w:val="22"/>
          <w:szCs w:val="22"/>
        </w:rPr>
      </w:pPr>
    </w:p>
    <w:p w14:paraId="1BE4BE45" w14:textId="77777777" w:rsidR="002667DD" w:rsidRPr="007F2DCD" w:rsidRDefault="002667DD" w:rsidP="002667DD">
      <w:pPr>
        <w:rPr>
          <w:sz w:val="22"/>
          <w:szCs w:val="22"/>
        </w:rPr>
      </w:pPr>
    </w:p>
    <w:p w14:paraId="316419AF" w14:textId="77777777" w:rsidR="002667DD" w:rsidRPr="007F2DCD" w:rsidRDefault="002667DD" w:rsidP="002667DD">
      <w:pPr>
        <w:rPr>
          <w:sz w:val="22"/>
          <w:szCs w:val="22"/>
        </w:rPr>
      </w:pPr>
    </w:p>
    <w:p w14:paraId="683A2663" w14:textId="77777777" w:rsidR="002667DD" w:rsidRPr="007F2DCD" w:rsidRDefault="002667DD" w:rsidP="002667DD">
      <w:pPr>
        <w:rPr>
          <w:sz w:val="22"/>
          <w:szCs w:val="22"/>
        </w:rPr>
      </w:pPr>
    </w:p>
    <w:p w14:paraId="19DF9FAD" w14:textId="77777777" w:rsidR="002667DD" w:rsidRPr="007F2DCD" w:rsidRDefault="002667DD" w:rsidP="002667DD">
      <w:pPr>
        <w:rPr>
          <w:sz w:val="22"/>
          <w:szCs w:val="22"/>
        </w:rPr>
      </w:pPr>
    </w:p>
    <w:p w14:paraId="32FD5F0E" w14:textId="77777777" w:rsidR="002667DD" w:rsidRPr="007F2DCD" w:rsidRDefault="002667DD" w:rsidP="002667DD">
      <w:pPr>
        <w:rPr>
          <w:sz w:val="22"/>
          <w:szCs w:val="22"/>
        </w:rPr>
      </w:pPr>
    </w:p>
    <w:p w14:paraId="3D346032" w14:textId="77777777" w:rsidR="002667DD" w:rsidRPr="007F2DCD" w:rsidRDefault="002667DD" w:rsidP="002667DD">
      <w:pPr>
        <w:rPr>
          <w:sz w:val="22"/>
          <w:szCs w:val="22"/>
        </w:rPr>
        <w:sectPr w:rsidR="002667DD" w:rsidRPr="007F2DCD" w:rsidSect="001958BD">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851" w:left="1418" w:header="709" w:footer="709" w:gutter="0"/>
          <w:pgNumType w:start="0"/>
          <w:cols w:space="708"/>
          <w:titlePg/>
          <w:docGrid w:linePitch="360"/>
        </w:sectPr>
      </w:pPr>
      <w:bookmarkStart w:id="0" w:name="_Hlk104795679"/>
    </w:p>
    <w:p w14:paraId="1D5B3C47" w14:textId="77777777" w:rsidR="002667DD" w:rsidRPr="005049F6" w:rsidRDefault="002667DD" w:rsidP="002667DD">
      <w:pPr>
        <w:jc w:val="center"/>
        <w:rPr>
          <w:b/>
          <w:sz w:val="28"/>
          <w:szCs w:val="28"/>
        </w:rPr>
      </w:pPr>
      <w:r w:rsidRPr="0045027A">
        <w:rPr>
          <w:rFonts w:cs="Arial"/>
          <w:b/>
          <w:color w:val="77328A"/>
          <w:sz w:val="36"/>
          <w:szCs w:val="36"/>
        </w:rPr>
        <w:lastRenderedPageBreak/>
        <w:t xml:space="preserve"> </w:t>
      </w:r>
      <w:r w:rsidRPr="003B7D0E">
        <w:rPr>
          <w:rFonts w:cs="Arial"/>
          <w:b/>
          <w:color w:val="77328A"/>
          <w:sz w:val="36"/>
          <w:szCs w:val="36"/>
        </w:rPr>
        <w:t>Contents</w:t>
      </w:r>
      <w:r>
        <w:rPr>
          <w:rStyle w:val="CommentReference"/>
        </w:rPr>
        <w:t xml:space="preserve"> </w:t>
      </w:r>
    </w:p>
    <w:p w14:paraId="502428AA" w14:textId="77777777" w:rsidR="002667DD" w:rsidRPr="007F2DCD" w:rsidRDefault="002667DD" w:rsidP="002667DD">
      <w:pPr>
        <w:rPr>
          <w:sz w:val="22"/>
          <w:szCs w:val="22"/>
        </w:rPr>
      </w:pPr>
    </w:p>
    <w:p w14:paraId="1638D66E" w14:textId="77777777" w:rsidR="002667DD" w:rsidRPr="007F2DCD" w:rsidRDefault="002667DD" w:rsidP="002667DD">
      <w:pPr>
        <w:rPr>
          <w:b/>
          <w:sz w:val="22"/>
          <w:szCs w:val="22"/>
        </w:rPr>
      </w:pPr>
    </w:p>
    <w:p w14:paraId="1D86F72E" w14:textId="77777777" w:rsidR="002667DD" w:rsidRPr="007F2DCD" w:rsidRDefault="002667DD" w:rsidP="002667DD">
      <w:pPr>
        <w:tabs>
          <w:tab w:val="right" w:pos="8820"/>
        </w:tabs>
        <w:ind w:right="113"/>
        <w:jc w:val="right"/>
        <w:rPr>
          <w:b/>
          <w:sz w:val="22"/>
          <w:szCs w:val="22"/>
        </w:rPr>
      </w:pPr>
      <w:r w:rsidRPr="007F2DCD">
        <w:rPr>
          <w:b/>
          <w:sz w:val="22"/>
          <w:szCs w:val="22"/>
        </w:rPr>
        <w:t>Page</w:t>
      </w:r>
    </w:p>
    <w:p w14:paraId="5DC5628C" w14:textId="77777777" w:rsidR="002667DD" w:rsidRPr="009C7EA6" w:rsidRDefault="002667DD" w:rsidP="002667DD">
      <w:pPr>
        <w:tabs>
          <w:tab w:val="right" w:pos="8820"/>
        </w:tabs>
        <w:ind w:right="113"/>
        <w:jc w:val="right"/>
        <w:rPr>
          <w:b/>
          <w:color w:val="auto"/>
          <w:sz w:val="22"/>
          <w:szCs w:val="22"/>
        </w:rPr>
      </w:pPr>
    </w:p>
    <w:p w14:paraId="78626F98" w14:textId="7865D950" w:rsidR="002667DD" w:rsidRPr="009C7EA6" w:rsidRDefault="002667DD" w:rsidP="002667DD">
      <w:pPr>
        <w:tabs>
          <w:tab w:val="right" w:pos="8820"/>
        </w:tabs>
        <w:rPr>
          <w:color w:val="auto"/>
          <w:sz w:val="22"/>
          <w:szCs w:val="22"/>
        </w:rPr>
      </w:pPr>
      <w:hyperlink w:anchor="PerformanceReport" w:history="1">
        <w:r w:rsidRPr="009C7EA6">
          <w:rPr>
            <w:rStyle w:val="Hyperlink"/>
            <w:b/>
            <w:color w:val="auto"/>
            <w:sz w:val="22"/>
            <w:szCs w:val="22"/>
          </w:rPr>
          <w:t>Performance Report</w:t>
        </w:r>
      </w:hyperlink>
      <w:r w:rsidRPr="009C7EA6">
        <w:rPr>
          <w:color w:val="auto"/>
          <w:sz w:val="22"/>
          <w:szCs w:val="22"/>
        </w:rPr>
        <w:tab/>
      </w:r>
      <w:r w:rsidR="00054FE3">
        <w:rPr>
          <w:color w:val="auto"/>
          <w:sz w:val="22"/>
          <w:szCs w:val="22"/>
        </w:rPr>
        <w:t>8</w:t>
      </w:r>
    </w:p>
    <w:p w14:paraId="73601925" w14:textId="77777777" w:rsidR="002667DD" w:rsidRPr="009C7EA6" w:rsidRDefault="002667DD" w:rsidP="002667DD">
      <w:pPr>
        <w:tabs>
          <w:tab w:val="right" w:pos="8820"/>
        </w:tabs>
        <w:rPr>
          <w:color w:val="auto"/>
          <w:sz w:val="22"/>
          <w:szCs w:val="22"/>
        </w:rPr>
      </w:pPr>
    </w:p>
    <w:p w14:paraId="48B19541" w14:textId="3E8B3391" w:rsidR="002667DD" w:rsidRPr="009C7EA6" w:rsidRDefault="002667DD" w:rsidP="002667DD">
      <w:pPr>
        <w:pStyle w:val="ListParagraph"/>
        <w:numPr>
          <w:ilvl w:val="0"/>
          <w:numId w:val="10"/>
        </w:numPr>
        <w:tabs>
          <w:tab w:val="right" w:pos="8820"/>
        </w:tabs>
        <w:rPr>
          <w:color w:val="auto"/>
          <w:sz w:val="22"/>
          <w:szCs w:val="22"/>
        </w:rPr>
      </w:pPr>
      <w:hyperlink w:anchor="Overview" w:history="1">
        <w:r w:rsidRPr="009C7EA6">
          <w:rPr>
            <w:rStyle w:val="Hyperlink"/>
            <w:b/>
            <w:color w:val="auto"/>
            <w:sz w:val="22"/>
            <w:szCs w:val="22"/>
          </w:rPr>
          <w:t>Overview</w:t>
        </w:r>
      </w:hyperlink>
      <w:r w:rsidRPr="009C7EA6">
        <w:rPr>
          <w:color w:val="auto"/>
          <w:sz w:val="22"/>
          <w:szCs w:val="22"/>
        </w:rPr>
        <w:tab/>
      </w:r>
      <w:r w:rsidR="00054FE3">
        <w:rPr>
          <w:color w:val="auto"/>
          <w:sz w:val="22"/>
          <w:szCs w:val="22"/>
        </w:rPr>
        <w:t>8</w:t>
      </w:r>
    </w:p>
    <w:p w14:paraId="5FB7BF58" w14:textId="02223097" w:rsidR="002667DD" w:rsidRPr="0045027A" w:rsidRDefault="002667DD" w:rsidP="002667DD">
      <w:pPr>
        <w:pStyle w:val="ListParagraph"/>
        <w:numPr>
          <w:ilvl w:val="1"/>
          <w:numId w:val="8"/>
        </w:numPr>
        <w:tabs>
          <w:tab w:val="right" w:pos="8820"/>
        </w:tabs>
        <w:rPr>
          <w:color w:val="auto"/>
          <w:sz w:val="20"/>
          <w:szCs w:val="20"/>
        </w:rPr>
      </w:pPr>
      <w:hyperlink w:anchor="ChiefCommissionersForeword" w:history="1">
        <w:r w:rsidRPr="0045027A">
          <w:rPr>
            <w:rStyle w:val="Hyperlink"/>
            <w:color w:val="auto"/>
            <w:sz w:val="20"/>
            <w:szCs w:val="20"/>
          </w:rPr>
          <w:t>Chief Commissioner’s Foreword</w:t>
        </w:r>
      </w:hyperlink>
      <w:r w:rsidRPr="0045027A">
        <w:rPr>
          <w:color w:val="auto"/>
          <w:sz w:val="20"/>
          <w:szCs w:val="20"/>
        </w:rPr>
        <w:tab/>
      </w:r>
      <w:r w:rsidR="00054FE3">
        <w:rPr>
          <w:color w:val="auto"/>
          <w:sz w:val="20"/>
          <w:szCs w:val="20"/>
        </w:rPr>
        <w:t>8</w:t>
      </w:r>
    </w:p>
    <w:p w14:paraId="27347FEB" w14:textId="1C456D6A" w:rsidR="002667DD" w:rsidRDefault="002667DD" w:rsidP="002667DD">
      <w:pPr>
        <w:pStyle w:val="ListParagraph"/>
        <w:numPr>
          <w:ilvl w:val="1"/>
          <w:numId w:val="8"/>
        </w:numPr>
        <w:tabs>
          <w:tab w:val="right" w:pos="8820"/>
        </w:tabs>
        <w:rPr>
          <w:color w:val="auto"/>
          <w:sz w:val="20"/>
          <w:szCs w:val="20"/>
        </w:rPr>
      </w:pPr>
      <w:hyperlink w:anchor="StatementofPurposeandActivities" w:history="1">
        <w:r w:rsidRPr="0045027A">
          <w:rPr>
            <w:rStyle w:val="Hyperlink"/>
            <w:color w:val="auto"/>
            <w:sz w:val="20"/>
            <w:szCs w:val="20"/>
          </w:rPr>
          <w:t>Statement of Purpose and Activities of the Organisation</w:t>
        </w:r>
      </w:hyperlink>
      <w:r w:rsidRPr="0045027A">
        <w:rPr>
          <w:color w:val="auto"/>
          <w:sz w:val="20"/>
          <w:szCs w:val="20"/>
        </w:rPr>
        <w:tab/>
      </w:r>
      <w:r w:rsidR="00054FE3">
        <w:rPr>
          <w:color w:val="auto"/>
          <w:sz w:val="20"/>
          <w:szCs w:val="20"/>
        </w:rPr>
        <w:t>10</w:t>
      </w:r>
    </w:p>
    <w:p w14:paraId="28E77702" w14:textId="3DBF9D3F" w:rsidR="003A1773" w:rsidRPr="0045027A" w:rsidRDefault="003A1773" w:rsidP="002667DD">
      <w:pPr>
        <w:pStyle w:val="ListParagraph"/>
        <w:numPr>
          <w:ilvl w:val="1"/>
          <w:numId w:val="8"/>
        </w:numPr>
        <w:tabs>
          <w:tab w:val="right" w:pos="8820"/>
        </w:tabs>
        <w:rPr>
          <w:color w:val="auto"/>
          <w:sz w:val="20"/>
          <w:szCs w:val="20"/>
        </w:rPr>
      </w:pPr>
      <w:hyperlink w:anchor="KeyPerformanceIndicators" w:history="1">
        <w:r w:rsidRPr="00302DEA">
          <w:rPr>
            <w:rStyle w:val="Hyperlink"/>
            <w:color w:val="auto"/>
            <w:sz w:val="20"/>
            <w:szCs w:val="20"/>
          </w:rPr>
          <w:t>Key Performance Indicators</w:t>
        </w:r>
      </w:hyperlink>
      <w:r>
        <w:rPr>
          <w:color w:val="auto"/>
          <w:sz w:val="20"/>
          <w:szCs w:val="20"/>
        </w:rPr>
        <w:tab/>
      </w:r>
      <w:r w:rsidR="00054FE3">
        <w:rPr>
          <w:color w:val="auto"/>
          <w:sz w:val="20"/>
          <w:szCs w:val="20"/>
        </w:rPr>
        <w:t>15</w:t>
      </w:r>
    </w:p>
    <w:p w14:paraId="7728B9B9" w14:textId="0FE93340" w:rsidR="00D853A2" w:rsidRPr="00D853A2" w:rsidRDefault="002667DD" w:rsidP="002667DD">
      <w:pPr>
        <w:pStyle w:val="ListParagraph"/>
        <w:numPr>
          <w:ilvl w:val="1"/>
          <w:numId w:val="8"/>
        </w:numPr>
        <w:tabs>
          <w:tab w:val="right" w:pos="8820"/>
        </w:tabs>
        <w:rPr>
          <w:rStyle w:val="Hyperlink"/>
          <w:color w:val="auto"/>
          <w:sz w:val="22"/>
          <w:szCs w:val="22"/>
          <w:u w:val="none"/>
        </w:rPr>
      </w:pPr>
      <w:hyperlink w:anchor="KeyRisks" w:history="1">
        <w:r w:rsidRPr="0045027A">
          <w:rPr>
            <w:rStyle w:val="Hyperlink"/>
            <w:color w:val="auto"/>
            <w:sz w:val="20"/>
            <w:szCs w:val="20"/>
          </w:rPr>
          <w:t>Key Risks facing the Northern Ireland Human Rights</w:t>
        </w:r>
        <w:r w:rsidRPr="00FD3F1B">
          <w:rPr>
            <w:rStyle w:val="Hyperlink"/>
            <w:color w:val="auto"/>
            <w:sz w:val="20"/>
            <w:szCs w:val="20"/>
            <w:u w:val="none"/>
          </w:rPr>
          <w:t xml:space="preserve"> </w:t>
        </w:r>
        <w:r w:rsidRPr="00FD3F1B">
          <w:rPr>
            <w:rStyle w:val="Hyperlink"/>
            <w:color w:val="auto"/>
            <w:sz w:val="20"/>
            <w:szCs w:val="20"/>
            <w:u w:val="none"/>
          </w:rPr>
          <w:tab/>
        </w:r>
        <w:r w:rsidR="00054FE3">
          <w:rPr>
            <w:rStyle w:val="Hyperlink"/>
            <w:color w:val="auto"/>
            <w:sz w:val="20"/>
            <w:szCs w:val="20"/>
            <w:u w:val="none"/>
          </w:rPr>
          <w:t>31</w:t>
        </w:r>
        <w:r w:rsidRPr="0045027A">
          <w:rPr>
            <w:rStyle w:val="Hyperlink"/>
            <w:color w:val="auto"/>
            <w:sz w:val="20"/>
            <w:szCs w:val="20"/>
          </w:rPr>
          <w:br/>
          <w:t>Commission</w:t>
        </w:r>
      </w:hyperlink>
    </w:p>
    <w:p w14:paraId="636313DC" w14:textId="3217DE51" w:rsidR="00D853A2" w:rsidRPr="00302DEA" w:rsidRDefault="00D853A2" w:rsidP="00D853A2">
      <w:pPr>
        <w:pStyle w:val="ListParagraph"/>
        <w:numPr>
          <w:ilvl w:val="1"/>
          <w:numId w:val="8"/>
        </w:numPr>
        <w:tabs>
          <w:tab w:val="right" w:pos="8820"/>
        </w:tabs>
        <w:rPr>
          <w:color w:val="auto"/>
          <w:sz w:val="20"/>
          <w:szCs w:val="20"/>
        </w:rPr>
      </w:pPr>
      <w:hyperlink w:anchor="SustainabilityReport" w:history="1">
        <w:r w:rsidRPr="00302DEA">
          <w:rPr>
            <w:rStyle w:val="Hyperlink"/>
            <w:color w:val="auto"/>
            <w:sz w:val="20"/>
            <w:szCs w:val="20"/>
          </w:rPr>
          <w:t>Sustainability Report</w:t>
        </w:r>
      </w:hyperlink>
      <w:r w:rsidRPr="00302DEA">
        <w:rPr>
          <w:color w:val="auto"/>
          <w:sz w:val="20"/>
          <w:szCs w:val="20"/>
        </w:rPr>
        <w:tab/>
      </w:r>
      <w:r w:rsidR="00054FE3">
        <w:rPr>
          <w:color w:val="auto"/>
          <w:sz w:val="20"/>
          <w:szCs w:val="20"/>
        </w:rPr>
        <w:t>32</w:t>
      </w:r>
    </w:p>
    <w:p w14:paraId="13A9846E" w14:textId="30379B2C" w:rsidR="004E5A0C" w:rsidRPr="0045027A" w:rsidRDefault="004E5A0C" w:rsidP="00D853A2">
      <w:pPr>
        <w:pStyle w:val="ListParagraph"/>
        <w:numPr>
          <w:ilvl w:val="1"/>
          <w:numId w:val="8"/>
        </w:numPr>
        <w:tabs>
          <w:tab w:val="right" w:pos="8820"/>
        </w:tabs>
        <w:rPr>
          <w:color w:val="auto"/>
          <w:sz w:val="20"/>
          <w:szCs w:val="20"/>
        </w:rPr>
      </w:pPr>
      <w:hyperlink w:anchor="TCFD" w:history="1">
        <w:r w:rsidRPr="00302DEA">
          <w:rPr>
            <w:rStyle w:val="Hyperlink"/>
            <w:color w:val="auto"/>
            <w:sz w:val="20"/>
            <w:szCs w:val="20"/>
          </w:rPr>
          <w:t>Task Force on Climate-related Financial Disclosures (TCFD)</w:t>
        </w:r>
      </w:hyperlink>
      <w:r>
        <w:rPr>
          <w:color w:val="auto"/>
          <w:sz w:val="20"/>
          <w:szCs w:val="20"/>
        </w:rPr>
        <w:tab/>
      </w:r>
      <w:r w:rsidR="00054FE3">
        <w:rPr>
          <w:color w:val="auto"/>
          <w:sz w:val="20"/>
          <w:szCs w:val="20"/>
        </w:rPr>
        <w:t>33</w:t>
      </w:r>
    </w:p>
    <w:p w14:paraId="63E74885" w14:textId="77777777" w:rsidR="002667DD" w:rsidRPr="009C7EA6" w:rsidRDefault="002667DD" w:rsidP="002667DD">
      <w:pPr>
        <w:tabs>
          <w:tab w:val="right" w:pos="8820"/>
        </w:tabs>
        <w:rPr>
          <w:color w:val="auto"/>
          <w:sz w:val="22"/>
          <w:szCs w:val="22"/>
        </w:rPr>
      </w:pPr>
    </w:p>
    <w:p w14:paraId="3AD5F759" w14:textId="0ED6EE03" w:rsidR="002667DD" w:rsidRPr="009C7EA6" w:rsidRDefault="002667DD" w:rsidP="002667DD">
      <w:pPr>
        <w:pStyle w:val="ListParagraph"/>
        <w:numPr>
          <w:ilvl w:val="0"/>
          <w:numId w:val="8"/>
        </w:numPr>
        <w:tabs>
          <w:tab w:val="right" w:pos="8820"/>
        </w:tabs>
        <w:rPr>
          <w:color w:val="auto"/>
          <w:sz w:val="22"/>
          <w:szCs w:val="22"/>
        </w:rPr>
      </w:pPr>
      <w:hyperlink w:anchor="PerformanceAnalysis" w:history="1">
        <w:r w:rsidRPr="009C7EA6">
          <w:rPr>
            <w:rStyle w:val="Hyperlink"/>
            <w:b/>
            <w:color w:val="auto"/>
            <w:sz w:val="22"/>
            <w:szCs w:val="22"/>
          </w:rPr>
          <w:t>Performance Analysis</w:t>
        </w:r>
      </w:hyperlink>
      <w:r w:rsidRPr="009C7EA6">
        <w:rPr>
          <w:color w:val="auto"/>
          <w:sz w:val="22"/>
          <w:szCs w:val="22"/>
        </w:rPr>
        <w:tab/>
      </w:r>
      <w:r w:rsidR="00054FE3">
        <w:rPr>
          <w:color w:val="auto"/>
          <w:sz w:val="22"/>
          <w:szCs w:val="22"/>
        </w:rPr>
        <w:t>34</w:t>
      </w:r>
    </w:p>
    <w:p w14:paraId="3D7EF3CA" w14:textId="77777777" w:rsidR="002667DD" w:rsidRPr="009C7EA6" w:rsidRDefault="002667DD" w:rsidP="002667DD">
      <w:pPr>
        <w:tabs>
          <w:tab w:val="right" w:pos="8820"/>
        </w:tabs>
        <w:rPr>
          <w:color w:val="auto"/>
          <w:sz w:val="22"/>
          <w:szCs w:val="22"/>
        </w:rPr>
      </w:pPr>
    </w:p>
    <w:p w14:paraId="4A5B59C9" w14:textId="5EF6591B" w:rsidR="002667DD" w:rsidRPr="009C7EA6" w:rsidRDefault="002667DD" w:rsidP="002667DD">
      <w:pPr>
        <w:tabs>
          <w:tab w:val="right" w:pos="8820"/>
        </w:tabs>
        <w:rPr>
          <w:color w:val="auto"/>
          <w:sz w:val="22"/>
          <w:szCs w:val="22"/>
        </w:rPr>
      </w:pPr>
      <w:hyperlink w:anchor="AccountabilityReport" w:history="1">
        <w:r w:rsidRPr="009C7EA6">
          <w:rPr>
            <w:rStyle w:val="Hyperlink"/>
            <w:b/>
            <w:color w:val="auto"/>
            <w:sz w:val="22"/>
            <w:szCs w:val="22"/>
          </w:rPr>
          <w:t>Accountability Report</w:t>
        </w:r>
      </w:hyperlink>
      <w:r w:rsidRPr="009C7EA6">
        <w:rPr>
          <w:color w:val="auto"/>
          <w:sz w:val="22"/>
          <w:szCs w:val="22"/>
        </w:rPr>
        <w:tab/>
      </w:r>
      <w:r w:rsidR="00054FE3">
        <w:rPr>
          <w:color w:val="auto"/>
          <w:sz w:val="22"/>
          <w:szCs w:val="22"/>
        </w:rPr>
        <w:t>36</w:t>
      </w:r>
    </w:p>
    <w:p w14:paraId="2D903FD9" w14:textId="77777777" w:rsidR="002667DD" w:rsidRPr="009C7EA6" w:rsidRDefault="002667DD" w:rsidP="002667DD">
      <w:pPr>
        <w:tabs>
          <w:tab w:val="right" w:pos="8820"/>
        </w:tabs>
        <w:rPr>
          <w:color w:val="auto"/>
          <w:sz w:val="22"/>
          <w:szCs w:val="22"/>
        </w:rPr>
      </w:pPr>
    </w:p>
    <w:p w14:paraId="11EE3AC8" w14:textId="029F910D" w:rsidR="002667DD" w:rsidRPr="009C7EA6" w:rsidRDefault="002667DD" w:rsidP="002667DD">
      <w:pPr>
        <w:pStyle w:val="ListParagraph"/>
        <w:numPr>
          <w:ilvl w:val="0"/>
          <w:numId w:val="9"/>
        </w:numPr>
        <w:tabs>
          <w:tab w:val="right" w:pos="8820"/>
        </w:tabs>
        <w:rPr>
          <w:color w:val="auto"/>
          <w:sz w:val="22"/>
          <w:szCs w:val="22"/>
        </w:rPr>
      </w:pPr>
      <w:hyperlink w:anchor="CorporateGovernanceReport" w:history="1">
        <w:r w:rsidRPr="009C7EA6">
          <w:rPr>
            <w:rStyle w:val="Hyperlink"/>
            <w:b/>
            <w:color w:val="auto"/>
            <w:sz w:val="22"/>
            <w:szCs w:val="22"/>
          </w:rPr>
          <w:t>Corporate Governance Report</w:t>
        </w:r>
      </w:hyperlink>
      <w:r w:rsidRPr="009C7EA6">
        <w:rPr>
          <w:color w:val="auto"/>
          <w:sz w:val="22"/>
          <w:szCs w:val="22"/>
        </w:rPr>
        <w:tab/>
      </w:r>
      <w:r w:rsidR="00054FE3">
        <w:rPr>
          <w:color w:val="auto"/>
          <w:sz w:val="22"/>
          <w:szCs w:val="22"/>
        </w:rPr>
        <w:t>36</w:t>
      </w:r>
    </w:p>
    <w:p w14:paraId="7B51C10D" w14:textId="3D210203" w:rsidR="002667DD" w:rsidRPr="0045027A" w:rsidRDefault="002667DD" w:rsidP="002667DD">
      <w:pPr>
        <w:pStyle w:val="ListParagraph"/>
        <w:numPr>
          <w:ilvl w:val="1"/>
          <w:numId w:val="9"/>
        </w:numPr>
        <w:tabs>
          <w:tab w:val="right" w:pos="8820"/>
        </w:tabs>
        <w:rPr>
          <w:color w:val="auto"/>
          <w:sz w:val="20"/>
          <w:szCs w:val="20"/>
        </w:rPr>
      </w:pPr>
      <w:hyperlink w:anchor="DirectorsReport" w:history="1">
        <w:r w:rsidRPr="0045027A">
          <w:rPr>
            <w:rStyle w:val="Hyperlink"/>
            <w:color w:val="auto"/>
            <w:sz w:val="20"/>
            <w:szCs w:val="20"/>
          </w:rPr>
          <w:t>Director’s Report</w:t>
        </w:r>
      </w:hyperlink>
      <w:r>
        <w:rPr>
          <w:color w:val="auto"/>
          <w:sz w:val="20"/>
          <w:szCs w:val="20"/>
        </w:rPr>
        <w:tab/>
      </w:r>
      <w:r w:rsidR="00054FE3">
        <w:rPr>
          <w:color w:val="auto"/>
          <w:sz w:val="20"/>
          <w:szCs w:val="20"/>
        </w:rPr>
        <w:t>36</w:t>
      </w:r>
    </w:p>
    <w:p w14:paraId="0A680AFC" w14:textId="58FD4664" w:rsidR="002667DD" w:rsidRPr="00302DEA" w:rsidRDefault="002667DD" w:rsidP="002667DD">
      <w:pPr>
        <w:pStyle w:val="ListParagraph"/>
        <w:numPr>
          <w:ilvl w:val="1"/>
          <w:numId w:val="9"/>
        </w:numPr>
        <w:tabs>
          <w:tab w:val="right" w:pos="8820"/>
        </w:tabs>
        <w:rPr>
          <w:color w:val="auto"/>
          <w:sz w:val="20"/>
          <w:szCs w:val="20"/>
        </w:rPr>
      </w:pPr>
      <w:hyperlink w:anchor="StatementofAccountingOfficer" w:history="1">
        <w:r w:rsidRPr="00302DEA">
          <w:rPr>
            <w:rStyle w:val="Hyperlink"/>
            <w:color w:val="auto"/>
            <w:sz w:val="20"/>
            <w:szCs w:val="20"/>
          </w:rPr>
          <w:t>Statement of Accounting Officer’s Responsibilities</w:t>
        </w:r>
      </w:hyperlink>
      <w:r w:rsidRPr="00302DEA">
        <w:rPr>
          <w:color w:val="auto"/>
          <w:sz w:val="20"/>
          <w:szCs w:val="20"/>
        </w:rPr>
        <w:tab/>
      </w:r>
      <w:r w:rsidR="00054FE3">
        <w:rPr>
          <w:color w:val="auto"/>
          <w:sz w:val="20"/>
          <w:szCs w:val="20"/>
        </w:rPr>
        <w:t>40</w:t>
      </w:r>
    </w:p>
    <w:p w14:paraId="547A1161" w14:textId="534121E0" w:rsidR="002667DD" w:rsidRPr="008C73A2" w:rsidRDefault="002667DD" w:rsidP="002667DD">
      <w:pPr>
        <w:pStyle w:val="ListParagraph"/>
        <w:numPr>
          <w:ilvl w:val="1"/>
          <w:numId w:val="9"/>
        </w:numPr>
        <w:tabs>
          <w:tab w:val="right" w:pos="8820"/>
        </w:tabs>
        <w:rPr>
          <w:color w:val="auto"/>
          <w:sz w:val="20"/>
          <w:szCs w:val="20"/>
        </w:rPr>
      </w:pPr>
      <w:hyperlink w:anchor="GovernanceStatement" w:history="1">
        <w:r w:rsidRPr="00302DEA">
          <w:rPr>
            <w:rStyle w:val="Hyperlink"/>
            <w:color w:val="auto"/>
            <w:sz w:val="20"/>
            <w:szCs w:val="20"/>
          </w:rPr>
          <w:t>Governance Statement</w:t>
        </w:r>
      </w:hyperlink>
      <w:r>
        <w:rPr>
          <w:color w:val="auto"/>
          <w:sz w:val="22"/>
          <w:szCs w:val="22"/>
        </w:rPr>
        <w:tab/>
      </w:r>
      <w:r w:rsidR="00054FE3">
        <w:rPr>
          <w:color w:val="auto"/>
          <w:sz w:val="20"/>
          <w:szCs w:val="20"/>
        </w:rPr>
        <w:t>41</w:t>
      </w:r>
    </w:p>
    <w:p w14:paraId="69F99A0A" w14:textId="77777777" w:rsidR="002667DD" w:rsidRPr="009C7EA6" w:rsidRDefault="002667DD" w:rsidP="002667DD">
      <w:pPr>
        <w:tabs>
          <w:tab w:val="right" w:pos="8820"/>
        </w:tabs>
        <w:rPr>
          <w:color w:val="auto"/>
          <w:sz w:val="22"/>
          <w:szCs w:val="22"/>
        </w:rPr>
      </w:pPr>
    </w:p>
    <w:p w14:paraId="27976FBD" w14:textId="02BCA733" w:rsidR="002667DD" w:rsidRPr="009C7EA6" w:rsidRDefault="002667DD" w:rsidP="002667DD">
      <w:pPr>
        <w:pStyle w:val="ListParagraph"/>
        <w:numPr>
          <w:ilvl w:val="0"/>
          <w:numId w:val="9"/>
        </w:numPr>
        <w:tabs>
          <w:tab w:val="right" w:pos="8820"/>
        </w:tabs>
        <w:rPr>
          <w:color w:val="auto"/>
          <w:sz w:val="22"/>
          <w:szCs w:val="22"/>
        </w:rPr>
      </w:pPr>
      <w:hyperlink w:anchor="RemunerationAndStaffReport" w:history="1">
        <w:r w:rsidRPr="00302DEA">
          <w:rPr>
            <w:rStyle w:val="Hyperlink"/>
            <w:b/>
            <w:color w:val="auto"/>
            <w:sz w:val="22"/>
            <w:szCs w:val="22"/>
          </w:rPr>
          <w:t>Remuneration and Staff Report</w:t>
        </w:r>
      </w:hyperlink>
      <w:r>
        <w:rPr>
          <w:color w:val="auto"/>
          <w:sz w:val="22"/>
          <w:szCs w:val="22"/>
        </w:rPr>
        <w:tab/>
      </w:r>
      <w:r w:rsidR="00054FE3">
        <w:rPr>
          <w:color w:val="auto"/>
          <w:sz w:val="22"/>
          <w:szCs w:val="22"/>
        </w:rPr>
        <w:t>50</w:t>
      </w:r>
    </w:p>
    <w:p w14:paraId="77A67408" w14:textId="56EC0E21" w:rsidR="002667DD" w:rsidRPr="0045027A" w:rsidRDefault="002667DD" w:rsidP="002667DD">
      <w:pPr>
        <w:pStyle w:val="ListParagraph"/>
        <w:numPr>
          <w:ilvl w:val="1"/>
          <w:numId w:val="9"/>
        </w:numPr>
        <w:tabs>
          <w:tab w:val="right" w:pos="8820"/>
        </w:tabs>
        <w:rPr>
          <w:color w:val="auto"/>
          <w:sz w:val="20"/>
          <w:szCs w:val="20"/>
        </w:rPr>
      </w:pPr>
      <w:hyperlink w:anchor="RemunerationPolicy" w:history="1">
        <w:r w:rsidRPr="0045027A">
          <w:rPr>
            <w:rStyle w:val="Hyperlink"/>
            <w:color w:val="auto"/>
            <w:sz w:val="20"/>
            <w:szCs w:val="20"/>
          </w:rPr>
          <w:t>Remuneration Policy</w:t>
        </w:r>
      </w:hyperlink>
      <w:r>
        <w:rPr>
          <w:color w:val="auto"/>
          <w:sz w:val="20"/>
          <w:szCs w:val="20"/>
        </w:rPr>
        <w:tab/>
      </w:r>
      <w:r w:rsidR="00054FE3">
        <w:rPr>
          <w:color w:val="auto"/>
          <w:sz w:val="20"/>
          <w:szCs w:val="20"/>
        </w:rPr>
        <w:t>50</w:t>
      </w:r>
    </w:p>
    <w:p w14:paraId="47BE56F5" w14:textId="6DB469A3" w:rsidR="002667DD" w:rsidRPr="0045027A" w:rsidRDefault="002667DD" w:rsidP="002667DD">
      <w:pPr>
        <w:pStyle w:val="ListParagraph"/>
        <w:numPr>
          <w:ilvl w:val="1"/>
          <w:numId w:val="9"/>
        </w:numPr>
        <w:tabs>
          <w:tab w:val="right" w:pos="8820"/>
        </w:tabs>
        <w:rPr>
          <w:color w:val="auto"/>
          <w:sz w:val="20"/>
          <w:szCs w:val="20"/>
        </w:rPr>
      </w:pPr>
      <w:hyperlink w:anchor="RemunerationandPensionEntitlements" w:history="1">
        <w:r w:rsidRPr="0045027A">
          <w:rPr>
            <w:rStyle w:val="Hyperlink"/>
            <w:color w:val="auto"/>
            <w:sz w:val="20"/>
            <w:szCs w:val="20"/>
          </w:rPr>
          <w:t>Remuneration and Pension Entitlements</w:t>
        </w:r>
      </w:hyperlink>
      <w:r>
        <w:rPr>
          <w:color w:val="auto"/>
          <w:sz w:val="20"/>
          <w:szCs w:val="20"/>
        </w:rPr>
        <w:tab/>
      </w:r>
      <w:r w:rsidR="00054FE3">
        <w:rPr>
          <w:color w:val="auto"/>
          <w:sz w:val="20"/>
          <w:szCs w:val="20"/>
        </w:rPr>
        <w:t>51</w:t>
      </w:r>
    </w:p>
    <w:p w14:paraId="6C1ADF2D" w14:textId="1DD504B9" w:rsidR="002667DD" w:rsidRPr="009C7EA6" w:rsidRDefault="002667DD" w:rsidP="002667DD">
      <w:pPr>
        <w:pStyle w:val="ListParagraph"/>
        <w:numPr>
          <w:ilvl w:val="1"/>
          <w:numId w:val="9"/>
        </w:numPr>
        <w:tabs>
          <w:tab w:val="right" w:pos="8820"/>
        </w:tabs>
        <w:rPr>
          <w:color w:val="auto"/>
          <w:sz w:val="22"/>
          <w:szCs w:val="22"/>
        </w:rPr>
      </w:pPr>
      <w:hyperlink w:anchor="StaffReport" w:history="1">
        <w:r w:rsidRPr="0045027A">
          <w:rPr>
            <w:rStyle w:val="Hyperlink"/>
            <w:color w:val="auto"/>
            <w:sz w:val="20"/>
            <w:szCs w:val="20"/>
          </w:rPr>
          <w:t>Staff Report</w:t>
        </w:r>
      </w:hyperlink>
      <w:r>
        <w:rPr>
          <w:color w:val="auto"/>
          <w:sz w:val="22"/>
          <w:szCs w:val="22"/>
        </w:rPr>
        <w:tab/>
      </w:r>
      <w:r w:rsidR="00054FE3">
        <w:rPr>
          <w:color w:val="auto"/>
          <w:sz w:val="20"/>
          <w:szCs w:val="20"/>
        </w:rPr>
        <w:t>59</w:t>
      </w:r>
    </w:p>
    <w:p w14:paraId="5DF0A9F2" w14:textId="77777777" w:rsidR="002667DD" w:rsidRPr="009C7EA6" w:rsidRDefault="002667DD" w:rsidP="002667DD">
      <w:pPr>
        <w:tabs>
          <w:tab w:val="right" w:pos="8820"/>
        </w:tabs>
        <w:rPr>
          <w:color w:val="auto"/>
          <w:sz w:val="22"/>
          <w:szCs w:val="22"/>
        </w:rPr>
      </w:pPr>
    </w:p>
    <w:p w14:paraId="74B498A1" w14:textId="2729FAB8" w:rsidR="002667DD" w:rsidRPr="009C7EA6" w:rsidRDefault="002667DD" w:rsidP="002667DD">
      <w:pPr>
        <w:pStyle w:val="ListParagraph"/>
        <w:numPr>
          <w:ilvl w:val="0"/>
          <w:numId w:val="11"/>
        </w:numPr>
        <w:tabs>
          <w:tab w:val="right" w:pos="8820"/>
        </w:tabs>
        <w:rPr>
          <w:b/>
          <w:color w:val="auto"/>
          <w:sz w:val="22"/>
          <w:szCs w:val="22"/>
        </w:rPr>
      </w:pPr>
      <w:hyperlink w:anchor="ParliamentaryAccountability" w:history="1">
        <w:r w:rsidRPr="009C7EA6">
          <w:rPr>
            <w:rStyle w:val="Hyperlink"/>
            <w:b/>
            <w:color w:val="auto"/>
            <w:sz w:val="22"/>
            <w:szCs w:val="22"/>
          </w:rPr>
          <w:t>Parliamentary Accountability and Audit Report</w:t>
        </w:r>
      </w:hyperlink>
      <w:r w:rsidRPr="009C7EA6">
        <w:rPr>
          <w:color w:val="auto"/>
          <w:sz w:val="22"/>
          <w:szCs w:val="22"/>
        </w:rPr>
        <w:tab/>
      </w:r>
      <w:r w:rsidR="00054FE3">
        <w:rPr>
          <w:color w:val="auto"/>
          <w:sz w:val="22"/>
          <w:szCs w:val="22"/>
        </w:rPr>
        <w:t>64</w:t>
      </w:r>
    </w:p>
    <w:p w14:paraId="4F505205" w14:textId="4DD6DEA6" w:rsidR="002667DD" w:rsidRPr="009C7EA6" w:rsidRDefault="002667DD" w:rsidP="002667DD">
      <w:pPr>
        <w:pStyle w:val="ListParagraph"/>
        <w:numPr>
          <w:ilvl w:val="1"/>
          <w:numId w:val="11"/>
        </w:numPr>
        <w:tabs>
          <w:tab w:val="right" w:pos="8820"/>
        </w:tabs>
        <w:rPr>
          <w:b/>
          <w:color w:val="auto"/>
          <w:sz w:val="22"/>
          <w:szCs w:val="22"/>
        </w:rPr>
      </w:pPr>
      <w:hyperlink w:anchor="CertificateandReportofComp" w:history="1">
        <w:r w:rsidRPr="0045027A">
          <w:rPr>
            <w:rStyle w:val="Hyperlink"/>
            <w:color w:val="auto"/>
            <w:sz w:val="20"/>
            <w:szCs w:val="20"/>
          </w:rPr>
          <w:t>Certificate and Report of the Comptroller and Auditor General</w:t>
        </w:r>
      </w:hyperlink>
      <w:r w:rsidRPr="009C7EA6">
        <w:rPr>
          <w:color w:val="auto"/>
          <w:sz w:val="22"/>
          <w:szCs w:val="22"/>
        </w:rPr>
        <w:tab/>
      </w:r>
      <w:r w:rsidR="00054FE3">
        <w:rPr>
          <w:color w:val="auto"/>
          <w:sz w:val="22"/>
          <w:szCs w:val="22"/>
        </w:rPr>
        <w:t>66</w:t>
      </w:r>
    </w:p>
    <w:p w14:paraId="57677BA2" w14:textId="77777777" w:rsidR="002667DD" w:rsidRPr="009C7EA6" w:rsidRDefault="002667DD" w:rsidP="002667DD">
      <w:pPr>
        <w:tabs>
          <w:tab w:val="right" w:pos="8820"/>
        </w:tabs>
        <w:rPr>
          <w:b/>
          <w:color w:val="auto"/>
          <w:sz w:val="22"/>
          <w:szCs w:val="22"/>
        </w:rPr>
      </w:pPr>
    </w:p>
    <w:p w14:paraId="37FECC52" w14:textId="1E0E1E4D" w:rsidR="002667DD" w:rsidRPr="009C7EA6" w:rsidRDefault="002667DD" w:rsidP="002667DD">
      <w:pPr>
        <w:tabs>
          <w:tab w:val="right" w:pos="8820"/>
        </w:tabs>
        <w:rPr>
          <w:color w:val="auto"/>
          <w:sz w:val="22"/>
          <w:szCs w:val="22"/>
        </w:rPr>
      </w:pPr>
      <w:hyperlink w:anchor="FinancialStatements" w:history="1">
        <w:r w:rsidRPr="009C7EA6">
          <w:rPr>
            <w:rStyle w:val="Hyperlink"/>
            <w:b/>
            <w:color w:val="auto"/>
            <w:sz w:val="22"/>
            <w:szCs w:val="22"/>
          </w:rPr>
          <w:t>Financial Statements</w:t>
        </w:r>
      </w:hyperlink>
      <w:r w:rsidRPr="009C7EA6">
        <w:rPr>
          <w:b/>
          <w:color w:val="auto"/>
          <w:sz w:val="22"/>
          <w:szCs w:val="22"/>
        </w:rPr>
        <w:tab/>
      </w:r>
      <w:r w:rsidR="00054FE3">
        <w:rPr>
          <w:color w:val="auto"/>
          <w:sz w:val="22"/>
          <w:szCs w:val="22"/>
        </w:rPr>
        <w:t>73</w:t>
      </w:r>
    </w:p>
    <w:p w14:paraId="44F130CB" w14:textId="77777777" w:rsidR="002667DD" w:rsidRPr="009C7EA6" w:rsidRDefault="002667DD" w:rsidP="002667DD">
      <w:pPr>
        <w:tabs>
          <w:tab w:val="right" w:pos="8820"/>
        </w:tabs>
        <w:rPr>
          <w:color w:val="auto"/>
          <w:sz w:val="22"/>
          <w:szCs w:val="22"/>
        </w:rPr>
      </w:pPr>
    </w:p>
    <w:p w14:paraId="73E9AEC4" w14:textId="3EE2DA8A" w:rsidR="002667DD" w:rsidRPr="009C7EA6" w:rsidRDefault="002667DD" w:rsidP="002667DD">
      <w:pPr>
        <w:pStyle w:val="ListParagraph"/>
        <w:numPr>
          <w:ilvl w:val="0"/>
          <w:numId w:val="11"/>
        </w:numPr>
        <w:tabs>
          <w:tab w:val="right" w:pos="8820"/>
        </w:tabs>
        <w:rPr>
          <w:color w:val="auto"/>
          <w:sz w:val="22"/>
          <w:szCs w:val="22"/>
        </w:rPr>
      </w:pPr>
      <w:hyperlink w:anchor="StatementofComprehensiveNetExpenditure" w:history="1">
        <w:r w:rsidRPr="009C7EA6">
          <w:rPr>
            <w:rStyle w:val="Hyperlink"/>
            <w:b/>
            <w:color w:val="auto"/>
            <w:sz w:val="22"/>
            <w:szCs w:val="22"/>
          </w:rPr>
          <w:t>Statement of Comprehensive Net Expenditure</w:t>
        </w:r>
      </w:hyperlink>
      <w:r w:rsidRPr="009C7EA6">
        <w:rPr>
          <w:b/>
          <w:color w:val="auto"/>
          <w:sz w:val="22"/>
          <w:szCs w:val="22"/>
        </w:rPr>
        <w:tab/>
      </w:r>
      <w:r w:rsidR="00054FE3">
        <w:rPr>
          <w:color w:val="auto"/>
          <w:sz w:val="22"/>
          <w:szCs w:val="22"/>
        </w:rPr>
        <w:t>73</w:t>
      </w:r>
      <w:r w:rsidRPr="009C7EA6">
        <w:rPr>
          <w:color w:val="auto"/>
          <w:sz w:val="22"/>
          <w:szCs w:val="22"/>
        </w:rPr>
        <w:br/>
      </w:r>
    </w:p>
    <w:p w14:paraId="66E278EE" w14:textId="72A9C820" w:rsidR="002667DD" w:rsidRPr="009C7EA6" w:rsidRDefault="002667DD" w:rsidP="002667DD">
      <w:pPr>
        <w:pStyle w:val="ListParagraph"/>
        <w:numPr>
          <w:ilvl w:val="0"/>
          <w:numId w:val="11"/>
        </w:numPr>
        <w:tabs>
          <w:tab w:val="right" w:pos="8820"/>
        </w:tabs>
        <w:rPr>
          <w:color w:val="auto"/>
          <w:sz w:val="22"/>
          <w:szCs w:val="22"/>
        </w:rPr>
      </w:pPr>
      <w:hyperlink w:anchor="StatementofFinancialPosition" w:history="1">
        <w:r w:rsidRPr="009C7EA6">
          <w:rPr>
            <w:rStyle w:val="Hyperlink"/>
            <w:b/>
            <w:color w:val="auto"/>
            <w:sz w:val="22"/>
            <w:szCs w:val="22"/>
          </w:rPr>
          <w:t>Statement of Financial Position</w:t>
        </w:r>
      </w:hyperlink>
      <w:r w:rsidRPr="009C7EA6">
        <w:rPr>
          <w:b/>
          <w:color w:val="auto"/>
          <w:sz w:val="22"/>
          <w:szCs w:val="22"/>
        </w:rPr>
        <w:tab/>
      </w:r>
      <w:r w:rsidR="00054FE3">
        <w:rPr>
          <w:color w:val="auto"/>
          <w:sz w:val="22"/>
          <w:szCs w:val="22"/>
        </w:rPr>
        <w:t>74</w:t>
      </w:r>
      <w:r w:rsidRPr="009C7EA6">
        <w:rPr>
          <w:color w:val="auto"/>
          <w:sz w:val="22"/>
          <w:szCs w:val="22"/>
        </w:rPr>
        <w:br/>
      </w:r>
    </w:p>
    <w:p w14:paraId="194639AD" w14:textId="5EAC17DB" w:rsidR="002667DD" w:rsidRPr="009C7EA6" w:rsidRDefault="002667DD" w:rsidP="002667DD">
      <w:pPr>
        <w:pStyle w:val="ListParagraph"/>
        <w:numPr>
          <w:ilvl w:val="0"/>
          <w:numId w:val="11"/>
        </w:numPr>
        <w:tabs>
          <w:tab w:val="right" w:pos="8820"/>
        </w:tabs>
        <w:rPr>
          <w:color w:val="auto"/>
          <w:sz w:val="22"/>
          <w:szCs w:val="22"/>
        </w:rPr>
      </w:pPr>
      <w:hyperlink w:anchor="StatementofCashFlows" w:history="1">
        <w:r w:rsidRPr="009C7EA6">
          <w:rPr>
            <w:rStyle w:val="Hyperlink"/>
            <w:b/>
            <w:color w:val="auto"/>
            <w:sz w:val="22"/>
            <w:szCs w:val="22"/>
          </w:rPr>
          <w:t>Statement of Cash Flows</w:t>
        </w:r>
      </w:hyperlink>
      <w:r w:rsidRPr="009C7EA6">
        <w:rPr>
          <w:b/>
          <w:color w:val="auto"/>
          <w:sz w:val="22"/>
          <w:szCs w:val="22"/>
        </w:rPr>
        <w:tab/>
      </w:r>
      <w:r w:rsidR="00054FE3">
        <w:rPr>
          <w:color w:val="auto"/>
          <w:sz w:val="22"/>
          <w:szCs w:val="22"/>
        </w:rPr>
        <w:t>75</w:t>
      </w:r>
      <w:r w:rsidRPr="009C7EA6">
        <w:rPr>
          <w:color w:val="auto"/>
          <w:sz w:val="22"/>
          <w:szCs w:val="22"/>
        </w:rPr>
        <w:br/>
      </w:r>
    </w:p>
    <w:p w14:paraId="361F54F3" w14:textId="4625DFBC" w:rsidR="002667DD" w:rsidRPr="009C7EA6" w:rsidRDefault="002667DD" w:rsidP="002667DD">
      <w:pPr>
        <w:pStyle w:val="ListParagraph"/>
        <w:numPr>
          <w:ilvl w:val="0"/>
          <w:numId w:val="11"/>
        </w:numPr>
        <w:tabs>
          <w:tab w:val="right" w:pos="8820"/>
        </w:tabs>
        <w:rPr>
          <w:color w:val="auto"/>
          <w:sz w:val="22"/>
          <w:szCs w:val="22"/>
        </w:rPr>
      </w:pPr>
      <w:hyperlink w:anchor="StatementofChangesinEquity" w:history="1">
        <w:r w:rsidRPr="009C7EA6">
          <w:rPr>
            <w:rStyle w:val="Hyperlink"/>
            <w:b/>
            <w:color w:val="auto"/>
            <w:sz w:val="22"/>
            <w:szCs w:val="22"/>
          </w:rPr>
          <w:t>Statement of Change</w:t>
        </w:r>
        <w:r>
          <w:rPr>
            <w:rStyle w:val="Hyperlink"/>
            <w:b/>
            <w:color w:val="auto"/>
            <w:sz w:val="22"/>
            <w:szCs w:val="22"/>
          </w:rPr>
          <w:t>s</w:t>
        </w:r>
        <w:r w:rsidRPr="009C7EA6">
          <w:rPr>
            <w:rStyle w:val="Hyperlink"/>
            <w:b/>
            <w:color w:val="auto"/>
            <w:sz w:val="22"/>
            <w:szCs w:val="22"/>
          </w:rPr>
          <w:t xml:space="preserve"> in </w:t>
        </w:r>
        <w:r>
          <w:rPr>
            <w:rStyle w:val="Hyperlink"/>
            <w:b/>
            <w:color w:val="auto"/>
            <w:sz w:val="22"/>
            <w:szCs w:val="22"/>
          </w:rPr>
          <w:t xml:space="preserve">Taxpayers’ </w:t>
        </w:r>
        <w:r w:rsidRPr="009C7EA6">
          <w:rPr>
            <w:rStyle w:val="Hyperlink"/>
            <w:b/>
            <w:color w:val="auto"/>
            <w:sz w:val="22"/>
            <w:szCs w:val="22"/>
          </w:rPr>
          <w:t>Equity</w:t>
        </w:r>
      </w:hyperlink>
      <w:r w:rsidRPr="009C7EA6">
        <w:rPr>
          <w:b/>
          <w:color w:val="auto"/>
          <w:sz w:val="22"/>
          <w:szCs w:val="22"/>
        </w:rPr>
        <w:tab/>
      </w:r>
      <w:r w:rsidR="00054FE3">
        <w:rPr>
          <w:color w:val="auto"/>
          <w:sz w:val="22"/>
          <w:szCs w:val="22"/>
        </w:rPr>
        <w:t>76</w:t>
      </w:r>
      <w:r w:rsidRPr="009C7EA6">
        <w:rPr>
          <w:color w:val="auto"/>
          <w:sz w:val="22"/>
          <w:szCs w:val="22"/>
        </w:rPr>
        <w:br/>
      </w:r>
    </w:p>
    <w:p w14:paraId="6B0AC378" w14:textId="65CBDD23" w:rsidR="002667DD" w:rsidRPr="008244B9" w:rsidRDefault="002667DD" w:rsidP="002667DD">
      <w:pPr>
        <w:pStyle w:val="ListParagraph"/>
        <w:numPr>
          <w:ilvl w:val="0"/>
          <w:numId w:val="11"/>
        </w:numPr>
        <w:tabs>
          <w:tab w:val="right" w:pos="8820"/>
        </w:tabs>
        <w:rPr>
          <w:sz w:val="22"/>
          <w:szCs w:val="22"/>
        </w:rPr>
      </w:pPr>
      <w:hyperlink w:anchor="NotestotheFinancialStatements" w:history="1">
        <w:r w:rsidRPr="009522C2">
          <w:rPr>
            <w:rStyle w:val="Hyperlink"/>
            <w:b/>
            <w:color w:val="auto"/>
            <w:sz w:val="22"/>
            <w:szCs w:val="22"/>
          </w:rPr>
          <w:t>Notes to the Financial Statements</w:t>
        </w:r>
      </w:hyperlink>
      <w:r>
        <w:rPr>
          <w:b/>
          <w:sz w:val="22"/>
          <w:szCs w:val="22"/>
        </w:rPr>
        <w:tab/>
      </w:r>
      <w:r w:rsidR="00054FE3">
        <w:rPr>
          <w:sz w:val="22"/>
          <w:szCs w:val="22"/>
        </w:rPr>
        <w:t>77</w:t>
      </w:r>
    </w:p>
    <w:bookmarkEnd w:id="0"/>
    <w:p w14:paraId="16F9C097" w14:textId="77777777" w:rsidR="002667DD" w:rsidRDefault="002667DD" w:rsidP="002667DD">
      <w:pPr>
        <w:pStyle w:val="ListParagraph"/>
        <w:tabs>
          <w:tab w:val="right" w:pos="8820"/>
        </w:tabs>
        <w:rPr>
          <w:b/>
          <w:sz w:val="22"/>
          <w:szCs w:val="22"/>
        </w:rPr>
      </w:pPr>
    </w:p>
    <w:p w14:paraId="065E2D36" w14:textId="77777777" w:rsidR="002667DD" w:rsidRPr="008244B9" w:rsidRDefault="002667DD" w:rsidP="002667DD">
      <w:pPr>
        <w:pStyle w:val="ListParagraph"/>
        <w:tabs>
          <w:tab w:val="right" w:pos="8820"/>
        </w:tabs>
        <w:rPr>
          <w:sz w:val="22"/>
          <w:szCs w:val="22"/>
        </w:rPr>
      </w:pPr>
    </w:p>
    <w:p w14:paraId="65F9279D" w14:textId="77777777" w:rsidR="002667DD" w:rsidRPr="007F2DCD" w:rsidRDefault="002667DD" w:rsidP="002667DD">
      <w:pPr>
        <w:tabs>
          <w:tab w:val="right" w:pos="8820"/>
        </w:tabs>
        <w:rPr>
          <w:i/>
          <w:sz w:val="22"/>
          <w:szCs w:val="22"/>
        </w:rPr>
      </w:pPr>
    </w:p>
    <w:p w14:paraId="22719850" w14:textId="77777777" w:rsidR="002667DD" w:rsidRPr="007F2DCD" w:rsidRDefault="002667DD" w:rsidP="002667DD">
      <w:pPr>
        <w:tabs>
          <w:tab w:val="right" w:pos="8820"/>
        </w:tabs>
        <w:rPr>
          <w:i/>
          <w:sz w:val="22"/>
          <w:szCs w:val="22"/>
        </w:rPr>
      </w:pPr>
    </w:p>
    <w:p w14:paraId="7AED0C93" w14:textId="77777777" w:rsidR="002667DD" w:rsidRPr="007F2DCD" w:rsidRDefault="002667DD" w:rsidP="002667DD">
      <w:pPr>
        <w:tabs>
          <w:tab w:val="right" w:pos="8820"/>
        </w:tabs>
        <w:rPr>
          <w:i/>
          <w:sz w:val="22"/>
          <w:szCs w:val="22"/>
        </w:rPr>
      </w:pPr>
    </w:p>
    <w:p w14:paraId="73086999" w14:textId="77777777" w:rsidR="002667DD" w:rsidRPr="007F2DCD" w:rsidRDefault="002667DD" w:rsidP="002667DD">
      <w:pPr>
        <w:tabs>
          <w:tab w:val="right" w:pos="8820"/>
        </w:tabs>
        <w:rPr>
          <w:i/>
          <w:sz w:val="22"/>
          <w:szCs w:val="22"/>
        </w:rPr>
      </w:pPr>
    </w:p>
    <w:p w14:paraId="24C7F8B6" w14:textId="77777777" w:rsidR="002667DD" w:rsidRPr="007F2DCD" w:rsidRDefault="002667DD" w:rsidP="002667DD">
      <w:pPr>
        <w:tabs>
          <w:tab w:val="right" w:pos="8820"/>
        </w:tabs>
        <w:rPr>
          <w:i/>
          <w:sz w:val="22"/>
          <w:szCs w:val="22"/>
        </w:rPr>
      </w:pPr>
    </w:p>
    <w:p w14:paraId="269D27C6" w14:textId="77777777" w:rsidR="002667DD" w:rsidRPr="007F2DCD" w:rsidRDefault="002667DD" w:rsidP="002667DD">
      <w:pPr>
        <w:tabs>
          <w:tab w:val="right" w:pos="8820"/>
        </w:tabs>
        <w:rPr>
          <w:i/>
          <w:sz w:val="22"/>
          <w:szCs w:val="22"/>
        </w:rPr>
      </w:pPr>
    </w:p>
    <w:p w14:paraId="760B9F9B" w14:textId="77777777" w:rsidR="002667DD" w:rsidRPr="007F2DCD" w:rsidRDefault="002667DD" w:rsidP="002667DD">
      <w:pPr>
        <w:tabs>
          <w:tab w:val="right" w:pos="8820"/>
        </w:tabs>
        <w:rPr>
          <w:i/>
          <w:sz w:val="22"/>
          <w:szCs w:val="22"/>
        </w:rPr>
      </w:pPr>
    </w:p>
    <w:p w14:paraId="36F704DB" w14:textId="77777777" w:rsidR="002667DD" w:rsidRPr="007F2DCD" w:rsidRDefault="002667DD" w:rsidP="002667DD">
      <w:pPr>
        <w:tabs>
          <w:tab w:val="right" w:pos="8820"/>
        </w:tabs>
        <w:rPr>
          <w:i/>
          <w:sz w:val="22"/>
          <w:szCs w:val="22"/>
        </w:rPr>
      </w:pPr>
    </w:p>
    <w:p w14:paraId="3D820FAA" w14:textId="77777777" w:rsidR="002667DD" w:rsidRPr="007F2DCD" w:rsidRDefault="002667DD" w:rsidP="002667DD">
      <w:pPr>
        <w:tabs>
          <w:tab w:val="right" w:pos="8820"/>
        </w:tabs>
        <w:rPr>
          <w:i/>
          <w:sz w:val="22"/>
          <w:szCs w:val="22"/>
        </w:rPr>
      </w:pPr>
    </w:p>
    <w:p w14:paraId="419FB8E3" w14:textId="77777777" w:rsidR="002667DD" w:rsidRDefault="002667DD" w:rsidP="002667DD">
      <w:pPr>
        <w:tabs>
          <w:tab w:val="right" w:pos="8820"/>
        </w:tabs>
        <w:rPr>
          <w:i/>
          <w:sz w:val="22"/>
          <w:szCs w:val="22"/>
        </w:rPr>
      </w:pPr>
    </w:p>
    <w:p w14:paraId="2784A4EC" w14:textId="77777777" w:rsidR="002667DD" w:rsidRDefault="002667DD" w:rsidP="002667DD">
      <w:pPr>
        <w:tabs>
          <w:tab w:val="right" w:pos="8820"/>
        </w:tabs>
        <w:rPr>
          <w:i/>
          <w:sz w:val="22"/>
          <w:szCs w:val="22"/>
        </w:rPr>
      </w:pPr>
    </w:p>
    <w:p w14:paraId="26B7BE03" w14:textId="77777777" w:rsidR="002667DD" w:rsidRDefault="002667DD" w:rsidP="002667DD">
      <w:pPr>
        <w:tabs>
          <w:tab w:val="right" w:pos="8820"/>
        </w:tabs>
        <w:rPr>
          <w:i/>
          <w:sz w:val="22"/>
          <w:szCs w:val="22"/>
        </w:rPr>
      </w:pPr>
    </w:p>
    <w:p w14:paraId="72014F7B" w14:textId="77777777" w:rsidR="002667DD" w:rsidRDefault="002667DD" w:rsidP="002667DD">
      <w:pPr>
        <w:tabs>
          <w:tab w:val="right" w:pos="8820"/>
        </w:tabs>
        <w:rPr>
          <w:i/>
          <w:sz w:val="22"/>
          <w:szCs w:val="22"/>
        </w:rPr>
      </w:pPr>
    </w:p>
    <w:p w14:paraId="37530C15" w14:textId="77777777" w:rsidR="002667DD" w:rsidRDefault="002667DD" w:rsidP="002667DD">
      <w:pPr>
        <w:tabs>
          <w:tab w:val="right" w:pos="8820"/>
        </w:tabs>
        <w:rPr>
          <w:i/>
          <w:sz w:val="22"/>
          <w:szCs w:val="22"/>
        </w:rPr>
      </w:pPr>
    </w:p>
    <w:p w14:paraId="080358C6" w14:textId="77777777" w:rsidR="002667DD" w:rsidRDefault="002667DD" w:rsidP="002667DD">
      <w:pPr>
        <w:tabs>
          <w:tab w:val="right" w:pos="8820"/>
        </w:tabs>
        <w:rPr>
          <w:i/>
          <w:sz w:val="22"/>
          <w:szCs w:val="22"/>
        </w:rPr>
      </w:pPr>
    </w:p>
    <w:p w14:paraId="037160ED" w14:textId="77777777" w:rsidR="002667DD" w:rsidRDefault="002667DD" w:rsidP="002667DD">
      <w:pPr>
        <w:tabs>
          <w:tab w:val="right" w:pos="8820"/>
        </w:tabs>
        <w:rPr>
          <w:i/>
          <w:sz w:val="22"/>
          <w:szCs w:val="22"/>
        </w:rPr>
      </w:pPr>
    </w:p>
    <w:p w14:paraId="2FA01208" w14:textId="77777777" w:rsidR="002667DD" w:rsidRDefault="002667DD" w:rsidP="002667DD">
      <w:pPr>
        <w:tabs>
          <w:tab w:val="right" w:pos="8820"/>
        </w:tabs>
        <w:rPr>
          <w:i/>
          <w:sz w:val="22"/>
          <w:szCs w:val="22"/>
        </w:rPr>
      </w:pPr>
    </w:p>
    <w:p w14:paraId="2AE07DA5" w14:textId="77777777" w:rsidR="002667DD" w:rsidRDefault="002667DD" w:rsidP="002667DD">
      <w:pPr>
        <w:tabs>
          <w:tab w:val="right" w:pos="8820"/>
        </w:tabs>
        <w:rPr>
          <w:i/>
          <w:sz w:val="22"/>
          <w:szCs w:val="22"/>
        </w:rPr>
      </w:pPr>
    </w:p>
    <w:p w14:paraId="0140FA63" w14:textId="77777777" w:rsidR="002667DD" w:rsidRDefault="002667DD" w:rsidP="002667DD">
      <w:pPr>
        <w:tabs>
          <w:tab w:val="right" w:pos="8820"/>
        </w:tabs>
        <w:rPr>
          <w:i/>
          <w:sz w:val="22"/>
          <w:szCs w:val="22"/>
        </w:rPr>
      </w:pPr>
    </w:p>
    <w:p w14:paraId="34D25A78" w14:textId="77777777" w:rsidR="002667DD" w:rsidRDefault="002667DD" w:rsidP="002667DD">
      <w:pPr>
        <w:tabs>
          <w:tab w:val="right" w:pos="8820"/>
        </w:tabs>
        <w:rPr>
          <w:i/>
          <w:sz w:val="22"/>
          <w:szCs w:val="22"/>
        </w:rPr>
      </w:pPr>
    </w:p>
    <w:p w14:paraId="04E57169" w14:textId="77777777" w:rsidR="002667DD" w:rsidRDefault="002667DD" w:rsidP="002667DD">
      <w:pPr>
        <w:tabs>
          <w:tab w:val="right" w:pos="8820"/>
        </w:tabs>
        <w:rPr>
          <w:i/>
          <w:sz w:val="22"/>
          <w:szCs w:val="22"/>
        </w:rPr>
      </w:pPr>
    </w:p>
    <w:p w14:paraId="713C7084" w14:textId="77777777" w:rsidR="002667DD" w:rsidRDefault="002667DD" w:rsidP="002667DD">
      <w:pPr>
        <w:tabs>
          <w:tab w:val="right" w:pos="8820"/>
        </w:tabs>
        <w:rPr>
          <w:i/>
          <w:sz w:val="22"/>
          <w:szCs w:val="22"/>
        </w:rPr>
      </w:pPr>
    </w:p>
    <w:p w14:paraId="36B57652" w14:textId="77777777" w:rsidR="002667DD" w:rsidRDefault="002667DD" w:rsidP="002667DD">
      <w:pPr>
        <w:tabs>
          <w:tab w:val="right" w:pos="8820"/>
        </w:tabs>
        <w:rPr>
          <w:i/>
          <w:sz w:val="22"/>
          <w:szCs w:val="22"/>
        </w:rPr>
      </w:pPr>
    </w:p>
    <w:p w14:paraId="6A88FB7B" w14:textId="77777777" w:rsidR="002667DD" w:rsidRDefault="002667DD" w:rsidP="002667DD">
      <w:pPr>
        <w:tabs>
          <w:tab w:val="right" w:pos="8820"/>
        </w:tabs>
        <w:rPr>
          <w:i/>
          <w:sz w:val="22"/>
          <w:szCs w:val="22"/>
        </w:rPr>
      </w:pPr>
    </w:p>
    <w:p w14:paraId="242499C4" w14:textId="77777777" w:rsidR="002667DD" w:rsidRDefault="002667DD" w:rsidP="002667DD">
      <w:pPr>
        <w:tabs>
          <w:tab w:val="right" w:pos="8820"/>
        </w:tabs>
        <w:rPr>
          <w:i/>
          <w:sz w:val="22"/>
          <w:szCs w:val="22"/>
        </w:rPr>
      </w:pPr>
    </w:p>
    <w:p w14:paraId="2B2BC640" w14:textId="77777777" w:rsidR="002667DD" w:rsidRDefault="002667DD" w:rsidP="002667DD">
      <w:pPr>
        <w:tabs>
          <w:tab w:val="right" w:pos="8820"/>
        </w:tabs>
        <w:rPr>
          <w:i/>
          <w:sz w:val="22"/>
          <w:szCs w:val="22"/>
        </w:rPr>
      </w:pPr>
    </w:p>
    <w:p w14:paraId="49615B1E" w14:textId="77777777" w:rsidR="002667DD" w:rsidRPr="007F2DCD" w:rsidRDefault="002667DD" w:rsidP="002667DD">
      <w:pPr>
        <w:tabs>
          <w:tab w:val="right" w:pos="8820"/>
        </w:tabs>
        <w:rPr>
          <w:i/>
          <w:sz w:val="22"/>
          <w:szCs w:val="22"/>
        </w:rPr>
      </w:pPr>
    </w:p>
    <w:p w14:paraId="36F16DE2" w14:textId="77777777" w:rsidR="002667DD" w:rsidRPr="007F2DCD" w:rsidRDefault="002667DD" w:rsidP="002667DD">
      <w:pPr>
        <w:tabs>
          <w:tab w:val="right" w:pos="8820"/>
        </w:tabs>
        <w:rPr>
          <w:i/>
          <w:sz w:val="22"/>
          <w:szCs w:val="22"/>
        </w:rPr>
      </w:pPr>
    </w:p>
    <w:p w14:paraId="671144BA" w14:textId="77777777" w:rsidR="002667DD" w:rsidRPr="007F2DCD" w:rsidRDefault="002667DD" w:rsidP="002667DD">
      <w:pPr>
        <w:tabs>
          <w:tab w:val="right" w:pos="8820"/>
        </w:tabs>
        <w:rPr>
          <w:i/>
          <w:sz w:val="22"/>
          <w:szCs w:val="22"/>
        </w:rPr>
      </w:pPr>
    </w:p>
    <w:p w14:paraId="1C86744E" w14:textId="77777777" w:rsidR="002667DD" w:rsidRPr="007F2DCD" w:rsidRDefault="002667DD" w:rsidP="002667DD">
      <w:pPr>
        <w:tabs>
          <w:tab w:val="right" w:pos="8820"/>
        </w:tabs>
        <w:rPr>
          <w:i/>
          <w:sz w:val="22"/>
          <w:szCs w:val="22"/>
        </w:rPr>
      </w:pPr>
    </w:p>
    <w:p w14:paraId="6D289AEA" w14:textId="77777777" w:rsidR="002667DD" w:rsidRPr="007F2DCD" w:rsidRDefault="002667DD" w:rsidP="002667DD">
      <w:pPr>
        <w:tabs>
          <w:tab w:val="right" w:pos="8820"/>
        </w:tabs>
        <w:rPr>
          <w:i/>
          <w:sz w:val="22"/>
          <w:szCs w:val="22"/>
        </w:rPr>
      </w:pPr>
    </w:p>
    <w:p w14:paraId="49CC0742" w14:textId="77777777" w:rsidR="002667DD" w:rsidRPr="007F2DCD" w:rsidRDefault="002667DD" w:rsidP="002667DD">
      <w:pPr>
        <w:tabs>
          <w:tab w:val="right" w:pos="8820"/>
        </w:tabs>
        <w:rPr>
          <w:i/>
          <w:sz w:val="22"/>
          <w:szCs w:val="22"/>
        </w:rPr>
      </w:pPr>
    </w:p>
    <w:p w14:paraId="333F3962" w14:textId="77777777" w:rsidR="002667DD" w:rsidRPr="007F2DCD" w:rsidRDefault="002667DD" w:rsidP="002667DD">
      <w:pPr>
        <w:tabs>
          <w:tab w:val="right" w:pos="8820"/>
        </w:tabs>
        <w:rPr>
          <w:i/>
          <w:sz w:val="22"/>
          <w:szCs w:val="22"/>
        </w:rPr>
      </w:pPr>
    </w:p>
    <w:p w14:paraId="1B89263E" w14:textId="77777777" w:rsidR="002667DD" w:rsidRPr="007F2DCD" w:rsidRDefault="002667DD" w:rsidP="002667DD">
      <w:pPr>
        <w:tabs>
          <w:tab w:val="right" w:pos="8820"/>
        </w:tabs>
        <w:rPr>
          <w:i/>
          <w:sz w:val="22"/>
          <w:szCs w:val="22"/>
        </w:rPr>
      </w:pPr>
    </w:p>
    <w:p w14:paraId="778CD07E" w14:textId="77777777" w:rsidR="002667DD" w:rsidRPr="007F2DCD" w:rsidRDefault="002667DD" w:rsidP="002667DD">
      <w:pPr>
        <w:tabs>
          <w:tab w:val="right" w:pos="8820"/>
        </w:tabs>
        <w:rPr>
          <w:i/>
          <w:sz w:val="22"/>
          <w:szCs w:val="22"/>
        </w:rPr>
      </w:pPr>
    </w:p>
    <w:p w14:paraId="702765E9" w14:textId="77777777" w:rsidR="002667DD" w:rsidRPr="007F2DCD" w:rsidRDefault="002667DD" w:rsidP="002667DD">
      <w:pPr>
        <w:tabs>
          <w:tab w:val="right" w:pos="8820"/>
        </w:tabs>
        <w:autoSpaceDE w:val="0"/>
        <w:autoSpaceDN w:val="0"/>
        <w:adjustRightInd w:val="0"/>
        <w:rPr>
          <w:rFonts w:cs="ZurichBT-LightCondensed"/>
          <w:sz w:val="22"/>
          <w:szCs w:val="22"/>
          <w:lang w:val="en-US"/>
        </w:rPr>
      </w:pPr>
      <w:r w:rsidRPr="007F2DCD">
        <w:rPr>
          <w:rFonts w:cs="ZurichBT-LightCondensed"/>
          <w:sz w:val="22"/>
          <w:szCs w:val="22"/>
          <w:lang w:val="en-US"/>
        </w:rPr>
        <w:t>This document can be made available in other formats upon request.</w:t>
      </w:r>
    </w:p>
    <w:p w14:paraId="327D8A77" w14:textId="77777777" w:rsidR="002667DD" w:rsidRPr="007F2DCD" w:rsidRDefault="002667DD" w:rsidP="002667DD">
      <w:pPr>
        <w:tabs>
          <w:tab w:val="right" w:pos="8820"/>
        </w:tabs>
        <w:rPr>
          <w:sz w:val="22"/>
          <w:szCs w:val="22"/>
        </w:rPr>
      </w:pPr>
      <w:r w:rsidRPr="007F2DCD">
        <w:rPr>
          <w:rFonts w:cs="ZurichBT-LightCondensed"/>
          <w:sz w:val="22"/>
          <w:szCs w:val="22"/>
          <w:lang w:val="en-US"/>
        </w:rPr>
        <w:t xml:space="preserve">It is available for download at </w:t>
      </w:r>
      <w:r w:rsidRPr="007F2DCD">
        <w:rPr>
          <w:rFonts w:cs="ZurichBT-BoldCondensed"/>
          <w:bCs/>
          <w:i/>
          <w:sz w:val="22"/>
          <w:szCs w:val="22"/>
          <w:lang w:val="en-US"/>
        </w:rPr>
        <w:t>www.nihrc.org</w:t>
      </w:r>
      <w:r w:rsidRPr="007F2DCD">
        <w:rPr>
          <w:sz w:val="22"/>
          <w:szCs w:val="22"/>
        </w:rPr>
        <w:t xml:space="preserve"> </w:t>
      </w:r>
    </w:p>
    <w:p w14:paraId="1535C396" w14:textId="77777777" w:rsidR="002667DD" w:rsidRDefault="002667DD" w:rsidP="002667DD">
      <w:pPr>
        <w:rPr>
          <w:b/>
          <w:sz w:val="22"/>
          <w:szCs w:val="22"/>
        </w:rPr>
      </w:pPr>
      <w:r w:rsidRPr="007F2DCD">
        <w:rPr>
          <w:b/>
          <w:sz w:val="22"/>
          <w:szCs w:val="22"/>
        </w:rPr>
        <w:br w:type="page"/>
      </w:r>
    </w:p>
    <w:p w14:paraId="4A9D087D" w14:textId="77777777" w:rsidR="002667DD" w:rsidRDefault="002667DD" w:rsidP="002667DD">
      <w:pPr>
        <w:rPr>
          <w:b/>
          <w:sz w:val="22"/>
          <w:szCs w:val="22"/>
        </w:rPr>
      </w:pPr>
    </w:p>
    <w:p w14:paraId="055B89B1" w14:textId="77777777" w:rsidR="002667DD" w:rsidRDefault="002667DD" w:rsidP="002667DD">
      <w:pPr>
        <w:jc w:val="center"/>
        <w:rPr>
          <w:b/>
          <w:sz w:val="22"/>
          <w:szCs w:val="22"/>
        </w:rPr>
      </w:pPr>
      <w:r w:rsidRPr="007F2DCD">
        <w:rPr>
          <w:b/>
          <w:sz w:val="22"/>
          <w:szCs w:val="22"/>
        </w:rPr>
        <w:br w:type="page"/>
      </w:r>
    </w:p>
    <w:p w14:paraId="23BDFC75" w14:textId="77777777" w:rsidR="002667DD" w:rsidRDefault="002667DD" w:rsidP="002667DD">
      <w:pPr>
        <w:jc w:val="center"/>
        <w:rPr>
          <w:rStyle w:val="CommentReference"/>
        </w:rPr>
      </w:pPr>
      <w:bookmarkStart w:id="1" w:name="PerformanceReport"/>
      <w:r>
        <w:rPr>
          <w:rFonts w:cs="Arial"/>
          <w:b/>
          <w:color w:val="77328A"/>
          <w:sz w:val="30"/>
          <w:szCs w:val="30"/>
        </w:rPr>
        <w:lastRenderedPageBreak/>
        <w:t>Performance Report</w:t>
      </w:r>
      <w:r>
        <w:rPr>
          <w:rStyle w:val="CommentReference"/>
        </w:rPr>
        <w:t xml:space="preserve"> </w:t>
      </w:r>
    </w:p>
    <w:p w14:paraId="4A8ACDF9" w14:textId="77777777" w:rsidR="002667DD" w:rsidRPr="0045027A" w:rsidRDefault="002667DD" w:rsidP="002667DD">
      <w:pPr>
        <w:jc w:val="center"/>
        <w:rPr>
          <w:b/>
        </w:rPr>
      </w:pPr>
      <w:bookmarkStart w:id="2" w:name="Overview"/>
      <w:bookmarkEnd w:id="1"/>
      <w:r>
        <w:rPr>
          <w:rFonts w:cs="Arial"/>
          <w:b/>
          <w:color w:val="77328A"/>
          <w:sz w:val="30"/>
          <w:szCs w:val="30"/>
        </w:rPr>
        <w:t>Overview</w:t>
      </w:r>
    </w:p>
    <w:bookmarkEnd w:id="2"/>
    <w:p w14:paraId="4A0CAF82" w14:textId="77777777" w:rsidR="002667DD" w:rsidRPr="005049F6" w:rsidRDefault="002667DD" w:rsidP="002667DD">
      <w:pPr>
        <w:jc w:val="center"/>
        <w:rPr>
          <w:b/>
        </w:rPr>
      </w:pPr>
    </w:p>
    <w:p w14:paraId="63B5F733" w14:textId="77777777" w:rsidR="002667DD" w:rsidRDefault="002667DD" w:rsidP="002667DD">
      <w:pPr>
        <w:rPr>
          <w:rFonts w:cs="Arial"/>
          <w:b/>
          <w:color w:val="FF0000"/>
        </w:rPr>
      </w:pPr>
      <w:bookmarkStart w:id="3" w:name="ChiefCommissionersForeword"/>
      <w:r w:rsidRPr="000B2111">
        <w:rPr>
          <w:rFonts w:cs="Arial"/>
          <w:b/>
          <w:color w:val="77328A"/>
        </w:rPr>
        <w:t>Chief Commissioner’s Foreword</w:t>
      </w:r>
      <w:r>
        <w:rPr>
          <w:rFonts w:cs="Arial"/>
          <w:b/>
          <w:color w:val="77328A"/>
        </w:rPr>
        <w:t xml:space="preserve"> </w:t>
      </w:r>
    </w:p>
    <w:p w14:paraId="56D94BB9" w14:textId="77777777" w:rsidR="002667DD" w:rsidRDefault="002667DD" w:rsidP="002667DD">
      <w:pPr>
        <w:rPr>
          <w:rFonts w:cs="Arial"/>
          <w:b/>
          <w:color w:val="FF0000"/>
        </w:rPr>
      </w:pPr>
    </w:p>
    <w:p w14:paraId="5F3BCF5B" w14:textId="77777777" w:rsidR="005333A5" w:rsidRPr="00892D78" w:rsidRDefault="005333A5" w:rsidP="005333A5">
      <w:pPr>
        <w:rPr>
          <w:color w:val="auto"/>
        </w:rPr>
      </w:pPr>
      <w:r w:rsidRPr="00892D78">
        <w:t xml:space="preserve">This is the </w:t>
      </w:r>
      <w:r w:rsidRPr="007F3D8F">
        <w:t>25th</w:t>
      </w:r>
      <w:r w:rsidRPr="00892D78">
        <w:t xml:space="preserve"> Annual Report and Accounts of the Northern Ireland Human Rights Commission. For another year, we had the privilege to serve the people of Northern Ireland by protecting, respecting</w:t>
      </w:r>
      <w:r>
        <w:t xml:space="preserve"> and promoting their human rights. The Belfast (Good Friday) Agreement established the Commission as an independent body to hold government and public authorities to account for their promise to honour human rights and equality into the future. This promise was not time-limited; it was clearly a promise to endure for this and subsequent generations. </w:t>
      </w:r>
    </w:p>
    <w:p w14:paraId="148ED01F" w14:textId="77777777" w:rsidR="005333A5" w:rsidRPr="00892D78" w:rsidRDefault="005333A5" w:rsidP="005333A5"/>
    <w:p w14:paraId="45D2E49E" w14:textId="77777777" w:rsidR="005333A5" w:rsidRDefault="005333A5" w:rsidP="005333A5">
      <w:r>
        <w:t xml:space="preserve">On the global stage we have seen human rights be demeaned, and people be divided, like never before. We are again advocating for fundamental human rights as the foundation of peace, democracy and the rule of law. These basic concepts are under attack. No longer is it enough to simply apply the rules, we must argue for the existence of a rules-based system. We believe Northern Ireland was, and can continue to be, testament for the curative nature of universal human rights; universal human rights that ensure security and diminish risk. We must be vigilant of human rights at home and abroad. Human rights are not </w:t>
      </w:r>
      <w:r w:rsidRPr="00F16CF6">
        <w:t>only</w:t>
      </w:r>
      <w:r>
        <w:t xml:space="preserve"> local they are international. Many of the emerging threats, for example from rapidly advancing technology, cannot be tackled at home without the genuine support of and collaboration with international partners. The Commission is playing its part domestically and abroad.</w:t>
      </w:r>
    </w:p>
    <w:p w14:paraId="46995372" w14:textId="77777777" w:rsidR="005333A5" w:rsidRDefault="005333A5" w:rsidP="005333A5"/>
    <w:p w14:paraId="03231249" w14:textId="77777777" w:rsidR="005333A5" w:rsidRDefault="005333A5" w:rsidP="005333A5">
      <w:r>
        <w:t xml:space="preserve">The Commission however continues to operate at a level of funding that is inadequate. That is not the Commission’s view – it is the view of two independent reviewers. The Commission’s workload has increased exponentially yet our funding has decreased in real terms. We continue to press for adequate funding to enable us to discharge the statutory obligations for which we were set up. For too long, we have worked without security or the ability to plan. For too long, we have continued without sufficient staff and programme costs. With a new administration that has signalled a renewed commitment to human rights, we look forward to securing the better enjoyment of human rights for all who live, work or visit here. </w:t>
      </w:r>
    </w:p>
    <w:p w14:paraId="73813423" w14:textId="77777777" w:rsidR="005333A5" w:rsidRDefault="005333A5" w:rsidP="005333A5"/>
    <w:p w14:paraId="3EBA16B5" w14:textId="77777777" w:rsidR="005333A5" w:rsidRPr="00892D78" w:rsidRDefault="005333A5" w:rsidP="005333A5">
      <w:r>
        <w:t xml:space="preserve">In the absence of sufficient funding - we must be clear - we will not discharge our functions as an independent autonomous human rights institution. Once independence and effectiveness are lost, it will be difficult to recover. We must commit, despite the challenging environment, to honour the Belfast Agreement and its underpinning of the European Convention on Human Rights. That will make us a great place to live, a great place to visit and a great place in which to invest. Growth, including economic growth, is dependent upon society valuing its people </w:t>
      </w:r>
      <w:r>
        <w:lastRenderedPageBreak/>
        <w:t xml:space="preserve">and their fundamental freedoms. Such value is guaranteed when human rights are applied universally and effectively. </w:t>
      </w:r>
    </w:p>
    <w:p w14:paraId="0405EF34" w14:textId="77777777" w:rsidR="005333A5" w:rsidRPr="00892D78" w:rsidRDefault="005333A5" w:rsidP="005333A5"/>
    <w:p w14:paraId="72B6625F" w14:textId="77777777" w:rsidR="005333A5" w:rsidRPr="006E243E" w:rsidRDefault="005333A5" w:rsidP="005333A5">
      <w:r>
        <w:t>While we await a final settlement on our long-term funding arrangements w</w:t>
      </w:r>
      <w:r w:rsidRPr="00892D78">
        <w:t>e will continue to perform our functions to the best of our ability, independently</w:t>
      </w:r>
      <w:r>
        <w:t>,</w:t>
      </w:r>
      <w:r w:rsidRPr="00892D78">
        <w:t xml:space="preserve"> </w:t>
      </w:r>
      <w:r>
        <w:t xml:space="preserve">without fear or favour. We will value all people equally and to do so we will better enable those who need additional support and protection. The Commission is an institution which continues with the support of its partners, stakeholders, friends and colleagues. We cannot do our work without them. We are enormously grateful to them. Within the Commission we have a staff team that are dedicated, expert and compassionate. Their hard work may sometimes go noticed, but it is the foundation of everything we do. As Chief Commissioner, I cannot do my work without the support and advice of my fellow Commissioners to whom I am grateful. </w:t>
      </w:r>
    </w:p>
    <w:p w14:paraId="062679DE" w14:textId="77777777" w:rsidR="002667DD" w:rsidRDefault="002667DD" w:rsidP="002667DD">
      <w:pPr>
        <w:rPr>
          <w:rFonts w:cs="Arial"/>
          <w:b/>
          <w:color w:val="FF0000"/>
        </w:rPr>
      </w:pPr>
    </w:p>
    <w:p w14:paraId="0D1DE33D" w14:textId="77777777" w:rsidR="002667DD" w:rsidRPr="008A5EF2" w:rsidRDefault="002667DD" w:rsidP="002667DD"/>
    <w:bookmarkEnd w:id="3"/>
    <w:p w14:paraId="4EA3475E" w14:textId="77777777" w:rsidR="002667DD" w:rsidRDefault="002667DD" w:rsidP="002667DD">
      <w:pPr>
        <w:rPr>
          <w:b/>
          <w:sz w:val="22"/>
          <w:szCs w:val="22"/>
        </w:rPr>
      </w:pPr>
    </w:p>
    <w:p w14:paraId="68F5C16E" w14:textId="77777777" w:rsidR="002667DD" w:rsidRPr="007F2DCD" w:rsidRDefault="002667DD" w:rsidP="002667DD">
      <w:pPr>
        <w:rPr>
          <w:b/>
          <w:sz w:val="22"/>
          <w:szCs w:val="22"/>
        </w:rPr>
      </w:pPr>
      <w:r>
        <w:rPr>
          <w:b/>
          <w:sz w:val="22"/>
          <w:szCs w:val="22"/>
        </w:rPr>
        <w:t>Alyson Kilpatrick</w:t>
      </w:r>
    </w:p>
    <w:p w14:paraId="370A8276" w14:textId="77777777" w:rsidR="002667DD" w:rsidRPr="007F2DCD" w:rsidRDefault="002667DD" w:rsidP="002667DD">
      <w:pPr>
        <w:rPr>
          <w:sz w:val="22"/>
          <w:szCs w:val="22"/>
        </w:rPr>
      </w:pPr>
      <w:r w:rsidRPr="007F2DCD">
        <w:rPr>
          <w:b/>
          <w:sz w:val="22"/>
          <w:szCs w:val="22"/>
        </w:rPr>
        <w:t>Chief Commissioner</w:t>
      </w:r>
      <w:r w:rsidRPr="007F2DCD">
        <w:rPr>
          <w:b/>
          <w:sz w:val="22"/>
          <w:szCs w:val="22"/>
        </w:rPr>
        <w:br w:type="page"/>
      </w:r>
    </w:p>
    <w:p w14:paraId="293BB91E" w14:textId="77777777" w:rsidR="002667DD" w:rsidRPr="005049F6" w:rsidRDefault="002667DD" w:rsidP="002667DD">
      <w:pPr>
        <w:rPr>
          <w:b/>
        </w:rPr>
      </w:pPr>
      <w:bookmarkStart w:id="4" w:name="StatementofPurposeandActivities"/>
      <w:r>
        <w:rPr>
          <w:rFonts w:cs="Arial"/>
          <w:b/>
          <w:color w:val="77328A"/>
        </w:rPr>
        <w:lastRenderedPageBreak/>
        <w:t>Statement of Purpose and Activities of the Organisation</w:t>
      </w:r>
    </w:p>
    <w:bookmarkEnd w:id="4"/>
    <w:p w14:paraId="73397BFA" w14:textId="77777777" w:rsidR="002667DD" w:rsidRDefault="002667DD" w:rsidP="002667DD">
      <w:pPr>
        <w:jc w:val="center"/>
        <w:rPr>
          <w:b/>
        </w:rPr>
      </w:pPr>
    </w:p>
    <w:p w14:paraId="7F561BFB" w14:textId="77777777" w:rsidR="002667DD" w:rsidRPr="008C73A2" w:rsidRDefault="002667DD" w:rsidP="002667DD">
      <w:pPr>
        <w:widowControl w:val="0"/>
        <w:autoSpaceDE w:val="0"/>
        <w:autoSpaceDN w:val="0"/>
        <w:adjustRightInd w:val="0"/>
        <w:rPr>
          <w:b/>
        </w:rPr>
      </w:pPr>
      <w:r w:rsidRPr="008C73A2">
        <w:rPr>
          <w:b/>
        </w:rPr>
        <w:t>Introduction</w:t>
      </w:r>
      <w:r>
        <w:rPr>
          <w:b/>
        </w:rPr>
        <w:t xml:space="preserve"> </w:t>
      </w:r>
    </w:p>
    <w:p w14:paraId="257C5742" w14:textId="77777777" w:rsidR="002667DD" w:rsidRPr="003F7E43" w:rsidRDefault="002667DD" w:rsidP="002667DD">
      <w:pPr>
        <w:widowControl w:val="0"/>
        <w:autoSpaceDE w:val="0"/>
        <w:autoSpaceDN w:val="0"/>
        <w:adjustRightInd w:val="0"/>
        <w:rPr>
          <w:b/>
        </w:rPr>
      </w:pPr>
    </w:p>
    <w:p w14:paraId="2E2C482F" w14:textId="58574012" w:rsidR="002667DD" w:rsidRDefault="002667DD" w:rsidP="002667DD">
      <w:pPr>
        <w:widowControl w:val="0"/>
        <w:autoSpaceDE w:val="0"/>
        <w:autoSpaceDN w:val="0"/>
        <w:adjustRightInd w:val="0"/>
        <w:rPr>
          <w:color w:val="auto"/>
        </w:rPr>
      </w:pPr>
      <w:r w:rsidRPr="006E6AE8">
        <w:rPr>
          <w:color w:val="auto"/>
        </w:rPr>
        <w:t xml:space="preserve">I am pleased to report on the work of the Northern Ireland Human Rights Commission in </w:t>
      </w:r>
      <w:r>
        <w:rPr>
          <w:color w:val="auto"/>
        </w:rPr>
        <w:t>202</w:t>
      </w:r>
      <w:r w:rsidR="00BF4695">
        <w:rPr>
          <w:color w:val="auto"/>
        </w:rPr>
        <w:t>4</w:t>
      </w:r>
      <w:r>
        <w:rPr>
          <w:color w:val="auto"/>
        </w:rPr>
        <w:t>-2</w:t>
      </w:r>
      <w:r w:rsidR="00BF4695">
        <w:rPr>
          <w:color w:val="auto"/>
        </w:rPr>
        <w:t>5</w:t>
      </w:r>
      <w:r w:rsidRPr="006E6AE8">
        <w:rPr>
          <w:color w:val="auto"/>
        </w:rPr>
        <w:t xml:space="preserve">. </w:t>
      </w:r>
    </w:p>
    <w:p w14:paraId="2746DFDE" w14:textId="77777777" w:rsidR="00367065" w:rsidRDefault="00367065" w:rsidP="002667DD">
      <w:pPr>
        <w:widowControl w:val="0"/>
        <w:autoSpaceDE w:val="0"/>
        <w:autoSpaceDN w:val="0"/>
        <w:adjustRightInd w:val="0"/>
        <w:rPr>
          <w:color w:val="auto"/>
        </w:rPr>
      </w:pPr>
    </w:p>
    <w:p w14:paraId="5D436E17" w14:textId="054CA888" w:rsidR="00367065" w:rsidRDefault="00367065" w:rsidP="002667DD">
      <w:pPr>
        <w:widowControl w:val="0"/>
        <w:autoSpaceDE w:val="0"/>
        <w:autoSpaceDN w:val="0"/>
        <w:adjustRightInd w:val="0"/>
        <w:rPr>
          <w:color w:val="auto"/>
        </w:rPr>
      </w:pPr>
      <w:r w:rsidRPr="00691EB8">
        <w:rPr>
          <w:color w:val="auto"/>
        </w:rPr>
        <w:t xml:space="preserve">This section </w:t>
      </w:r>
      <w:r w:rsidR="00ED2C2B" w:rsidRPr="00691EB8">
        <w:rPr>
          <w:color w:val="auto"/>
        </w:rPr>
        <w:t xml:space="preserve">of the Performance Report outlines the strategic context </w:t>
      </w:r>
      <w:r w:rsidR="002F07AD" w:rsidRPr="00691EB8">
        <w:rPr>
          <w:color w:val="auto"/>
        </w:rPr>
        <w:t xml:space="preserve">and </w:t>
      </w:r>
      <w:r w:rsidR="00AC6F6A" w:rsidRPr="00691EB8">
        <w:rPr>
          <w:color w:val="auto"/>
        </w:rPr>
        <w:t>the discharge</w:t>
      </w:r>
      <w:r w:rsidR="006718D8" w:rsidRPr="00691EB8">
        <w:rPr>
          <w:color w:val="auto"/>
        </w:rPr>
        <w:t xml:space="preserve"> by the</w:t>
      </w:r>
      <w:r w:rsidR="00ED2C2B" w:rsidRPr="00691EB8">
        <w:rPr>
          <w:color w:val="auto"/>
        </w:rPr>
        <w:t xml:space="preserve"> Northern Ireland Human Rights Commission</w:t>
      </w:r>
      <w:r w:rsidR="006718D8" w:rsidRPr="00691EB8">
        <w:rPr>
          <w:color w:val="auto"/>
        </w:rPr>
        <w:t xml:space="preserve"> of it’s statutory functions, as prescribed </w:t>
      </w:r>
      <w:r w:rsidR="00C14722" w:rsidRPr="00691EB8">
        <w:rPr>
          <w:color w:val="auto"/>
        </w:rPr>
        <w:t>by the Northern Ireland Act (NI) 1998.  This includes</w:t>
      </w:r>
      <w:r w:rsidR="002F07AD" w:rsidRPr="00691EB8">
        <w:rPr>
          <w:color w:val="auto"/>
        </w:rPr>
        <w:t>:</w:t>
      </w:r>
    </w:p>
    <w:p w14:paraId="76D110A5" w14:textId="77777777" w:rsidR="00691EB8" w:rsidRPr="00691EB8" w:rsidRDefault="00691EB8" w:rsidP="002667DD">
      <w:pPr>
        <w:widowControl w:val="0"/>
        <w:autoSpaceDE w:val="0"/>
        <w:autoSpaceDN w:val="0"/>
        <w:adjustRightInd w:val="0"/>
        <w:rPr>
          <w:color w:val="auto"/>
        </w:rPr>
      </w:pPr>
    </w:p>
    <w:p w14:paraId="59B240EF" w14:textId="01180506" w:rsidR="002F07AD" w:rsidRPr="00691EB8" w:rsidRDefault="005B432E" w:rsidP="007A6076">
      <w:pPr>
        <w:pStyle w:val="ListParagraph"/>
        <w:widowControl w:val="0"/>
        <w:numPr>
          <w:ilvl w:val="0"/>
          <w:numId w:val="29"/>
        </w:numPr>
        <w:autoSpaceDE w:val="0"/>
        <w:autoSpaceDN w:val="0"/>
        <w:adjustRightInd w:val="0"/>
        <w:rPr>
          <w:color w:val="auto"/>
        </w:rPr>
      </w:pPr>
      <w:r w:rsidRPr="00691EB8">
        <w:rPr>
          <w:color w:val="auto"/>
        </w:rPr>
        <w:t xml:space="preserve">Organisational </w:t>
      </w:r>
      <w:r w:rsidR="00676158" w:rsidRPr="00691EB8">
        <w:rPr>
          <w:color w:val="auto"/>
        </w:rPr>
        <w:t>S</w:t>
      </w:r>
      <w:r w:rsidRPr="00691EB8">
        <w:rPr>
          <w:color w:val="auto"/>
        </w:rPr>
        <w:t>tructure</w:t>
      </w:r>
    </w:p>
    <w:p w14:paraId="5229F634" w14:textId="300022CC" w:rsidR="005B432E" w:rsidRPr="00691EB8" w:rsidRDefault="00676158" w:rsidP="007A6076">
      <w:pPr>
        <w:pStyle w:val="ListParagraph"/>
        <w:widowControl w:val="0"/>
        <w:numPr>
          <w:ilvl w:val="0"/>
          <w:numId w:val="29"/>
        </w:numPr>
        <w:autoSpaceDE w:val="0"/>
        <w:autoSpaceDN w:val="0"/>
        <w:adjustRightInd w:val="0"/>
        <w:rPr>
          <w:color w:val="auto"/>
        </w:rPr>
      </w:pPr>
      <w:r w:rsidRPr="00691EB8">
        <w:rPr>
          <w:color w:val="auto"/>
        </w:rPr>
        <w:t>What we do</w:t>
      </w:r>
    </w:p>
    <w:p w14:paraId="10088FBE" w14:textId="2769330A" w:rsidR="00676158" w:rsidRPr="00691EB8" w:rsidRDefault="00676158" w:rsidP="007A6076">
      <w:pPr>
        <w:pStyle w:val="ListParagraph"/>
        <w:widowControl w:val="0"/>
        <w:numPr>
          <w:ilvl w:val="0"/>
          <w:numId w:val="29"/>
        </w:numPr>
        <w:autoSpaceDE w:val="0"/>
        <w:autoSpaceDN w:val="0"/>
        <w:adjustRightInd w:val="0"/>
        <w:rPr>
          <w:color w:val="auto"/>
        </w:rPr>
      </w:pPr>
      <w:r w:rsidRPr="00691EB8">
        <w:rPr>
          <w:color w:val="auto"/>
        </w:rPr>
        <w:t xml:space="preserve">Key </w:t>
      </w:r>
      <w:r w:rsidR="00432133" w:rsidRPr="00691EB8">
        <w:rPr>
          <w:color w:val="auto"/>
        </w:rPr>
        <w:t>objectives</w:t>
      </w:r>
    </w:p>
    <w:p w14:paraId="6654AEA5" w14:textId="68B558CB" w:rsidR="006652D2" w:rsidRPr="00691EB8" w:rsidRDefault="006652D2" w:rsidP="007A6076">
      <w:pPr>
        <w:pStyle w:val="ListParagraph"/>
        <w:widowControl w:val="0"/>
        <w:numPr>
          <w:ilvl w:val="0"/>
          <w:numId w:val="29"/>
        </w:numPr>
        <w:autoSpaceDE w:val="0"/>
        <w:autoSpaceDN w:val="0"/>
        <w:adjustRightInd w:val="0"/>
        <w:rPr>
          <w:color w:val="auto"/>
        </w:rPr>
      </w:pPr>
      <w:r w:rsidRPr="00691EB8">
        <w:rPr>
          <w:color w:val="auto"/>
        </w:rPr>
        <w:t>Key Performance Indicators</w:t>
      </w:r>
    </w:p>
    <w:p w14:paraId="34D7ACAA" w14:textId="79AD007E" w:rsidR="00432133" w:rsidRPr="00691EB8" w:rsidRDefault="00432133" w:rsidP="007A6076">
      <w:pPr>
        <w:pStyle w:val="ListParagraph"/>
        <w:widowControl w:val="0"/>
        <w:numPr>
          <w:ilvl w:val="0"/>
          <w:numId w:val="29"/>
        </w:numPr>
        <w:autoSpaceDE w:val="0"/>
        <w:autoSpaceDN w:val="0"/>
        <w:adjustRightInd w:val="0"/>
        <w:rPr>
          <w:color w:val="auto"/>
        </w:rPr>
      </w:pPr>
      <w:r w:rsidRPr="00691EB8">
        <w:rPr>
          <w:color w:val="auto"/>
        </w:rPr>
        <w:t>Key risks facing the Northern Ireland Human Rights Commission</w:t>
      </w:r>
    </w:p>
    <w:p w14:paraId="73D9F84E" w14:textId="77777777" w:rsidR="002667DD" w:rsidRPr="006E6AE8" w:rsidRDefault="002667DD" w:rsidP="002667DD">
      <w:pPr>
        <w:widowControl w:val="0"/>
        <w:autoSpaceDE w:val="0"/>
        <w:autoSpaceDN w:val="0"/>
        <w:adjustRightInd w:val="0"/>
        <w:rPr>
          <w:color w:val="auto"/>
        </w:rPr>
      </w:pPr>
    </w:p>
    <w:p w14:paraId="0C17C23F" w14:textId="77777777" w:rsidR="002667DD" w:rsidRPr="006867D6" w:rsidRDefault="002667DD" w:rsidP="002667DD">
      <w:pPr>
        <w:widowControl w:val="0"/>
        <w:autoSpaceDE w:val="0"/>
        <w:autoSpaceDN w:val="0"/>
        <w:adjustRightInd w:val="0"/>
        <w:rPr>
          <w:bCs/>
          <w:color w:val="auto"/>
        </w:rPr>
      </w:pPr>
      <w:r w:rsidRPr="006867D6">
        <w:rPr>
          <w:bCs/>
          <w:color w:val="auto"/>
        </w:rPr>
        <w:t xml:space="preserve">The Commission was established by the Belfast (Good Friday) Agreement. Our governing legislation is the Northern Ireland Act 1998, as amended by the Justice and Security (Northern Ireland) Act 2007 and the European Union (Withdrawal Agreement) Act 2020. </w:t>
      </w:r>
    </w:p>
    <w:p w14:paraId="0683B2BF" w14:textId="77777777" w:rsidR="002667DD" w:rsidRPr="006867D6" w:rsidRDefault="002667DD" w:rsidP="002667DD">
      <w:pPr>
        <w:widowControl w:val="0"/>
        <w:autoSpaceDE w:val="0"/>
        <w:autoSpaceDN w:val="0"/>
        <w:adjustRightInd w:val="0"/>
        <w:rPr>
          <w:bCs/>
          <w:color w:val="auto"/>
        </w:rPr>
      </w:pPr>
    </w:p>
    <w:p w14:paraId="056D0449" w14:textId="3D068D89" w:rsidR="002667DD" w:rsidRPr="003F4B46" w:rsidRDefault="002667DD" w:rsidP="002667DD">
      <w:pPr>
        <w:widowControl w:val="0"/>
        <w:autoSpaceDE w:val="0"/>
        <w:autoSpaceDN w:val="0"/>
        <w:adjustRightInd w:val="0"/>
        <w:rPr>
          <w:bCs/>
        </w:rPr>
      </w:pPr>
      <w:r w:rsidRPr="006867D6">
        <w:rPr>
          <w:bCs/>
          <w:color w:val="auto"/>
        </w:rPr>
        <w:t xml:space="preserve">The Commission is a National Human Rights Institution with A status accreditation from the United Nations. This recognition </w:t>
      </w:r>
      <w:r w:rsidRPr="006E6AE8">
        <w:rPr>
          <w:rFonts w:cs="Verdana"/>
          <w:color w:val="auto"/>
        </w:rPr>
        <w:t>affords special access to the United Nations Human Rights Council and treaty bodies.</w:t>
      </w:r>
      <w:r>
        <w:rPr>
          <w:rFonts w:cs="Verdana"/>
          <w:color w:val="auto"/>
        </w:rPr>
        <w:t xml:space="preserve"> It </w:t>
      </w:r>
      <w:r w:rsidRPr="006867D6">
        <w:rPr>
          <w:bCs/>
          <w:color w:val="auto"/>
        </w:rPr>
        <w:t xml:space="preserve">means that the organisation operates independently in full accordance with the </w:t>
      </w:r>
      <w:r w:rsidRPr="006867D6">
        <w:rPr>
          <w:bCs/>
          <w:color w:val="auto"/>
          <w:lang w:val="en-US"/>
        </w:rPr>
        <w:t>United Nations General Assembly Resolution 48/134 (the Paris Principles)</w:t>
      </w:r>
      <w:r w:rsidRPr="006867D6">
        <w:rPr>
          <w:bCs/>
          <w:color w:val="auto"/>
        </w:rPr>
        <w:t>.</w:t>
      </w:r>
      <w:r>
        <w:rPr>
          <w:bCs/>
          <w:color w:val="auto"/>
        </w:rPr>
        <w:t xml:space="preserve"> Further </w:t>
      </w:r>
      <w:r w:rsidRPr="006E6AE8">
        <w:rPr>
          <w:rFonts w:cs="Arial"/>
          <w:color w:val="auto"/>
        </w:rPr>
        <w:t xml:space="preserve">information is available at: </w:t>
      </w:r>
      <w:hyperlink r:id="rId22" w:history="1">
        <w:r w:rsidR="00DD1DAC" w:rsidRPr="003F4B46">
          <w:rPr>
            <w:rStyle w:val="Hyperlink"/>
          </w:rPr>
          <w:t>Principles relating to the Status of National Institutions (The Paris Principles) | OHCHR</w:t>
        </w:r>
      </w:hyperlink>
    </w:p>
    <w:p w14:paraId="424A0F27" w14:textId="77777777" w:rsidR="002667DD" w:rsidRPr="006E6AE8" w:rsidRDefault="002667DD" w:rsidP="002667DD">
      <w:pPr>
        <w:widowControl w:val="0"/>
        <w:autoSpaceDE w:val="0"/>
        <w:autoSpaceDN w:val="0"/>
        <w:adjustRightInd w:val="0"/>
        <w:rPr>
          <w:rFonts w:cs="Arial"/>
          <w:color w:val="auto"/>
        </w:rPr>
      </w:pPr>
    </w:p>
    <w:p w14:paraId="2E343292" w14:textId="77777777" w:rsidR="002667DD" w:rsidRDefault="002667DD" w:rsidP="002667DD">
      <w:pPr>
        <w:widowControl w:val="0"/>
        <w:autoSpaceDE w:val="0"/>
        <w:autoSpaceDN w:val="0"/>
        <w:adjustRightInd w:val="0"/>
        <w:rPr>
          <w:color w:val="auto"/>
        </w:rPr>
      </w:pPr>
      <w:r w:rsidRPr="006867D6">
        <w:rPr>
          <w:color w:val="auto"/>
        </w:rPr>
        <w:t xml:space="preserve">The Commission is also a non-departmental public body, and receives grant-in-aid from the United Kingdom government through the Northern Ireland Office. </w:t>
      </w:r>
      <w:r>
        <w:rPr>
          <w:color w:val="auto"/>
        </w:rPr>
        <w:t>It</w:t>
      </w:r>
      <w:r w:rsidRPr="006867D6">
        <w:rPr>
          <w:color w:val="auto"/>
        </w:rPr>
        <w:t xml:space="preserve"> report</w:t>
      </w:r>
      <w:r>
        <w:rPr>
          <w:color w:val="auto"/>
        </w:rPr>
        <w:t>s</w:t>
      </w:r>
      <w:r w:rsidRPr="006867D6">
        <w:rPr>
          <w:color w:val="auto"/>
        </w:rPr>
        <w:t xml:space="preserve"> to Parliament through the Secretary of State for Northern Ireland.</w:t>
      </w:r>
    </w:p>
    <w:p w14:paraId="098F2E67" w14:textId="77777777" w:rsidR="00AD4280" w:rsidRDefault="00AD4280" w:rsidP="002667DD">
      <w:pPr>
        <w:widowControl w:val="0"/>
        <w:autoSpaceDE w:val="0"/>
        <w:autoSpaceDN w:val="0"/>
        <w:adjustRightInd w:val="0"/>
        <w:rPr>
          <w:color w:val="auto"/>
        </w:rPr>
      </w:pPr>
    </w:p>
    <w:p w14:paraId="1BC41410" w14:textId="77777777" w:rsidR="00E0762A" w:rsidRDefault="00E0762A" w:rsidP="002667DD">
      <w:pPr>
        <w:widowControl w:val="0"/>
        <w:autoSpaceDE w:val="0"/>
        <w:autoSpaceDN w:val="0"/>
        <w:adjustRightInd w:val="0"/>
        <w:rPr>
          <w:b/>
          <w:bCs/>
          <w:color w:val="auto"/>
        </w:rPr>
      </w:pPr>
    </w:p>
    <w:p w14:paraId="37F79351" w14:textId="77777777" w:rsidR="00E0762A" w:rsidRDefault="00E0762A" w:rsidP="002667DD">
      <w:pPr>
        <w:widowControl w:val="0"/>
        <w:autoSpaceDE w:val="0"/>
        <w:autoSpaceDN w:val="0"/>
        <w:adjustRightInd w:val="0"/>
        <w:rPr>
          <w:b/>
          <w:bCs/>
          <w:color w:val="auto"/>
        </w:rPr>
      </w:pPr>
    </w:p>
    <w:p w14:paraId="0D7D2392" w14:textId="77777777" w:rsidR="00E0762A" w:rsidRDefault="00E0762A" w:rsidP="002667DD">
      <w:pPr>
        <w:widowControl w:val="0"/>
        <w:autoSpaceDE w:val="0"/>
        <w:autoSpaceDN w:val="0"/>
        <w:adjustRightInd w:val="0"/>
        <w:rPr>
          <w:b/>
          <w:bCs/>
          <w:color w:val="auto"/>
        </w:rPr>
      </w:pPr>
    </w:p>
    <w:p w14:paraId="2F6F5C3F" w14:textId="77777777" w:rsidR="00E0762A" w:rsidRDefault="00E0762A" w:rsidP="002667DD">
      <w:pPr>
        <w:widowControl w:val="0"/>
        <w:autoSpaceDE w:val="0"/>
        <w:autoSpaceDN w:val="0"/>
        <w:adjustRightInd w:val="0"/>
        <w:rPr>
          <w:b/>
          <w:bCs/>
          <w:color w:val="auto"/>
        </w:rPr>
      </w:pPr>
    </w:p>
    <w:p w14:paraId="18A17CD5" w14:textId="77777777" w:rsidR="00E0762A" w:rsidRDefault="00E0762A" w:rsidP="002667DD">
      <w:pPr>
        <w:widowControl w:val="0"/>
        <w:autoSpaceDE w:val="0"/>
        <w:autoSpaceDN w:val="0"/>
        <w:adjustRightInd w:val="0"/>
        <w:rPr>
          <w:b/>
          <w:bCs/>
          <w:color w:val="auto"/>
        </w:rPr>
      </w:pPr>
    </w:p>
    <w:p w14:paraId="2C1F3163" w14:textId="77777777" w:rsidR="00E0762A" w:rsidRDefault="00E0762A" w:rsidP="002667DD">
      <w:pPr>
        <w:widowControl w:val="0"/>
        <w:autoSpaceDE w:val="0"/>
        <w:autoSpaceDN w:val="0"/>
        <w:adjustRightInd w:val="0"/>
        <w:rPr>
          <w:b/>
          <w:bCs/>
          <w:color w:val="auto"/>
        </w:rPr>
      </w:pPr>
    </w:p>
    <w:p w14:paraId="4B5D36D1" w14:textId="77777777" w:rsidR="00E0762A" w:rsidRDefault="00E0762A" w:rsidP="002667DD">
      <w:pPr>
        <w:widowControl w:val="0"/>
        <w:autoSpaceDE w:val="0"/>
        <w:autoSpaceDN w:val="0"/>
        <w:adjustRightInd w:val="0"/>
        <w:rPr>
          <w:b/>
          <w:bCs/>
          <w:color w:val="auto"/>
        </w:rPr>
      </w:pPr>
    </w:p>
    <w:p w14:paraId="5126648B" w14:textId="77777777" w:rsidR="00E0762A" w:rsidRDefault="00E0762A" w:rsidP="002667DD">
      <w:pPr>
        <w:widowControl w:val="0"/>
        <w:autoSpaceDE w:val="0"/>
        <w:autoSpaceDN w:val="0"/>
        <w:adjustRightInd w:val="0"/>
        <w:rPr>
          <w:b/>
          <w:bCs/>
          <w:color w:val="auto"/>
        </w:rPr>
      </w:pPr>
    </w:p>
    <w:p w14:paraId="248C479A" w14:textId="77777777" w:rsidR="00E0762A" w:rsidRDefault="00E0762A" w:rsidP="002667DD">
      <w:pPr>
        <w:widowControl w:val="0"/>
        <w:autoSpaceDE w:val="0"/>
        <w:autoSpaceDN w:val="0"/>
        <w:adjustRightInd w:val="0"/>
        <w:rPr>
          <w:b/>
          <w:bCs/>
          <w:color w:val="auto"/>
        </w:rPr>
      </w:pPr>
    </w:p>
    <w:p w14:paraId="041DB4ED" w14:textId="77777777" w:rsidR="00E0762A" w:rsidRDefault="00E0762A" w:rsidP="002667DD">
      <w:pPr>
        <w:widowControl w:val="0"/>
        <w:autoSpaceDE w:val="0"/>
        <w:autoSpaceDN w:val="0"/>
        <w:adjustRightInd w:val="0"/>
        <w:rPr>
          <w:b/>
          <w:bCs/>
          <w:color w:val="auto"/>
        </w:rPr>
      </w:pPr>
    </w:p>
    <w:p w14:paraId="1774BA2F" w14:textId="77777777" w:rsidR="00E0762A" w:rsidRDefault="00E0762A" w:rsidP="002667DD">
      <w:pPr>
        <w:widowControl w:val="0"/>
        <w:autoSpaceDE w:val="0"/>
        <w:autoSpaceDN w:val="0"/>
        <w:adjustRightInd w:val="0"/>
        <w:rPr>
          <w:b/>
          <w:bCs/>
          <w:color w:val="auto"/>
        </w:rPr>
      </w:pPr>
    </w:p>
    <w:p w14:paraId="3DA25816" w14:textId="77777777" w:rsidR="00E0762A" w:rsidRDefault="00E0762A" w:rsidP="002667DD">
      <w:pPr>
        <w:widowControl w:val="0"/>
        <w:autoSpaceDE w:val="0"/>
        <w:autoSpaceDN w:val="0"/>
        <w:adjustRightInd w:val="0"/>
        <w:rPr>
          <w:b/>
          <w:bCs/>
          <w:color w:val="auto"/>
        </w:rPr>
      </w:pPr>
    </w:p>
    <w:p w14:paraId="3E67357F" w14:textId="77777777" w:rsidR="00E0762A" w:rsidRDefault="00E0762A" w:rsidP="002667DD">
      <w:pPr>
        <w:widowControl w:val="0"/>
        <w:autoSpaceDE w:val="0"/>
        <w:autoSpaceDN w:val="0"/>
        <w:adjustRightInd w:val="0"/>
        <w:rPr>
          <w:b/>
          <w:bCs/>
          <w:color w:val="auto"/>
        </w:rPr>
      </w:pPr>
    </w:p>
    <w:p w14:paraId="21B5D8DF" w14:textId="181A276D" w:rsidR="00AD4280" w:rsidRDefault="00AD4280" w:rsidP="002667DD">
      <w:pPr>
        <w:widowControl w:val="0"/>
        <w:autoSpaceDE w:val="0"/>
        <w:autoSpaceDN w:val="0"/>
        <w:adjustRightInd w:val="0"/>
        <w:rPr>
          <w:b/>
          <w:bCs/>
          <w:color w:val="auto"/>
        </w:rPr>
      </w:pPr>
      <w:r>
        <w:rPr>
          <w:b/>
          <w:bCs/>
          <w:color w:val="auto"/>
        </w:rPr>
        <w:lastRenderedPageBreak/>
        <w:t>Organisational Structure</w:t>
      </w:r>
    </w:p>
    <w:p w14:paraId="5AE45893" w14:textId="77777777" w:rsidR="00AD4280" w:rsidRDefault="00AD4280" w:rsidP="002667DD">
      <w:pPr>
        <w:widowControl w:val="0"/>
        <w:autoSpaceDE w:val="0"/>
        <w:autoSpaceDN w:val="0"/>
        <w:adjustRightInd w:val="0"/>
        <w:rPr>
          <w:b/>
          <w:bCs/>
          <w:color w:val="auto"/>
        </w:rPr>
      </w:pPr>
    </w:p>
    <w:p w14:paraId="44093F90" w14:textId="30EF118D" w:rsidR="00AD4280" w:rsidRPr="00AD4280" w:rsidRDefault="006B4CE9" w:rsidP="002667DD">
      <w:pPr>
        <w:widowControl w:val="0"/>
        <w:autoSpaceDE w:val="0"/>
        <w:autoSpaceDN w:val="0"/>
        <w:adjustRightInd w:val="0"/>
        <w:rPr>
          <w:b/>
          <w:bCs/>
          <w:color w:val="auto"/>
        </w:rPr>
      </w:pPr>
      <w:r w:rsidRPr="006B4CE9">
        <w:rPr>
          <w:b/>
          <w:bCs/>
          <w:noProof/>
          <w:color w:val="auto"/>
        </w:rPr>
        <w:drawing>
          <wp:inline distT="0" distB="0" distL="0" distR="0" wp14:anchorId="195D7CEE" wp14:editId="14DF7C6E">
            <wp:extent cx="5760085" cy="2851150"/>
            <wp:effectExtent l="0" t="0" r="0" b="6350"/>
            <wp:docPr id="186859124" name="Picture 1" descr="A purple squar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9124" name="Picture 1" descr="A purple squares with white text&#10;&#10;AI-generated content may be incorrect."/>
                    <pic:cNvPicPr/>
                  </pic:nvPicPr>
                  <pic:blipFill>
                    <a:blip r:embed="rId23"/>
                    <a:stretch>
                      <a:fillRect/>
                    </a:stretch>
                  </pic:blipFill>
                  <pic:spPr>
                    <a:xfrm>
                      <a:off x="0" y="0"/>
                      <a:ext cx="5760085" cy="2851150"/>
                    </a:xfrm>
                    <a:prstGeom prst="rect">
                      <a:avLst/>
                    </a:prstGeom>
                  </pic:spPr>
                </pic:pic>
              </a:graphicData>
            </a:graphic>
          </wp:inline>
        </w:drawing>
      </w:r>
    </w:p>
    <w:p w14:paraId="2384D7FE" w14:textId="77777777" w:rsidR="002667DD" w:rsidRPr="006E6AE8" w:rsidRDefault="002667DD" w:rsidP="002667DD">
      <w:pPr>
        <w:widowControl w:val="0"/>
        <w:autoSpaceDE w:val="0"/>
        <w:autoSpaceDN w:val="0"/>
        <w:adjustRightInd w:val="0"/>
        <w:rPr>
          <w:color w:val="auto"/>
        </w:rPr>
      </w:pPr>
    </w:p>
    <w:p w14:paraId="32909759" w14:textId="77777777" w:rsidR="00A70A02" w:rsidRDefault="00A70A02" w:rsidP="002667DD">
      <w:pPr>
        <w:rPr>
          <w:b/>
          <w:bCs/>
          <w:color w:val="auto"/>
        </w:rPr>
      </w:pPr>
    </w:p>
    <w:p w14:paraId="3A5EF3A8" w14:textId="70D83C5C" w:rsidR="002667DD" w:rsidRPr="006E6AE8" w:rsidRDefault="002667DD" w:rsidP="002667DD">
      <w:pPr>
        <w:rPr>
          <w:b/>
          <w:bCs/>
          <w:color w:val="auto"/>
        </w:rPr>
      </w:pPr>
      <w:r w:rsidRPr="006E6AE8">
        <w:rPr>
          <w:b/>
          <w:bCs/>
          <w:color w:val="auto"/>
        </w:rPr>
        <w:t>What we do</w:t>
      </w:r>
      <w:r>
        <w:rPr>
          <w:b/>
          <w:bCs/>
          <w:color w:val="auto"/>
        </w:rPr>
        <w:t xml:space="preserve"> </w:t>
      </w:r>
    </w:p>
    <w:p w14:paraId="67B63956" w14:textId="77777777" w:rsidR="002667DD" w:rsidRPr="006E6AE8" w:rsidRDefault="002667DD" w:rsidP="002667DD">
      <w:pPr>
        <w:rPr>
          <w:b/>
          <w:bCs/>
          <w:color w:val="auto"/>
        </w:rPr>
      </w:pPr>
    </w:p>
    <w:p w14:paraId="54C2991E" w14:textId="77777777" w:rsidR="002667DD" w:rsidRPr="00402F91" w:rsidRDefault="002667DD" w:rsidP="002667DD">
      <w:pPr>
        <w:autoSpaceDE w:val="0"/>
        <w:autoSpaceDN w:val="0"/>
        <w:adjustRightInd w:val="0"/>
        <w:rPr>
          <w:rFonts w:cs="VGOJM V+ Zurich BT"/>
          <w:bCs/>
          <w:color w:val="auto"/>
        </w:rPr>
      </w:pPr>
      <w:r w:rsidRPr="00402F91">
        <w:rPr>
          <w:rFonts w:cs="VGOJM V+ Zurich BT"/>
          <w:bCs/>
          <w:color w:val="auto"/>
        </w:rPr>
        <w:t>The Commission’s primary role is to make sure government and public authorities protect, respect and fulfil the human rights of everyone in Northern Ireland. We also help people understand what their human rights are and what they can do if their rights are violated or abused. To pursue this objective, we consider the full range of civil, political, social, economic and cultural rights. Our work is based on the international human rights treaties ratified by the United Kingdom government, domestic legislation and relevant soft law standards.</w:t>
      </w:r>
    </w:p>
    <w:p w14:paraId="4878FDEC" w14:textId="77777777" w:rsidR="002667DD" w:rsidRPr="00402F91" w:rsidRDefault="002667DD" w:rsidP="002667DD">
      <w:pPr>
        <w:autoSpaceDE w:val="0"/>
        <w:autoSpaceDN w:val="0"/>
        <w:adjustRightInd w:val="0"/>
        <w:rPr>
          <w:rFonts w:cs="VGOJM V+ Zurich BT"/>
          <w:bCs/>
          <w:color w:val="auto"/>
        </w:rPr>
      </w:pPr>
    </w:p>
    <w:p w14:paraId="64B22165" w14:textId="77777777" w:rsidR="002667DD" w:rsidRPr="00402F91" w:rsidRDefault="002667DD" w:rsidP="002667DD">
      <w:pPr>
        <w:autoSpaceDE w:val="0"/>
        <w:autoSpaceDN w:val="0"/>
        <w:adjustRightInd w:val="0"/>
        <w:rPr>
          <w:rFonts w:cs="VGOJM V+ Zurich BT"/>
          <w:bCs/>
          <w:color w:val="auto"/>
        </w:rPr>
      </w:pPr>
      <w:r w:rsidRPr="00402F91">
        <w:rPr>
          <w:rFonts w:cs="VGOJM V+ Zurich BT"/>
          <w:bCs/>
          <w:color w:val="auto"/>
        </w:rPr>
        <w:t xml:space="preserve">The statutory functions of the Commission in accordance with the Northern Ireland Act 1998 are: </w:t>
      </w:r>
    </w:p>
    <w:p w14:paraId="20B817A7" w14:textId="77777777" w:rsidR="002667DD" w:rsidRPr="00402F91" w:rsidRDefault="002667DD" w:rsidP="002667DD">
      <w:pPr>
        <w:autoSpaceDE w:val="0"/>
        <w:autoSpaceDN w:val="0"/>
        <w:adjustRightInd w:val="0"/>
        <w:rPr>
          <w:rFonts w:cs="VGOJM V+ Zurich BT"/>
          <w:bCs/>
          <w:color w:val="auto"/>
        </w:rPr>
      </w:pPr>
    </w:p>
    <w:p w14:paraId="51703417" w14:textId="77777777" w:rsidR="002667DD" w:rsidRPr="00402F91" w:rsidRDefault="002667DD" w:rsidP="007A6076">
      <w:pPr>
        <w:numPr>
          <w:ilvl w:val="0"/>
          <w:numId w:val="13"/>
        </w:numPr>
        <w:autoSpaceDE w:val="0"/>
        <w:autoSpaceDN w:val="0"/>
        <w:adjustRightInd w:val="0"/>
        <w:rPr>
          <w:rFonts w:cs="VGOJM V+ Zurich BT"/>
          <w:bCs/>
          <w:color w:val="auto"/>
        </w:rPr>
      </w:pPr>
      <w:r w:rsidRPr="00402F91">
        <w:rPr>
          <w:rFonts w:cs="VGOJM V+ Zurich BT"/>
          <w:bCs/>
          <w:color w:val="auto"/>
        </w:rPr>
        <w:t>keeping under review the adequacy and effectiveness in Northern Ireland of law and practice relating to the protection of human rights.</w:t>
      </w:r>
    </w:p>
    <w:p w14:paraId="588B28B3" w14:textId="77777777" w:rsidR="002667DD" w:rsidRPr="00402F91" w:rsidRDefault="002667DD" w:rsidP="002667DD">
      <w:pPr>
        <w:autoSpaceDE w:val="0"/>
        <w:autoSpaceDN w:val="0"/>
        <w:adjustRightInd w:val="0"/>
        <w:rPr>
          <w:rFonts w:cs="VGOJM V+ Zurich BT"/>
          <w:bCs/>
          <w:color w:val="auto"/>
        </w:rPr>
      </w:pPr>
    </w:p>
    <w:p w14:paraId="6DA54CC4" w14:textId="77777777" w:rsidR="002667DD" w:rsidRPr="00402F91" w:rsidRDefault="002667DD" w:rsidP="007A6076">
      <w:pPr>
        <w:numPr>
          <w:ilvl w:val="0"/>
          <w:numId w:val="13"/>
        </w:numPr>
        <w:autoSpaceDE w:val="0"/>
        <w:autoSpaceDN w:val="0"/>
        <w:adjustRightInd w:val="0"/>
        <w:rPr>
          <w:rFonts w:cs="VGOJM V+ Zurich BT"/>
          <w:bCs/>
          <w:color w:val="auto"/>
        </w:rPr>
      </w:pPr>
      <w:r w:rsidRPr="00402F91">
        <w:rPr>
          <w:rFonts w:cs="VGOJM V+ Zurich BT"/>
          <w:bCs/>
          <w:color w:val="auto"/>
        </w:rPr>
        <w:t>advising the Secretary of State and the Northern Ireland Executive of legislative and other measures which ought to be taken to protect human rights—as soon as reasonably practicable after receipt of a general or specific request for advice; and on such other occasions as the Commission thinks appropriate.</w:t>
      </w:r>
    </w:p>
    <w:p w14:paraId="797EF110" w14:textId="77777777" w:rsidR="002667DD" w:rsidRPr="00402F91" w:rsidRDefault="002667DD" w:rsidP="002667DD">
      <w:pPr>
        <w:autoSpaceDE w:val="0"/>
        <w:autoSpaceDN w:val="0"/>
        <w:adjustRightInd w:val="0"/>
        <w:rPr>
          <w:rFonts w:cs="VGOJM V+ Zurich BT"/>
          <w:bCs/>
          <w:color w:val="auto"/>
        </w:rPr>
      </w:pPr>
    </w:p>
    <w:p w14:paraId="15F2E861" w14:textId="77777777" w:rsidR="002667DD" w:rsidRPr="00402F91" w:rsidRDefault="002667DD" w:rsidP="007A6076">
      <w:pPr>
        <w:numPr>
          <w:ilvl w:val="0"/>
          <w:numId w:val="13"/>
        </w:numPr>
        <w:autoSpaceDE w:val="0"/>
        <w:autoSpaceDN w:val="0"/>
        <w:adjustRightInd w:val="0"/>
        <w:rPr>
          <w:rFonts w:cs="VGOJM V+ Zurich BT"/>
          <w:bCs/>
          <w:color w:val="auto"/>
        </w:rPr>
      </w:pPr>
      <w:r w:rsidRPr="00402F91">
        <w:rPr>
          <w:rFonts w:cs="VGOJM V+ Zurich BT"/>
          <w:bCs/>
          <w:color w:val="auto"/>
        </w:rPr>
        <w:t>advising the Northern Ireland Assembly whether legislative Bills are compatible with human rights</w:t>
      </w:r>
    </w:p>
    <w:p w14:paraId="22C98491" w14:textId="77777777" w:rsidR="002667DD" w:rsidRPr="00402F91" w:rsidRDefault="002667DD" w:rsidP="002667DD">
      <w:pPr>
        <w:autoSpaceDE w:val="0"/>
        <w:autoSpaceDN w:val="0"/>
        <w:adjustRightInd w:val="0"/>
        <w:rPr>
          <w:rFonts w:cs="VGOJM V+ Zurich BT"/>
          <w:bCs/>
          <w:color w:val="auto"/>
        </w:rPr>
      </w:pPr>
    </w:p>
    <w:p w14:paraId="27EF726A" w14:textId="77777777" w:rsidR="002667DD" w:rsidRPr="00402F91" w:rsidRDefault="002667DD" w:rsidP="007A6076">
      <w:pPr>
        <w:numPr>
          <w:ilvl w:val="0"/>
          <w:numId w:val="13"/>
        </w:numPr>
        <w:autoSpaceDE w:val="0"/>
        <w:autoSpaceDN w:val="0"/>
        <w:adjustRightInd w:val="0"/>
        <w:rPr>
          <w:rFonts w:cs="VGOJM V+ Zurich BT"/>
          <w:bCs/>
          <w:color w:val="auto"/>
        </w:rPr>
      </w:pPr>
      <w:r w:rsidRPr="00402F91">
        <w:rPr>
          <w:rFonts w:cs="VGOJM V+ Zurich BT"/>
          <w:bCs/>
          <w:color w:val="auto"/>
        </w:rPr>
        <w:t>providing advice to the UK government and Westminster Parliament on matters affecting human rights in NI.</w:t>
      </w:r>
    </w:p>
    <w:p w14:paraId="280507C7" w14:textId="77777777" w:rsidR="002667DD" w:rsidRPr="00402F91" w:rsidRDefault="002667DD" w:rsidP="002667DD">
      <w:pPr>
        <w:autoSpaceDE w:val="0"/>
        <w:autoSpaceDN w:val="0"/>
        <w:adjustRightInd w:val="0"/>
        <w:rPr>
          <w:rFonts w:cs="VGOJM V+ Zurich BT"/>
          <w:bCs/>
          <w:color w:val="auto"/>
        </w:rPr>
      </w:pPr>
    </w:p>
    <w:p w14:paraId="64082AC4" w14:textId="77777777" w:rsidR="002667DD" w:rsidRPr="00402F91" w:rsidRDefault="002667DD" w:rsidP="007A6076">
      <w:pPr>
        <w:numPr>
          <w:ilvl w:val="0"/>
          <w:numId w:val="13"/>
        </w:numPr>
        <w:autoSpaceDE w:val="0"/>
        <w:autoSpaceDN w:val="0"/>
        <w:adjustRightInd w:val="0"/>
        <w:rPr>
          <w:rFonts w:cs="VGOJM V+ Zurich BT"/>
          <w:bCs/>
          <w:color w:val="auto"/>
        </w:rPr>
      </w:pPr>
      <w:r w:rsidRPr="00402F91">
        <w:rPr>
          <w:rFonts w:cs="VGOJM V+ Zurich BT"/>
          <w:bCs/>
          <w:color w:val="auto"/>
        </w:rPr>
        <w:lastRenderedPageBreak/>
        <w:t>conducting investigations on systemic human rights issues. To do so, we may enter places of detention, and can compel individuals and agencies to give oral testimony or to produce documents.</w:t>
      </w:r>
    </w:p>
    <w:p w14:paraId="285D9A5D" w14:textId="77777777" w:rsidR="002667DD" w:rsidRPr="00402F91" w:rsidRDefault="002667DD" w:rsidP="002667DD">
      <w:pPr>
        <w:autoSpaceDE w:val="0"/>
        <w:autoSpaceDN w:val="0"/>
        <w:adjustRightInd w:val="0"/>
        <w:rPr>
          <w:rFonts w:cs="VGOJM V+ Zurich BT"/>
          <w:bCs/>
          <w:color w:val="auto"/>
        </w:rPr>
      </w:pPr>
    </w:p>
    <w:p w14:paraId="29F7B09D" w14:textId="77777777" w:rsidR="002667DD" w:rsidRPr="00402F91" w:rsidRDefault="002667DD" w:rsidP="007A6076">
      <w:pPr>
        <w:numPr>
          <w:ilvl w:val="0"/>
          <w:numId w:val="13"/>
        </w:numPr>
        <w:autoSpaceDE w:val="0"/>
        <w:autoSpaceDN w:val="0"/>
        <w:adjustRightInd w:val="0"/>
        <w:rPr>
          <w:rFonts w:cs="VGOJM V+ Zurich BT"/>
          <w:bCs/>
          <w:color w:val="auto"/>
        </w:rPr>
      </w:pPr>
      <w:r w:rsidRPr="00402F91">
        <w:rPr>
          <w:rFonts w:cs="VGOJM V+ Zurich BT"/>
          <w:bCs/>
          <w:color w:val="auto"/>
        </w:rPr>
        <w:t>promoting understanding and awareness of the importance of human rights in Northern Ireland. To do so, we may undertake or support research and educational activities.</w:t>
      </w:r>
    </w:p>
    <w:p w14:paraId="1E3F2DCF" w14:textId="77777777" w:rsidR="002667DD" w:rsidRPr="00402F91" w:rsidRDefault="002667DD" w:rsidP="002667DD">
      <w:pPr>
        <w:autoSpaceDE w:val="0"/>
        <w:autoSpaceDN w:val="0"/>
        <w:adjustRightInd w:val="0"/>
        <w:rPr>
          <w:rFonts w:cs="VGOJM V+ Zurich BT"/>
          <w:bCs/>
          <w:color w:val="auto"/>
        </w:rPr>
      </w:pPr>
    </w:p>
    <w:p w14:paraId="78CD2F91" w14:textId="77777777" w:rsidR="002667DD" w:rsidRPr="00402F91" w:rsidRDefault="002667DD" w:rsidP="007A6076">
      <w:pPr>
        <w:numPr>
          <w:ilvl w:val="0"/>
          <w:numId w:val="13"/>
        </w:numPr>
        <w:autoSpaceDE w:val="0"/>
        <w:autoSpaceDN w:val="0"/>
        <w:adjustRightInd w:val="0"/>
        <w:rPr>
          <w:rFonts w:cs="VGOJM V+ Zurich BT"/>
          <w:bCs/>
          <w:color w:val="auto"/>
        </w:rPr>
      </w:pPr>
      <w:r w:rsidRPr="00402F91">
        <w:rPr>
          <w:rFonts w:cs="VGOJM V+ Zurich BT"/>
          <w:bCs/>
          <w:color w:val="auto"/>
        </w:rPr>
        <w:t>providing legal assistance to individuals and initiating strategic cases, including own motion legal challenges.</w:t>
      </w:r>
    </w:p>
    <w:p w14:paraId="72A6D7EA" w14:textId="77777777" w:rsidR="002667DD" w:rsidRPr="00402F91" w:rsidRDefault="002667DD" w:rsidP="002667DD">
      <w:pPr>
        <w:autoSpaceDE w:val="0"/>
        <w:autoSpaceDN w:val="0"/>
        <w:adjustRightInd w:val="0"/>
        <w:rPr>
          <w:rFonts w:cs="VGOJM V+ Zurich BT"/>
          <w:bCs/>
          <w:color w:val="auto"/>
        </w:rPr>
      </w:pPr>
    </w:p>
    <w:p w14:paraId="05B63129" w14:textId="77777777" w:rsidR="002667DD" w:rsidRPr="00402F91" w:rsidRDefault="002667DD" w:rsidP="007A6076">
      <w:pPr>
        <w:numPr>
          <w:ilvl w:val="0"/>
          <w:numId w:val="13"/>
        </w:numPr>
        <w:autoSpaceDE w:val="0"/>
        <w:autoSpaceDN w:val="0"/>
        <w:adjustRightInd w:val="0"/>
        <w:rPr>
          <w:rFonts w:cs="VGOJM V+ Zurich BT"/>
          <w:bCs/>
          <w:color w:val="auto"/>
        </w:rPr>
      </w:pPr>
      <w:r w:rsidRPr="00402F91">
        <w:rPr>
          <w:rFonts w:cs="VGOJM V+ Zurich BT"/>
          <w:bCs/>
          <w:color w:val="auto"/>
        </w:rPr>
        <w:t>monitoring the implementation of international human rights treaties and reporting to the United Nations and Council of Europe.</w:t>
      </w:r>
    </w:p>
    <w:p w14:paraId="39889CD4" w14:textId="77777777" w:rsidR="002667DD" w:rsidRPr="00402F91" w:rsidRDefault="002667DD" w:rsidP="002667DD">
      <w:pPr>
        <w:autoSpaceDE w:val="0"/>
        <w:autoSpaceDN w:val="0"/>
        <w:adjustRightInd w:val="0"/>
        <w:rPr>
          <w:rFonts w:cs="VGOJM V+ Zurich BT"/>
          <w:bCs/>
          <w:color w:val="auto"/>
        </w:rPr>
      </w:pPr>
    </w:p>
    <w:p w14:paraId="48F54DED" w14:textId="77777777" w:rsidR="002667DD" w:rsidRPr="00402F91" w:rsidRDefault="002667DD" w:rsidP="007A6076">
      <w:pPr>
        <w:numPr>
          <w:ilvl w:val="0"/>
          <w:numId w:val="13"/>
        </w:numPr>
        <w:autoSpaceDE w:val="0"/>
        <w:autoSpaceDN w:val="0"/>
        <w:adjustRightInd w:val="0"/>
        <w:rPr>
          <w:rFonts w:cs="VGOJM V+ Zurich BT"/>
          <w:bCs/>
          <w:color w:val="auto"/>
        </w:rPr>
      </w:pPr>
      <w:r w:rsidRPr="00402F91">
        <w:rPr>
          <w:rFonts w:cs="VGOJM V+ Zurich BT"/>
          <w:bCs/>
          <w:color w:val="auto"/>
        </w:rPr>
        <w:t>working in partnership with the Irish Human Rights and Equality Commission as mandated through the joint committee created in accordance with the Belfast (Good Friday) Agreement.</w:t>
      </w:r>
    </w:p>
    <w:p w14:paraId="05BB5FEF" w14:textId="77777777" w:rsidR="002667DD" w:rsidRPr="00402F91" w:rsidRDefault="002667DD" w:rsidP="002667DD">
      <w:pPr>
        <w:autoSpaceDE w:val="0"/>
        <w:autoSpaceDN w:val="0"/>
        <w:adjustRightInd w:val="0"/>
        <w:rPr>
          <w:rFonts w:cs="VGOJM V+ Zurich BT"/>
          <w:bCs/>
          <w:color w:val="auto"/>
        </w:rPr>
      </w:pPr>
    </w:p>
    <w:p w14:paraId="005BF758" w14:textId="4562AB97" w:rsidR="002667DD" w:rsidRDefault="002667DD" w:rsidP="54F71CB4">
      <w:pPr>
        <w:rPr>
          <w:rFonts w:eastAsia="Verdana" w:cs="Verdana"/>
        </w:rPr>
      </w:pPr>
      <w:r w:rsidRPr="54F71CB4">
        <w:rPr>
          <w:rFonts w:eastAsia="Verdana" w:cs="Verdana"/>
        </w:rPr>
        <w:t xml:space="preserve">The Commission is mandated in accordance with Article 2(1) of the Protocol on Ireland/Northern Ireland of the European Union Withdrawal Agreement to ensure there is no diminution of rights protected in the ‘Rights, Safeguards and Equality of Opportunity’ chapter of the Belfast (Good Friday) Agreement as a result of United Kingdom’s withdrawal from the European Union. </w:t>
      </w:r>
    </w:p>
    <w:p w14:paraId="1FA5DB4E" w14:textId="79E4E8F0" w:rsidR="002667DD" w:rsidRPr="00A70802" w:rsidRDefault="002667DD" w:rsidP="54F71CB4">
      <w:r w:rsidRPr="62F844E5">
        <w:rPr>
          <w:rFonts w:eastAsia="Verdana" w:cs="Verdana"/>
        </w:rPr>
        <w:t xml:space="preserve"> </w:t>
      </w:r>
    </w:p>
    <w:p w14:paraId="38DAF523" w14:textId="77777777" w:rsidR="002667DD" w:rsidRDefault="002667DD" w:rsidP="002667DD">
      <w:r w:rsidRPr="62F844E5">
        <w:rPr>
          <w:rFonts w:eastAsia="Verdana" w:cs="Verdana"/>
        </w:rPr>
        <w:t xml:space="preserve">The Commission’s statutory functions for this purpose in accordance with the </w:t>
      </w:r>
      <w:bookmarkStart w:id="5" w:name="_Hlk74054886"/>
      <w:r w:rsidRPr="62F844E5">
        <w:rPr>
          <w:rFonts w:eastAsia="Verdana" w:cs="Verdana"/>
        </w:rPr>
        <w:t xml:space="preserve">European Union (Withdrawal Agreement) Act 2020 </w:t>
      </w:r>
      <w:bookmarkEnd w:id="5"/>
      <w:r w:rsidRPr="62F844E5">
        <w:rPr>
          <w:rFonts w:eastAsia="Verdana" w:cs="Verdana"/>
        </w:rPr>
        <w:t>are:</w:t>
      </w:r>
    </w:p>
    <w:p w14:paraId="42FB033A" w14:textId="77777777" w:rsidR="002667DD" w:rsidRDefault="002667DD" w:rsidP="002667DD">
      <w:pPr>
        <w:rPr>
          <w:color w:val="000000" w:themeColor="text1"/>
        </w:rPr>
      </w:pPr>
    </w:p>
    <w:p w14:paraId="32B794CC"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monitoring the implementation of Article 2(1) of the Protocol on Ireland/Northern Ireland in the EU withdrawal agreement (rights of individuals).</w:t>
      </w:r>
    </w:p>
    <w:p w14:paraId="47D42FF3" w14:textId="77777777" w:rsidR="002667DD" w:rsidRDefault="002667DD" w:rsidP="002667DD">
      <w:pPr>
        <w:autoSpaceDE w:val="0"/>
        <w:autoSpaceDN w:val="0"/>
        <w:adjustRightInd w:val="0"/>
        <w:rPr>
          <w:color w:val="000000" w:themeColor="text1"/>
        </w:rPr>
      </w:pPr>
      <w:r w:rsidRPr="3285EAFF">
        <w:rPr>
          <w:rFonts w:eastAsia="Verdana" w:cs="Verdana"/>
        </w:rPr>
        <w:t xml:space="preserve"> </w:t>
      </w:r>
    </w:p>
    <w:p w14:paraId="32404EF3"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reporting to the Secretary of State and the Executive Office in Northern Ireland on the implementation of Article 2(1)—as soon as reasonably practicable after receipt of a general or specific request for such a report, and on such other occasions as the Commission thinks.</w:t>
      </w:r>
    </w:p>
    <w:p w14:paraId="682199AA" w14:textId="77777777" w:rsidR="002667DD" w:rsidRDefault="002667DD" w:rsidP="002667DD">
      <w:pPr>
        <w:autoSpaceDE w:val="0"/>
        <w:autoSpaceDN w:val="0"/>
        <w:adjustRightInd w:val="0"/>
        <w:spacing w:line="276" w:lineRule="auto"/>
        <w:rPr>
          <w:color w:val="000000" w:themeColor="text1"/>
        </w:rPr>
      </w:pPr>
    </w:p>
    <w:p w14:paraId="6C110358"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 xml:space="preserve">advising the Secretary of State and the Executive Committee of the Assembly of legislative and other measures which ought to be taken to implement Article 2(1)—as soon as reasonably practicable after </w:t>
      </w:r>
      <w:r>
        <w:rPr>
          <w:rFonts w:eastAsia="Verdana" w:cs="Verdana"/>
        </w:rPr>
        <w:t>receipt</w:t>
      </w:r>
      <w:r w:rsidRPr="62F844E5">
        <w:rPr>
          <w:rFonts w:eastAsia="Verdana" w:cs="Verdana"/>
        </w:rPr>
        <w:t xml:space="preserve"> of a general or specific request for advice, and on such other occasions as the Commission thinks appropriate.</w:t>
      </w:r>
    </w:p>
    <w:p w14:paraId="63BA3915" w14:textId="77777777" w:rsidR="002667DD" w:rsidRDefault="002667DD" w:rsidP="002667DD">
      <w:pPr>
        <w:autoSpaceDE w:val="0"/>
        <w:autoSpaceDN w:val="0"/>
        <w:adjustRightInd w:val="0"/>
        <w:spacing w:line="276" w:lineRule="auto"/>
        <w:rPr>
          <w:color w:val="000000" w:themeColor="text1"/>
        </w:rPr>
      </w:pPr>
    </w:p>
    <w:p w14:paraId="7A2CCD0B"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advising the Assembly (or a committee of the Assembly) whether a Bill is compatible with Article 2(1)—as soon as reasonably practicable after receipt of a request for advice, and on such other occasions as the Commission thinks appropriate.</w:t>
      </w:r>
    </w:p>
    <w:p w14:paraId="23C306D9" w14:textId="77777777" w:rsidR="002667DD" w:rsidRDefault="002667DD" w:rsidP="002667DD">
      <w:pPr>
        <w:autoSpaceDE w:val="0"/>
        <w:autoSpaceDN w:val="0"/>
        <w:adjustRightInd w:val="0"/>
        <w:spacing w:line="276" w:lineRule="auto"/>
        <w:rPr>
          <w:color w:val="000000" w:themeColor="text1"/>
        </w:rPr>
      </w:pPr>
      <w:r w:rsidRPr="3285EAFF">
        <w:rPr>
          <w:rFonts w:eastAsia="Verdana" w:cs="Verdana"/>
        </w:rPr>
        <w:t xml:space="preserve"> </w:t>
      </w:r>
    </w:p>
    <w:p w14:paraId="0BEA8362"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lastRenderedPageBreak/>
        <w:t>promoting understanding and awareness of the importance of Article 2(1); and for this purpose we may undertake, commission or provide financial or other assistance for—research, and educational activities.</w:t>
      </w:r>
    </w:p>
    <w:p w14:paraId="3EBF0431" w14:textId="77777777" w:rsidR="002667DD" w:rsidRDefault="002667DD" w:rsidP="002667DD">
      <w:pPr>
        <w:autoSpaceDE w:val="0"/>
        <w:autoSpaceDN w:val="0"/>
        <w:adjustRightInd w:val="0"/>
        <w:spacing w:line="276" w:lineRule="auto"/>
        <w:rPr>
          <w:color w:val="000000" w:themeColor="text1"/>
        </w:rPr>
      </w:pPr>
    </w:p>
    <w:p w14:paraId="4110B17B"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bringing any appropriate matters of relevance to Article 2(1) to the attention of the Specialised Committee on issues related to the implementation of the Protocol on Ireland/Northern Ireland established by Article 165 of the Withdrawal Agreement.</w:t>
      </w:r>
    </w:p>
    <w:p w14:paraId="387581D1" w14:textId="77777777" w:rsidR="002667DD" w:rsidRDefault="002667DD" w:rsidP="002667DD">
      <w:pPr>
        <w:autoSpaceDE w:val="0"/>
        <w:autoSpaceDN w:val="0"/>
        <w:adjustRightInd w:val="0"/>
        <w:spacing w:line="276" w:lineRule="auto"/>
        <w:rPr>
          <w:color w:val="000000" w:themeColor="text1"/>
        </w:rPr>
      </w:pPr>
    </w:p>
    <w:p w14:paraId="0F02095E" w14:textId="405EED9F" w:rsidR="002667DD" w:rsidRDefault="00D71065" w:rsidP="002667DD">
      <w:pPr>
        <w:pStyle w:val="ListParagraph"/>
        <w:numPr>
          <w:ilvl w:val="0"/>
          <w:numId w:val="1"/>
        </w:numPr>
        <w:autoSpaceDE w:val="0"/>
        <w:autoSpaceDN w:val="0"/>
        <w:adjustRightInd w:val="0"/>
        <w:rPr>
          <w:rFonts w:eastAsia="Verdana" w:cs="Verdana"/>
          <w:color w:val="000000" w:themeColor="text1"/>
        </w:rPr>
      </w:pPr>
      <w:r w:rsidRPr="54F71CB4">
        <w:rPr>
          <w:rFonts w:eastAsia="Verdana" w:cs="Verdana"/>
        </w:rPr>
        <w:t xml:space="preserve">bringing </w:t>
      </w:r>
      <w:r w:rsidR="002667DD" w:rsidRPr="54F71CB4">
        <w:rPr>
          <w:rFonts w:eastAsia="Verdana" w:cs="Verdana"/>
        </w:rPr>
        <w:t>judicial review proceedings in respect of an alleged breach (or potential future breach) of Article 2(1) of the Protocol on Ireland/Northern Ireland in the EU withdrawal agreement; or intervening in legal proceedings, whether for judicial review or otherwise, in so far as they relate to an alleged breach (or potential future breach) of Article 2(1).</w:t>
      </w:r>
    </w:p>
    <w:p w14:paraId="5C2E17D7" w14:textId="77777777" w:rsidR="002667DD" w:rsidRDefault="002667DD" w:rsidP="002667DD">
      <w:pPr>
        <w:autoSpaceDE w:val="0"/>
        <w:autoSpaceDN w:val="0"/>
        <w:adjustRightInd w:val="0"/>
        <w:rPr>
          <w:color w:val="000000" w:themeColor="text1"/>
        </w:rPr>
      </w:pPr>
    </w:p>
    <w:p w14:paraId="77D54AB5" w14:textId="77777777" w:rsidR="00211A96" w:rsidRDefault="002667DD" w:rsidP="002667DD">
      <w:pPr>
        <w:autoSpaceDE w:val="0"/>
        <w:autoSpaceDN w:val="0"/>
        <w:adjustRightInd w:val="0"/>
        <w:rPr>
          <w:rFonts w:eastAsia="Verdana" w:cs="Verdana"/>
        </w:rPr>
      </w:pPr>
      <w:r w:rsidRPr="54F71CB4">
        <w:rPr>
          <w:rFonts w:eastAsia="Verdana" w:cs="Verdana"/>
        </w:rPr>
        <w:t xml:space="preserve">The Commission is also designated, with the Equality Commission, under the United Nations Convention on the Rights of Disabled Persons as the independent mechanism tasked with promoting, protecting and monitoring implementation of </w:t>
      </w:r>
      <w:r w:rsidR="00D80963" w:rsidRPr="54F71CB4">
        <w:rPr>
          <w:rFonts w:eastAsia="Verdana" w:cs="Verdana"/>
        </w:rPr>
        <w:t xml:space="preserve">the </w:t>
      </w:r>
      <w:r w:rsidRPr="54F71CB4">
        <w:rPr>
          <w:rFonts w:eastAsia="Verdana" w:cs="Verdana"/>
        </w:rPr>
        <w:t xml:space="preserve">Convention in Northern Ireland. </w:t>
      </w:r>
    </w:p>
    <w:p w14:paraId="0C006A8B" w14:textId="77777777" w:rsidR="00211A96" w:rsidRDefault="00211A96" w:rsidP="002667DD">
      <w:pPr>
        <w:autoSpaceDE w:val="0"/>
        <w:autoSpaceDN w:val="0"/>
        <w:adjustRightInd w:val="0"/>
        <w:rPr>
          <w:rFonts w:eastAsia="Verdana" w:cs="Verdana"/>
        </w:rPr>
      </w:pPr>
    </w:p>
    <w:p w14:paraId="6F5571E3" w14:textId="718810FB" w:rsidR="002667DD" w:rsidRDefault="002667DD" w:rsidP="002667DD">
      <w:pPr>
        <w:autoSpaceDE w:val="0"/>
        <w:autoSpaceDN w:val="0"/>
        <w:adjustRightInd w:val="0"/>
        <w:rPr>
          <w:color w:val="000000" w:themeColor="text1"/>
        </w:rPr>
      </w:pPr>
      <w:r w:rsidRPr="3285EAFF">
        <w:rPr>
          <w:rFonts w:eastAsia="Verdana" w:cs="Verdana"/>
        </w:rPr>
        <w:t>We also engage with other the National Human Rights Institutions in the United Kingdom on issues of common interest.</w:t>
      </w:r>
    </w:p>
    <w:p w14:paraId="3BFF090D" w14:textId="77777777" w:rsidR="002667DD" w:rsidRDefault="002667DD" w:rsidP="002667DD">
      <w:pPr>
        <w:autoSpaceDE w:val="0"/>
        <w:autoSpaceDN w:val="0"/>
        <w:adjustRightInd w:val="0"/>
        <w:rPr>
          <w:rFonts w:eastAsia="Verdana" w:cs="Verdana"/>
        </w:rPr>
      </w:pPr>
    </w:p>
    <w:p w14:paraId="420B0DAA" w14:textId="77777777" w:rsidR="002667DD" w:rsidRDefault="002667DD" w:rsidP="002667DD">
      <w:pPr>
        <w:autoSpaceDE w:val="0"/>
        <w:autoSpaceDN w:val="0"/>
        <w:adjustRightInd w:val="0"/>
        <w:rPr>
          <w:color w:val="000000" w:themeColor="text1"/>
        </w:rPr>
      </w:pPr>
      <w:r w:rsidRPr="62F844E5">
        <w:rPr>
          <w:rFonts w:eastAsia="Verdana" w:cs="Verdana"/>
        </w:rPr>
        <w:t>Our Annual Statement</w:t>
      </w:r>
      <w:r>
        <w:rPr>
          <w:rStyle w:val="FootnoteReference"/>
          <w:rFonts w:eastAsia="Verdana" w:cs="Verdana"/>
        </w:rPr>
        <w:footnoteReference w:id="2"/>
      </w:r>
      <w:r w:rsidRPr="62F844E5">
        <w:rPr>
          <w:rFonts w:eastAsia="Verdana" w:cs="Verdana"/>
        </w:rPr>
        <w:t xml:space="preserve">, published in December each year, records how much progress has been made towards meeting human rights obligations in Northern Ireland. This strongly informs our future work priorities.  </w:t>
      </w:r>
      <w:r w:rsidRPr="62F844E5">
        <w:rPr>
          <w:rFonts w:cs="VGOJM V+ Zurich BT"/>
          <w:color w:val="auto"/>
        </w:rPr>
        <w:t xml:space="preserve"> </w:t>
      </w:r>
    </w:p>
    <w:p w14:paraId="3D1819B6" w14:textId="77777777" w:rsidR="002667DD" w:rsidRDefault="002667DD" w:rsidP="002667DD">
      <w:pPr>
        <w:autoSpaceDE w:val="0"/>
        <w:autoSpaceDN w:val="0"/>
        <w:adjustRightInd w:val="0"/>
        <w:rPr>
          <w:rFonts w:cs="VGOJM V+ Zurich BT"/>
          <w:bCs/>
          <w:color w:val="auto"/>
        </w:rPr>
      </w:pPr>
    </w:p>
    <w:p w14:paraId="609F249F" w14:textId="77777777" w:rsidR="002667DD" w:rsidRPr="00402F91" w:rsidRDefault="002667DD" w:rsidP="54F71CB4">
      <w:pPr>
        <w:autoSpaceDE w:val="0"/>
        <w:autoSpaceDN w:val="0"/>
        <w:adjustRightInd w:val="0"/>
        <w:rPr>
          <w:rFonts w:cs="TT150t00"/>
          <w:b/>
          <w:bCs/>
          <w:color w:val="auto"/>
        </w:rPr>
      </w:pPr>
      <w:r w:rsidRPr="54F71CB4">
        <w:rPr>
          <w:rFonts w:cs="TT150t00"/>
          <w:color w:val="auto"/>
        </w:rPr>
        <w:t xml:space="preserve">The Commission’s work is based on five objectives agreed in our Strategic Plan 2022-25.  Each objective is one of substantive public interest, where we believe a real and lasting impact can be made to benefit the lives of people in Northern Ireland.  </w:t>
      </w:r>
    </w:p>
    <w:p w14:paraId="242B265E" w14:textId="527C5C14" w:rsidR="54F71CB4" w:rsidRDefault="54F71CB4" w:rsidP="54F71CB4">
      <w:pPr>
        <w:rPr>
          <w:rFonts w:cs="TT150t00"/>
          <w:color w:val="auto"/>
        </w:rPr>
      </w:pPr>
    </w:p>
    <w:p w14:paraId="21720652" w14:textId="77777777" w:rsidR="005F55EF" w:rsidRPr="005F55EF" w:rsidRDefault="002667DD" w:rsidP="007A6076">
      <w:pPr>
        <w:pStyle w:val="ListParagraph"/>
        <w:numPr>
          <w:ilvl w:val="0"/>
          <w:numId w:val="33"/>
        </w:numPr>
        <w:rPr>
          <w:color w:val="auto"/>
        </w:rPr>
      </w:pPr>
      <w:r w:rsidRPr="005F55EF">
        <w:rPr>
          <w:rFonts w:cs="TT150t00"/>
          <w:color w:val="auto"/>
        </w:rPr>
        <w:t>To keep under review law and practice and advise government for the benefit of everyone across Northern Ireland</w:t>
      </w:r>
      <w:r w:rsidR="005F55EF">
        <w:rPr>
          <w:rFonts w:cs="TT150t00"/>
          <w:color w:val="auto"/>
        </w:rPr>
        <w:t>;</w:t>
      </w:r>
      <w:r w:rsidR="005F55EF">
        <w:rPr>
          <w:rFonts w:cs="TT150t00"/>
          <w:color w:val="auto"/>
        </w:rPr>
        <w:br/>
      </w:r>
    </w:p>
    <w:p w14:paraId="33C8780C" w14:textId="2CB22ED7" w:rsidR="00B27E80" w:rsidRDefault="002667DD" w:rsidP="007A6076">
      <w:pPr>
        <w:pStyle w:val="ListParagraph"/>
        <w:numPr>
          <w:ilvl w:val="0"/>
          <w:numId w:val="33"/>
        </w:numPr>
        <w:rPr>
          <w:color w:val="auto"/>
        </w:rPr>
      </w:pPr>
      <w:r w:rsidRPr="005F55EF">
        <w:rPr>
          <w:color w:val="auto"/>
        </w:rPr>
        <w:t>To ensure that rights protection is not diminished as a result of the United Kingdom having left the European Union; and, where required, ensure that Northern Ireland keeps pace with changes in European Union equality law</w:t>
      </w:r>
      <w:r w:rsidR="112971D5" w:rsidRPr="005F55EF">
        <w:rPr>
          <w:color w:val="auto"/>
        </w:rPr>
        <w:t>s</w:t>
      </w:r>
      <w:r w:rsidR="00B27E80">
        <w:rPr>
          <w:color w:val="auto"/>
        </w:rPr>
        <w:t>;</w:t>
      </w:r>
      <w:r w:rsidR="00B27E80">
        <w:rPr>
          <w:color w:val="auto"/>
        </w:rPr>
        <w:br/>
      </w:r>
    </w:p>
    <w:p w14:paraId="7F21D160" w14:textId="77777777" w:rsidR="00B27E80" w:rsidRDefault="002667DD" w:rsidP="007A6076">
      <w:pPr>
        <w:pStyle w:val="ListParagraph"/>
        <w:numPr>
          <w:ilvl w:val="0"/>
          <w:numId w:val="33"/>
        </w:numPr>
        <w:rPr>
          <w:color w:val="auto"/>
        </w:rPr>
      </w:pPr>
      <w:r w:rsidRPr="00B27E80">
        <w:rPr>
          <w:color w:val="auto"/>
        </w:rPr>
        <w:t>To build a society in which human rights are better understood, protected and valued, making a positive impact upon the delivery of services</w:t>
      </w:r>
      <w:r w:rsidR="00B27E80">
        <w:rPr>
          <w:color w:val="auto"/>
        </w:rPr>
        <w:t>;</w:t>
      </w:r>
      <w:r w:rsidR="00B27E80">
        <w:rPr>
          <w:color w:val="auto"/>
        </w:rPr>
        <w:br/>
      </w:r>
    </w:p>
    <w:p w14:paraId="003F8AA1" w14:textId="77777777" w:rsidR="00B27E80" w:rsidRPr="00B27E80" w:rsidRDefault="002667DD" w:rsidP="007A6076">
      <w:pPr>
        <w:pStyle w:val="ListParagraph"/>
        <w:numPr>
          <w:ilvl w:val="0"/>
          <w:numId w:val="33"/>
        </w:numPr>
        <w:rPr>
          <w:color w:val="auto"/>
        </w:rPr>
      </w:pPr>
      <w:r w:rsidRPr="00B27E80">
        <w:rPr>
          <w:rFonts w:cs="Arial"/>
          <w:color w:val="auto"/>
        </w:rPr>
        <w:lastRenderedPageBreak/>
        <w:t>To work in partnership with other human rights and equality bodies to maximise human rights protection</w:t>
      </w:r>
      <w:r w:rsidR="00B27E80">
        <w:rPr>
          <w:rFonts w:cs="Arial"/>
          <w:color w:val="auto"/>
        </w:rPr>
        <w:t>;</w:t>
      </w:r>
      <w:r w:rsidR="00B27E80">
        <w:rPr>
          <w:rFonts w:cs="Arial"/>
          <w:color w:val="auto"/>
        </w:rPr>
        <w:br/>
      </w:r>
    </w:p>
    <w:p w14:paraId="2C735BE0" w14:textId="20B601A8" w:rsidR="002667DD" w:rsidRPr="00B27E80" w:rsidRDefault="002667DD" w:rsidP="007A6076">
      <w:pPr>
        <w:pStyle w:val="ListParagraph"/>
        <w:numPr>
          <w:ilvl w:val="0"/>
          <w:numId w:val="33"/>
        </w:numPr>
        <w:rPr>
          <w:color w:val="auto"/>
        </w:rPr>
      </w:pPr>
      <w:r w:rsidRPr="00B27E80">
        <w:rPr>
          <w:rFonts w:cs="TT150t00"/>
          <w:color w:val="auto"/>
        </w:rPr>
        <w:t>To be a learning organisation, improving our skills to achieve the greatest impact</w:t>
      </w:r>
      <w:r w:rsidR="00B27E80">
        <w:rPr>
          <w:rFonts w:cs="TT150t00"/>
          <w:color w:val="auto"/>
        </w:rPr>
        <w:t>.</w:t>
      </w:r>
      <w:r w:rsidRPr="00B27E80">
        <w:rPr>
          <w:rFonts w:cs="TT150t00"/>
          <w:color w:val="auto"/>
        </w:rPr>
        <w:t xml:space="preserve"> </w:t>
      </w:r>
      <w:r>
        <w:br/>
      </w:r>
    </w:p>
    <w:p w14:paraId="2069F560" w14:textId="2ABDF470" w:rsidR="007330CB" w:rsidRDefault="6D49DEB4" w:rsidP="002667DD">
      <w:pPr>
        <w:autoSpaceDE w:val="0"/>
        <w:autoSpaceDN w:val="0"/>
        <w:adjustRightInd w:val="0"/>
        <w:rPr>
          <w:color w:val="auto"/>
        </w:rPr>
      </w:pPr>
      <w:r w:rsidRPr="54F71CB4">
        <w:rPr>
          <w:color w:val="auto"/>
        </w:rPr>
        <w:t xml:space="preserve">The </w:t>
      </w:r>
      <w:r w:rsidR="5F37884C" w:rsidRPr="54F71CB4">
        <w:rPr>
          <w:color w:val="auto"/>
        </w:rPr>
        <w:t xml:space="preserve">Commission’s </w:t>
      </w:r>
      <w:r w:rsidRPr="54F71CB4">
        <w:rPr>
          <w:color w:val="auto"/>
        </w:rPr>
        <w:t xml:space="preserve">five </w:t>
      </w:r>
      <w:r w:rsidR="27EC344B" w:rsidRPr="54F71CB4">
        <w:rPr>
          <w:color w:val="auto"/>
        </w:rPr>
        <w:t xml:space="preserve">strategic </w:t>
      </w:r>
      <w:r w:rsidRPr="54F71CB4">
        <w:rPr>
          <w:color w:val="auto"/>
        </w:rPr>
        <w:t>objectives are broadly reflected and align with a series of Key Performance Indicators</w:t>
      </w:r>
      <w:r w:rsidR="3658F952" w:rsidRPr="54F71CB4">
        <w:rPr>
          <w:color w:val="auto"/>
        </w:rPr>
        <w:t xml:space="preserve"> designed to measure effectiveness in delivering our mandate.</w:t>
      </w:r>
    </w:p>
    <w:p w14:paraId="0C3F9AFE" w14:textId="77777777" w:rsidR="006652D2" w:rsidRDefault="006652D2" w:rsidP="002667DD">
      <w:pPr>
        <w:autoSpaceDE w:val="0"/>
        <w:autoSpaceDN w:val="0"/>
        <w:adjustRightInd w:val="0"/>
        <w:rPr>
          <w:color w:val="auto"/>
        </w:rPr>
      </w:pPr>
    </w:p>
    <w:p w14:paraId="7E0EB9D7" w14:textId="77777777" w:rsidR="006652D2" w:rsidRDefault="006652D2" w:rsidP="002667DD">
      <w:pPr>
        <w:autoSpaceDE w:val="0"/>
        <w:autoSpaceDN w:val="0"/>
        <w:adjustRightInd w:val="0"/>
        <w:rPr>
          <w:color w:val="auto"/>
        </w:rPr>
      </w:pPr>
    </w:p>
    <w:p w14:paraId="10F73612" w14:textId="77777777" w:rsidR="006652D2" w:rsidRDefault="006652D2" w:rsidP="002667DD">
      <w:pPr>
        <w:autoSpaceDE w:val="0"/>
        <w:autoSpaceDN w:val="0"/>
        <w:adjustRightInd w:val="0"/>
        <w:rPr>
          <w:color w:val="auto"/>
        </w:rPr>
      </w:pPr>
    </w:p>
    <w:p w14:paraId="562011E0" w14:textId="77777777" w:rsidR="006652D2" w:rsidRDefault="006652D2" w:rsidP="002667DD">
      <w:pPr>
        <w:autoSpaceDE w:val="0"/>
        <w:autoSpaceDN w:val="0"/>
        <w:adjustRightInd w:val="0"/>
        <w:rPr>
          <w:color w:val="auto"/>
        </w:rPr>
      </w:pPr>
    </w:p>
    <w:p w14:paraId="5CCFE225" w14:textId="77777777" w:rsidR="006652D2" w:rsidRDefault="006652D2" w:rsidP="002667DD">
      <w:pPr>
        <w:autoSpaceDE w:val="0"/>
        <w:autoSpaceDN w:val="0"/>
        <w:adjustRightInd w:val="0"/>
        <w:rPr>
          <w:color w:val="auto"/>
        </w:rPr>
      </w:pPr>
    </w:p>
    <w:p w14:paraId="27A5077A" w14:textId="77777777" w:rsidR="006652D2" w:rsidRDefault="006652D2" w:rsidP="002667DD">
      <w:pPr>
        <w:autoSpaceDE w:val="0"/>
        <w:autoSpaceDN w:val="0"/>
        <w:adjustRightInd w:val="0"/>
        <w:rPr>
          <w:color w:val="auto"/>
        </w:rPr>
      </w:pPr>
    </w:p>
    <w:p w14:paraId="443D0ECA" w14:textId="77777777" w:rsidR="006652D2" w:rsidRDefault="006652D2" w:rsidP="002667DD">
      <w:pPr>
        <w:autoSpaceDE w:val="0"/>
        <w:autoSpaceDN w:val="0"/>
        <w:adjustRightInd w:val="0"/>
        <w:rPr>
          <w:color w:val="auto"/>
        </w:rPr>
      </w:pPr>
    </w:p>
    <w:p w14:paraId="7B999214" w14:textId="77777777" w:rsidR="006652D2" w:rsidRDefault="006652D2" w:rsidP="002667DD">
      <w:pPr>
        <w:autoSpaceDE w:val="0"/>
        <w:autoSpaceDN w:val="0"/>
        <w:adjustRightInd w:val="0"/>
        <w:rPr>
          <w:color w:val="auto"/>
        </w:rPr>
      </w:pPr>
    </w:p>
    <w:p w14:paraId="296E1A9E" w14:textId="77777777" w:rsidR="006652D2" w:rsidRDefault="006652D2" w:rsidP="002667DD">
      <w:pPr>
        <w:autoSpaceDE w:val="0"/>
        <w:autoSpaceDN w:val="0"/>
        <w:adjustRightInd w:val="0"/>
        <w:rPr>
          <w:color w:val="auto"/>
        </w:rPr>
      </w:pPr>
    </w:p>
    <w:p w14:paraId="1A4B87DC" w14:textId="77777777" w:rsidR="006652D2" w:rsidRDefault="006652D2" w:rsidP="002667DD">
      <w:pPr>
        <w:autoSpaceDE w:val="0"/>
        <w:autoSpaceDN w:val="0"/>
        <w:adjustRightInd w:val="0"/>
        <w:rPr>
          <w:color w:val="auto"/>
        </w:rPr>
      </w:pPr>
    </w:p>
    <w:p w14:paraId="6609D653" w14:textId="77777777" w:rsidR="006652D2" w:rsidRDefault="006652D2" w:rsidP="002667DD">
      <w:pPr>
        <w:autoSpaceDE w:val="0"/>
        <w:autoSpaceDN w:val="0"/>
        <w:adjustRightInd w:val="0"/>
        <w:rPr>
          <w:color w:val="auto"/>
        </w:rPr>
      </w:pPr>
    </w:p>
    <w:p w14:paraId="4150D187" w14:textId="77777777" w:rsidR="006652D2" w:rsidRDefault="006652D2" w:rsidP="002667DD">
      <w:pPr>
        <w:autoSpaceDE w:val="0"/>
        <w:autoSpaceDN w:val="0"/>
        <w:adjustRightInd w:val="0"/>
        <w:rPr>
          <w:color w:val="auto"/>
        </w:rPr>
      </w:pPr>
    </w:p>
    <w:p w14:paraId="42283E8C" w14:textId="77777777" w:rsidR="006652D2" w:rsidRDefault="006652D2" w:rsidP="002667DD">
      <w:pPr>
        <w:autoSpaceDE w:val="0"/>
        <w:autoSpaceDN w:val="0"/>
        <w:adjustRightInd w:val="0"/>
        <w:rPr>
          <w:color w:val="auto"/>
        </w:rPr>
      </w:pPr>
    </w:p>
    <w:p w14:paraId="66454B51" w14:textId="77777777" w:rsidR="006652D2" w:rsidRDefault="006652D2" w:rsidP="002667DD">
      <w:pPr>
        <w:autoSpaceDE w:val="0"/>
        <w:autoSpaceDN w:val="0"/>
        <w:adjustRightInd w:val="0"/>
        <w:rPr>
          <w:color w:val="auto"/>
        </w:rPr>
      </w:pPr>
    </w:p>
    <w:p w14:paraId="15936AF1" w14:textId="77777777" w:rsidR="006652D2" w:rsidRDefault="006652D2" w:rsidP="002667DD">
      <w:pPr>
        <w:autoSpaceDE w:val="0"/>
        <w:autoSpaceDN w:val="0"/>
        <w:adjustRightInd w:val="0"/>
        <w:rPr>
          <w:color w:val="auto"/>
        </w:rPr>
      </w:pPr>
    </w:p>
    <w:p w14:paraId="1A00607D" w14:textId="77777777" w:rsidR="006652D2" w:rsidRDefault="006652D2" w:rsidP="002667DD">
      <w:pPr>
        <w:autoSpaceDE w:val="0"/>
        <w:autoSpaceDN w:val="0"/>
        <w:adjustRightInd w:val="0"/>
        <w:rPr>
          <w:color w:val="auto"/>
        </w:rPr>
      </w:pPr>
    </w:p>
    <w:p w14:paraId="73DC4C52" w14:textId="77777777" w:rsidR="006652D2" w:rsidRDefault="006652D2" w:rsidP="002667DD">
      <w:pPr>
        <w:autoSpaceDE w:val="0"/>
        <w:autoSpaceDN w:val="0"/>
        <w:adjustRightInd w:val="0"/>
        <w:rPr>
          <w:color w:val="auto"/>
        </w:rPr>
      </w:pPr>
    </w:p>
    <w:p w14:paraId="01C82FFE" w14:textId="77777777" w:rsidR="006652D2" w:rsidRDefault="006652D2" w:rsidP="002667DD">
      <w:pPr>
        <w:autoSpaceDE w:val="0"/>
        <w:autoSpaceDN w:val="0"/>
        <w:adjustRightInd w:val="0"/>
        <w:rPr>
          <w:color w:val="auto"/>
        </w:rPr>
      </w:pPr>
    </w:p>
    <w:p w14:paraId="48C26609" w14:textId="77777777" w:rsidR="006652D2" w:rsidRDefault="006652D2" w:rsidP="002667DD">
      <w:pPr>
        <w:autoSpaceDE w:val="0"/>
        <w:autoSpaceDN w:val="0"/>
        <w:adjustRightInd w:val="0"/>
        <w:rPr>
          <w:color w:val="auto"/>
        </w:rPr>
      </w:pPr>
    </w:p>
    <w:p w14:paraId="499C2DC7" w14:textId="77777777" w:rsidR="006652D2" w:rsidRDefault="006652D2" w:rsidP="002667DD">
      <w:pPr>
        <w:autoSpaceDE w:val="0"/>
        <w:autoSpaceDN w:val="0"/>
        <w:adjustRightInd w:val="0"/>
        <w:rPr>
          <w:color w:val="auto"/>
        </w:rPr>
      </w:pPr>
    </w:p>
    <w:p w14:paraId="79660CDE" w14:textId="77777777" w:rsidR="006652D2" w:rsidRDefault="006652D2" w:rsidP="002667DD">
      <w:pPr>
        <w:autoSpaceDE w:val="0"/>
        <w:autoSpaceDN w:val="0"/>
        <w:adjustRightInd w:val="0"/>
        <w:rPr>
          <w:color w:val="auto"/>
        </w:rPr>
      </w:pPr>
    </w:p>
    <w:p w14:paraId="73FBA95B" w14:textId="77777777" w:rsidR="006652D2" w:rsidRDefault="006652D2" w:rsidP="002667DD">
      <w:pPr>
        <w:autoSpaceDE w:val="0"/>
        <w:autoSpaceDN w:val="0"/>
        <w:adjustRightInd w:val="0"/>
        <w:rPr>
          <w:color w:val="auto"/>
        </w:rPr>
      </w:pPr>
    </w:p>
    <w:p w14:paraId="5859066F" w14:textId="77777777" w:rsidR="006652D2" w:rsidRDefault="006652D2" w:rsidP="002667DD">
      <w:pPr>
        <w:autoSpaceDE w:val="0"/>
        <w:autoSpaceDN w:val="0"/>
        <w:adjustRightInd w:val="0"/>
        <w:rPr>
          <w:color w:val="auto"/>
        </w:rPr>
      </w:pPr>
    </w:p>
    <w:p w14:paraId="65798AF4" w14:textId="77777777" w:rsidR="006652D2" w:rsidRDefault="006652D2" w:rsidP="002667DD">
      <w:pPr>
        <w:autoSpaceDE w:val="0"/>
        <w:autoSpaceDN w:val="0"/>
        <w:adjustRightInd w:val="0"/>
        <w:rPr>
          <w:color w:val="auto"/>
        </w:rPr>
      </w:pPr>
    </w:p>
    <w:p w14:paraId="09988D53" w14:textId="77777777" w:rsidR="002449ED" w:rsidRDefault="002449ED" w:rsidP="002667DD">
      <w:pPr>
        <w:autoSpaceDE w:val="0"/>
        <w:autoSpaceDN w:val="0"/>
        <w:adjustRightInd w:val="0"/>
        <w:rPr>
          <w:color w:val="auto"/>
        </w:rPr>
      </w:pPr>
    </w:p>
    <w:p w14:paraId="087573E4" w14:textId="77777777" w:rsidR="002449ED" w:rsidRDefault="002449ED" w:rsidP="002667DD">
      <w:pPr>
        <w:autoSpaceDE w:val="0"/>
        <w:autoSpaceDN w:val="0"/>
        <w:adjustRightInd w:val="0"/>
        <w:rPr>
          <w:color w:val="auto"/>
        </w:rPr>
      </w:pPr>
    </w:p>
    <w:p w14:paraId="176530AF" w14:textId="77777777" w:rsidR="002449ED" w:rsidRDefault="002449ED" w:rsidP="002667DD">
      <w:pPr>
        <w:autoSpaceDE w:val="0"/>
        <w:autoSpaceDN w:val="0"/>
        <w:adjustRightInd w:val="0"/>
        <w:rPr>
          <w:color w:val="auto"/>
        </w:rPr>
      </w:pPr>
    </w:p>
    <w:p w14:paraId="34BE3B90" w14:textId="77777777" w:rsidR="006652D2" w:rsidRDefault="006652D2" w:rsidP="002667DD">
      <w:pPr>
        <w:autoSpaceDE w:val="0"/>
        <w:autoSpaceDN w:val="0"/>
        <w:adjustRightInd w:val="0"/>
        <w:rPr>
          <w:color w:val="auto"/>
        </w:rPr>
      </w:pPr>
    </w:p>
    <w:p w14:paraId="6AE55DB4" w14:textId="77777777" w:rsidR="003F4B46" w:rsidRDefault="003F4B46" w:rsidP="002667DD">
      <w:pPr>
        <w:autoSpaceDE w:val="0"/>
        <w:autoSpaceDN w:val="0"/>
        <w:adjustRightInd w:val="0"/>
        <w:rPr>
          <w:color w:val="auto"/>
        </w:rPr>
      </w:pPr>
    </w:p>
    <w:p w14:paraId="0936AE41" w14:textId="77777777" w:rsidR="003F4B46" w:rsidRDefault="003F4B46" w:rsidP="002667DD">
      <w:pPr>
        <w:autoSpaceDE w:val="0"/>
        <w:autoSpaceDN w:val="0"/>
        <w:adjustRightInd w:val="0"/>
        <w:rPr>
          <w:color w:val="auto"/>
        </w:rPr>
      </w:pPr>
    </w:p>
    <w:p w14:paraId="3516DB5F" w14:textId="77777777" w:rsidR="003F4B46" w:rsidRDefault="003F4B46" w:rsidP="002667DD">
      <w:pPr>
        <w:autoSpaceDE w:val="0"/>
        <w:autoSpaceDN w:val="0"/>
        <w:adjustRightInd w:val="0"/>
        <w:rPr>
          <w:color w:val="auto"/>
        </w:rPr>
      </w:pPr>
    </w:p>
    <w:p w14:paraId="6AE215DE" w14:textId="77777777" w:rsidR="003F4B46" w:rsidRDefault="003F4B46" w:rsidP="002667DD">
      <w:pPr>
        <w:autoSpaceDE w:val="0"/>
        <w:autoSpaceDN w:val="0"/>
        <w:adjustRightInd w:val="0"/>
        <w:rPr>
          <w:color w:val="auto"/>
        </w:rPr>
      </w:pPr>
    </w:p>
    <w:p w14:paraId="57404327" w14:textId="77777777" w:rsidR="003F4B46" w:rsidRDefault="003F4B46" w:rsidP="002667DD">
      <w:pPr>
        <w:autoSpaceDE w:val="0"/>
        <w:autoSpaceDN w:val="0"/>
        <w:adjustRightInd w:val="0"/>
        <w:rPr>
          <w:color w:val="auto"/>
        </w:rPr>
      </w:pPr>
    </w:p>
    <w:p w14:paraId="25F8F15E" w14:textId="77777777" w:rsidR="003F4B46" w:rsidRDefault="003F4B46" w:rsidP="002667DD">
      <w:pPr>
        <w:autoSpaceDE w:val="0"/>
        <w:autoSpaceDN w:val="0"/>
        <w:adjustRightInd w:val="0"/>
        <w:rPr>
          <w:color w:val="auto"/>
        </w:rPr>
      </w:pPr>
    </w:p>
    <w:p w14:paraId="5A7C22BD" w14:textId="77777777" w:rsidR="003F4B46" w:rsidRDefault="003F4B46" w:rsidP="002667DD">
      <w:pPr>
        <w:autoSpaceDE w:val="0"/>
        <w:autoSpaceDN w:val="0"/>
        <w:adjustRightInd w:val="0"/>
        <w:rPr>
          <w:color w:val="auto"/>
        </w:rPr>
      </w:pPr>
    </w:p>
    <w:p w14:paraId="73CE1E97" w14:textId="77777777" w:rsidR="006652D2" w:rsidRDefault="006652D2" w:rsidP="002667DD">
      <w:pPr>
        <w:autoSpaceDE w:val="0"/>
        <w:autoSpaceDN w:val="0"/>
        <w:adjustRightInd w:val="0"/>
        <w:rPr>
          <w:color w:val="auto"/>
        </w:rPr>
      </w:pPr>
    </w:p>
    <w:p w14:paraId="14E1D51A" w14:textId="77777777" w:rsidR="001C214E" w:rsidRDefault="001C214E" w:rsidP="002667DD">
      <w:pPr>
        <w:autoSpaceDE w:val="0"/>
        <w:autoSpaceDN w:val="0"/>
        <w:adjustRightInd w:val="0"/>
        <w:rPr>
          <w:color w:val="auto"/>
        </w:rPr>
      </w:pPr>
    </w:p>
    <w:p w14:paraId="73CB4836" w14:textId="77777777" w:rsidR="001C214E" w:rsidRDefault="001C214E" w:rsidP="002667DD">
      <w:pPr>
        <w:autoSpaceDE w:val="0"/>
        <w:autoSpaceDN w:val="0"/>
        <w:adjustRightInd w:val="0"/>
        <w:rPr>
          <w:color w:val="auto"/>
        </w:rPr>
      </w:pPr>
    </w:p>
    <w:p w14:paraId="38784F0D" w14:textId="77777777" w:rsidR="006652D2" w:rsidRDefault="006652D2" w:rsidP="002667DD">
      <w:pPr>
        <w:autoSpaceDE w:val="0"/>
        <w:autoSpaceDN w:val="0"/>
        <w:adjustRightInd w:val="0"/>
        <w:rPr>
          <w:color w:val="auto"/>
        </w:rPr>
      </w:pPr>
    </w:p>
    <w:p w14:paraId="3A6B764E" w14:textId="77777777" w:rsidR="006652D2" w:rsidRDefault="006652D2" w:rsidP="002667DD">
      <w:pPr>
        <w:autoSpaceDE w:val="0"/>
        <w:autoSpaceDN w:val="0"/>
        <w:adjustRightInd w:val="0"/>
        <w:rPr>
          <w:color w:val="auto"/>
        </w:rPr>
      </w:pPr>
    </w:p>
    <w:p w14:paraId="5D305182" w14:textId="77777777" w:rsidR="00647FE7" w:rsidRPr="00610342" w:rsidRDefault="00647FE7" w:rsidP="00647FE7">
      <w:pPr>
        <w:spacing w:before="100" w:beforeAutospacing="1" w:after="100" w:afterAutospacing="1"/>
        <w:rPr>
          <w:b/>
          <w:bCs/>
        </w:rPr>
      </w:pPr>
      <w:bookmarkStart w:id="6" w:name="KeyPerformanceIndicators"/>
      <w:r w:rsidRPr="00610342">
        <w:rPr>
          <w:b/>
          <w:bCs/>
        </w:rPr>
        <w:lastRenderedPageBreak/>
        <w:t xml:space="preserve">Key Performance Indicators </w:t>
      </w:r>
    </w:p>
    <w:bookmarkEnd w:id="6"/>
    <w:p w14:paraId="72EFB5ED" w14:textId="1F4DD845" w:rsidR="00647FE7" w:rsidRPr="00C557FC" w:rsidRDefault="00647FE7" w:rsidP="007A6076">
      <w:pPr>
        <w:pStyle w:val="ListParagraph"/>
        <w:numPr>
          <w:ilvl w:val="1"/>
          <w:numId w:val="36"/>
        </w:numPr>
        <w:spacing w:before="100" w:beforeAutospacing="1" w:after="100" w:afterAutospacing="1"/>
        <w:contextualSpacing/>
        <w:rPr>
          <w:b/>
          <w:bCs/>
        </w:rPr>
      </w:pPr>
      <w:r w:rsidRPr="00647FE7">
        <w:rPr>
          <w:b/>
          <w:bCs/>
        </w:rPr>
        <w:t>Greater prioritising and embedding of human rights in law, policy and service delivery</w:t>
      </w:r>
    </w:p>
    <w:p w14:paraId="70120A97" w14:textId="77777777" w:rsidR="00647FE7" w:rsidRPr="007A6076" w:rsidRDefault="00647FE7" w:rsidP="00647FE7">
      <w:pPr>
        <w:ind w:left="1440" w:hanging="1440"/>
        <w:rPr>
          <w:i/>
          <w:iCs/>
        </w:rPr>
      </w:pPr>
      <w:r w:rsidRPr="007A6076">
        <w:rPr>
          <w:i/>
          <w:iCs/>
        </w:rPr>
        <w:t>1.1 (a)</w:t>
      </w:r>
      <w:r w:rsidRPr="007A6076">
        <w:rPr>
          <w:i/>
          <w:iCs/>
        </w:rPr>
        <w:tab/>
        <w:t>Instances of the Commission participating in working groups or regular engagement with government, legislatures and other public authorities to advance human rights.</w:t>
      </w:r>
    </w:p>
    <w:p w14:paraId="7F2D41DB" w14:textId="77777777" w:rsidR="00647FE7" w:rsidRPr="00610342" w:rsidRDefault="00647FE7" w:rsidP="00647FE7">
      <w:pPr>
        <w:spacing w:before="100" w:beforeAutospacing="1" w:after="100" w:afterAutospacing="1"/>
        <w:ind w:hanging="1440"/>
      </w:pPr>
      <w:r>
        <w:tab/>
      </w:r>
      <w:r w:rsidRPr="00610342">
        <w:t>The Commission received proposals on a number of private members bill from MLAs. The Bills covered a broad range of public policy matters including housing</w:t>
      </w:r>
      <w:r>
        <w:t>,</w:t>
      </w:r>
      <w:r w:rsidRPr="00610342">
        <w:t xml:space="preserve"> environmental and education. The Commission provided advice to individual MLAs on the compatibility of the proposed Bills with human rights law. </w:t>
      </w:r>
    </w:p>
    <w:p w14:paraId="06446A45" w14:textId="77777777" w:rsidR="00647FE7" w:rsidRPr="00610342" w:rsidRDefault="00647FE7" w:rsidP="00647FE7">
      <w:pPr>
        <w:spacing w:before="100" w:beforeAutospacing="1" w:after="100" w:afterAutospacing="1"/>
      </w:pPr>
      <w:r w:rsidRPr="00610342">
        <w:t xml:space="preserve">The Commission attended regular meetings with the UK Government Human Rights Team and the devolved administrations to discuss international examination processes. </w:t>
      </w:r>
    </w:p>
    <w:p w14:paraId="09AD885A" w14:textId="77777777" w:rsidR="00647FE7" w:rsidRPr="00610342" w:rsidRDefault="00647FE7" w:rsidP="00647FE7">
      <w:pPr>
        <w:spacing w:before="100" w:beforeAutospacing="1" w:after="100" w:afterAutospacing="1"/>
      </w:pPr>
      <w:r>
        <w:t>Two</w:t>
      </w:r>
      <w:r w:rsidRPr="00610342">
        <w:t xml:space="preserve"> meetings of the Treaty Working Group</w:t>
      </w:r>
      <w:r>
        <w:t xml:space="preserve"> were hosted by the Commission</w:t>
      </w:r>
      <w:r w:rsidRPr="00610342">
        <w:t>. The Treaty Working Group includes representatives from NI Executive Departments and the Northern Ireland Office</w:t>
      </w:r>
      <w:r>
        <w:t>.</w:t>
      </w:r>
      <w:r w:rsidRPr="00610342">
        <w:t xml:space="preserve"> The meetings provide a forum for discussing international examination processes. </w:t>
      </w:r>
    </w:p>
    <w:p w14:paraId="61548969" w14:textId="77777777" w:rsidR="00647FE7" w:rsidRPr="00610342" w:rsidRDefault="00647FE7" w:rsidP="00647FE7">
      <w:pPr>
        <w:spacing w:before="100" w:beforeAutospacing="1" w:after="100" w:afterAutospacing="1"/>
      </w:pPr>
      <w:r w:rsidRPr="00610342">
        <w:t xml:space="preserve">The Chief Commissioner provided oral evidence to a number of Assembly Committees, including the Executive Office Committee in relation to their inquiry on equality law reform. </w:t>
      </w:r>
    </w:p>
    <w:p w14:paraId="03285B23" w14:textId="77777777" w:rsidR="00647FE7" w:rsidRDefault="00647FE7" w:rsidP="00647FE7">
      <w:pPr>
        <w:spacing w:before="100" w:beforeAutospacing="1" w:after="100" w:afterAutospacing="1"/>
      </w:pPr>
      <w:r w:rsidRPr="00610342">
        <w:t xml:space="preserve">Throughout this business year the Commission has continued to engage in discussions regarding the composition of the National Preventive Mechanism and was delighted to accept an invitation to attend </w:t>
      </w:r>
      <w:r>
        <w:t xml:space="preserve">a </w:t>
      </w:r>
      <w:r w:rsidRPr="00610342">
        <w:t xml:space="preserve">meeting of the NI sub-Committee. </w:t>
      </w:r>
    </w:p>
    <w:p w14:paraId="3E3D06F6" w14:textId="77777777" w:rsidR="00647FE7" w:rsidRPr="00610342" w:rsidRDefault="00647FE7" w:rsidP="00647FE7">
      <w:pPr>
        <w:spacing w:before="100" w:beforeAutospacing="1" w:after="100" w:afterAutospacing="1"/>
      </w:pPr>
      <w:r w:rsidRPr="00610342">
        <w:t>The Commission continue</w:t>
      </w:r>
      <w:r>
        <w:t>s</w:t>
      </w:r>
      <w:r w:rsidRPr="00610342">
        <w:t xml:space="preserve"> to meet regularly with the NIO policy team to discuss policy matters. </w:t>
      </w:r>
    </w:p>
    <w:p w14:paraId="4640DC84" w14:textId="77777777" w:rsidR="00647FE7" w:rsidRPr="00610342" w:rsidRDefault="00647FE7" w:rsidP="00647FE7">
      <w:pPr>
        <w:spacing w:before="100" w:beforeAutospacing="1" w:after="100" w:afterAutospacing="1"/>
      </w:pPr>
      <w:r w:rsidRPr="00610342">
        <w:t xml:space="preserve">The legal team represents the Commission on the Law Societies Human Rights and Equality Committee, which met on a quarterly basis. </w:t>
      </w:r>
    </w:p>
    <w:p w14:paraId="415899EE" w14:textId="77777777" w:rsidR="00647FE7" w:rsidRPr="00610342" w:rsidRDefault="00647FE7" w:rsidP="00647FE7">
      <w:pPr>
        <w:spacing w:before="100" w:beforeAutospacing="1" w:after="100" w:afterAutospacing="1"/>
      </w:pPr>
      <w:r w:rsidRPr="00610342">
        <w:t>The legal team hosted its ‘Strategic Litigation Forum’ in October 2024.</w:t>
      </w:r>
    </w:p>
    <w:p w14:paraId="7F162177" w14:textId="77777777" w:rsidR="00647FE7" w:rsidRPr="00610342" w:rsidRDefault="00647FE7" w:rsidP="00647FE7">
      <w:pPr>
        <w:spacing w:before="100" w:beforeAutospacing="1" w:after="100" w:afterAutospacing="1"/>
      </w:pPr>
      <w:r w:rsidRPr="00610342">
        <w:t>The Commission has also continued to engage intensively on the implementation of Windsor Framework Article 2 (WFA2).</w:t>
      </w:r>
    </w:p>
    <w:p w14:paraId="61B0626F" w14:textId="77777777" w:rsidR="00647FE7" w:rsidRDefault="00647FE7" w:rsidP="00647FE7">
      <w:pPr>
        <w:spacing w:before="100" w:beforeAutospacing="1" w:after="100" w:afterAutospacing="1"/>
      </w:pPr>
      <w:r w:rsidRPr="00610342">
        <w:t>The Chief Commissioner co-hosted and addressed an event</w:t>
      </w:r>
      <w:r>
        <w:t xml:space="preserve"> on WFA2</w:t>
      </w:r>
      <w:r w:rsidRPr="00610342">
        <w:t xml:space="preserve"> in the palace of Westminster in January alongside the Chief Commissioner of the Equality Commission</w:t>
      </w:r>
      <w:r>
        <w:t xml:space="preserve"> for Northern Ireland (ECNI)</w:t>
      </w:r>
      <w:r w:rsidRPr="00610342">
        <w:t xml:space="preserve">, which was attended by several Chairs of parliamentary committees, a number of MPs, peers and parliamentary staff. </w:t>
      </w:r>
    </w:p>
    <w:p w14:paraId="444A597D" w14:textId="3E8DD1A4" w:rsidR="00647FE7" w:rsidRPr="00610342" w:rsidRDefault="00647FE7" w:rsidP="00647FE7">
      <w:pPr>
        <w:spacing w:before="100" w:beforeAutospacing="1" w:after="100" w:afterAutospacing="1"/>
      </w:pPr>
      <w:r w:rsidRPr="00610342">
        <w:lastRenderedPageBreak/>
        <w:t>The Commission has held regular meetings throughout the year with officials from a range of departments and public bodies including the Executive Office, the Northern Ireland Office, the Department of Foreign Affairs and a Home Office advisory group</w:t>
      </w:r>
      <w:r>
        <w:t>, raising awareness of WFA2</w:t>
      </w:r>
      <w:r w:rsidRPr="00610342">
        <w:t xml:space="preserve">. </w:t>
      </w:r>
    </w:p>
    <w:p w14:paraId="7357E813" w14:textId="77777777" w:rsidR="00647FE7" w:rsidRPr="00610342" w:rsidRDefault="00647FE7" w:rsidP="00647FE7">
      <w:pPr>
        <w:spacing w:before="100" w:beforeAutospacing="1" w:after="100" w:afterAutospacing="1"/>
      </w:pPr>
      <w:r w:rsidRPr="00610342">
        <w:t>Related issues were also raised at meetings with officials from the Cabinet Office, the Independent Monitoring Authority and the Department for Business and Trade.</w:t>
      </w:r>
    </w:p>
    <w:p w14:paraId="0E6F0EAD" w14:textId="77777777" w:rsidR="00647FE7" w:rsidRPr="00610342" w:rsidRDefault="00647FE7" w:rsidP="00647FE7">
      <w:pPr>
        <w:spacing w:before="100" w:beforeAutospacing="1" w:after="100" w:afterAutospacing="1"/>
      </w:pPr>
      <w:r w:rsidRPr="00610342">
        <w:t xml:space="preserve">The Commission joined </w:t>
      </w:r>
      <w:r>
        <w:t>ECNI</w:t>
      </w:r>
      <w:r w:rsidRPr="00610342">
        <w:t xml:space="preserve"> and the Irish Human Rights and Equality Commission</w:t>
      </w:r>
      <w:r>
        <w:t xml:space="preserve"> (IHREC)</w:t>
      </w:r>
      <w:r w:rsidRPr="00610342">
        <w:t xml:space="preserve"> in November for the annual meeting associated with the work of the three Commissions on the island of Ireland dimension to Windsor Framework Article 2. </w:t>
      </w:r>
    </w:p>
    <w:p w14:paraId="790498D6" w14:textId="70591D62" w:rsidR="00647FE7" w:rsidRPr="00610342" w:rsidRDefault="00647FE7" w:rsidP="00647FE7">
      <w:pPr>
        <w:spacing w:before="100" w:beforeAutospacing="1" w:after="100" w:afterAutospacing="1"/>
      </w:pPr>
      <w:r w:rsidRPr="00610342">
        <w:t>The Chief Commissioner met with the Secretary of State for Northern Ireland and the Minister for Justice on both WFA2 and wider human rights issues.</w:t>
      </w:r>
    </w:p>
    <w:p w14:paraId="40685123" w14:textId="77777777" w:rsidR="00647FE7" w:rsidRPr="007A6076" w:rsidRDefault="00647FE7" w:rsidP="00647FE7">
      <w:pPr>
        <w:spacing w:before="100" w:beforeAutospacing="1" w:after="100" w:afterAutospacing="1"/>
        <w:ind w:left="1440" w:hanging="1440"/>
        <w:rPr>
          <w:i/>
          <w:iCs/>
        </w:rPr>
      </w:pPr>
      <w:r w:rsidRPr="007A6076">
        <w:rPr>
          <w:i/>
          <w:iCs/>
        </w:rPr>
        <w:t>1.1 (b)</w:t>
      </w:r>
      <w:r w:rsidRPr="007A6076">
        <w:rPr>
          <w:i/>
          <w:iCs/>
        </w:rPr>
        <w:tab/>
        <w:t>Instances of the Commission providing government and other public authorities with advice or publishing research (upon request or unsolicited).</w:t>
      </w:r>
    </w:p>
    <w:p w14:paraId="7CFD8E3E" w14:textId="77777777" w:rsidR="00647FE7" w:rsidRPr="00610342" w:rsidRDefault="00647FE7" w:rsidP="00647FE7">
      <w:pPr>
        <w:spacing w:before="100" w:beforeAutospacing="1" w:after="100" w:afterAutospacing="1"/>
      </w:pPr>
      <w:r>
        <w:t xml:space="preserve">The Commission provided </w:t>
      </w:r>
      <w:r w:rsidRPr="00610342">
        <w:t>briefings and advice to government</w:t>
      </w:r>
      <w:r>
        <w:t>, full details of which are available in the Commission’s Annual Statement 2024 which can be found at</w:t>
      </w:r>
      <w:r w:rsidRPr="00610342">
        <w:t xml:space="preserve"> </w:t>
      </w:r>
      <w:hyperlink r:id="rId24" w:history="1">
        <w:r w:rsidRPr="003A1B7D">
          <w:rPr>
            <w:rStyle w:val="Hyperlink"/>
          </w:rPr>
          <w:t>Publication - Annual Human Rights Statement 2024 | Northern Ireland Human Rights Commission</w:t>
        </w:r>
      </w:hyperlink>
    </w:p>
    <w:p w14:paraId="2646DB42" w14:textId="77777777" w:rsidR="00647FE7" w:rsidRPr="003A1B7D" w:rsidRDefault="00647FE7" w:rsidP="00647FE7">
      <w:pPr>
        <w:spacing w:before="100" w:beforeAutospacing="1" w:after="100" w:afterAutospacing="1"/>
      </w:pPr>
      <w:r w:rsidRPr="003A1B7D">
        <w:t>The Commission responded to a range of consultations relating to human rights, for instance the Commission responded to a consultation from the Executive Offi</w:t>
      </w:r>
      <w:r>
        <w:t>c</w:t>
      </w:r>
      <w:r w:rsidRPr="003A1B7D">
        <w:t>e relating to truth recovery processes relating to Mother and Baby Institutions, Magdalene Laundries and Workhouses. In addition</w:t>
      </w:r>
      <w:r>
        <w:t>,</w:t>
      </w:r>
      <w:r w:rsidRPr="003A1B7D">
        <w:t xml:space="preserve"> the Commission responded to a Department of Justice consultation on civil legal ai</w:t>
      </w:r>
      <w:r>
        <w:t>d.  F</w:t>
      </w:r>
      <w:r w:rsidRPr="003A1B7D">
        <w:t xml:space="preserve">ollowing submission of this consultation the Commission provided oral briefings to Departmental officials on the human rights implications of proposed reforms to civil legal aid. </w:t>
      </w:r>
    </w:p>
    <w:p w14:paraId="07563AD6" w14:textId="77777777" w:rsidR="00647FE7" w:rsidRDefault="00647FE7" w:rsidP="00647FE7">
      <w:pPr>
        <w:spacing w:before="100" w:beforeAutospacing="1" w:after="100" w:afterAutospacing="1"/>
      </w:pPr>
      <w:r w:rsidRPr="003A1B7D">
        <w:t xml:space="preserve">In addition to responding to public consultation exercises the Commission responded to specific requests for advice from officials within the Department of Health, Department of Justice and Department of Education. The Commission responded to a number of requests for advice from the Department of Justice relating to potential legislative consent motions relating to justice matters. </w:t>
      </w:r>
    </w:p>
    <w:p w14:paraId="5238E436" w14:textId="2ECBDCF7" w:rsidR="00647FE7" w:rsidRPr="003A1B7D" w:rsidRDefault="00647FE7" w:rsidP="00647FE7">
      <w:pPr>
        <w:spacing w:before="100" w:beforeAutospacing="1" w:after="100" w:afterAutospacing="1"/>
      </w:pPr>
      <w:r w:rsidRPr="003A1B7D">
        <w:t xml:space="preserve">On </w:t>
      </w:r>
      <w:r>
        <w:t>WFA</w:t>
      </w:r>
      <w:r w:rsidRPr="003A1B7D">
        <w:t xml:space="preserve">2, key pieces of advice included the Annual Report on the implementation of WFA2, a joint report with </w:t>
      </w:r>
      <w:r>
        <w:t xml:space="preserve">ECNI </w:t>
      </w:r>
      <w:r w:rsidRPr="003A1B7D">
        <w:t xml:space="preserve">published in September and including a comprehensive set of recommendations on steps required to implement and embed Article 2.  Also in September, the Commission published independent research on the continued relevance of the EU Charter of Fundamental Rights in Northern Ireland after EU withdrawal. </w:t>
      </w:r>
      <w:r w:rsidRPr="003A1B7D">
        <w:lastRenderedPageBreak/>
        <w:t xml:space="preserve">Several pieces of advice during the year addressed the application of WFA2 in the context of criminal justice legislation in passage and a submission on the Data (Use and Access) Bill raised concerns about its compliance with WFA2. Jointly with </w:t>
      </w:r>
      <w:r>
        <w:t>ECNI and IHREC</w:t>
      </w:r>
      <w:r w:rsidRPr="003A1B7D">
        <w:t>, in November, the Commission launched independent research on EU Developments in Equality and Human rights: the impact of Brexit on the divergence of rights and best practice on the island of Ireland.</w:t>
      </w:r>
      <w:r>
        <w:t xml:space="preserve">  In February, the Commission, along with ECNI, made a submission to the House of Commons NI Affairs Committee inquiry into the operation of the Windsor Framework.</w:t>
      </w:r>
    </w:p>
    <w:p w14:paraId="6B97D304" w14:textId="77777777" w:rsidR="00647FE7" w:rsidRPr="007A6076" w:rsidRDefault="00647FE7" w:rsidP="00647FE7">
      <w:pPr>
        <w:spacing w:before="100" w:beforeAutospacing="1" w:after="100" w:afterAutospacing="1"/>
        <w:ind w:left="1440" w:hanging="1440"/>
        <w:rPr>
          <w:i/>
          <w:iCs/>
        </w:rPr>
      </w:pPr>
      <w:r w:rsidRPr="007A6076">
        <w:rPr>
          <w:i/>
          <w:iCs/>
        </w:rPr>
        <w:t>1.1 (c)</w:t>
      </w:r>
      <w:r w:rsidRPr="007A6076">
        <w:rPr>
          <w:i/>
          <w:iCs/>
        </w:rPr>
        <w:tab/>
        <w:t>Instances of civil society organisations seeking advice from the Commission in engagement with public authorities.</w:t>
      </w:r>
    </w:p>
    <w:p w14:paraId="3A8733C5" w14:textId="77777777" w:rsidR="00647FE7" w:rsidRPr="00610342" w:rsidRDefault="00647FE7" w:rsidP="00647FE7">
      <w:pPr>
        <w:spacing w:before="100" w:beforeAutospacing="1" w:after="100" w:afterAutospacing="1"/>
      </w:pPr>
      <w:r w:rsidRPr="00610342">
        <w:t>The Commission continued to engage with civil society through our monitoring and policy advice work. The Commission provided presentations to a number of civil society organisation</w:t>
      </w:r>
      <w:r>
        <w:t>s</w:t>
      </w:r>
      <w:r w:rsidRPr="00610342">
        <w:t xml:space="preserve"> relating to the Commission’s reporting to the Committee for the Elimination of Racial Discrimination. In line with its role as the independent monitoring mechanism under the UNCRPD the Commission continued to support the work of the Disability Forum.  Commission staff spoke at a number of civil society events including the Institute for Public Governance conference on neurodiversity in the workplace. </w:t>
      </w:r>
    </w:p>
    <w:p w14:paraId="6FD9D505" w14:textId="77777777" w:rsidR="00647FE7" w:rsidRPr="00610342" w:rsidRDefault="00647FE7" w:rsidP="00647FE7">
      <w:pPr>
        <w:spacing w:before="100" w:beforeAutospacing="1" w:after="100" w:afterAutospacing="1"/>
        <w:rPr>
          <w:rFonts w:eastAsia="Aptos" w:cs="Aptos"/>
        </w:rPr>
      </w:pPr>
      <w:r w:rsidRPr="00610342">
        <w:t>The Commission continues to engage with human rights NGOs. In particular</w:t>
      </w:r>
      <w:r>
        <w:t>,</w:t>
      </w:r>
      <w:r w:rsidRPr="00610342">
        <w:t xml:space="preserve"> the Commission has participated in a research project hosted by the Bingham Commission for the Rule of Law analysing required reforms to ensure compliance with the UK’s international human rights obligations.  In addition, the Commission provided advice to Justice ‘Law for Lawmakers’ guide for MPs which provides an</w:t>
      </w:r>
      <w:r w:rsidRPr="00610342">
        <w:rPr>
          <w:rFonts w:eastAsia="Aptos" w:cs="Aptos"/>
        </w:rPr>
        <w:t xml:space="preserve"> introduction to some of the core legal and constitutional principles informing the law making process. </w:t>
      </w:r>
    </w:p>
    <w:p w14:paraId="12CE1376" w14:textId="77777777" w:rsidR="00647FE7" w:rsidRPr="00610342" w:rsidRDefault="00647FE7" w:rsidP="00647FE7">
      <w:pPr>
        <w:spacing w:before="100" w:beforeAutospacing="1" w:after="100" w:afterAutospacing="1"/>
      </w:pPr>
      <w:r w:rsidRPr="00610342">
        <w:rPr>
          <w:rFonts w:eastAsia="Aptos" w:cs="Aptos"/>
        </w:rPr>
        <w:t xml:space="preserve">At an international level the Commission responded to a number of requests for advice. In particular, the Commission provided a presentation to the </w:t>
      </w:r>
      <w:r w:rsidRPr="00610342">
        <w:t xml:space="preserve">Nordic Welfare Association conference on UNCRPD Article 33 relating to the relationship between national human rights institutions and disabled people’s organisations. In addition, the Commission continued to participate in the Transcend project on improving practices of citizen and societal engagement in security research and innovation. </w:t>
      </w:r>
    </w:p>
    <w:p w14:paraId="06CD460D" w14:textId="77777777" w:rsidR="00647FE7" w:rsidRPr="00610342" w:rsidRDefault="00647FE7" w:rsidP="00647FE7">
      <w:pPr>
        <w:spacing w:before="100" w:beforeAutospacing="1" w:after="100" w:afterAutospacing="1"/>
      </w:pPr>
      <w:r w:rsidRPr="00610342">
        <w:t xml:space="preserve">Engagement with civil society has remained a key feature of work to raise awareness of WFA2, proactively and in response to invitations. The Chief Commissioner addressed a conference hosted by Ulster University on WFA2 in January and the Commission ran an information event as part of the Human Rights Festival in December. Throughout the year, staff presented to a range of groups including the Law Society; ICTU; a conference on WFA2 hosted by Queen’s University; and participated in roundtables on strategic environmental litigation and the UK EU </w:t>
      </w:r>
      <w:r w:rsidRPr="00610342">
        <w:lastRenderedPageBreak/>
        <w:t xml:space="preserve">relationship. Regular engagement continued with the Ad Hoc Group on North-South and East-West Co-operation, Committee on the Administration of Justice and the Queen’s University Post-Brexit Governance project. </w:t>
      </w:r>
    </w:p>
    <w:p w14:paraId="0C050C56" w14:textId="5BA92E48" w:rsidR="00647FE7" w:rsidRPr="00610342" w:rsidRDefault="00647FE7" w:rsidP="00647FE7">
      <w:pPr>
        <w:spacing w:before="100" w:beforeAutospacing="1" w:after="100" w:afterAutospacing="1"/>
      </w:pPr>
      <w:r w:rsidRPr="00610342">
        <w:t>Core and D</w:t>
      </w:r>
      <w:r w:rsidR="005333A5">
        <w:t xml:space="preserve">edicated </w:t>
      </w:r>
      <w:r w:rsidRPr="00610342">
        <w:t>M</w:t>
      </w:r>
      <w:r w:rsidR="005333A5">
        <w:t>echanism</w:t>
      </w:r>
      <w:r w:rsidRPr="00610342">
        <w:t xml:space="preserve"> colleagues were also invited to engage with the Bingham Centre in its Rule of Law Restoration Project.</w:t>
      </w:r>
    </w:p>
    <w:p w14:paraId="5BE6A165" w14:textId="044B623A" w:rsidR="00647FE7" w:rsidRPr="00610342" w:rsidRDefault="00647FE7" w:rsidP="00647FE7">
      <w:pPr>
        <w:pStyle w:val="ListParagraph"/>
        <w:spacing w:before="100" w:beforeAutospacing="1" w:after="100" w:afterAutospacing="1"/>
        <w:ind w:left="0"/>
      </w:pPr>
      <w:bookmarkStart w:id="7" w:name="_Hlk200433935"/>
      <w:r w:rsidRPr="00610342">
        <w:t>The legal team presented at a U</w:t>
      </w:r>
      <w:r w:rsidR="00833527">
        <w:t xml:space="preserve">niversity of </w:t>
      </w:r>
      <w:r w:rsidRPr="00610342">
        <w:t>U</w:t>
      </w:r>
      <w:r w:rsidR="00833527">
        <w:t>lster</w:t>
      </w:r>
      <w:r w:rsidRPr="00610342">
        <w:t xml:space="preserve"> roundtable event on 'public interest litigation' in December 2024, alongside other statutory bodies and NGOs. </w:t>
      </w:r>
    </w:p>
    <w:bookmarkEnd w:id="7"/>
    <w:p w14:paraId="39CA934E" w14:textId="77777777" w:rsidR="00647FE7" w:rsidRPr="007A6076" w:rsidRDefault="00647FE7" w:rsidP="00647FE7">
      <w:pPr>
        <w:ind w:left="1440" w:hanging="1440"/>
        <w:rPr>
          <w:i/>
          <w:iCs/>
        </w:rPr>
      </w:pPr>
      <w:r w:rsidRPr="007A6076">
        <w:rPr>
          <w:i/>
          <w:iCs/>
        </w:rPr>
        <w:t>1.1 (d)</w:t>
      </w:r>
      <w:r w:rsidRPr="007A6076">
        <w:rPr>
          <w:i/>
          <w:iCs/>
        </w:rPr>
        <w:tab/>
        <w:t>Instances of the Commission providing oral evidence to parliamentary Committees or officials (or analogous e.g. public inquiries).</w:t>
      </w:r>
    </w:p>
    <w:p w14:paraId="2B81FB97" w14:textId="77777777" w:rsidR="00647FE7" w:rsidRPr="007A6076" w:rsidRDefault="00647FE7" w:rsidP="00647FE7">
      <w:pPr>
        <w:ind w:left="1440" w:hanging="1440"/>
        <w:rPr>
          <w:i/>
          <w:iCs/>
        </w:rPr>
      </w:pPr>
    </w:p>
    <w:p w14:paraId="349DAB0B" w14:textId="77777777" w:rsidR="00647FE7" w:rsidRPr="00A02340" w:rsidRDefault="00647FE7" w:rsidP="00647FE7">
      <w:pPr>
        <w:rPr>
          <w:b/>
          <w:bCs/>
        </w:rPr>
      </w:pPr>
      <w:r w:rsidRPr="00610342">
        <w:t>The Chief Commissioner provided evidence to a number of parliamentary Committees during the year.  In May 2024 the Commission provided advice to the NI Affairs Committee on the centrality of the ECHR to the Belfast (Good Friday) Agreement</w:t>
      </w:r>
      <w:r>
        <w:t xml:space="preserve">.  </w:t>
      </w:r>
      <w:r w:rsidRPr="00610342">
        <w:t>In February 2025 the Chief Commissioner provided advice to the NI Affairs Committee on the Northern Ireland Troubles (Legacy and Reconciliation) Act 2023. In addition</w:t>
      </w:r>
      <w:r>
        <w:t>,</w:t>
      </w:r>
      <w:r w:rsidRPr="00610342">
        <w:t xml:space="preserve"> Commission staff maintained contacts with key Westminster Committees, including the Joint Committee on Human Rights and Women and Equalities Committee. </w:t>
      </w:r>
    </w:p>
    <w:p w14:paraId="3AE19BA9" w14:textId="4CD27F63" w:rsidR="00647FE7" w:rsidRPr="00610342" w:rsidRDefault="00647FE7" w:rsidP="00647FE7">
      <w:pPr>
        <w:spacing w:before="100" w:beforeAutospacing="1" w:after="100" w:afterAutospacing="1"/>
      </w:pPr>
      <w:r w:rsidRPr="00610342">
        <w:t>At the NI Assembly the Chief Commissioner provided oral evidence to the Education Committee on the Commission’s investigation into relationship and sex education. In addition, the Chief Commissioner provided advice to the Committee for Justice on the Justice Bill, the Committee for the Executive Office on equality law reform and in relati</w:t>
      </w:r>
      <w:r>
        <w:t>on</w:t>
      </w:r>
      <w:r w:rsidRPr="00610342">
        <w:t xml:space="preserve"> to access to records relating to mother and baby homes institutions.</w:t>
      </w:r>
    </w:p>
    <w:p w14:paraId="7C1D7B2E" w14:textId="77777777" w:rsidR="00647FE7" w:rsidRPr="007A6076" w:rsidRDefault="00647FE7" w:rsidP="00647FE7">
      <w:pPr>
        <w:spacing w:before="100" w:beforeAutospacing="1" w:after="100" w:afterAutospacing="1"/>
        <w:ind w:left="1440" w:hanging="1440"/>
        <w:rPr>
          <w:i/>
          <w:iCs/>
        </w:rPr>
      </w:pPr>
      <w:r w:rsidRPr="007A6076">
        <w:rPr>
          <w:i/>
          <w:iCs/>
        </w:rPr>
        <w:t>1.1 (e)</w:t>
      </w:r>
      <w:r w:rsidRPr="007A6076">
        <w:rPr>
          <w:i/>
          <w:iCs/>
        </w:rPr>
        <w:tab/>
        <w:t>Instances of engagement by public authorities (including department officials) with the Commission's training and education programmes.</w:t>
      </w:r>
    </w:p>
    <w:p w14:paraId="120B9D48" w14:textId="77777777" w:rsidR="00647FE7" w:rsidRDefault="00647FE7" w:rsidP="00647FE7">
      <w:pPr>
        <w:spacing w:before="100" w:beforeAutospacing="1" w:after="100" w:afterAutospacing="1"/>
        <w:rPr>
          <w:rFonts w:eastAsia="Calibri" w:cs="Calibri"/>
        </w:rPr>
      </w:pPr>
      <w:r w:rsidRPr="00662B2A">
        <w:rPr>
          <w:rFonts w:eastAsia="Calibri" w:cs="Calibri"/>
        </w:rPr>
        <w:t xml:space="preserve">The Commission continued to operate with a limited budget for education and training delivery. </w:t>
      </w:r>
    </w:p>
    <w:p w14:paraId="629D9983" w14:textId="77777777" w:rsidR="00647FE7" w:rsidRDefault="00647FE7" w:rsidP="00647FE7">
      <w:pPr>
        <w:spacing w:before="100" w:beforeAutospacing="1" w:after="100" w:afterAutospacing="1"/>
        <w:rPr>
          <w:rFonts w:eastAsia="Calibri" w:cs="Calibri"/>
        </w:rPr>
      </w:pPr>
      <w:r w:rsidRPr="00662B2A">
        <w:t>The Minister of Health agreed to receive advice and guidance from the Commission on conducting a human rights impact assessment relating to the Public Health Bill.</w:t>
      </w:r>
      <w:r w:rsidRPr="00662B2A">
        <w:rPr>
          <w:rFonts w:eastAsia="Calibri" w:cs="Calibri"/>
        </w:rPr>
        <w:t xml:space="preserve"> </w:t>
      </w:r>
    </w:p>
    <w:p w14:paraId="3A171884" w14:textId="19F65780" w:rsidR="00647FE7" w:rsidRDefault="00647FE7" w:rsidP="00647FE7">
      <w:pPr>
        <w:spacing w:before="100" w:beforeAutospacing="1" w:after="100" w:afterAutospacing="1"/>
        <w:rPr>
          <w:rFonts w:eastAsia="Calibri" w:cs="Calibri"/>
        </w:rPr>
      </w:pPr>
      <w:r w:rsidRPr="00662B2A">
        <w:rPr>
          <w:rFonts w:eastAsia="Calibri" w:cs="Calibri"/>
        </w:rPr>
        <w:t>In partnership with the NI Civil Service staff delivered two classroom sessions in March 2025 for those officials with responsibility for developing policy and legislation.</w:t>
      </w:r>
    </w:p>
    <w:p w14:paraId="2B62B4B8" w14:textId="77777777" w:rsidR="007A6076" w:rsidRPr="00662B2A" w:rsidRDefault="007A6076" w:rsidP="00647FE7">
      <w:pPr>
        <w:spacing w:before="100" w:beforeAutospacing="1" w:after="100" w:afterAutospacing="1"/>
        <w:rPr>
          <w:rFonts w:eastAsia="Calibri" w:cs="Calibri"/>
        </w:rPr>
      </w:pPr>
    </w:p>
    <w:p w14:paraId="5FAE67F1" w14:textId="28B3EEB1" w:rsidR="00647FE7" w:rsidRPr="00610342" w:rsidRDefault="00647FE7" w:rsidP="00647FE7">
      <w:pPr>
        <w:spacing w:before="100" w:beforeAutospacing="1" w:after="100" w:afterAutospacing="1"/>
        <w:ind w:left="720" w:hanging="720"/>
        <w:rPr>
          <w:b/>
          <w:bCs/>
        </w:rPr>
      </w:pPr>
      <w:r w:rsidRPr="007A6076">
        <w:rPr>
          <w:b/>
          <w:bCs/>
        </w:rPr>
        <w:lastRenderedPageBreak/>
        <w:t>1.2</w:t>
      </w:r>
      <w:r w:rsidRPr="007A6076">
        <w:rPr>
          <w:b/>
          <w:bCs/>
        </w:rPr>
        <w:tab/>
        <w:t xml:space="preserve">Law and policy makers at all levels, consider and address the human rights impacts the Commission identifies through our </w:t>
      </w:r>
      <w:r w:rsidRPr="00610342">
        <w:rPr>
          <w:b/>
          <w:bCs/>
        </w:rPr>
        <w:t xml:space="preserve">advice, research, investigations and reports to the United Nations and Council of Europe. </w:t>
      </w:r>
    </w:p>
    <w:p w14:paraId="40D66D68" w14:textId="77777777" w:rsidR="00647FE7" w:rsidRPr="007A6076" w:rsidRDefault="00647FE7" w:rsidP="00647FE7">
      <w:pPr>
        <w:spacing w:before="100" w:beforeAutospacing="1" w:after="100" w:afterAutospacing="1"/>
        <w:ind w:left="1440" w:hanging="1440"/>
        <w:rPr>
          <w:i/>
          <w:iCs/>
        </w:rPr>
      </w:pPr>
      <w:r w:rsidRPr="007A6076">
        <w:rPr>
          <w:i/>
          <w:iCs/>
        </w:rPr>
        <w:t>1.2 (a)</w:t>
      </w:r>
      <w:r w:rsidRPr="007A6076">
        <w:rPr>
          <w:i/>
          <w:iCs/>
        </w:rPr>
        <w:tab/>
        <w:t>Instances of the Commission's advice and recommendations reflected in legislative processes (including amendments to Bills).</w:t>
      </w:r>
    </w:p>
    <w:p w14:paraId="7D2FF4FC" w14:textId="77777777" w:rsidR="00647FE7" w:rsidRPr="00610342" w:rsidRDefault="00647FE7" w:rsidP="00647FE7">
      <w:pPr>
        <w:spacing w:before="100" w:beforeAutospacing="1" w:after="100" w:afterAutospacing="1"/>
      </w:pPr>
      <w:r w:rsidRPr="00610342">
        <w:t xml:space="preserve">The Justice Bill introduced to the NI Assembly on 17 September 2024 contains; A revised proposal for retention of biometric and DNA material in line with advice provided by the Commission in 2020. In addition, proposals relating to the availability of bail for children reflecting </w:t>
      </w:r>
      <w:r>
        <w:t>Commission</w:t>
      </w:r>
      <w:r w:rsidRPr="00610342">
        <w:t xml:space="preserve"> advice.</w:t>
      </w:r>
    </w:p>
    <w:p w14:paraId="33D66F51" w14:textId="77777777" w:rsidR="00647FE7" w:rsidRPr="00610342" w:rsidRDefault="00647FE7" w:rsidP="00647FE7">
      <w:pPr>
        <w:spacing w:before="100" w:beforeAutospacing="1" w:after="100" w:afterAutospacing="1"/>
      </w:pPr>
      <w:r>
        <w:t>The</w:t>
      </w:r>
      <w:r w:rsidRPr="00610342">
        <w:t xml:space="preserve"> Commission </w:t>
      </w:r>
      <w:r>
        <w:t xml:space="preserve">provided advice to </w:t>
      </w:r>
      <w:r w:rsidRPr="00610342">
        <w:t xml:space="preserve">the Department of Justice </w:t>
      </w:r>
      <w:r>
        <w:t>to inform decision making relating to a number of legislative consent motions.</w:t>
      </w:r>
      <w:r w:rsidRPr="00610342">
        <w:t xml:space="preserve"> </w:t>
      </w:r>
    </w:p>
    <w:p w14:paraId="4479555C" w14:textId="77777777" w:rsidR="00647FE7" w:rsidRPr="00610342" w:rsidRDefault="00647FE7" w:rsidP="00647FE7">
      <w:pPr>
        <w:spacing w:before="100" w:beforeAutospacing="1" w:after="100" w:afterAutospacing="1"/>
      </w:pPr>
      <w:r w:rsidRPr="00610342">
        <w:t xml:space="preserve">The National Preventive Mechanism have agreed changes in their composition to strengthen oversight of places of detention.    </w:t>
      </w:r>
    </w:p>
    <w:p w14:paraId="7DCC8994" w14:textId="77777777" w:rsidR="00647FE7" w:rsidRDefault="00647FE7" w:rsidP="00647FE7">
      <w:pPr>
        <w:spacing w:before="100" w:beforeAutospacing="1" w:after="100" w:afterAutospacing="1"/>
      </w:pPr>
      <w:r>
        <w:t xml:space="preserve">The </w:t>
      </w:r>
      <w:r w:rsidRPr="00610342">
        <w:t xml:space="preserve">Commission provide oral evidence to the NI Assembly Justice Committee on the Justice Bill </w:t>
      </w:r>
      <w:r>
        <w:t>in</w:t>
      </w:r>
      <w:r w:rsidRPr="00610342">
        <w:t xml:space="preserve"> November 2024</w:t>
      </w:r>
      <w:r>
        <w:t>.</w:t>
      </w:r>
    </w:p>
    <w:p w14:paraId="2B923ACB" w14:textId="2E7FB666" w:rsidR="00647FE7" w:rsidRPr="00610342" w:rsidRDefault="00647FE7" w:rsidP="00647FE7">
      <w:pPr>
        <w:spacing w:before="100" w:beforeAutospacing="1" w:after="100" w:afterAutospacing="1"/>
      </w:pPr>
      <w:r>
        <w:t xml:space="preserve">The </w:t>
      </w:r>
      <w:r w:rsidRPr="00610342">
        <w:t xml:space="preserve">Commission published </w:t>
      </w:r>
      <w:r>
        <w:t xml:space="preserve">its </w:t>
      </w:r>
      <w:r w:rsidRPr="00610342">
        <w:t>2024 annual statement</w:t>
      </w:r>
      <w:r>
        <w:t xml:space="preserve"> on </w:t>
      </w:r>
      <w:r w:rsidRPr="00610342">
        <w:t>9 December 2024</w:t>
      </w:r>
      <w:r>
        <w:t>.</w:t>
      </w:r>
    </w:p>
    <w:p w14:paraId="23E6472E" w14:textId="77777777" w:rsidR="00647FE7" w:rsidRPr="007A6076" w:rsidRDefault="00647FE7" w:rsidP="00647FE7">
      <w:pPr>
        <w:spacing w:before="100" w:beforeAutospacing="1" w:after="100" w:afterAutospacing="1"/>
        <w:ind w:left="1440" w:hanging="1440"/>
        <w:rPr>
          <w:i/>
          <w:iCs/>
        </w:rPr>
      </w:pPr>
      <w:r w:rsidRPr="007A6076">
        <w:rPr>
          <w:i/>
          <w:iCs/>
        </w:rPr>
        <w:t>1.2 (b)</w:t>
      </w:r>
      <w:r w:rsidRPr="007A6076">
        <w:rPr>
          <w:i/>
          <w:iCs/>
        </w:rPr>
        <w:tab/>
        <w:t>Instances of UK Parliament and NI Assembly inquiry reports and letters that reflect or cite the Commission's advice.</w:t>
      </w:r>
    </w:p>
    <w:p w14:paraId="5445637C" w14:textId="77777777" w:rsidR="00647FE7" w:rsidRPr="00610342" w:rsidRDefault="00647FE7" w:rsidP="00647FE7">
      <w:pPr>
        <w:spacing w:before="100" w:beforeAutospacing="1" w:after="100" w:afterAutospacing="1"/>
      </w:pPr>
      <w:r w:rsidRPr="00610342">
        <w:t>Following an evidence session with the Chief Commissioner relating to the centrality of the ECHR to the Belfast (Good Friday) Agreement and UK constitution</w:t>
      </w:r>
      <w:r>
        <w:t>,</w:t>
      </w:r>
      <w:r w:rsidRPr="00610342">
        <w:t xml:space="preserve"> the Chair of the NI Affairs Committee wrote to the Secretary of State NI setting out concerns regarding the potential implications for NI of withdrawing from the ECHR. </w:t>
      </w:r>
    </w:p>
    <w:p w14:paraId="05067999" w14:textId="77777777" w:rsidR="00647FE7" w:rsidRPr="00610342" w:rsidRDefault="00647FE7" w:rsidP="00647FE7">
      <w:pPr>
        <w:spacing w:before="100" w:beforeAutospacing="1" w:after="100" w:afterAutospacing="1"/>
        <w:rPr>
          <w:rFonts w:eastAsia="Aptos" w:cs="Aptos"/>
        </w:rPr>
      </w:pPr>
      <w:r w:rsidRPr="00610342">
        <w:t>The JCHR report on the p</w:t>
      </w:r>
      <w:r w:rsidRPr="00610342">
        <w:rPr>
          <w:rFonts w:eastAsia="Aptos" w:cs="Aptos"/>
        </w:rPr>
        <w:t xml:space="preserve">roposal for a Draft Northern Ireland Troubles (Legacy and Reconciliation) Act 2023 (Remedial) Order 2024 referred to the Commission’s analysis and reflected the Commission’s advice in its recommendations.  </w:t>
      </w:r>
    </w:p>
    <w:p w14:paraId="6473851F" w14:textId="77777777" w:rsidR="00647FE7" w:rsidRPr="00610342" w:rsidRDefault="00647FE7" w:rsidP="00647FE7">
      <w:pPr>
        <w:spacing w:before="100" w:beforeAutospacing="1" w:after="100" w:afterAutospacing="1"/>
      </w:pPr>
      <w:r w:rsidRPr="00610342">
        <w:t xml:space="preserve">The Commission has engaged with the NI Assembly Committee for Education on its inquiry into relationship and sex education (RSE). The terms of reference for the inquiry </w:t>
      </w:r>
      <w:r>
        <w:t>considers</w:t>
      </w:r>
      <w:r w:rsidRPr="00610342">
        <w:t xml:space="preserve"> the Commission’s report into RSE. </w:t>
      </w:r>
    </w:p>
    <w:p w14:paraId="7065F65C" w14:textId="648E44F1" w:rsidR="00647FE7" w:rsidRPr="00647FE7" w:rsidRDefault="00647FE7" w:rsidP="00647FE7">
      <w:pPr>
        <w:spacing w:before="100" w:beforeAutospacing="1" w:after="100" w:afterAutospacing="1"/>
      </w:pPr>
      <w:r w:rsidRPr="00610342">
        <w:t>Following the evidence session with the NI</w:t>
      </w:r>
      <w:r>
        <w:t xml:space="preserve"> </w:t>
      </w:r>
      <w:r w:rsidRPr="00610342">
        <w:t>A</w:t>
      </w:r>
      <w:r>
        <w:t>ssembly</w:t>
      </w:r>
      <w:r w:rsidRPr="00610342">
        <w:t xml:space="preserve"> Committee for the Executive Office, the Committee agreed to write to the Executive Office to request a rationale for its lack of response to the DM Annual Report.</w:t>
      </w:r>
    </w:p>
    <w:p w14:paraId="12A91412"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lastRenderedPageBreak/>
        <w:t>1.2 (c)</w:t>
      </w:r>
      <w:r w:rsidRPr="007A6076">
        <w:rPr>
          <w:rFonts w:cs="Calibri"/>
          <w:i/>
          <w:iCs/>
          <w:lang w:eastAsia="en-GB"/>
        </w:rPr>
        <w:tab/>
        <w:t>Instances of public authorities adopting advice received from the Commission when developing and implementing policies.</w:t>
      </w:r>
    </w:p>
    <w:p w14:paraId="218193C7" w14:textId="76C875C3" w:rsidR="00647FE7" w:rsidRPr="00647FE7" w:rsidRDefault="00647FE7" w:rsidP="00647FE7">
      <w:pPr>
        <w:spacing w:before="100" w:beforeAutospacing="1" w:after="100" w:afterAutospacing="1"/>
        <w:rPr>
          <w:rFonts w:cs="Calibri"/>
          <w:lang w:eastAsia="en-GB"/>
        </w:rPr>
      </w:pPr>
      <w:r w:rsidRPr="00610342">
        <w:rPr>
          <w:rFonts w:cs="Calibri"/>
          <w:lang w:eastAsia="en-GB"/>
        </w:rPr>
        <w:t>In line with recommendations contained within the Commission’s investigation report into RSE</w:t>
      </w:r>
      <w:r>
        <w:rPr>
          <w:rFonts w:cs="Calibri"/>
          <w:lang w:eastAsia="en-GB"/>
        </w:rPr>
        <w:t>,</w:t>
      </w:r>
      <w:r w:rsidRPr="00610342">
        <w:rPr>
          <w:rFonts w:cs="Calibri"/>
          <w:lang w:eastAsia="en-GB"/>
        </w:rPr>
        <w:t xml:space="preserve"> the Department of Education issued a circular relating to RSE. In addition, a number of changes were made to supporting material and guidance to schools relating to RSE provision. </w:t>
      </w:r>
    </w:p>
    <w:p w14:paraId="030F10BD"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1.2 (d)</w:t>
      </w:r>
      <w:r w:rsidRPr="007A6076">
        <w:rPr>
          <w:rFonts w:cs="Calibri"/>
          <w:i/>
          <w:iCs/>
          <w:lang w:eastAsia="en-GB"/>
        </w:rPr>
        <w:tab/>
        <w:t>Instances of the Commission's treaty reporting recommendations reflected in committees' concluding observations, reports (including United Nations Special Rapporteurs) and activities.</w:t>
      </w:r>
    </w:p>
    <w:p w14:paraId="7401D529" w14:textId="77777777" w:rsidR="00647FE7" w:rsidRPr="00610342" w:rsidRDefault="00647FE7" w:rsidP="00647FE7">
      <w:pPr>
        <w:spacing w:before="100" w:beforeAutospacing="1" w:after="100" w:afterAutospacing="1"/>
        <w:rPr>
          <w:rFonts w:cs="Calibri"/>
          <w:color w:val="000000" w:themeColor="text1"/>
          <w:lang w:eastAsia="en-GB"/>
        </w:rPr>
      </w:pPr>
      <w:r w:rsidRPr="00610342">
        <w:rPr>
          <w:rFonts w:cs="Calibri"/>
          <w:lang w:eastAsia="en-GB"/>
        </w:rPr>
        <w:t>The Commission made a submission to</w:t>
      </w:r>
      <w:r>
        <w:rPr>
          <w:rFonts w:cs="Calibri"/>
          <w:lang w:eastAsia="en-GB"/>
        </w:rPr>
        <w:t xml:space="preserve"> the</w:t>
      </w:r>
      <w:r w:rsidRPr="00610342">
        <w:rPr>
          <w:rFonts w:cs="Calibri"/>
          <w:lang w:eastAsia="en-GB"/>
        </w:rPr>
        <w:t xml:space="preserve"> Council of Europe Committee of Ministers on </w:t>
      </w:r>
      <w:r>
        <w:rPr>
          <w:rFonts w:cs="Calibri"/>
          <w:lang w:eastAsia="en-GB"/>
        </w:rPr>
        <w:t xml:space="preserve">the </w:t>
      </w:r>
      <w:r w:rsidRPr="00610342">
        <w:rPr>
          <w:rFonts w:cs="Calibri"/>
          <w:lang w:eastAsia="en-GB"/>
        </w:rPr>
        <w:t xml:space="preserve">McKerr Group of cases, informing ongoing supervision. </w:t>
      </w:r>
    </w:p>
    <w:p w14:paraId="055B7013" w14:textId="77777777" w:rsidR="00647FE7" w:rsidRPr="00610342" w:rsidRDefault="00647FE7" w:rsidP="00647FE7">
      <w:pPr>
        <w:spacing w:before="100" w:beforeAutospacing="1" w:after="100" w:afterAutospacing="1"/>
        <w:rPr>
          <w:rFonts w:cs="Calibri"/>
          <w:color w:val="000000" w:themeColor="text1"/>
          <w:lang w:eastAsia="en-GB"/>
        </w:rPr>
      </w:pPr>
      <w:r w:rsidRPr="00610342">
        <w:t xml:space="preserve">The Commission engaged fully with the </w:t>
      </w:r>
      <w:r w:rsidRPr="00610342">
        <w:rPr>
          <w:rFonts w:cs="Calibri"/>
          <w:color w:val="000000" w:themeColor="text1"/>
          <w:lang w:eastAsia="en-GB"/>
        </w:rPr>
        <w:t xml:space="preserve">Committee for Elimination of Racial Discrimination and influenced a number of the Committee’s recommendations. Nineteen of the Committee’s recommendations partially or fully reflect </w:t>
      </w:r>
      <w:r>
        <w:rPr>
          <w:rFonts w:cs="Calibri"/>
          <w:color w:val="000000" w:themeColor="text1"/>
          <w:lang w:eastAsia="en-GB"/>
        </w:rPr>
        <w:t>Commission</w:t>
      </w:r>
      <w:r w:rsidRPr="00610342">
        <w:rPr>
          <w:rFonts w:cs="Calibri"/>
          <w:color w:val="000000" w:themeColor="text1"/>
          <w:lang w:eastAsia="en-GB"/>
        </w:rPr>
        <w:t xml:space="preserve"> positions. In addition, the Commission engaged with the Committee for Economic Social and Cultural rights examination of the UK. Of 64 recommendations contained in the Committee’s report 24 relate to Northern Ireland. With key thematic priorities reflected in the recommendations.</w:t>
      </w:r>
    </w:p>
    <w:p w14:paraId="04ED27F3" w14:textId="3770F223" w:rsidR="00647FE7" w:rsidRPr="00610342" w:rsidRDefault="00647FE7" w:rsidP="00647FE7">
      <w:pPr>
        <w:spacing w:before="100" w:beforeAutospacing="1" w:after="100" w:afterAutospacing="1"/>
        <w:rPr>
          <w:rFonts w:cs="Calibri"/>
          <w:color w:val="000000" w:themeColor="text1"/>
          <w:lang w:eastAsia="en-GB"/>
        </w:rPr>
      </w:pPr>
      <w:r w:rsidRPr="00610342">
        <w:rPr>
          <w:rFonts w:cs="Calibri"/>
          <w:color w:val="000000" w:themeColor="text1"/>
          <w:lang w:eastAsia="en-GB"/>
        </w:rPr>
        <w:t xml:space="preserve">The Council of Europe Commission against Racism and Intolerance adopted its report on the UK in July 2024, making 15 recommendations in total. Of these recommendations, 12 correlated to recommendations made by the </w:t>
      </w:r>
      <w:r>
        <w:rPr>
          <w:rFonts w:cs="Calibri"/>
          <w:color w:val="000000" w:themeColor="text1"/>
          <w:lang w:eastAsia="en-GB"/>
        </w:rPr>
        <w:t>Commission</w:t>
      </w:r>
      <w:r w:rsidRPr="00610342">
        <w:rPr>
          <w:rFonts w:cs="Calibri"/>
          <w:color w:val="000000" w:themeColor="text1"/>
          <w:lang w:eastAsia="en-GB"/>
        </w:rPr>
        <w:t xml:space="preserve"> in its shadow report. Two recommendations were made specifically in relation to NI. The Council of Europe Committee of Experts on European Charter for Regional or Minority Languages published their final report on 19 September 2024. The Committee made 11 recommendations for immediate action; 3 of these related to Irish and 1 related to Ulster Scots. In addition, the report made 40 further recommendations; 9 of these related to Irish and 4 related to Ulster Scots.  </w:t>
      </w:r>
    </w:p>
    <w:p w14:paraId="192242E9"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1.2 (e)</w:t>
      </w:r>
      <w:r w:rsidRPr="007A6076">
        <w:rPr>
          <w:rFonts w:cs="Calibri"/>
          <w:i/>
          <w:iCs/>
          <w:lang w:eastAsia="en-GB"/>
        </w:rPr>
        <w:tab/>
        <w:t>Instances of international organisations and networks engaging with or seeking advice and input from the Commission.</w:t>
      </w:r>
    </w:p>
    <w:p w14:paraId="526DAFDF" w14:textId="77777777" w:rsidR="00647FE7" w:rsidRPr="00610342" w:rsidRDefault="00647FE7" w:rsidP="00647FE7">
      <w:pPr>
        <w:spacing w:before="100" w:beforeAutospacing="1" w:after="100" w:afterAutospacing="1"/>
        <w:rPr>
          <w:rFonts w:cs="Calibri"/>
          <w:lang w:eastAsia="en-GB"/>
        </w:rPr>
      </w:pPr>
      <w:r w:rsidRPr="00610342">
        <w:rPr>
          <w:rFonts w:cs="Calibri"/>
          <w:color w:val="000000" w:themeColor="text1"/>
          <w:lang w:eastAsia="en-GB"/>
        </w:rPr>
        <w:t>The Commission continued to participate in working groups of both the European Network of National Human Rights Institutions</w:t>
      </w:r>
      <w:r>
        <w:rPr>
          <w:rFonts w:cs="Calibri"/>
          <w:color w:val="000000" w:themeColor="text1"/>
          <w:lang w:eastAsia="en-GB"/>
        </w:rPr>
        <w:t xml:space="preserve"> (ENNHRI)</w:t>
      </w:r>
      <w:r w:rsidRPr="00610342">
        <w:rPr>
          <w:rFonts w:cs="Calibri"/>
          <w:color w:val="000000" w:themeColor="text1"/>
          <w:lang w:eastAsia="en-GB"/>
        </w:rPr>
        <w:t>, the Commonwealth Forum of NHRIs and the Global Alliance of National Human Rights Institutions</w:t>
      </w:r>
      <w:r>
        <w:rPr>
          <w:rFonts w:cs="Calibri"/>
          <w:color w:val="000000" w:themeColor="text1"/>
          <w:lang w:eastAsia="en-GB"/>
        </w:rPr>
        <w:t xml:space="preserve"> (GANHRI)</w:t>
      </w:r>
      <w:r w:rsidRPr="00610342">
        <w:rPr>
          <w:rFonts w:cs="Calibri"/>
          <w:color w:val="000000" w:themeColor="text1"/>
          <w:lang w:eastAsia="en-GB"/>
        </w:rPr>
        <w:t xml:space="preserve">. The Commission provided a presentation to the Commonwealth Forum of NHRI Women </w:t>
      </w:r>
      <w:r>
        <w:rPr>
          <w:rFonts w:cs="Calibri"/>
          <w:color w:val="000000" w:themeColor="text1"/>
          <w:lang w:eastAsia="en-GB"/>
        </w:rPr>
        <w:t>and</w:t>
      </w:r>
      <w:r w:rsidRPr="00610342">
        <w:rPr>
          <w:rFonts w:cs="Calibri"/>
          <w:color w:val="000000" w:themeColor="text1"/>
          <w:lang w:eastAsia="en-GB"/>
        </w:rPr>
        <w:t xml:space="preserve"> Girls Working Group on the detention of women. In addition, along with other NHRIs from throughout Europe the Commission participated in the OHCHR </w:t>
      </w:r>
      <w:r w:rsidRPr="00610342">
        <w:rPr>
          <w:rFonts w:cs="Calibri"/>
          <w:color w:val="000000" w:themeColor="text1"/>
          <w:lang w:eastAsia="en-GB"/>
        </w:rPr>
        <w:lastRenderedPageBreak/>
        <w:t xml:space="preserve">consultation event on socio economic rights, exploring how NHRIs can more effectively monitor and report on socio-economic rights. </w:t>
      </w:r>
    </w:p>
    <w:p w14:paraId="5500E5F0" w14:textId="77777777" w:rsidR="00647FE7" w:rsidRDefault="00647FE7" w:rsidP="00647FE7">
      <w:pPr>
        <w:spacing w:before="100" w:beforeAutospacing="1" w:after="100" w:afterAutospacing="1"/>
      </w:pPr>
      <w:r w:rsidRPr="00610342">
        <w:t xml:space="preserve">In February, the Commission, </w:t>
      </w:r>
      <w:r>
        <w:t>ECNI and IHREC</w:t>
      </w:r>
      <w:r w:rsidRPr="00610342">
        <w:t xml:space="preserve"> visited Brussels, meeting Irish MEPs spanning the main political groupings in the European Parliament and holding an event attended </w:t>
      </w:r>
      <w:r>
        <w:t xml:space="preserve">by </w:t>
      </w:r>
      <w:r w:rsidRPr="00610342">
        <w:t>representatives from all the European institutions, the UK Mission to the EU, the Irish Permanent Representation, as well as trade union and civil society representatives. Meetings were also held at official level with European Commission staff, ENNHRI, European Parliamentary research staff and the European Disability Forum. Staff also met the EU Delegation to the UK in June.</w:t>
      </w:r>
    </w:p>
    <w:p w14:paraId="1E81FF8E" w14:textId="77777777" w:rsidR="00647FE7" w:rsidRDefault="00647FE7" w:rsidP="00647FE7">
      <w:pPr>
        <w:spacing w:before="100" w:beforeAutospacing="1" w:after="100" w:afterAutospacing="1"/>
      </w:pPr>
      <w:r>
        <w:t>Throughout the business year the Commission continued to work with the Irish Human Rights and Equality Commission in their role as the Joint Committee under the Belfast (Good Friday) Agreement.</w:t>
      </w:r>
    </w:p>
    <w:p w14:paraId="7C35BC7B" w14:textId="77777777" w:rsidR="00647FE7" w:rsidRDefault="00647FE7" w:rsidP="00647FE7">
      <w:pPr>
        <w:spacing w:before="100" w:beforeAutospacing="1" w:after="100" w:afterAutospacing="1"/>
      </w:pPr>
      <w:r>
        <w:t>The Chief Commissioner is a member of the ENNHRI Board and was also recently appointed to the role of Secretary to GANHRI.  Both of these appointments are for three years.</w:t>
      </w:r>
    </w:p>
    <w:p w14:paraId="3DADB526" w14:textId="73E1FEDF" w:rsidR="00647FE7" w:rsidRPr="00610342" w:rsidRDefault="00647FE7" w:rsidP="00647FE7">
      <w:pPr>
        <w:spacing w:before="100" w:beforeAutospacing="1" w:after="100" w:afterAutospacing="1"/>
      </w:pPr>
      <w:r>
        <w:t>Commission staff also hold roles at ENNHRI as Chair of their Finance Committee and Communications Working Group Chair.</w:t>
      </w:r>
    </w:p>
    <w:p w14:paraId="67C85992" w14:textId="052B5305" w:rsidR="00647FE7" w:rsidRPr="00610342" w:rsidRDefault="00647FE7" w:rsidP="00647FE7">
      <w:pPr>
        <w:spacing w:before="100" w:beforeAutospacing="1" w:after="100" w:afterAutospacing="1"/>
        <w:ind w:left="720" w:hanging="720"/>
        <w:rPr>
          <w:rFonts w:cs="Calibri"/>
          <w:b/>
          <w:bCs/>
          <w:lang w:eastAsia="en-GB"/>
        </w:rPr>
      </w:pPr>
      <w:r w:rsidRPr="00610342">
        <w:rPr>
          <w:rFonts w:cs="Calibri"/>
          <w:b/>
          <w:bCs/>
          <w:lang w:eastAsia="en-GB"/>
        </w:rPr>
        <w:t xml:space="preserve">2. </w:t>
      </w:r>
      <w:r w:rsidRPr="00610342">
        <w:rPr>
          <w:rFonts w:cs="Calibri"/>
          <w:b/>
          <w:bCs/>
          <w:lang w:eastAsia="en-GB"/>
        </w:rPr>
        <w:tab/>
        <w:t>More people, communities and organisations understand and respect human rights</w:t>
      </w:r>
    </w:p>
    <w:p w14:paraId="0C2125D6" w14:textId="77777777" w:rsidR="00647FE7" w:rsidRPr="00C557FC" w:rsidRDefault="00647FE7" w:rsidP="00647FE7">
      <w:pPr>
        <w:spacing w:before="100" w:beforeAutospacing="1" w:after="100" w:afterAutospacing="1"/>
        <w:ind w:left="720" w:hanging="720"/>
        <w:rPr>
          <w:rFonts w:cs="Calibri"/>
          <w:b/>
          <w:bCs/>
          <w:lang w:eastAsia="en-GB"/>
        </w:rPr>
      </w:pPr>
      <w:r w:rsidRPr="00C557FC">
        <w:rPr>
          <w:rFonts w:cs="Calibri"/>
          <w:b/>
          <w:bCs/>
          <w:lang w:eastAsia="en-GB"/>
        </w:rPr>
        <w:t xml:space="preserve">2.1 </w:t>
      </w:r>
      <w:r w:rsidRPr="00C557FC">
        <w:rPr>
          <w:rFonts w:cs="Calibri"/>
          <w:b/>
          <w:bCs/>
          <w:lang w:eastAsia="en-GB"/>
        </w:rPr>
        <w:tab/>
        <w:t>The Commission's promotional activities increases understanding and awareness of human rights in Northern Ireland.</w:t>
      </w:r>
    </w:p>
    <w:p w14:paraId="6EB53684" w14:textId="77777777" w:rsidR="00647FE7" w:rsidRPr="00610342" w:rsidRDefault="00647FE7" w:rsidP="00647FE7">
      <w:pPr>
        <w:spacing w:before="100" w:beforeAutospacing="1" w:after="100" w:afterAutospacing="1"/>
      </w:pPr>
      <w:r w:rsidRPr="00610342">
        <w:rPr>
          <w:rFonts w:eastAsia="Calibri" w:cs="Calibri"/>
        </w:rPr>
        <w:t>The Commission’s work continued to receive significant media attention, with over 800 mentions across television, radio, print, and online platforms. This included coverage in national and regional newspapers. Topics with high levels of interest in the legal challenge to Illegal Migration Act and the Legacy Act.</w:t>
      </w:r>
    </w:p>
    <w:p w14:paraId="38F95380" w14:textId="77777777" w:rsidR="00647FE7" w:rsidRPr="00610342" w:rsidRDefault="00647FE7" w:rsidP="00647FE7">
      <w:pPr>
        <w:spacing w:before="100" w:beforeAutospacing="1" w:after="100" w:afterAutospacing="1"/>
      </w:pPr>
      <w:r w:rsidRPr="00610342">
        <w:rPr>
          <w:rFonts w:eastAsia="Calibri" w:cs="Calibri"/>
        </w:rPr>
        <w:t>Social media remained a strong channel to promote and raise awareness, through X, Facebook and LinkedIn.  The Commission also joined Bluesky in 2024, as more organisations and individuals have sought alter</w:t>
      </w:r>
      <w:r>
        <w:rPr>
          <w:rFonts w:eastAsia="Calibri" w:cs="Calibri"/>
        </w:rPr>
        <w:t>n</w:t>
      </w:r>
      <w:r w:rsidRPr="00610342">
        <w:rPr>
          <w:rFonts w:eastAsia="Calibri" w:cs="Calibri"/>
        </w:rPr>
        <w:t xml:space="preserve">ative platforms. The Commission recognises the current challenges within the social media landscape and </w:t>
      </w:r>
      <w:r>
        <w:rPr>
          <w:rFonts w:eastAsia="Calibri" w:cs="Calibri"/>
        </w:rPr>
        <w:t xml:space="preserve">will </w:t>
      </w:r>
      <w:r w:rsidRPr="00610342">
        <w:rPr>
          <w:rFonts w:eastAsia="Calibri" w:cs="Calibri"/>
        </w:rPr>
        <w:t>continue to review and assess its presence across all platforms in 2025</w:t>
      </w:r>
      <w:r>
        <w:rPr>
          <w:rFonts w:eastAsia="Calibri" w:cs="Calibri"/>
        </w:rPr>
        <w:t>-</w:t>
      </w:r>
      <w:r w:rsidRPr="00610342">
        <w:rPr>
          <w:rFonts w:eastAsia="Calibri" w:cs="Calibri"/>
        </w:rPr>
        <w:t xml:space="preserve">26.   </w:t>
      </w:r>
    </w:p>
    <w:p w14:paraId="50051E8E" w14:textId="77777777" w:rsidR="00647FE7" w:rsidRPr="00610342" w:rsidRDefault="00647FE7" w:rsidP="00647FE7">
      <w:pPr>
        <w:spacing w:before="100" w:beforeAutospacing="1" w:after="100" w:afterAutospacing="1"/>
      </w:pPr>
      <w:r w:rsidRPr="00610342">
        <w:rPr>
          <w:rFonts w:eastAsia="Calibri" w:cs="Calibri"/>
        </w:rPr>
        <w:t xml:space="preserve">Social media activity included promotion of the Chief Commissioner’s appointment as Secretary to the Global Alliance of National Human Rights Institutions. Also widely featured was the “Shared Goals” podcast series with an episode on gender budgeting with Aoife Mallon from Ulster University to mark International Women’s Day. </w:t>
      </w:r>
    </w:p>
    <w:p w14:paraId="6F720B3E" w14:textId="77777777" w:rsidR="00647FE7" w:rsidRPr="00610342" w:rsidRDefault="00647FE7" w:rsidP="00647FE7">
      <w:pPr>
        <w:spacing w:before="100" w:beforeAutospacing="1" w:after="100" w:afterAutospacing="1"/>
      </w:pPr>
      <w:r w:rsidRPr="00610342">
        <w:rPr>
          <w:rFonts w:eastAsia="Calibri" w:cs="Calibri"/>
        </w:rPr>
        <w:lastRenderedPageBreak/>
        <w:t>The Commission’s website recorded over 70,000 page views across the year. The most visited pages included the Human Rights After Brexit section and job vacancies. March saw the highest traffic and a notable increase in Human Rights after Brexit content views, attributed to a proactive awareness raising campaign on social media which highlighted rights protected under Article 2 of the Windsor Framework.</w:t>
      </w:r>
    </w:p>
    <w:p w14:paraId="2931F2F5" w14:textId="0A252D7B" w:rsidR="00647FE7" w:rsidRPr="00647FE7" w:rsidRDefault="00647FE7" w:rsidP="00647FE7">
      <w:pPr>
        <w:spacing w:before="100" w:beforeAutospacing="1" w:after="100" w:afterAutospacing="1"/>
        <w:rPr>
          <w:rFonts w:eastAsia="Calibri" w:cs="Calibri"/>
        </w:rPr>
      </w:pPr>
      <w:r w:rsidRPr="00610342">
        <w:rPr>
          <w:rFonts w:eastAsia="Calibri" w:cs="Calibri"/>
        </w:rPr>
        <w:t xml:space="preserve">Public-facing events were a key part of the Commission’s promotional activities this year.  The Annual Lecture in partnership with the Bar of Northern Ireland, took place in the Royal Courts of Justice and was opened by Lady Chief Justice the Right Honourable Dame Siobhan Keegan. The Commissioner for Human Rights at the Council of Europe, Dr Michael O’Flaherty, delivered the keynote address entitled </w:t>
      </w:r>
      <w:r w:rsidRPr="00610342">
        <w:rPr>
          <w:rFonts w:eastAsia="Calibri" w:cs="Calibri"/>
          <w:i/>
          <w:iCs/>
        </w:rPr>
        <w:t xml:space="preserve">Uphold the Rule of Law- Resist the Push Back. </w:t>
      </w:r>
      <w:r w:rsidRPr="00610342">
        <w:rPr>
          <w:rFonts w:eastAsia="Calibri" w:cs="Calibri"/>
        </w:rPr>
        <w:t xml:space="preserve">The Annual Statement was delivered at the Long Gallery in Parliament Buildings and Baroness Shami Chakrabarti CBE delivered the keynote address on </w:t>
      </w:r>
      <w:r w:rsidRPr="00610342">
        <w:rPr>
          <w:rFonts w:eastAsia="Calibri" w:cs="Calibri"/>
          <w:i/>
          <w:iCs/>
        </w:rPr>
        <w:t>Human Rights: A Case for the Defence</w:t>
      </w:r>
      <w:r w:rsidRPr="00610342">
        <w:rPr>
          <w:rFonts w:eastAsia="Calibri" w:cs="Calibri"/>
        </w:rPr>
        <w:t>. Over 300 stakeholders attended the online and in person events. Representatives included political parties, public sector, civil society, the legal profession, schools and universities.</w:t>
      </w:r>
    </w:p>
    <w:p w14:paraId="7C4262F0" w14:textId="77777777" w:rsidR="00647FE7" w:rsidRPr="00C557FC" w:rsidRDefault="00647FE7" w:rsidP="00647FE7">
      <w:pPr>
        <w:spacing w:before="100" w:beforeAutospacing="1" w:after="100" w:afterAutospacing="1"/>
        <w:ind w:left="720" w:hanging="720"/>
        <w:rPr>
          <w:b/>
          <w:bCs/>
        </w:rPr>
      </w:pPr>
      <w:r w:rsidRPr="00C557FC">
        <w:rPr>
          <w:rFonts w:eastAsia="Calibri" w:cs="Calibri"/>
          <w:b/>
          <w:bCs/>
        </w:rPr>
        <w:t>2.2</w:t>
      </w:r>
      <w:r w:rsidRPr="00C557FC">
        <w:rPr>
          <w:rFonts w:eastAsia="Calibri" w:cs="Calibri"/>
          <w:b/>
          <w:bCs/>
        </w:rPr>
        <w:tab/>
        <w:t xml:space="preserve">The Commission's education activities increase the capability of individuals, communities and organisations to promote and protect human rights. </w:t>
      </w:r>
    </w:p>
    <w:p w14:paraId="19DA8B66" w14:textId="77777777" w:rsidR="00647FE7" w:rsidRPr="00610342" w:rsidRDefault="00647FE7" w:rsidP="00647FE7">
      <w:pPr>
        <w:spacing w:before="100" w:beforeAutospacing="1" w:after="100" w:afterAutospacing="1"/>
      </w:pPr>
      <w:r w:rsidRPr="00610342">
        <w:rPr>
          <w:rFonts w:eastAsia="Calibri" w:cs="Calibri"/>
        </w:rPr>
        <w:t>The Commission continued to deliver human rights education and engagement focusing on thematic areas of sport, climate change and business.</w:t>
      </w:r>
    </w:p>
    <w:p w14:paraId="7022856B" w14:textId="77777777" w:rsidR="00647FE7" w:rsidRPr="00610342" w:rsidRDefault="00647FE7" w:rsidP="00647FE7">
      <w:pPr>
        <w:spacing w:before="100" w:beforeAutospacing="1" w:after="100" w:afterAutospacing="1"/>
      </w:pPr>
      <w:r w:rsidRPr="00610342">
        <w:rPr>
          <w:rFonts w:eastAsia="Calibri" w:cs="Calibri"/>
        </w:rPr>
        <w:t>Despite limited resources, the team continued to reach a diverse audience of students, educators, and community groups. Workshops were delivered in schools and colleges across Northern Ireland, including Dungannon Integrated College, North West Regional College and Priory Integrated College. Feedback from participants was overwhelmingly positive and reported an increased understanding of human rights and the Commission’s role.</w:t>
      </w:r>
    </w:p>
    <w:p w14:paraId="77655101" w14:textId="77777777" w:rsidR="00647FE7" w:rsidRPr="00610342" w:rsidRDefault="00647FE7" w:rsidP="00647FE7">
      <w:pPr>
        <w:spacing w:before="100" w:beforeAutospacing="1" w:after="100" w:afterAutospacing="1"/>
      </w:pPr>
      <w:r w:rsidRPr="00610342">
        <w:rPr>
          <w:rFonts w:eastAsia="Calibri" w:cs="Calibri"/>
        </w:rPr>
        <w:t>The Commission engaged with youth organisations and community groups, including the Mencap Heroes Programme at Longstone School and the Youth Initiatives crosslinks project in Coleraine. A workshop with the NI Youth Assembly provided an opportunity for young people to contribute feedback to the Commission’s Strategic Plan.</w:t>
      </w:r>
    </w:p>
    <w:p w14:paraId="04E18C60" w14:textId="77777777" w:rsidR="00647FE7" w:rsidRPr="00610342" w:rsidRDefault="00647FE7" w:rsidP="00647FE7">
      <w:pPr>
        <w:spacing w:before="100" w:beforeAutospacing="1" w:after="100" w:afterAutospacing="1"/>
      </w:pPr>
      <w:r w:rsidRPr="00610342">
        <w:rPr>
          <w:rFonts w:eastAsia="Calibri" w:cs="Calibri"/>
        </w:rPr>
        <w:t>Climate-focused sessions were delivered to Eco-Schools teachers across 11 council areas. The Commission also co-hosted a panel discussion on Human Rights and the Sustainable Development Goals with Queen’s University Belfast during the Northern Ireland Human Rights Festival.</w:t>
      </w:r>
    </w:p>
    <w:p w14:paraId="5BD2FFD6" w14:textId="77777777" w:rsidR="00647FE7" w:rsidRPr="00610342" w:rsidRDefault="00647FE7" w:rsidP="00647FE7">
      <w:pPr>
        <w:spacing w:before="100" w:beforeAutospacing="1" w:after="100" w:afterAutospacing="1"/>
      </w:pPr>
      <w:r w:rsidRPr="00610342">
        <w:rPr>
          <w:rFonts w:eastAsia="Calibri" w:cs="Calibri"/>
        </w:rPr>
        <w:t xml:space="preserve">The Commission continued to support the Sports and Human Rights Forum, hosting 3 meetings with increased member participation.  Areas of </w:t>
      </w:r>
      <w:r w:rsidRPr="00610342">
        <w:rPr>
          <w:rFonts w:eastAsia="Calibri" w:cs="Calibri"/>
        </w:rPr>
        <w:lastRenderedPageBreak/>
        <w:t>focus are member led and this year highlighted child rights in sport, sport and inclusion and the role of sport in ending violence against women and girls.</w:t>
      </w:r>
    </w:p>
    <w:p w14:paraId="3878ABDB" w14:textId="024BF0A2" w:rsidR="00647FE7" w:rsidRPr="00647FE7" w:rsidRDefault="00647FE7" w:rsidP="00647FE7">
      <w:pPr>
        <w:spacing w:before="100" w:beforeAutospacing="1" w:after="100" w:afterAutospacing="1"/>
        <w:rPr>
          <w:rFonts w:eastAsia="Calibri" w:cs="Calibri"/>
        </w:rPr>
      </w:pPr>
      <w:r w:rsidRPr="00610342">
        <w:rPr>
          <w:rFonts w:eastAsia="Calibri" w:cs="Calibri"/>
        </w:rPr>
        <w:t xml:space="preserve">In partnership with Queen’s University Belfast, we published the first business and human rights index for NI. The project was funded by </w:t>
      </w:r>
      <w:r>
        <w:rPr>
          <w:rFonts w:eastAsia="Calibri" w:cs="Calibri"/>
        </w:rPr>
        <w:t>ENNHRI</w:t>
      </w:r>
      <w:r w:rsidRPr="00610342">
        <w:rPr>
          <w:rFonts w:eastAsia="Calibri" w:cs="Calibri"/>
        </w:rPr>
        <w:t xml:space="preserve"> and </w:t>
      </w:r>
      <w:r>
        <w:rPr>
          <w:rFonts w:eastAsia="Calibri" w:cs="Calibri"/>
        </w:rPr>
        <w:t xml:space="preserve">the Commission </w:t>
      </w:r>
      <w:r w:rsidRPr="00610342">
        <w:rPr>
          <w:rFonts w:eastAsia="Calibri" w:cs="Calibri"/>
        </w:rPr>
        <w:t xml:space="preserve">plans </w:t>
      </w:r>
      <w:r>
        <w:rPr>
          <w:rFonts w:eastAsia="Calibri" w:cs="Calibri"/>
        </w:rPr>
        <w:t>to</w:t>
      </w:r>
      <w:r w:rsidRPr="00610342">
        <w:rPr>
          <w:rFonts w:eastAsia="Calibri" w:cs="Calibri"/>
        </w:rPr>
        <w:t xml:space="preserve"> continue to deliver stakeholder workshops in the </w:t>
      </w:r>
      <w:r>
        <w:rPr>
          <w:rFonts w:eastAsia="Calibri" w:cs="Calibri"/>
        </w:rPr>
        <w:t>20</w:t>
      </w:r>
      <w:r w:rsidRPr="00610342">
        <w:rPr>
          <w:rFonts w:eastAsia="Calibri" w:cs="Calibri"/>
        </w:rPr>
        <w:t>25-26 business year.</w:t>
      </w:r>
    </w:p>
    <w:p w14:paraId="44B3757C" w14:textId="5296F320" w:rsidR="00647FE7" w:rsidRPr="00610342" w:rsidRDefault="00647FE7" w:rsidP="00647FE7">
      <w:pPr>
        <w:spacing w:before="100" w:beforeAutospacing="1" w:after="100" w:afterAutospacing="1"/>
        <w:ind w:left="720" w:hanging="720"/>
        <w:rPr>
          <w:rFonts w:cs="Calibri"/>
          <w:b/>
          <w:bCs/>
          <w:lang w:eastAsia="en-GB"/>
        </w:rPr>
      </w:pPr>
      <w:r w:rsidRPr="00610342">
        <w:rPr>
          <w:rFonts w:cs="Calibri"/>
          <w:b/>
          <w:bCs/>
          <w:lang w:eastAsia="en-GB"/>
        </w:rPr>
        <w:t xml:space="preserve">3. </w:t>
      </w:r>
      <w:r w:rsidRPr="00610342">
        <w:rPr>
          <w:rFonts w:cs="Calibri"/>
          <w:b/>
          <w:bCs/>
          <w:lang w:eastAsia="en-GB"/>
        </w:rPr>
        <w:tab/>
        <w:t>Effective access to justice and remedies for people and communities who have their human rights violated or abused</w:t>
      </w:r>
    </w:p>
    <w:p w14:paraId="590D6AF2" w14:textId="06CEDCE6" w:rsidR="00647FE7" w:rsidRPr="00C557FC" w:rsidRDefault="00647FE7" w:rsidP="00647FE7">
      <w:pPr>
        <w:tabs>
          <w:tab w:val="left" w:pos="4028"/>
        </w:tabs>
        <w:spacing w:before="100" w:beforeAutospacing="1" w:after="100" w:afterAutospacing="1"/>
        <w:ind w:left="720" w:hanging="720"/>
        <w:rPr>
          <w:rFonts w:cs="Calibri"/>
          <w:b/>
          <w:bCs/>
          <w:lang w:eastAsia="en-GB"/>
        </w:rPr>
      </w:pPr>
      <w:r w:rsidRPr="00C557FC">
        <w:rPr>
          <w:rFonts w:cs="Calibri"/>
          <w:b/>
          <w:bCs/>
          <w:lang w:eastAsia="en-GB"/>
        </w:rPr>
        <w:t>3.1</w:t>
      </w:r>
      <w:r w:rsidRPr="00C557FC">
        <w:rPr>
          <w:rFonts w:cs="Calibri"/>
          <w:b/>
          <w:bCs/>
          <w:lang w:eastAsia="en-GB"/>
        </w:rPr>
        <w:tab/>
        <w:t>The Commission delivers support to individuals and groups who seek assistance and successfully exercises its legal and investigatory powers.</w:t>
      </w:r>
    </w:p>
    <w:p w14:paraId="72CCB2A2"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3.1 (a)</w:t>
      </w:r>
      <w:r w:rsidRPr="007A6076">
        <w:rPr>
          <w:rFonts w:cs="Calibri"/>
          <w:i/>
          <w:iCs/>
          <w:lang w:eastAsia="en-GB"/>
        </w:rPr>
        <w:tab/>
        <w:t>A majority of applications by the Commission to courts and tribunals for leave to appear or provide written submissions are granted.</w:t>
      </w:r>
    </w:p>
    <w:p w14:paraId="31EDE032"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 xml:space="preserve">Having participated in the challenge to the </w:t>
      </w:r>
      <w:bookmarkStart w:id="8" w:name="_Hlk198544718"/>
      <w:r w:rsidRPr="00610342">
        <w:rPr>
          <w:rFonts w:cs="Calibri"/>
          <w:lang w:eastAsia="en-GB"/>
        </w:rPr>
        <w:t>NI Troubles (Legacy and Reconciliation) Act 2023</w:t>
      </w:r>
      <w:bookmarkEnd w:id="8"/>
      <w:r w:rsidRPr="00610342">
        <w:rPr>
          <w:rFonts w:cs="Calibri"/>
          <w:lang w:eastAsia="en-GB"/>
        </w:rPr>
        <w:t xml:space="preserve"> at the NI High Court, the Commission was granted leave to intervene, both orally and in writing, before the Court of Appeal. Judgment was handed down in September 202</w:t>
      </w:r>
      <w:r>
        <w:rPr>
          <w:rFonts w:cs="Calibri"/>
          <w:lang w:eastAsia="en-GB"/>
        </w:rPr>
        <w:t>4 and</w:t>
      </w:r>
      <w:r w:rsidRPr="00610342">
        <w:rPr>
          <w:rFonts w:cs="Calibri"/>
          <w:lang w:eastAsia="en-GB"/>
        </w:rPr>
        <w:t xml:space="preserve"> is likely to be appealed to the UK Supreme Court. </w:t>
      </w:r>
    </w:p>
    <w:p w14:paraId="0DBEB502"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The Commission also supported two individuals in taking legal action during the year. In the matter of JR123, on the compatibility of the Rehabilitation of Offenders (NI) Order 1978 with Article 8 ECHR, the Commission continued its support making an application to the UK Supreme Court. The appeal was accepted, and the hearing took place in October 2024. The UK Supreme Court gave judgment in January 2025 and the appeal was dismissed.</w:t>
      </w:r>
      <w:r w:rsidRPr="00610342">
        <w:rPr>
          <w:rStyle w:val="FootnoteReference"/>
          <w:rFonts w:cs="Calibri"/>
          <w:lang w:eastAsia="en-GB"/>
        </w:rPr>
        <w:footnoteReference w:id="3"/>
      </w:r>
    </w:p>
    <w:p w14:paraId="012A3709" w14:textId="7F28D6FD" w:rsidR="00647FE7" w:rsidRPr="00610342" w:rsidRDefault="00647FE7" w:rsidP="00647FE7">
      <w:pPr>
        <w:spacing w:before="100" w:beforeAutospacing="1" w:after="100" w:afterAutospacing="1"/>
        <w:rPr>
          <w:rFonts w:cs="Calibri"/>
          <w:lang w:eastAsia="en-GB"/>
        </w:rPr>
      </w:pPr>
      <w:r w:rsidRPr="00610342">
        <w:rPr>
          <w:rFonts w:cs="Calibri"/>
          <w:lang w:eastAsia="en-GB"/>
        </w:rPr>
        <w:t xml:space="preserve">The Commission also represented an individual before the Social Security Appeals Tribunal on the issue of the eligibility of non-married partners without children to Bereavement Support Payment. The full hearing of the case took place in October 2024 and judgment is awaited. </w:t>
      </w:r>
    </w:p>
    <w:p w14:paraId="4B8E1382"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3.1 (b)</w:t>
      </w:r>
      <w:r w:rsidRPr="007A6076">
        <w:rPr>
          <w:rFonts w:cs="Calibri"/>
          <w:i/>
          <w:iCs/>
          <w:lang w:eastAsia="en-GB"/>
        </w:rPr>
        <w:tab/>
        <w:t>Instances of the Commission's submissions reflected in the judgment of the matter.</w:t>
      </w:r>
    </w:p>
    <w:p w14:paraId="248F47C2"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 xml:space="preserve">The Commission pursued two own-motion judicial review actions before the Courts in 2024-25. </w:t>
      </w:r>
    </w:p>
    <w:p w14:paraId="27C0A123"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 xml:space="preserve">In its challenge to the design and operation of the Housing Selection Scheme against the NI Housing Executive and Department for Communities, the Commission decided to withdraw its judicial review </w:t>
      </w:r>
      <w:r w:rsidRPr="00610342">
        <w:rPr>
          <w:rFonts w:cs="Calibri"/>
          <w:lang w:eastAsia="en-GB"/>
        </w:rPr>
        <w:lastRenderedPageBreak/>
        <w:t xml:space="preserve">application, in February 2025, following changes to the scheme proposed by the respondents. The Commission will continue to monitor policy developments in this area. </w:t>
      </w:r>
    </w:p>
    <w:p w14:paraId="23F29661"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The second challenge, against the Secretary of State for the Home Department and Secretary of State for NI, was in respect of the Illegal Migration Act and its incompatibility with the ECHR and Article 2(1) of the Windsor Framework. In May 2024, the High Court ruled that a number of the provisions of the legislation, including those relating to removal, the effective examination of asylum claims, non-refoulement and trafficking, were in breach of Article 2(1) of the Windsor Framework and the ECHR.</w:t>
      </w:r>
      <w:r w:rsidRPr="00610342">
        <w:rPr>
          <w:rStyle w:val="FootnoteReference"/>
          <w:rFonts w:cs="Calibri"/>
          <w:lang w:eastAsia="en-GB"/>
        </w:rPr>
        <w:footnoteReference w:id="4"/>
      </w:r>
      <w:r w:rsidRPr="00610342">
        <w:rPr>
          <w:rFonts w:cs="Calibri"/>
          <w:lang w:eastAsia="en-GB"/>
        </w:rPr>
        <w:t xml:space="preserve"> The Court confirmed that the provisions in breach of Article 2(1) were to be disapplied and issued declarations of incompatibility in respect of breaches of the ECHR, in line with the Commission’s arguments. The matter was appealed by the government and has been stayed before the Court of Appeal.</w:t>
      </w:r>
    </w:p>
    <w:p w14:paraId="3FAE5C2A" w14:textId="6E85A78F" w:rsidR="00647FE7" w:rsidRPr="00610342" w:rsidRDefault="00647FE7" w:rsidP="00647FE7">
      <w:pPr>
        <w:spacing w:before="100" w:beforeAutospacing="1" w:after="100" w:afterAutospacing="1"/>
        <w:rPr>
          <w:rFonts w:cs="Calibri"/>
          <w:lang w:eastAsia="en-GB"/>
        </w:rPr>
      </w:pPr>
      <w:r w:rsidRPr="00610342">
        <w:rPr>
          <w:rFonts w:cs="Calibri"/>
          <w:lang w:eastAsia="en-GB"/>
        </w:rPr>
        <w:t xml:space="preserve">The Commission’s oral and written intervention in the challenge to the NI Troubles (Legacy and Reconciliation) Act 2023 was highlighted in the judgment. The Court specifically highlighted a number of the Commission’s unique arguments, in particular relating to the application of Article 2(1) of the Windsor Framework. </w:t>
      </w:r>
      <w:r>
        <w:rPr>
          <w:rFonts w:cs="Calibri"/>
          <w:lang w:eastAsia="en-GB"/>
        </w:rPr>
        <w:t>The judgment was consistent with the advice of the Commission and the Court noted that the views of the Dedicated Mechanism “carry considerable force”.</w:t>
      </w:r>
      <w:r>
        <w:rPr>
          <w:rStyle w:val="FootnoteReference"/>
          <w:rFonts w:cs="Calibri"/>
          <w:lang w:eastAsia="en-GB"/>
        </w:rPr>
        <w:footnoteReference w:id="5"/>
      </w:r>
    </w:p>
    <w:p w14:paraId="1F12899B"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3.1 (c)</w:t>
      </w:r>
      <w:r w:rsidRPr="007A6076">
        <w:rPr>
          <w:rFonts w:cs="Calibri"/>
          <w:i/>
          <w:iCs/>
          <w:lang w:eastAsia="en-GB"/>
        </w:rPr>
        <w:tab/>
        <w:t>The Specialised Committee on issues related to the implementation of the Protocol on Ireland/Northern Ireland of the European Union Withdrawal Agreement accepts referrals and reflects advice provided by the Commission.</w:t>
      </w:r>
    </w:p>
    <w:p w14:paraId="4C4CF9F8" w14:textId="441C4794" w:rsidR="00C557FC" w:rsidRPr="003C5B43" w:rsidRDefault="00647FE7" w:rsidP="00647FE7">
      <w:pPr>
        <w:spacing w:before="100" w:beforeAutospacing="1" w:after="100" w:afterAutospacing="1"/>
        <w:rPr>
          <w:rFonts w:cs="Calibri"/>
          <w:lang w:eastAsia="en-GB"/>
        </w:rPr>
      </w:pPr>
      <w:r>
        <w:rPr>
          <w:rFonts w:cs="Calibri"/>
          <w:lang w:eastAsia="en-GB"/>
        </w:rPr>
        <w:t xml:space="preserve">UK </w:t>
      </w:r>
      <w:r w:rsidRPr="00822DB5">
        <w:rPr>
          <w:rFonts w:cs="Calibri"/>
          <w:lang w:eastAsia="en-GB"/>
        </w:rPr>
        <w:t xml:space="preserve">and EU officials </w:t>
      </w:r>
      <w:r>
        <w:rPr>
          <w:rFonts w:cs="Calibri"/>
          <w:lang w:eastAsia="en-GB"/>
        </w:rPr>
        <w:t>who co-chair</w:t>
      </w:r>
      <w:r w:rsidRPr="00822DB5">
        <w:rPr>
          <w:rFonts w:cs="Calibri"/>
          <w:lang w:eastAsia="en-GB"/>
        </w:rPr>
        <w:t xml:space="preserve"> the Joint Consultative Working Group</w:t>
      </w:r>
      <w:r>
        <w:rPr>
          <w:rFonts w:cs="Calibri"/>
          <w:lang w:eastAsia="en-GB"/>
        </w:rPr>
        <w:t>,</w:t>
      </w:r>
      <w:r w:rsidRPr="00822DB5">
        <w:rPr>
          <w:rFonts w:cs="Calibri"/>
          <w:lang w:eastAsia="en-GB"/>
        </w:rPr>
        <w:t xml:space="preserve"> which reports to the Specialised Committee</w:t>
      </w:r>
      <w:r>
        <w:rPr>
          <w:rFonts w:cs="Calibri"/>
          <w:lang w:eastAsia="en-GB"/>
        </w:rPr>
        <w:t>,</w:t>
      </w:r>
      <w:r w:rsidRPr="00822DB5">
        <w:rPr>
          <w:rFonts w:cs="Calibri"/>
          <w:lang w:eastAsia="en-GB"/>
        </w:rPr>
        <w:t xml:space="preserve"> confirmed that issues raised by the Commission</w:t>
      </w:r>
      <w:r>
        <w:rPr>
          <w:rFonts w:cs="Calibri"/>
          <w:lang w:eastAsia="en-GB"/>
        </w:rPr>
        <w:t>s</w:t>
      </w:r>
      <w:r w:rsidRPr="00822DB5">
        <w:rPr>
          <w:rFonts w:cs="Calibri"/>
          <w:lang w:eastAsia="en-GB"/>
        </w:rPr>
        <w:t xml:space="preserve"> </w:t>
      </w:r>
      <w:r>
        <w:rPr>
          <w:rFonts w:cs="Calibri"/>
          <w:lang w:eastAsia="en-GB"/>
        </w:rPr>
        <w:t xml:space="preserve">in relation to new EU measures of potential relevance to WFA2 </w:t>
      </w:r>
      <w:r w:rsidRPr="00822DB5">
        <w:rPr>
          <w:rFonts w:cs="Calibri"/>
          <w:lang w:eastAsia="en-GB"/>
        </w:rPr>
        <w:t>have been discussed.</w:t>
      </w:r>
    </w:p>
    <w:p w14:paraId="6CB144CF" w14:textId="77777777" w:rsidR="00647FE7" w:rsidRPr="007A6076" w:rsidRDefault="00647FE7" w:rsidP="00647FE7">
      <w:pPr>
        <w:spacing w:before="100" w:beforeAutospacing="1" w:after="100" w:afterAutospacing="1"/>
        <w:rPr>
          <w:rFonts w:cs="Calibri"/>
          <w:i/>
          <w:iCs/>
          <w:lang w:eastAsia="en-GB"/>
        </w:rPr>
      </w:pPr>
      <w:r w:rsidRPr="007A6076">
        <w:rPr>
          <w:rFonts w:cs="Calibri"/>
          <w:i/>
          <w:iCs/>
          <w:lang w:eastAsia="en-GB"/>
        </w:rPr>
        <w:t>3.1 (d)</w:t>
      </w:r>
      <w:r w:rsidRPr="007A6076">
        <w:rPr>
          <w:rFonts w:cs="Calibri"/>
          <w:i/>
          <w:iCs/>
          <w:lang w:eastAsia="en-GB"/>
        </w:rPr>
        <w:tab/>
        <w:t>Instances of support provided to individual clients.</w:t>
      </w:r>
    </w:p>
    <w:p w14:paraId="67A9B235"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 xml:space="preserve">The Commission received 416 requests for legal assistance </w:t>
      </w:r>
      <w:r>
        <w:rPr>
          <w:rFonts w:cs="Calibri"/>
          <w:lang w:eastAsia="en-GB"/>
        </w:rPr>
        <w:t>in</w:t>
      </w:r>
      <w:r w:rsidRPr="00610342">
        <w:rPr>
          <w:rFonts w:cs="Calibri"/>
          <w:lang w:eastAsia="en-GB"/>
        </w:rPr>
        <w:t xml:space="preserve"> 2024-25 across a broad range of issues including complaints against public authorities, social security, environment and planning, criminal justice and privacy issues. The Commission, in light of its own-motion housing case, has assisted a number of clients with related housing issues through the relevant complaint procedures and consideration of further legal action. </w:t>
      </w:r>
    </w:p>
    <w:p w14:paraId="046C541E" w14:textId="765B05DC" w:rsidR="00647FE7" w:rsidRPr="00610342" w:rsidRDefault="00647FE7" w:rsidP="00647FE7">
      <w:pPr>
        <w:spacing w:before="100" w:beforeAutospacing="1" w:after="100" w:afterAutospacing="1"/>
        <w:rPr>
          <w:rFonts w:cs="Calibri"/>
          <w:lang w:eastAsia="en-GB"/>
        </w:rPr>
      </w:pPr>
      <w:r w:rsidRPr="00610342">
        <w:rPr>
          <w:rFonts w:cs="Calibri"/>
          <w:lang w:eastAsia="en-GB"/>
        </w:rPr>
        <w:t xml:space="preserve">The Commission’s board considered seven applications for legal assistance across the year: six in respect of individual cases and one regarding an </w:t>
      </w:r>
      <w:r w:rsidRPr="00610342">
        <w:rPr>
          <w:rFonts w:cs="Calibri"/>
          <w:lang w:eastAsia="en-GB"/>
        </w:rPr>
        <w:lastRenderedPageBreak/>
        <w:t xml:space="preserve">own-motion challenge.  All applications were approved. It was not necessary to pursue </w:t>
      </w:r>
      <w:r>
        <w:rPr>
          <w:rFonts w:cs="Calibri"/>
          <w:lang w:eastAsia="en-GB"/>
        </w:rPr>
        <w:t xml:space="preserve">the </w:t>
      </w:r>
      <w:r w:rsidRPr="00610342">
        <w:rPr>
          <w:rFonts w:cs="Calibri"/>
          <w:lang w:eastAsia="en-GB"/>
        </w:rPr>
        <w:t xml:space="preserve">proposed legal action in two matters. </w:t>
      </w:r>
    </w:p>
    <w:p w14:paraId="4AE3A930"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3.1 (e)</w:t>
      </w:r>
      <w:r w:rsidRPr="007A6076">
        <w:rPr>
          <w:rFonts w:cs="Calibri"/>
          <w:i/>
          <w:iCs/>
          <w:lang w:eastAsia="en-GB"/>
        </w:rPr>
        <w:tab/>
        <w:t>Instances of investigations by the Commission resulting in actions by the UK government, NI Executive or public authorities to improve respect and protection of human rights.</w:t>
      </w:r>
    </w:p>
    <w:p w14:paraId="120B6194" w14:textId="206BC085" w:rsidR="00647FE7" w:rsidRPr="00647FE7" w:rsidRDefault="00647FE7" w:rsidP="00647FE7">
      <w:pPr>
        <w:spacing w:before="100" w:beforeAutospacing="1" w:after="100" w:afterAutospacing="1"/>
        <w:rPr>
          <w:rFonts w:cs="Calibri"/>
          <w:lang w:eastAsia="en-GB"/>
        </w:rPr>
      </w:pPr>
      <w:r w:rsidRPr="00610342">
        <w:rPr>
          <w:rFonts w:cs="Calibri"/>
          <w:lang w:eastAsia="en-GB"/>
        </w:rPr>
        <w:t xml:space="preserve">Throughout this business year the Commission has conducted a follow up review to its investigation report on RSE provision. The Commission has noted a number of improvements in RSE provision in NI and will publish its report in the first quarter of the next business year. </w:t>
      </w:r>
    </w:p>
    <w:p w14:paraId="3FC3A7CA" w14:textId="43C6DCA3" w:rsidR="00647FE7" w:rsidRPr="00610342" w:rsidRDefault="00647FE7" w:rsidP="00647FE7">
      <w:pPr>
        <w:spacing w:before="100" w:beforeAutospacing="1" w:after="100" w:afterAutospacing="1"/>
        <w:ind w:left="720" w:hanging="720"/>
        <w:rPr>
          <w:rFonts w:cs="Calibri"/>
          <w:b/>
          <w:bCs/>
          <w:lang w:eastAsia="en-GB"/>
        </w:rPr>
      </w:pPr>
      <w:r w:rsidRPr="00610342">
        <w:rPr>
          <w:rFonts w:cs="Calibri"/>
          <w:b/>
          <w:bCs/>
          <w:lang w:eastAsia="en-GB"/>
        </w:rPr>
        <w:t xml:space="preserve">4. </w:t>
      </w:r>
      <w:r w:rsidRPr="00610342">
        <w:rPr>
          <w:rFonts w:cs="Calibri"/>
          <w:b/>
          <w:bCs/>
          <w:lang w:eastAsia="en-GB"/>
        </w:rPr>
        <w:tab/>
        <w:t>To be a learning organisation, improving our skills to achieve the greatest impact</w:t>
      </w:r>
    </w:p>
    <w:p w14:paraId="7B0C4C58" w14:textId="05D0AAD6" w:rsidR="00647FE7" w:rsidRPr="00C557FC" w:rsidRDefault="00647FE7" w:rsidP="00647FE7">
      <w:pPr>
        <w:spacing w:before="100" w:beforeAutospacing="1" w:after="100" w:afterAutospacing="1"/>
        <w:ind w:left="720" w:hanging="720"/>
        <w:rPr>
          <w:rFonts w:cs="Calibri"/>
          <w:b/>
          <w:bCs/>
          <w:lang w:eastAsia="en-GB"/>
        </w:rPr>
      </w:pPr>
      <w:r w:rsidRPr="00C557FC">
        <w:rPr>
          <w:rFonts w:cs="Calibri"/>
          <w:b/>
          <w:bCs/>
          <w:lang w:eastAsia="en-GB"/>
        </w:rPr>
        <w:t xml:space="preserve">4.1 </w:t>
      </w:r>
      <w:r w:rsidRPr="00C557FC">
        <w:rPr>
          <w:rFonts w:cs="Calibri"/>
          <w:b/>
          <w:bCs/>
          <w:lang w:eastAsia="en-GB"/>
        </w:rPr>
        <w:tab/>
        <w:t>The Commission delivers continuous improvements in accordance with its mandate and the Paris Principles (United Nations General Assembly Resolution 48/134).</w:t>
      </w:r>
    </w:p>
    <w:p w14:paraId="21D9BC70"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4.1 (a)</w:t>
      </w:r>
      <w:r w:rsidRPr="007A6076">
        <w:rPr>
          <w:rFonts w:cs="Calibri"/>
          <w:i/>
          <w:iCs/>
          <w:lang w:eastAsia="en-GB"/>
        </w:rPr>
        <w:tab/>
        <w:t>The Commission retains its United Nations accreditation with Global Alliance of National Human Rights Institutions and effectively seeks to address any recommendations.</w:t>
      </w:r>
    </w:p>
    <w:p w14:paraId="391EE0E4" w14:textId="77777777" w:rsidR="00647FE7" w:rsidRDefault="00647FE7" w:rsidP="00647FE7">
      <w:pPr>
        <w:spacing w:before="100" w:beforeAutospacing="1" w:after="100" w:afterAutospacing="1"/>
        <w:rPr>
          <w:rFonts w:cs="Calibri"/>
          <w:lang w:eastAsia="en-GB"/>
        </w:rPr>
      </w:pPr>
      <w:r>
        <w:rPr>
          <w:rFonts w:cs="Calibri"/>
          <w:lang w:eastAsia="en-GB"/>
        </w:rPr>
        <w:t>The Commission retained its ‘A’ status accreditation by the United Nations and formally received its re-accreditation at the GANHRI General Assembly on 8 May 2024.</w:t>
      </w:r>
    </w:p>
    <w:p w14:paraId="70A65A40" w14:textId="77777777" w:rsidR="00647FE7" w:rsidRPr="00610342" w:rsidRDefault="00647FE7" w:rsidP="00647FE7">
      <w:pPr>
        <w:spacing w:before="100" w:beforeAutospacing="1" w:after="100" w:afterAutospacing="1"/>
        <w:rPr>
          <w:rFonts w:cs="Calibri"/>
          <w:lang w:eastAsia="en-GB"/>
        </w:rPr>
      </w:pPr>
      <w:r>
        <w:rPr>
          <w:rFonts w:cs="Calibri"/>
          <w:lang w:eastAsia="en-GB"/>
        </w:rPr>
        <w:t>In 2023, the Commission reported on the risk to its ‘A’ status accreditation due to the critical impact budget cuts had on the ability to fulfil its mandate.  Since then, the United Kingdom Government has published its response to an independent review and further committee to ensuring the Commission has the ability and resources to carry out is statutory functions, which include the protection of rights set out in the Belfast (Good Friday) Agreement.</w:t>
      </w:r>
    </w:p>
    <w:p w14:paraId="38E137C5"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4.1 (b)</w:t>
      </w:r>
      <w:r w:rsidRPr="007A6076">
        <w:rPr>
          <w:rFonts w:cs="Calibri"/>
          <w:i/>
          <w:iCs/>
          <w:lang w:eastAsia="en-GB"/>
        </w:rPr>
        <w:tab/>
        <w:t>Instances of the Commission benefitting from learning and good practices of other National Human Rights Institutions delivering their mandates or through the initiatives of regional and international bodies (including the European Network of National Human Rights Institutions and Global Alliance of National Human Rights Institutions).</w:t>
      </w:r>
    </w:p>
    <w:p w14:paraId="33255769"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Attendance at trainings organised by the European Law Institute; AI and Criminal Justice training provided by ERA (Academy of European Law)</w:t>
      </w:r>
      <w:r>
        <w:rPr>
          <w:rFonts w:cs="Calibri"/>
          <w:lang w:eastAsia="en-GB"/>
        </w:rPr>
        <w:t>.</w:t>
      </w:r>
    </w:p>
    <w:p w14:paraId="3A971EA0"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Attendance at the ERA Academy of European Law in Luxembourg</w:t>
      </w:r>
      <w:r>
        <w:rPr>
          <w:rFonts w:cs="Calibri"/>
          <w:lang w:eastAsia="en-GB"/>
        </w:rPr>
        <w:t>.</w:t>
      </w:r>
    </w:p>
    <w:p w14:paraId="527EC4E7"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 xml:space="preserve">The Chief Commissioner, Chief Executive, Director (Finance) and Senior Engagement and Communications Officer attended the ENNHRI General </w:t>
      </w:r>
      <w:r w:rsidRPr="00610342">
        <w:rPr>
          <w:rFonts w:cs="Calibri"/>
          <w:lang w:eastAsia="en-GB"/>
        </w:rPr>
        <w:lastRenderedPageBreak/>
        <w:t>Assembly in October.  The Chief Commissioner was appointed as GANHRI Secretary and re-appointed as an ENNHRI Board Member.  The Director (Finance) was re-appointed as Chair of the ENNHRI Finance Committee.</w:t>
      </w:r>
    </w:p>
    <w:p w14:paraId="21114ED9" w14:textId="264F40B1" w:rsidR="00647FE7" w:rsidRPr="00610342" w:rsidRDefault="00647FE7" w:rsidP="00647FE7">
      <w:pPr>
        <w:spacing w:before="100" w:beforeAutospacing="1" w:after="100" w:afterAutospacing="1"/>
        <w:rPr>
          <w:rFonts w:cs="Calibri"/>
          <w:lang w:eastAsia="en-GB"/>
        </w:rPr>
      </w:pPr>
      <w:r>
        <w:rPr>
          <w:rFonts w:cs="Calibri"/>
          <w:lang w:eastAsia="en-GB"/>
        </w:rPr>
        <w:t xml:space="preserve">In addition to being a member of the ENNHRI </w:t>
      </w:r>
      <w:r w:rsidRPr="00610342">
        <w:rPr>
          <w:rFonts w:cs="Calibri"/>
          <w:lang w:eastAsia="en-GB"/>
        </w:rPr>
        <w:t>Legal</w:t>
      </w:r>
      <w:r>
        <w:rPr>
          <w:rFonts w:cs="Calibri"/>
          <w:lang w:eastAsia="en-GB"/>
        </w:rPr>
        <w:t xml:space="preserve"> Working Group, the Commission is represented on a range of thematic working groups covering matters relating to AI, disability, socio-economic rights and migrations.</w:t>
      </w:r>
      <w:r w:rsidRPr="00610342">
        <w:rPr>
          <w:rFonts w:cs="Calibri"/>
          <w:lang w:eastAsia="en-GB"/>
        </w:rPr>
        <w:t xml:space="preserve"> </w:t>
      </w:r>
    </w:p>
    <w:p w14:paraId="300A9308" w14:textId="780A6A47" w:rsidR="00647FE7" w:rsidRPr="00610342" w:rsidRDefault="00647FE7" w:rsidP="00647FE7">
      <w:pPr>
        <w:spacing w:before="100" w:beforeAutospacing="1" w:after="100" w:afterAutospacing="1"/>
        <w:ind w:left="720" w:hanging="720"/>
        <w:rPr>
          <w:rFonts w:cs="Calibri"/>
          <w:b/>
          <w:bCs/>
          <w:lang w:eastAsia="en-GB"/>
        </w:rPr>
      </w:pPr>
      <w:r w:rsidRPr="00610342">
        <w:rPr>
          <w:rFonts w:cs="Calibri"/>
          <w:b/>
          <w:bCs/>
          <w:lang w:eastAsia="en-GB"/>
        </w:rPr>
        <w:t>4.2</w:t>
      </w:r>
      <w:r w:rsidRPr="00610342">
        <w:rPr>
          <w:rFonts w:cs="Calibri"/>
          <w:b/>
          <w:bCs/>
          <w:lang w:eastAsia="en-GB"/>
        </w:rPr>
        <w:tab/>
        <w:t>Staff and Commissioners gain knowledge and skills that improve effectiveness and efficiency.</w:t>
      </w:r>
    </w:p>
    <w:p w14:paraId="20B7563A"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4.2 (a)</w:t>
      </w:r>
      <w:r w:rsidRPr="007A6076">
        <w:rPr>
          <w:rFonts w:cs="Calibri"/>
          <w:i/>
          <w:iCs/>
          <w:lang w:eastAsia="en-GB"/>
        </w:rPr>
        <w:tab/>
        <w:t>Instances of facilitating ongoing learning opportunities for staff and Commissioners.</w:t>
      </w:r>
    </w:p>
    <w:p w14:paraId="3473AB04" w14:textId="77777777" w:rsidR="00647FE7" w:rsidRPr="00FA7EF5" w:rsidRDefault="00647FE7" w:rsidP="00647FE7">
      <w:pPr>
        <w:spacing w:before="100" w:beforeAutospacing="1" w:after="100" w:afterAutospacing="1"/>
        <w:ind w:left="720" w:hanging="720"/>
        <w:rPr>
          <w:rFonts w:cs="Calibri"/>
          <w:lang w:eastAsia="en-GB"/>
        </w:rPr>
      </w:pPr>
      <w:r w:rsidRPr="00FA7EF5">
        <w:rPr>
          <w:rFonts w:cs="Calibri"/>
          <w:lang w:eastAsia="en-GB"/>
        </w:rPr>
        <w:t>April – June 2024</w:t>
      </w:r>
    </w:p>
    <w:p w14:paraId="547477EB" w14:textId="77777777" w:rsidR="00647FE7" w:rsidRDefault="00647FE7" w:rsidP="00647FE7">
      <w:pPr>
        <w:spacing w:before="100" w:beforeAutospacing="1" w:after="100" w:afterAutospacing="1"/>
        <w:rPr>
          <w:rFonts w:cs="Calibri"/>
          <w:lang w:eastAsia="en-GB"/>
        </w:rPr>
      </w:pPr>
      <w:r w:rsidRPr="00610342">
        <w:rPr>
          <w:rFonts w:cs="Calibri"/>
          <w:lang w:eastAsia="en-GB"/>
        </w:rPr>
        <w:t xml:space="preserve">Staff attended a range of training opportunities including: </w:t>
      </w:r>
    </w:p>
    <w:p w14:paraId="13294672"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Freedom of Information; New practice directions at the UKSC; in-house training on DM and Legal Challenges;</w:t>
      </w:r>
      <w:r>
        <w:rPr>
          <w:rFonts w:cs="Calibri"/>
          <w:lang w:eastAsia="en-GB"/>
        </w:rPr>
        <w:t xml:space="preserve"> and</w:t>
      </w:r>
      <w:r w:rsidRPr="00610342">
        <w:rPr>
          <w:rFonts w:cs="Calibri"/>
          <w:lang w:eastAsia="en-GB"/>
        </w:rPr>
        <w:t xml:space="preserve"> an</w:t>
      </w:r>
      <w:r>
        <w:rPr>
          <w:rFonts w:cs="Calibri"/>
          <w:lang w:eastAsia="en-GB"/>
        </w:rPr>
        <w:t xml:space="preserve"> </w:t>
      </w:r>
      <w:r w:rsidRPr="00610342">
        <w:rPr>
          <w:rFonts w:cs="Calibri"/>
          <w:lang w:eastAsia="en-GB"/>
        </w:rPr>
        <w:t xml:space="preserve">internal staff training on the background to Article 2 WF and legal challenges. </w:t>
      </w:r>
    </w:p>
    <w:p w14:paraId="31802F40"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July-September 2024</w:t>
      </w:r>
    </w:p>
    <w:p w14:paraId="1DA167B2" w14:textId="77777777" w:rsidR="00647FE7" w:rsidRDefault="00647FE7" w:rsidP="00647FE7">
      <w:pPr>
        <w:spacing w:before="100" w:beforeAutospacing="1" w:after="100" w:afterAutospacing="1"/>
        <w:rPr>
          <w:rFonts w:cs="Calibri"/>
          <w:lang w:eastAsia="en-GB"/>
        </w:rPr>
      </w:pPr>
      <w:r w:rsidRPr="00610342">
        <w:rPr>
          <w:rFonts w:cs="Calibri"/>
          <w:lang w:eastAsia="en-GB"/>
        </w:rPr>
        <w:t xml:space="preserve">Staff attended a range of training opportunities including: </w:t>
      </w:r>
    </w:p>
    <w:p w14:paraId="66B88430" w14:textId="5E48ABD0" w:rsidR="00C557FC" w:rsidRDefault="00647FE7" w:rsidP="00647FE7">
      <w:pPr>
        <w:spacing w:before="100" w:beforeAutospacing="1" w:after="100" w:afterAutospacing="1"/>
        <w:rPr>
          <w:rFonts w:cs="Calibri"/>
          <w:lang w:eastAsia="en-GB"/>
        </w:rPr>
      </w:pPr>
      <w:r w:rsidRPr="00610342">
        <w:rPr>
          <w:rFonts w:cs="Calibri"/>
          <w:lang w:eastAsia="en-GB"/>
        </w:rPr>
        <w:t>Minute taking; Leadership and Management Level 3 and Level 5; Managing the Media; GDPR; IT; various Dedicated Mechanism events; Public Law webinar; and European Data Protection Supervisor, Human Oversight and Automated Decisions training.</w:t>
      </w:r>
    </w:p>
    <w:p w14:paraId="16147960" w14:textId="3E373351" w:rsidR="00647FE7" w:rsidRPr="00610342" w:rsidRDefault="00647FE7" w:rsidP="00647FE7">
      <w:pPr>
        <w:spacing w:before="100" w:beforeAutospacing="1" w:after="100" w:afterAutospacing="1"/>
        <w:rPr>
          <w:rFonts w:cs="Calibri"/>
          <w:lang w:eastAsia="en-GB"/>
        </w:rPr>
      </w:pPr>
      <w:r w:rsidRPr="00610342">
        <w:rPr>
          <w:rFonts w:cs="Calibri"/>
          <w:lang w:eastAsia="en-GB"/>
        </w:rPr>
        <w:t>October-December 2024</w:t>
      </w:r>
    </w:p>
    <w:p w14:paraId="2A810B34" w14:textId="77777777" w:rsidR="00647FE7" w:rsidRDefault="00647FE7" w:rsidP="00647FE7">
      <w:pPr>
        <w:spacing w:before="100" w:beforeAutospacing="1" w:after="100" w:afterAutospacing="1"/>
        <w:rPr>
          <w:rFonts w:cs="Calibri"/>
          <w:lang w:eastAsia="en-GB"/>
        </w:rPr>
      </w:pPr>
      <w:r w:rsidRPr="00610342">
        <w:rPr>
          <w:rFonts w:cs="Calibri"/>
          <w:lang w:eastAsia="en-GB"/>
        </w:rPr>
        <w:t xml:space="preserve">Staff attended a range of training opportunities including: </w:t>
      </w:r>
    </w:p>
    <w:p w14:paraId="6216F3CC" w14:textId="5C9E3ECC" w:rsidR="00C557FC" w:rsidRDefault="00647FE7" w:rsidP="00647FE7">
      <w:pPr>
        <w:spacing w:before="100" w:beforeAutospacing="1" w:after="100" w:afterAutospacing="1"/>
        <w:rPr>
          <w:rFonts w:cs="Calibri"/>
          <w:lang w:eastAsia="en-GB"/>
        </w:rPr>
      </w:pPr>
      <w:r w:rsidRPr="00610342">
        <w:rPr>
          <w:rFonts w:cs="Calibri"/>
          <w:lang w:eastAsia="en-GB"/>
        </w:rPr>
        <w:t>Sage Payroll, Pension Health Check</w:t>
      </w:r>
      <w:r>
        <w:rPr>
          <w:rFonts w:cs="Calibri"/>
          <w:lang w:eastAsia="en-GB"/>
        </w:rPr>
        <w:t xml:space="preserve">; </w:t>
      </w:r>
      <w:r w:rsidRPr="00610342">
        <w:rPr>
          <w:rFonts w:cs="Calibri"/>
          <w:lang w:eastAsia="en-GB"/>
        </w:rPr>
        <w:t>Windsor Framework Conference</w:t>
      </w:r>
      <w:r>
        <w:rPr>
          <w:rFonts w:cs="Calibri"/>
          <w:lang w:eastAsia="en-GB"/>
        </w:rPr>
        <w:t>;</w:t>
      </w:r>
      <w:r w:rsidRPr="00610342">
        <w:rPr>
          <w:rFonts w:cs="Calibri"/>
          <w:lang w:eastAsia="en-GB"/>
        </w:rPr>
        <w:t xml:space="preserve"> Minute Taking</w:t>
      </w:r>
      <w:r>
        <w:rPr>
          <w:rFonts w:cs="Calibri"/>
          <w:lang w:eastAsia="en-GB"/>
        </w:rPr>
        <w:t>;</w:t>
      </w:r>
      <w:r w:rsidRPr="00610342">
        <w:rPr>
          <w:rFonts w:cs="Calibri"/>
          <w:lang w:eastAsia="en-GB"/>
        </w:rPr>
        <w:t xml:space="preserve"> Emergency First Aid at Work</w:t>
      </w:r>
      <w:r>
        <w:rPr>
          <w:rFonts w:cs="Calibri"/>
          <w:lang w:eastAsia="en-GB"/>
        </w:rPr>
        <w:t xml:space="preserve">; </w:t>
      </w:r>
      <w:r w:rsidRPr="00610342">
        <w:rPr>
          <w:rFonts w:cs="Calibri"/>
          <w:lang w:eastAsia="en-GB"/>
        </w:rPr>
        <w:t>Justice Conference</w:t>
      </w:r>
      <w:r>
        <w:rPr>
          <w:rFonts w:cs="Calibri"/>
          <w:lang w:eastAsia="en-GB"/>
        </w:rPr>
        <w:t xml:space="preserve">; </w:t>
      </w:r>
      <w:r w:rsidRPr="00610342">
        <w:rPr>
          <w:rFonts w:cs="Calibri"/>
          <w:lang w:eastAsia="en-GB"/>
        </w:rPr>
        <w:t>Immigration Conference</w:t>
      </w:r>
      <w:r>
        <w:rPr>
          <w:rFonts w:cs="Calibri"/>
          <w:lang w:eastAsia="en-GB"/>
        </w:rPr>
        <w:t>;</w:t>
      </w:r>
      <w:r w:rsidRPr="00610342">
        <w:rPr>
          <w:rFonts w:cs="Calibri"/>
          <w:lang w:eastAsia="en-GB"/>
        </w:rPr>
        <w:t xml:space="preserve"> EU Legislative Procedure in Practice</w:t>
      </w:r>
      <w:r>
        <w:rPr>
          <w:rFonts w:cs="Calibri"/>
          <w:lang w:eastAsia="en-GB"/>
        </w:rPr>
        <w:t>;</w:t>
      </w:r>
      <w:r w:rsidRPr="00610342">
        <w:rPr>
          <w:rFonts w:cs="Calibri"/>
          <w:lang w:eastAsia="en-GB"/>
        </w:rPr>
        <w:t xml:space="preserve"> Introduction to Public Procurement</w:t>
      </w:r>
      <w:r>
        <w:rPr>
          <w:rFonts w:cs="Calibri"/>
          <w:lang w:eastAsia="en-GB"/>
        </w:rPr>
        <w:t>;</w:t>
      </w:r>
      <w:r w:rsidRPr="00610342">
        <w:rPr>
          <w:rFonts w:cs="Calibri"/>
          <w:lang w:eastAsia="en-GB"/>
        </w:rPr>
        <w:t xml:space="preserve"> Include Summit on Sports</w:t>
      </w:r>
      <w:r>
        <w:rPr>
          <w:rFonts w:cs="Calibri"/>
          <w:lang w:eastAsia="en-GB"/>
        </w:rPr>
        <w:t>;</w:t>
      </w:r>
      <w:r w:rsidRPr="00610342">
        <w:rPr>
          <w:rFonts w:cs="Calibri"/>
          <w:lang w:eastAsia="en-GB"/>
        </w:rPr>
        <w:t xml:space="preserve"> Private Rented Sector Conference</w:t>
      </w:r>
      <w:r>
        <w:rPr>
          <w:rFonts w:cs="Calibri"/>
          <w:lang w:eastAsia="en-GB"/>
        </w:rPr>
        <w:t>;</w:t>
      </w:r>
      <w:r w:rsidRPr="00610342">
        <w:rPr>
          <w:rFonts w:cs="Calibri"/>
          <w:lang w:eastAsia="en-GB"/>
        </w:rPr>
        <w:t xml:space="preserve"> ILM Level 3 in Leadership &amp; Management</w:t>
      </w:r>
      <w:r>
        <w:rPr>
          <w:rFonts w:cs="Calibri"/>
          <w:lang w:eastAsia="en-GB"/>
        </w:rPr>
        <w:t>;</w:t>
      </w:r>
      <w:r w:rsidRPr="00610342">
        <w:rPr>
          <w:rFonts w:cs="Calibri"/>
          <w:lang w:eastAsia="en-GB"/>
        </w:rPr>
        <w:t xml:space="preserve"> Podcasting</w:t>
      </w:r>
      <w:r>
        <w:rPr>
          <w:rFonts w:cs="Calibri"/>
          <w:lang w:eastAsia="en-GB"/>
        </w:rPr>
        <w:t>;</w:t>
      </w:r>
      <w:r w:rsidRPr="00610342">
        <w:rPr>
          <w:rFonts w:cs="Calibri"/>
          <w:lang w:eastAsia="en-GB"/>
        </w:rPr>
        <w:t xml:space="preserve"> Public Speaking </w:t>
      </w:r>
      <w:r>
        <w:rPr>
          <w:rFonts w:cs="Calibri"/>
          <w:lang w:eastAsia="en-GB"/>
        </w:rPr>
        <w:t>and</w:t>
      </w:r>
      <w:r w:rsidRPr="00610342">
        <w:rPr>
          <w:rFonts w:cs="Calibri"/>
          <w:lang w:eastAsia="en-GB"/>
        </w:rPr>
        <w:t xml:space="preserve"> Presentation Skills</w:t>
      </w:r>
      <w:r>
        <w:rPr>
          <w:rFonts w:cs="Calibri"/>
          <w:lang w:eastAsia="en-GB"/>
        </w:rPr>
        <w:t>;</w:t>
      </w:r>
      <w:r w:rsidRPr="00610342">
        <w:rPr>
          <w:rFonts w:cs="Calibri"/>
          <w:lang w:eastAsia="en-GB"/>
        </w:rPr>
        <w:t xml:space="preserve"> Storytelling for Impact</w:t>
      </w:r>
      <w:r>
        <w:rPr>
          <w:rFonts w:cs="Calibri"/>
          <w:lang w:eastAsia="en-GB"/>
        </w:rPr>
        <w:t>; and</w:t>
      </w:r>
      <w:r w:rsidRPr="00610342">
        <w:rPr>
          <w:rFonts w:cs="Calibri"/>
          <w:lang w:eastAsia="en-GB"/>
        </w:rPr>
        <w:t xml:space="preserve"> Rights of Persons with Disabilities Conference</w:t>
      </w:r>
      <w:r>
        <w:rPr>
          <w:rFonts w:cs="Calibri"/>
          <w:lang w:eastAsia="en-GB"/>
        </w:rPr>
        <w:t>.</w:t>
      </w:r>
    </w:p>
    <w:p w14:paraId="582114C1" w14:textId="32604C78" w:rsidR="00647FE7" w:rsidRPr="00610342" w:rsidRDefault="00647FE7" w:rsidP="00647FE7">
      <w:pPr>
        <w:spacing w:before="100" w:beforeAutospacing="1" w:after="100" w:afterAutospacing="1"/>
        <w:rPr>
          <w:rFonts w:cs="Calibri"/>
          <w:lang w:eastAsia="en-GB"/>
        </w:rPr>
      </w:pPr>
      <w:r w:rsidRPr="00610342">
        <w:rPr>
          <w:rFonts w:cs="Calibri"/>
          <w:lang w:eastAsia="en-GB"/>
        </w:rPr>
        <w:t>January-March 2025</w:t>
      </w:r>
    </w:p>
    <w:p w14:paraId="082623F5" w14:textId="77777777" w:rsidR="00647FE7" w:rsidRDefault="00647FE7" w:rsidP="00647FE7">
      <w:pPr>
        <w:spacing w:before="100" w:beforeAutospacing="1" w:after="100" w:afterAutospacing="1"/>
        <w:rPr>
          <w:rFonts w:cs="Calibri"/>
          <w:lang w:eastAsia="en-GB"/>
        </w:rPr>
      </w:pPr>
      <w:r w:rsidRPr="00610342">
        <w:rPr>
          <w:rFonts w:cs="Calibri"/>
          <w:lang w:eastAsia="en-GB"/>
        </w:rPr>
        <w:t>All staff completed mandatory training by year-end which included Health and Safety</w:t>
      </w:r>
      <w:r>
        <w:rPr>
          <w:rFonts w:cs="Calibri"/>
          <w:lang w:eastAsia="en-GB"/>
        </w:rPr>
        <w:t>;</w:t>
      </w:r>
      <w:r w:rsidRPr="00610342">
        <w:rPr>
          <w:rFonts w:cs="Calibri"/>
          <w:lang w:eastAsia="en-GB"/>
        </w:rPr>
        <w:t xml:space="preserve"> Security and Data Protection</w:t>
      </w:r>
      <w:r>
        <w:rPr>
          <w:rFonts w:cs="Calibri"/>
          <w:lang w:eastAsia="en-GB"/>
        </w:rPr>
        <w:t>;</w:t>
      </w:r>
      <w:r w:rsidRPr="00610342">
        <w:rPr>
          <w:rFonts w:cs="Calibri"/>
          <w:lang w:eastAsia="en-GB"/>
        </w:rPr>
        <w:t xml:space="preserve"> and Government Security Classification</w:t>
      </w:r>
      <w:r>
        <w:rPr>
          <w:rFonts w:cs="Calibri"/>
          <w:lang w:eastAsia="en-GB"/>
        </w:rPr>
        <w:t>.</w:t>
      </w:r>
    </w:p>
    <w:p w14:paraId="3A3E1A70" w14:textId="77777777" w:rsidR="00647FE7" w:rsidRDefault="00647FE7" w:rsidP="00647FE7">
      <w:pPr>
        <w:spacing w:before="100" w:beforeAutospacing="1" w:after="100" w:afterAutospacing="1"/>
        <w:rPr>
          <w:rFonts w:cs="Calibri"/>
          <w:lang w:eastAsia="en-GB"/>
        </w:rPr>
      </w:pPr>
      <w:r w:rsidRPr="00610342">
        <w:rPr>
          <w:rFonts w:cs="Calibri"/>
          <w:lang w:eastAsia="en-GB"/>
        </w:rPr>
        <w:lastRenderedPageBreak/>
        <w:t xml:space="preserve">Other training opportunities included: </w:t>
      </w:r>
    </w:p>
    <w:p w14:paraId="7B890982" w14:textId="77777777" w:rsidR="00647FE7" w:rsidRDefault="00647FE7" w:rsidP="00647FE7">
      <w:pPr>
        <w:spacing w:before="100" w:beforeAutospacing="1" w:after="100" w:afterAutospacing="1"/>
        <w:rPr>
          <w:rFonts w:cs="Calibri"/>
          <w:lang w:eastAsia="en-GB"/>
        </w:rPr>
      </w:pPr>
      <w:r w:rsidRPr="00610342">
        <w:rPr>
          <w:rFonts w:cs="Calibri"/>
          <w:lang w:eastAsia="en-GB"/>
        </w:rPr>
        <w:t>Understanding Autism</w:t>
      </w:r>
      <w:r>
        <w:rPr>
          <w:rFonts w:cs="Calibri"/>
          <w:lang w:eastAsia="en-GB"/>
        </w:rPr>
        <w:t>;</w:t>
      </w:r>
      <w:r w:rsidRPr="00610342">
        <w:rPr>
          <w:rFonts w:cs="Calibri"/>
          <w:lang w:eastAsia="en-GB"/>
        </w:rPr>
        <w:t xml:space="preserve"> Minute Taking</w:t>
      </w:r>
      <w:r>
        <w:rPr>
          <w:rFonts w:cs="Calibri"/>
          <w:lang w:eastAsia="en-GB"/>
        </w:rPr>
        <w:t>;</w:t>
      </w:r>
      <w:r w:rsidRPr="00610342">
        <w:rPr>
          <w:rFonts w:cs="Calibri"/>
          <w:lang w:eastAsia="en-GB"/>
        </w:rPr>
        <w:t xml:space="preserve"> PA Development</w:t>
      </w:r>
      <w:r>
        <w:rPr>
          <w:rFonts w:cs="Calibri"/>
          <w:lang w:eastAsia="en-GB"/>
        </w:rPr>
        <w:t>;</w:t>
      </w:r>
      <w:r w:rsidRPr="00610342">
        <w:rPr>
          <w:rFonts w:cs="Calibri"/>
          <w:lang w:eastAsia="en-GB"/>
        </w:rPr>
        <w:t xml:space="preserve"> Fraud Awareness</w:t>
      </w:r>
      <w:r>
        <w:rPr>
          <w:rFonts w:cs="Calibri"/>
          <w:lang w:eastAsia="en-GB"/>
        </w:rPr>
        <w:t>;</w:t>
      </w:r>
      <w:r w:rsidRPr="00610342">
        <w:rPr>
          <w:rFonts w:cs="Calibri"/>
          <w:lang w:eastAsia="en-GB"/>
        </w:rPr>
        <w:t xml:space="preserve"> Data Protection and GDPR</w:t>
      </w:r>
      <w:r>
        <w:rPr>
          <w:rFonts w:cs="Calibri"/>
          <w:lang w:eastAsia="en-GB"/>
        </w:rPr>
        <w:t xml:space="preserve">; </w:t>
      </w:r>
      <w:r w:rsidRPr="00610342">
        <w:rPr>
          <w:rFonts w:cs="Calibri"/>
          <w:lang w:eastAsia="en-GB"/>
        </w:rPr>
        <w:t>FoI Practitioner Certificate</w:t>
      </w:r>
      <w:r>
        <w:rPr>
          <w:rFonts w:cs="Calibri"/>
          <w:lang w:eastAsia="en-GB"/>
        </w:rPr>
        <w:t>;</w:t>
      </w:r>
      <w:r w:rsidRPr="00610342">
        <w:rPr>
          <w:rFonts w:cs="Calibri"/>
          <w:lang w:eastAsia="en-GB"/>
        </w:rPr>
        <w:t xml:space="preserve"> ILM Level 7</w:t>
      </w:r>
      <w:r>
        <w:rPr>
          <w:rFonts w:cs="Calibri"/>
          <w:lang w:eastAsia="en-GB"/>
        </w:rPr>
        <w:t>;</w:t>
      </w:r>
      <w:r w:rsidRPr="00610342">
        <w:rPr>
          <w:rFonts w:cs="Calibri"/>
          <w:lang w:eastAsia="en-GB"/>
        </w:rPr>
        <w:t xml:space="preserve"> Windsor Framework Article 2 Institutional and Substantive Aspects</w:t>
      </w:r>
      <w:r>
        <w:rPr>
          <w:rFonts w:cs="Calibri"/>
          <w:lang w:eastAsia="en-GB"/>
        </w:rPr>
        <w:t>;</w:t>
      </w:r>
      <w:r w:rsidRPr="00610342">
        <w:rPr>
          <w:rFonts w:cs="Calibri"/>
          <w:lang w:eastAsia="en-GB"/>
        </w:rPr>
        <w:t xml:space="preserve"> Gender Pay Gap Reporting</w:t>
      </w:r>
      <w:r>
        <w:rPr>
          <w:rFonts w:cs="Calibri"/>
          <w:lang w:eastAsia="en-GB"/>
        </w:rPr>
        <w:t>;</w:t>
      </w:r>
      <w:r w:rsidRPr="00610342">
        <w:rPr>
          <w:rFonts w:cs="Calibri"/>
          <w:lang w:eastAsia="en-GB"/>
        </w:rPr>
        <w:t xml:space="preserve"> EU Criminal Justice Legislation</w:t>
      </w:r>
      <w:r>
        <w:rPr>
          <w:rFonts w:cs="Calibri"/>
          <w:lang w:eastAsia="en-GB"/>
        </w:rPr>
        <w:t>;</w:t>
      </w:r>
      <w:r w:rsidRPr="00610342">
        <w:rPr>
          <w:rFonts w:cs="Calibri"/>
          <w:lang w:eastAsia="en-GB"/>
        </w:rPr>
        <w:t xml:space="preserve"> Equality Case Law Update for Employers</w:t>
      </w:r>
      <w:r>
        <w:rPr>
          <w:rFonts w:cs="Calibri"/>
          <w:lang w:eastAsia="en-GB"/>
        </w:rPr>
        <w:t>;</w:t>
      </w:r>
      <w:r w:rsidRPr="00610342">
        <w:rPr>
          <w:rFonts w:cs="Calibri"/>
          <w:lang w:eastAsia="en-GB"/>
        </w:rPr>
        <w:t xml:space="preserve"> The HRA Back to Basics</w:t>
      </w:r>
      <w:r>
        <w:rPr>
          <w:rFonts w:cs="Calibri"/>
          <w:lang w:eastAsia="en-GB"/>
        </w:rPr>
        <w:t>;</w:t>
      </w:r>
      <w:r w:rsidRPr="00610342">
        <w:rPr>
          <w:rFonts w:cs="Calibri"/>
          <w:lang w:eastAsia="en-GB"/>
        </w:rPr>
        <w:t xml:space="preserve"> Access to Justice - Asylum Seekers/Refugees in NI</w:t>
      </w:r>
      <w:r>
        <w:rPr>
          <w:rFonts w:cs="Calibri"/>
          <w:lang w:eastAsia="en-GB"/>
        </w:rPr>
        <w:t>;</w:t>
      </w:r>
      <w:r w:rsidRPr="00610342">
        <w:rPr>
          <w:rFonts w:cs="Calibri"/>
          <w:lang w:eastAsia="en-GB"/>
        </w:rPr>
        <w:t xml:space="preserve"> Mental Health First Aid, Dignity at Work</w:t>
      </w:r>
      <w:r>
        <w:rPr>
          <w:rFonts w:cs="Calibri"/>
          <w:lang w:eastAsia="en-GB"/>
        </w:rPr>
        <w:t>;</w:t>
      </w:r>
      <w:r w:rsidRPr="00610342">
        <w:rPr>
          <w:rFonts w:cs="Calibri"/>
          <w:lang w:eastAsia="en-GB"/>
        </w:rPr>
        <w:t xml:space="preserve"> European HR in Practice</w:t>
      </w:r>
      <w:r>
        <w:rPr>
          <w:rFonts w:cs="Calibri"/>
          <w:lang w:eastAsia="en-GB"/>
        </w:rPr>
        <w:t>;</w:t>
      </w:r>
      <w:r w:rsidRPr="00610342">
        <w:rPr>
          <w:rFonts w:cs="Calibri"/>
          <w:lang w:eastAsia="en-GB"/>
        </w:rPr>
        <w:t xml:space="preserve"> AI and Data Protection Rights</w:t>
      </w:r>
      <w:r>
        <w:rPr>
          <w:rFonts w:cs="Calibri"/>
          <w:lang w:eastAsia="en-GB"/>
        </w:rPr>
        <w:t>; and</w:t>
      </w:r>
      <w:r w:rsidRPr="00610342">
        <w:rPr>
          <w:rFonts w:cs="Calibri"/>
          <w:lang w:eastAsia="en-GB"/>
        </w:rPr>
        <w:t xml:space="preserve"> Preventing Sexual Harassment at Work.  </w:t>
      </w:r>
    </w:p>
    <w:p w14:paraId="29E78805" w14:textId="415CAFA2" w:rsidR="00647FE7" w:rsidRPr="00610342" w:rsidRDefault="00647FE7" w:rsidP="00647FE7">
      <w:pPr>
        <w:spacing w:before="100" w:beforeAutospacing="1" w:after="100" w:afterAutospacing="1"/>
        <w:rPr>
          <w:rFonts w:cs="Calibri"/>
          <w:lang w:eastAsia="en-GB"/>
        </w:rPr>
      </w:pPr>
      <w:r w:rsidRPr="00610342">
        <w:rPr>
          <w:rFonts w:cs="Calibri"/>
          <w:lang w:eastAsia="en-GB"/>
        </w:rPr>
        <w:t>Commissioners attended Dignity at Work training.</w:t>
      </w:r>
    </w:p>
    <w:p w14:paraId="281658C7" w14:textId="2AA32948" w:rsidR="00C557FC" w:rsidRPr="00610342" w:rsidRDefault="00647FE7" w:rsidP="00C557FC">
      <w:pPr>
        <w:spacing w:before="100" w:beforeAutospacing="1" w:after="100" w:afterAutospacing="1"/>
        <w:ind w:left="720" w:hanging="720"/>
        <w:rPr>
          <w:rFonts w:cs="Calibri"/>
          <w:b/>
          <w:bCs/>
          <w:lang w:eastAsia="en-GB"/>
        </w:rPr>
      </w:pPr>
      <w:r w:rsidRPr="00610342">
        <w:rPr>
          <w:rFonts w:cs="Calibri"/>
          <w:b/>
          <w:bCs/>
          <w:lang w:eastAsia="en-GB"/>
        </w:rPr>
        <w:t xml:space="preserve">5. </w:t>
      </w:r>
      <w:r w:rsidRPr="00610342">
        <w:rPr>
          <w:rFonts w:cs="Calibri"/>
          <w:b/>
          <w:bCs/>
          <w:lang w:eastAsia="en-GB"/>
        </w:rPr>
        <w:tab/>
        <w:t>Effective and efficient delivery of our corporate obligations as a public authority.</w:t>
      </w:r>
    </w:p>
    <w:p w14:paraId="11ACFEF2" w14:textId="429E9C88" w:rsidR="00647FE7" w:rsidRPr="00C557FC" w:rsidRDefault="00647FE7" w:rsidP="00C557FC">
      <w:pPr>
        <w:spacing w:before="100" w:beforeAutospacing="1" w:after="100" w:afterAutospacing="1"/>
        <w:ind w:left="720" w:hanging="720"/>
        <w:rPr>
          <w:rFonts w:cs="Calibri"/>
          <w:b/>
          <w:bCs/>
          <w:lang w:eastAsia="en-GB"/>
        </w:rPr>
      </w:pPr>
      <w:r w:rsidRPr="00C557FC">
        <w:rPr>
          <w:rFonts w:cs="Calibri"/>
          <w:b/>
          <w:bCs/>
          <w:lang w:eastAsia="en-GB"/>
        </w:rPr>
        <w:t>5.1</w:t>
      </w:r>
      <w:r w:rsidRPr="00C557FC">
        <w:rPr>
          <w:rFonts w:cs="Calibri"/>
          <w:b/>
          <w:bCs/>
          <w:lang w:eastAsia="en-GB"/>
        </w:rPr>
        <w:tab/>
        <w:t>The Commission has good corporate governance, effective systems and arrangements in place to provide assurance on risk management and internal control.</w:t>
      </w:r>
    </w:p>
    <w:p w14:paraId="34BD3A18"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5.1 (a)</w:t>
      </w:r>
      <w:r w:rsidRPr="007A6076">
        <w:rPr>
          <w:rFonts w:cs="Calibri"/>
          <w:i/>
          <w:iCs/>
          <w:lang w:eastAsia="en-GB"/>
        </w:rPr>
        <w:tab/>
        <w:t>Relevant internal and external audits receive addressing corporate governance receive a satisfactory rating.</w:t>
      </w:r>
    </w:p>
    <w:p w14:paraId="5A6A7CB0" w14:textId="77777777" w:rsidR="00647FE7" w:rsidRPr="00610342" w:rsidRDefault="00647FE7" w:rsidP="00647FE7">
      <w:pPr>
        <w:spacing w:before="100" w:beforeAutospacing="1" w:after="100" w:afterAutospacing="1"/>
        <w:rPr>
          <w:rFonts w:cs="Calibri"/>
          <w:lang w:eastAsia="en-GB"/>
        </w:rPr>
      </w:pPr>
      <w:r w:rsidRPr="00FA7EF5">
        <w:rPr>
          <w:rFonts w:cs="Calibri"/>
          <w:lang w:eastAsia="en-GB"/>
        </w:rPr>
        <w:t xml:space="preserve">An </w:t>
      </w:r>
      <w:r w:rsidRPr="00610342">
        <w:rPr>
          <w:rFonts w:cs="Calibri"/>
          <w:lang w:eastAsia="en-GB"/>
        </w:rPr>
        <w:t>Internal Audit Annual Assurance Report was received in June 2024 which confirmed a satisfactory rating for the prior year.  The follow up internal audit report was presented to the June 2024 Audit and Risk Management Committee meeting.  It detailed that out of the 27 follow up recommendations, 9 had been fully implemented, 8 partially implemented, 7 not implemented and 3 unable to be tested.</w:t>
      </w:r>
    </w:p>
    <w:p w14:paraId="423E6133"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An Internal Audit Plan was drafted for 2024</w:t>
      </w:r>
      <w:r>
        <w:rPr>
          <w:rFonts w:cs="Calibri"/>
          <w:lang w:eastAsia="en-GB"/>
        </w:rPr>
        <w:t>-</w:t>
      </w:r>
      <w:r w:rsidRPr="00610342">
        <w:rPr>
          <w:rFonts w:cs="Calibri"/>
          <w:lang w:eastAsia="en-GB"/>
        </w:rPr>
        <w:t>25 with two internal audits taking place in March 2025 on Financial systems as well as a follow up on the previous year's recommendations.</w:t>
      </w:r>
    </w:p>
    <w:p w14:paraId="6D61A51A" w14:textId="31CCFBF3" w:rsidR="00647FE7" w:rsidRPr="00610342" w:rsidRDefault="00647FE7" w:rsidP="00647FE7">
      <w:pPr>
        <w:spacing w:before="100" w:beforeAutospacing="1" w:after="100" w:afterAutospacing="1"/>
        <w:rPr>
          <w:rFonts w:cs="Calibri"/>
          <w:lang w:eastAsia="en-GB"/>
        </w:rPr>
      </w:pPr>
      <w:r w:rsidRPr="00610342">
        <w:rPr>
          <w:rFonts w:cs="Calibri"/>
          <w:lang w:eastAsia="en-GB"/>
        </w:rPr>
        <w:t>A final report is to be made available for sharing with the Audit and Risk Management Committee</w:t>
      </w:r>
      <w:r>
        <w:rPr>
          <w:rFonts w:cs="Calibri"/>
          <w:lang w:eastAsia="en-GB"/>
        </w:rPr>
        <w:t xml:space="preserve"> in June 2025</w:t>
      </w:r>
      <w:r w:rsidRPr="00610342">
        <w:rPr>
          <w:rFonts w:cs="Calibri"/>
          <w:lang w:eastAsia="en-GB"/>
        </w:rPr>
        <w:t xml:space="preserve">.  </w:t>
      </w:r>
    </w:p>
    <w:p w14:paraId="5607BAC6"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5.1 (b)</w:t>
      </w:r>
      <w:r w:rsidRPr="007A6076">
        <w:rPr>
          <w:rFonts w:cs="Calibri"/>
          <w:i/>
          <w:iCs/>
          <w:lang w:eastAsia="en-GB"/>
        </w:rPr>
        <w:tab/>
        <w:t>A majority of governance matters and risks reported to the Audit and Risk Management Committee are mitigated or resolved.</w:t>
      </w:r>
    </w:p>
    <w:p w14:paraId="50FFA3C1" w14:textId="19374FCC" w:rsidR="00647FE7" w:rsidRDefault="00647FE7" w:rsidP="00647FE7">
      <w:pPr>
        <w:spacing w:before="100" w:beforeAutospacing="1" w:after="100" w:afterAutospacing="1"/>
        <w:rPr>
          <w:rFonts w:cs="Calibri"/>
          <w:lang w:eastAsia="en-GB"/>
        </w:rPr>
      </w:pPr>
      <w:r w:rsidRPr="00610342">
        <w:rPr>
          <w:rFonts w:cs="Calibri"/>
          <w:lang w:eastAsia="en-GB"/>
        </w:rPr>
        <w:t xml:space="preserve">Governance matters </w:t>
      </w:r>
      <w:r>
        <w:rPr>
          <w:rFonts w:cs="Calibri"/>
          <w:lang w:eastAsia="en-GB"/>
        </w:rPr>
        <w:t>we</w:t>
      </w:r>
      <w:r w:rsidRPr="00610342">
        <w:rPr>
          <w:rFonts w:cs="Calibri"/>
          <w:lang w:eastAsia="en-GB"/>
        </w:rPr>
        <w:t xml:space="preserve">re discussed at the quarterly Audit and Risk Management Committee meetings with any decisions followed up as required. </w:t>
      </w:r>
    </w:p>
    <w:p w14:paraId="2160A9D5" w14:textId="77777777" w:rsidR="007A6076" w:rsidRDefault="007A6076" w:rsidP="00647FE7">
      <w:pPr>
        <w:spacing w:before="100" w:beforeAutospacing="1" w:after="100" w:afterAutospacing="1"/>
        <w:rPr>
          <w:rFonts w:cs="Calibri"/>
          <w:lang w:eastAsia="en-GB"/>
        </w:rPr>
      </w:pPr>
    </w:p>
    <w:p w14:paraId="7E6DD725" w14:textId="77777777" w:rsidR="007A6076" w:rsidRPr="00610342" w:rsidRDefault="007A6076" w:rsidP="00647FE7">
      <w:pPr>
        <w:spacing w:before="100" w:beforeAutospacing="1" w:after="100" w:afterAutospacing="1"/>
        <w:rPr>
          <w:rFonts w:cs="Calibri"/>
          <w:lang w:eastAsia="en-GB"/>
        </w:rPr>
      </w:pPr>
    </w:p>
    <w:p w14:paraId="7A39FB4D" w14:textId="40882110" w:rsidR="00647FE7" w:rsidRPr="00610342" w:rsidRDefault="00647FE7" w:rsidP="00647FE7">
      <w:pPr>
        <w:spacing w:before="100" w:beforeAutospacing="1" w:after="100" w:afterAutospacing="1"/>
        <w:ind w:left="720" w:hanging="720"/>
        <w:rPr>
          <w:rFonts w:cs="Calibri"/>
          <w:b/>
          <w:bCs/>
          <w:lang w:eastAsia="en-GB"/>
        </w:rPr>
      </w:pPr>
      <w:r w:rsidRPr="00610342">
        <w:rPr>
          <w:rFonts w:cs="Calibri"/>
          <w:b/>
          <w:bCs/>
          <w:lang w:eastAsia="en-GB"/>
        </w:rPr>
        <w:lastRenderedPageBreak/>
        <w:t>5.2</w:t>
      </w:r>
      <w:r w:rsidRPr="00610342">
        <w:rPr>
          <w:rFonts w:cs="Calibri"/>
          <w:b/>
          <w:bCs/>
          <w:lang w:eastAsia="en-GB"/>
        </w:rPr>
        <w:tab/>
        <w:t>The Commission operates in accordance with HM Treasury guidance on Managing Public Money</w:t>
      </w:r>
    </w:p>
    <w:p w14:paraId="1D6ABCA0"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5.2 (a)</w:t>
      </w:r>
      <w:r w:rsidRPr="007A6076">
        <w:rPr>
          <w:rFonts w:cs="Calibri"/>
          <w:i/>
          <w:iCs/>
          <w:lang w:eastAsia="en-GB"/>
        </w:rPr>
        <w:tab/>
        <w:t>Relevant internal and external audits addressing financial management receive a satisfactory rating.</w:t>
      </w:r>
    </w:p>
    <w:p w14:paraId="22D2FF26" w14:textId="77777777" w:rsidR="00647FE7" w:rsidRPr="00610342" w:rsidRDefault="00647FE7" w:rsidP="00647FE7">
      <w:pPr>
        <w:spacing w:before="100" w:beforeAutospacing="1" w:after="100" w:afterAutospacing="1"/>
        <w:rPr>
          <w:rFonts w:cs="Calibri"/>
          <w:lang w:eastAsia="en-GB"/>
        </w:rPr>
      </w:pPr>
      <w:r w:rsidRPr="00FA7EF5">
        <w:rPr>
          <w:rFonts w:cs="Calibri"/>
          <w:lang w:eastAsia="en-GB"/>
        </w:rPr>
        <w:t>An</w:t>
      </w:r>
      <w:r w:rsidRPr="00610342">
        <w:rPr>
          <w:rFonts w:cs="Calibri"/>
          <w:b/>
          <w:bCs/>
          <w:lang w:eastAsia="en-GB"/>
        </w:rPr>
        <w:t xml:space="preserve"> </w:t>
      </w:r>
      <w:r w:rsidRPr="00610342">
        <w:rPr>
          <w:rFonts w:cs="Calibri"/>
          <w:lang w:eastAsia="en-GB"/>
        </w:rPr>
        <w:t>Internal Audit Annual Assurance Report was received in June 2024, for the prior year, which</w:t>
      </w:r>
      <w:r>
        <w:rPr>
          <w:rFonts w:cs="Calibri"/>
          <w:lang w:eastAsia="en-GB"/>
        </w:rPr>
        <w:t xml:space="preserve"> </w:t>
      </w:r>
      <w:r w:rsidRPr="00610342">
        <w:rPr>
          <w:rFonts w:cs="Calibri"/>
          <w:lang w:eastAsia="en-GB"/>
        </w:rPr>
        <w:t xml:space="preserve">confirmed a satisfactory rating.  </w:t>
      </w:r>
    </w:p>
    <w:p w14:paraId="0C01D4B3" w14:textId="3914545B" w:rsidR="00647FE7" w:rsidRPr="00610342" w:rsidRDefault="00647FE7" w:rsidP="00647FE7">
      <w:pPr>
        <w:spacing w:before="100" w:beforeAutospacing="1" w:after="100" w:afterAutospacing="1"/>
        <w:rPr>
          <w:rFonts w:cs="Calibri"/>
          <w:lang w:eastAsia="en-GB"/>
        </w:rPr>
      </w:pPr>
      <w:r w:rsidRPr="00610342">
        <w:rPr>
          <w:rFonts w:cs="Calibri"/>
          <w:lang w:eastAsia="en-GB"/>
        </w:rPr>
        <w:t>The external audit of the Commission's Annual Report and Accounts 2023-24 was completed in June 2024 with no audit adjustments required.</w:t>
      </w:r>
    </w:p>
    <w:p w14:paraId="3D499A9D"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5.2(b)</w:t>
      </w:r>
      <w:r w:rsidRPr="007A6076">
        <w:rPr>
          <w:rFonts w:cs="Calibri"/>
          <w:i/>
          <w:iCs/>
          <w:lang w:eastAsia="en-GB"/>
        </w:rPr>
        <w:tab/>
        <w:t>The Commission operates within the limits of its statutory authority and any delegated authority, as well as in accordance with any other conditions or HM Treasury guidance relating to the use of public funds.</w:t>
      </w:r>
    </w:p>
    <w:p w14:paraId="4BBD4CBB" w14:textId="77777777" w:rsidR="00647FE7" w:rsidRPr="00D929CA" w:rsidRDefault="00647FE7" w:rsidP="00647FE7">
      <w:pPr>
        <w:spacing w:before="100" w:beforeAutospacing="1" w:after="100" w:afterAutospacing="1"/>
        <w:rPr>
          <w:rFonts w:cs="Calibri"/>
          <w:lang w:eastAsia="en-GB"/>
        </w:rPr>
      </w:pPr>
      <w:r>
        <w:rPr>
          <w:rFonts w:cs="Calibri"/>
          <w:lang w:eastAsia="en-GB"/>
        </w:rPr>
        <w:t>During 2024-25 the Commission continued to operate within its delegated authority and in accordance with HM Treasury guidance relating to the use of public funds.</w:t>
      </w:r>
    </w:p>
    <w:p w14:paraId="383577A7"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5.2 (c)</w:t>
      </w:r>
      <w:r w:rsidRPr="007A6076">
        <w:rPr>
          <w:rFonts w:cs="Calibri"/>
          <w:i/>
          <w:iCs/>
          <w:lang w:eastAsia="en-GB"/>
        </w:rPr>
        <w:tab/>
        <w:t>The Commission's Annual Report and Account are agreed and signed off by the National Audit Office.</w:t>
      </w:r>
    </w:p>
    <w:p w14:paraId="79CD2958" w14:textId="3F29CB5C" w:rsidR="00647FE7" w:rsidRPr="00610342" w:rsidRDefault="00647FE7" w:rsidP="00647FE7">
      <w:pPr>
        <w:spacing w:before="100" w:beforeAutospacing="1" w:after="100" w:afterAutospacing="1"/>
        <w:rPr>
          <w:rFonts w:cs="Calibri"/>
          <w:lang w:eastAsia="en-GB"/>
        </w:rPr>
      </w:pPr>
      <w:r w:rsidRPr="00610342">
        <w:rPr>
          <w:rFonts w:cs="Calibri"/>
          <w:lang w:eastAsia="en-GB"/>
        </w:rPr>
        <w:t>The Commission's Annual Report and Accounts for 2023-24 were approved by the Comptroller and Auditor General on 19 July and laid in Parliament on 29 July 2024.</w:t>
      </w:r>
    </w:p>
    <w:p w14:paraId="4EB81B77"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5.2 (d)</w:t>
      </w:r>
      <w:r w:rsidRPr="007A6076">
        <w:rPr>
          <w:rFonts w:cs="Calibri"/>
          <w:i/>
          <w:iCs/>
          <w:lang w:eastAsia="en-GB"/>
        </w:rPr>
        <w:tab/>
        <w:t>A majority of required monthly financial and workforce management reports are submit on time.</w:t>
      </w:r>
    </w:p>
    <w:p w14:paraId="62F0471B" w14:textId="6CD7C3CA" w:rsidR="00647FE7" w:rsidRPr="003545E4" w:rsidRDefault="00647FE7" w:rsidP="00647FE7">
      <w:pPr>
        <w:spacing w:before="100" w:beforeAutospacing="1" w:after="100" w:afterAutospacing="1"/>
        <w:rPr>
          <w:rFonts w:cs="Calibri"/>
          <w:lang w:eastAsia="en-GB"/>
        </w:rPr>
      </w:pPr>
      <w:r>
        <w:rPr>
          <w:rFonts w:cs="Calibri"/>
          <w:lang w:eastAsia="en-GB"/>
        </w:rPr>
        <w:t>Monthly financial and workforce management reports were submitted to the Commission’s sponsor department as required.</w:t>
      </w:r>
    </w:p>
    <w:p w14:paraId="36E4C062"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5.2 (e)</w:t>
      </w:r>
      <w:r w:rsidRPr="007A6076">
        <w:rPr>
          <w:rFonts w:cs="Calibri"/>
          <w:i/>
          <w:iCs/>
          <w:lang w:eastAsia="en-GB"/>
        </w:rPr>
        <w:tab/>
        <w:t>The Commission meets Government target of paying 90% of undisputed invoices within five working days.</w:t>
      </w:r>
    </w:p>
    <w:p w14:paraId="00B546D3" w14:textId="77777777" w:rsidR="00647FE7" w:rsidRPr="00FA7EF5" w:rsidRDefault="00647FE7" w:rsidP="00647FE7">
      <w:pPr>
        <w:spacing w:before="100" w:beforeAutospacing="1" w:after="100" w:afterAutospacing="1"/>
        <w:rPr>
          <w:rFonts w:cs="Calibri"/>
          <w:lang w:eastAsia="en-GB"/>
        </w:rPr>
      </w:pPr>
      <w:r w:rsidRPr="00FA7EF5">
        <w:rPr>
          <w:rFonts w:cs="Calibri"/>
          <w:lang w:eastAsia="en-GB"/>
        </w:rPr>
        <w:t>The Commission met the Government target of paying 90% of undisputed invoices within five working days as follows:</w:t>
      </w:r>
    </w:p>
    <w:p w14:paraId="456AAA40" w14:textId="77777777" w:rsidR="00647FE7" w:rsidRPr="00D80A32" w:rsidRDefault="00647FE7" w:rsidP="007A6076">
      <w:pPr>
        <w:pStyle w:val="ListParagraph"/>
        <w:numPr>
          <w:ilvl w:val="0"/>
          <w:numId w:val="34"/>
        </w:numPr>
        <w:contextualSpacing/>
        <w:rPr>
          <w:rFonts w:cs="Calibri"/>
          <w:lang w:eastAsia="en-GB"/>
        </w:rPr>
      </w:pPr>
      <w:r w:rsidRPr="00D80A32">
        <w:rPr>
          <w:rFonts w:cs="Calibri"/>
          <w:lang w:eastAsia="en-GB"/>
        </w:rPr>
        <w:t>April 2024 - 31 invoices paid within 5 working days (100%)                                                                    May 2024 - 45 invoices paid within 5 working days (100%)                                                                              June 2024 - 29 invoices paid within 5 working days (100%)</w:t>
      </w:r>
    </w:p>
    <w:p w14:paraId="2812296D" w14:textId="77777777" w:rsidR="00647FE7" w:rsidRPr="00D80A32" w:rsidRDefault="00647FE7" w:rsidP="007A6076">
      <w:pPr>
        <w:pStyle w:val="ListParagraph"/>
        <w:numPr>
          <w:ilvl w:val="0"/>
          <w:numId w:val="34"/>
        </w:numPr>
        <w:contextualSpacing/>
        <w:rPr>
          <w:rFonts w:cs="Calibri"/>
          <w:lang w:eastAsia="en-GB"/>
        </w:rPr>
      </w:pPr>
      <w:r w:rsidRPr="00D80A32">
        <w:rPr>
          <w:rFonts w:cs="Calibri"/>
          <w:lang w:eastAsia="en-GB"/>
        </w:rPr>
        <w:t xml:space="preserve">July 2024 - 48 invoices paid within 5 working days (100%)           </w:t>
      </w:r>
    </w:p>
    <w:p w14:paraId="5BCC072C" w14:textId="77777777" w:rsidR="00647FE7" w:rsidRPr="00D80A32" w:rsidRDefault="00647FE7" w:rsidP="007A6076">
      <w:pPr>
        <w:pStyle w:val="ListParagraph"/>
        <w:numPr>
          <w:ilvl w:val="0"/>
          <w:numId w:val="34"/>
        </w:numPr>
        <w:contextualSpacing/>
        <w:rPr>
          <w:rFonts w:cs="Calibri"/>
          <w:lang w:eastAsia="en-GB"/>
        </w:rPr>
      </w:pPr>
      <w:r w:rsidRPr="00D80A32">
        <w:rPr>
          <w:rFonts w:cs="Calibri"/>
          <w:lang w:eastAsia="en-GB"/>
        </w:rPr>
        <w:t xml:space="preserve">August 2024 - 43 invoices paid within 5 working days (100%) </w:t>
      </w:r>
    </w:p>
    <w:p w14:paraId="3D3C1540" w14:textId="77777777" w:rsidR="00647FE7" w:rsidRPr="00D80A32" w:rsidRDefault="00647FE7" w:rsidP="007A6076">
      <w:pPr>
        <w:pStyle w:val="ListParagraph"/>
        <w:numPr>
          <w:ilvl w:val="0"/>
          <w:numId w:val="34"/>
        </w:numPr>
        <w:contextualSpacing/>
        <w:rPr>
          <w:rFonts w:cs="Calibri"/>
          <w:lang w:eastAsia="en-GB"/>
        </w:rPr>
      </w:pPr>
      <w:r w:rsidRPr="00D80A32">
        <w:rPr>
          <w:rFonts w:cs="Calibri"/>
          <w:lang w:eastAsia="en-GB"/>
        </w:rPr>
        <w:t xml:space="preserve">September 2024 - 40 invoices paid within 5 working days (95.2%) with 2 further invoices paid within 9 working days                                 </w:t>
      </w:r>
    </w:p>
    <w:p w14:paraId="4508122A" w14:textId="77777777" w:rsidR="00647FE7" w:rsidRPr="00D80A32" w:rsidRDefault="00647FE7" w:rsidP="007A6076">
      <w:pPr>
        <w:pStyle w:val="ListParagraph"/>
        <w:numPr>
          <w:ilvl w:val="0"/>
          <w:numId w:val="34"/>
        </w:numPr>
        <w:contextualSpacing/>
        <w:rPr>
          <w:rFonts w:cs="Calibri"/>
          <w:lang w:eastAsia="en-GB"/>
        </w:rPr>
      </w:pPr>
      <w:r w:rsidRPr="00D80A32">
        <w:rPr>
          <w:rFonts w:cs="Calibri"/>
          <w:lang w:eastAsia="en-GB"/>
        </w:rPr>
        <w:t xml:space="preserve">October 2024 - 38 invoices paid within 5 working days (100%) </w:t>
      </w:r>
    </w:p>
    <w:p w14:paraId="61ADADE5" w14:textId="77777777" w:rsidR="00647FE7" w:rsidRPr="00D80A32" w:rsidRDefault="00647FE7" w:rsidP="007A6076">
      <w:pPr>
        <w:pStyle w:val="ListParagraph"/>
        <w:numPr>
          <w:ilvl w:val="0"/>
          <w:numId w:val="34"/>
        </w:numPr>
        <w:contextualSpacing/>
        <w:rPr>
          <w:rFonts w:cs="Calibri"/>
          <w:lang w:eastAsia="en-GB"/>
        </w:rPr>
      </w:pPr>
      <w:r w:rsidRPr="00D80A32">
        <w:rPr>
          <w:rFonts w:cs="Calibri"/>
          <w:lang w:eastAsia="en-GB"/>
        </w:rPr>
        <w:lastRenderedPageBreak/>
        <w:t>November 2024 - 34 invoices paid within 5 working days (100%) December 2024</w:t>
      </w:r>
      <w:r>
        <w:rPr>
          <w:rFonts w:cs="Calibri"/>
          <w:lang w:eastAsia="en-GB"/>
        </w:rPr>
        <w:t xml:space="preserve"> -</w:t>
      </w:r>
      <w:r w:rsidRPr="00D80A32">
        <w:rPr>
          <w:rFonts w:cs="Calibri"/>
          <w:lang w:eastAsia="en-GB"/>
        </w:rPr>
        <w:t xml:space="preserve"> 30 of 31 invoices paid within 5 working days (96.8%) with one invoice was paid within 6 working days due to staff leave over Christmas and the New Year                    </w:t>
      </w:r>
    </w:p>
    <w:p w14:paraId="5EF525D2" w14:textId="77777777" w:rsidR="00647FE7" w:rsidRPr="00D80A32" w:rsidRDefault="00647FE7" w:rsidP="007A6076">
      <w:pPr>
        <w:pStyle w:val="ListParagraph"/>
        <w:numPr>
          <w:ilvl w:val="0"/>
          <w:numId w:val="34"/>
        </w:numPr>
        <w:contextualSpacing/>
        <w:rPr>
          <w:rFonts w:cs="Calibri"/>
          <w:lang w:eastAsia="en-GB"/>
        </w:rPr>
      </w:pPr>
      <w:r w:rsidRPr="00D80A32">
        <w:rPr>
          <w:rFonts w:cs="Calibri"/>
          <w:lang w:eastAsia="en-GB"/>
        </w:rPr>
        <w:t xml:space="preserve">January 2025 - 42 invoices paid within 5 working days (100%) </w:t>
      </w:r>
    </w:p>
    <w:p w14:paraId="7DB8DE40" w14:textId="77777777" w:rsidR="00647FE7" w:rsidRPr="00D80A32" w:rsidRDefault="00647FE7" w:rsidP="007A6076">
      <w:pPr>
        <w:pStyle w:val="ListParagraph"/>
        <w:numPr>
          <w:ilvl w:val="0"/>
          <w:numId w:val="34"/>
        </w:numPr>
        <w:contextualSpacing/>
        <w:rPr>
          <w:rFonts w:cs="Calibri"/>
          <w:lang w:eastAsia="en-GB"/>
        </w:rPr>
      </w:pPr>
      <w:r w:rsidRPr="00D80A32">
        <w:rPr>
          <w:rFonts w:cs="Calibri"/>
          <w:lang w:eastAsia="en-GB"/>
        </w:rPr>
        <w:t>February 2025 - 34 invoices paid within 5 working days (100%)</w:t>
      </w:r>
    </w:p>
    <w:p w14:paraId="38332BD8" w14:textId="77777777" w:rsidR="00647FE7" w:rsidRPr="00D80A32" w:rsidRDefault="00647FE7" w:rsidP="007A6076">
      <w:pPr>
        <w:pStyle w:val="ListParagraph"/>
        <w:numPr>
          <w:ilvl w:val="0"/>
          <w:numId w:val="34"/>
        </w:numPr>
        <w:contextualSpacing/>
        <w:rPr>
          <w:rFonts w:cs="Calibri"/>
          <w:lang w:eastAsia="en-GB"/>
        </w:rPr>
      </w:pPr>
      <w:r w:rsidRPr="00D80A32">
        <w:rPr>
          <w:rFonts w:cs="Calibri"/>
          <w:lang w:eastAsia="en-GB"/>
        </w:rPr>
        <w:t xml:space="preserve">March 2025 - 40 invoices paid within 5 working days (100%) </w:t>
      </w:r>
    </w:p>
    <w:p w14:paraId="52BD72B0" w14:textId="44692F21" w:rsidR="00647FE7" w:rsidRPr="00610342" w:rsidRDefault="00647FE7" w:rsidP="00647FE7">
      <w:pPr>
        <w:spacing w:before="100" w:beforeAutospacing="1" w:after="100" w:afterAutospacing="1"/>
        <w:rPr>
          <w:rFonts w:cs="Calibri"/>
          <w:lang w:eastAsia="en-GB"/>
        </w:rPr>
      </w:pPr>
      <w:r w:rsidRPr="00610342">
        <w:rPr>
          <w:rFonts w:cs="Calibri"/>
          <w:lang w:eastAsia="en-GB"/>
        </w:rPr>
        <w:t xml:space="preserve">By the end of the financial year 99.3% of </w:t>
      </w:r>
      <w:r>
        <w:rPr>
          <w:rFonts w:cs="Calibri"/>
          <w:lang w:eastAsia="en-GB"/>
        </w:rPr>
        <w:t xml:space="preserve">undisputed </w:t>
      </w:r>
      <w:r w:rsidRPr="00610342">
        <w:rPr>
          <w:rFonts w:cs="Calibri"/>
          <w:lang w:eastAsia="en-GB"/>
        </w:rPr>
        <w:t>invoices were paid within 5 working days.</w:t>
      </w:r>
    </w:p>
    <w:p w14:paraId="48E59E62" w14:textId="77777777" w:rsidR="00647FE7" w:rsidRPr="00610342" w:rsidRDefault="00647FE7" w:rsidP="00647FE7">
      <w:pPr>
        <w:spacing w:before="100" w:beforeAutospacing="1" w:after="100" w:afterAutospacing="1"/>
        <w:rPr>
          <w:rFonts w:cs="Calibri"/>
          <w:b/>
          <w:bCs/>
          <w:lang w:eastAsia="en-GB"/>
        </w:rPr>
      </w:pPr>
      <w:r w:rsidRPr="00610342">
        <w:rPr>
          <w:rFonts w:cs="Calibri"/>
          <w:b/>
          <w:bCs/>
          <w:lang w:eastAsia="en-GB"/>
        </w:rPr>
        <w:t xml:space="preserve">5.3 </w:t>
      </w:r>
      <w:r w:rsidRPr="00610342">
        <w:rPr>
          <w:rFonts w:cs="Calibri"/>
          <w:b/>
          <w:bCs/>
          <w:lang w:eastAsia="en-GB"/>
        </w:rPr>
        <w:tab/>
        <w:t>The Commission remains publicly accountable for its services.</w:t>
      </w:r>
    </w:p>
    <w:p w14:paraId="2CB746FE" w14:textId="38F5B2B1" w:rsidR="00647FE7" w:rsidRPr="0037373B" w:rsidRDefault="00647FE7" w:rsidP="00647FE7">
      <w:pPr>
        <w:spacing w:before="100" w:beforeAutospacing="1" w:after="100" w:afterAutospacing="1"/>
        <w:rPr>
          <w:rFonts w:cs="Calibri"/>
          <w:lang w:eastAsia="en-GB"/>
        </w:rPr>
      </w:pPr>
      <w:r>
        <w:rPr>
          <w:rFonts w:cs="Calibri"/>
          <w:lang w:eastAsia="en-GB"/>
        </w:rPr>
        <w:t>There were no instances of non-compliance during 2024-25 with any open government or transparency policies, initiatives and guidance issued by the Northern Ireland Office, HM Treasury or Cabinet Office.</w:t>
      </w:r>
    </w:p>
    <w:p w14:paraId="0E2B57E4"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5.3 (a)</w:t>
      </w:r>
      <w:r w:rsidRPr="007A6076">
        <w:rPr>
          <w:rFonts w:cs="Calibri"/>
          <w:i/>
          <w:iCs/>
          <w:lang w:eastAsia="en-GB"/>
        </w:rPr>
        <w:tab/>
        <w:t>Instances of non-compliance with any open government or transparency policies, initiatives and guidance issued by the NI Office, HM Treasury or Cabinet Office.</w:t>
      </w:r>
    </w:p>
    <w:p w14:paraId="79B9E6F8" w14:textId="43A194E1" w:rsidR="00647FE7" w:rsidRPr="00610342" w:rsidRDefault="00647FE7" w:rsidP="00647FE7">
      <w:pPr>
        <w:spacing w:before="100" w:beforeAutospacing="1" w:after="100" w:afterAutospacing="1"/>
        <w:rPr>
          <w:rFonts w:cs="Calibri"/>
          <w:lang w:eastAsia="en-GB"/>
        </w:rPr>
      </w:pPr>
      <w:r w:rsidRPr="00610342">
        <w:rPr>
          <w:rFonts w:cs="Calibri"/>
          <w:lang w:eastAsia="en-GB"/>
        </w:rPr>
        <w:t>There were no instances of non-compliance for the period 1 April 2024 – 31 March 2025.</w:t>
      </w:r>
    </w:p>
    <w:p w14:paraId="6BDEAB8E"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5.3 (b)</w:t>
      </w:r>
      <w:r w:rsidRPr="007A6076">
        <w:rPr>
          <w:rFonts w:cs="Calibri"/>
          <w:i/>
          <w:iCs/>
          <w:lang w:eastAsia="en-GB"/>
        </w:rPr>
        <w:tab/>
        <w:t>The majority of Freedom of Information Act are responded to within statutory time limits.</w:t>
      </w:r>
    </w:p>
    <w:p w14:paraId="58686357" w14:textId="77777777" w:rsidR="00647FE7" w:rsidRPr="00610342" w:rsidRDefault="00647FE7" w:rsidP="00647FE7">
      <w:pPr>
        <w:spacing w:before="100" w:beforeAutospacing="1" w:after="100" w:afterAutospacing="1"/>
        <w:rPr>
          <w:rFonts w:cs="Calibri"/>
          <w:lang w:eastAsia="en-GB"/>
        </w:rPr>
      </w:pPr>
      <w:r w:rsidRPr="00610342">
        <w:rPr>
          <w:rFonts w:cs="Calibri"/>
          <w:lang w:eastAsia="en-GB"/>
        </w:rPr>
        <w:t>The Commission provided responses to Freedom of Information requests from 1 April 2024-31 March 2025 as follows:</w:t>
      </w:r>
    </w:p>
    <w:p w14:paraId="37B7EB14" w14:textId="77777777" w:rsidR="00647FE7" w:rsidRPr="00D80A32" w:rsidRDefault="00647FE7" w:rsidP="007A6076">
      <w:pPr>
        <w:pStyle w:val="ListParagraph"/>
        <w:numPr>
          <w:ilvl w:val="0"/>
          <w:numId w:val="35"/>
        </w:numPr>
        <w:contextualSpacing/>
        <w:rPr>
          <w:rFonts w:cs="Calibri"/>
          <w:lang w:eastAsia="en-GB"/>
        </w:rPr>
      </w:pPr>
      <w:r w:rsidRPr="00D80A32">
        <w:rPr>
          <w:rFonts w:cs="Calibri"/>
          <w:lang w:eastAsia="en-GB"/>
        </w:rPr>
        <w:t xml:space="preserve">April 2024 - 1 request received and responded to within the statutory limit.                                                           </w:t>
      </w:r>
    </w:p>
    <w:p w14:paraId="25C23C61" w14:textId="77777777" w:rsidR="00647FE7" w:rsidRPr="00D80A32" w:rsidRDefault="00647FE7" w:rsidP="007A6076">
      <w:pPr>
        <w:pStyle w:val="ListParagraph"/>
        <w:numPr>
          <w:ilvl w:val="0"/>
          <w:numId w:val="35"/>
        </w:numPr>
        <w:contextualSpacing/>
        <w:rPr>
          <w:rFonts w:cs="Calibri"/>
          <w:lang w:eastAsia="en-GB"/>
        </w:rPr>
      </w:pPr>
      <w:r w:rsidRPr="00D80A32">
        <w:rPr>
          <w:rFonts w:cs="Calibri"/>
          <w:lang w:eastAsia="en-GB"/>
        </w:rPr>
        <w:t xml:space="preserve">May 2024 - No requests received                                                </w:t>
      </w:r>
    </w:p>
    <w:p w14:paraId="27930E1C" w14:textId="77777777" w:rsidR="00647FE7" w:rsidRPr="00D80A32" w:rsidRDefault="00647FE7" w:rsidP="007A6076">
      <w:pPr>
        <w:pStyle w:val="ListParagraph"/>
        <w:numPr>
          <w:ilvl w:val="0"/>
          <w:numId w:val="35"/>
        </w:numPr>
        <w:contextualSpacing/>
        <w:rPr>
          <w:rFonts w:cs="Calibri"/>
          <w:lang w:eastAsia="en-GB"/>
        </w:rPr>
      </w:pPr>
      <w:r w:rsidRPr="00D80A32">
        <w:rPr>
          <w:rFonts w:cs="Calibri"/>
          <w:lang w:eastAsia="en-GB"/>
        </w:rPr>
        <w:t>June 2024 - 4 requests received and responded to within the statutory time limit</w:t>
      </w:r>
    </w:p>
    <w:p w14:paraId="4F911CD7" w14:textId="77777777" w:rsidR="00647FE7" w:rsidRPr="00D80A32" w:rsidRDefault="00647FE7" w:rsidP="007A6076">
      <w:pPr>
        <w:pStyle w:val="ListParagraph"/>
        <w:numPr>
          <w:ilvl w:val="0"/>
          <w:numId w:val="35"/>
        </w:numPr>
        <w:contextualSpacing/>
        <w:rPr>
          <w:rFonts w:cs="Calibri"/>
          <w:lang w:eastAsia="en-GB"/>
        </w:rPr>
      </w:pPr>
      <w:r w:rsidRPr="00D80A32">
        <w:rPr>
          <w:rFonts w:cs="Calibri"/>
          <w:lang w:eastAsia="en-GB"/>
        </w:rPr>
        <w:t xml:space="preserve">July 2024 - 3 requests received and responded to within the statutory limit.                                              </w:t>
      </w:r>
    </w:p>
    <w:p w14:paraId="0D0C47B0" w14:textId="77777777" w:rsidR="00647FE7" w:rsidRPr="00D80A32" w:rsidRDefault="00647FE7" w:rsidP="007A6076">
      <w:pPr>
        <w:pStyle w:val="ListParagraph"/>
        <w:numPr>
          <w:ilvl w:val="0"/>
          <w:numId w:val="35"/>
        </w:numPr>
        <w:contextualSpacing/>
        <w:rPr>
          <w:rFonts w:cs="Calibri"/>
          <w:lang w:eastAsia="en-GB"/>
        </w:rPr>
      </w:pPr>
      <w:r w:rsidRPr="00D80A32">
        <w:rPr>
          <w:rFonts w:cs="Calibri"/>
          <w:lang w:eastAsia="en-GB"/>
        </w:rPr>
        <w:t xml:space="preserve">August 2024 - 5 requests received and responded to within the statutory limit.                                       </w:t>
      </w:r>
    </w:p>
    <w:p w14:paraId="2B26EDC6" w14:textId="77777777" w:rsidR="00647FE7" w:rsidRPr="00D80A32" w:rsidRDefault="00647FE7" w:rsidP="007A6076">
      <w:pPr>
        <w:pStyle w:val="ListParagraph"/>
        <w:numPr>
          <w:ilvl w:val="0"/>
          <w:numId w:val="35"/>
        </w:numPr>
        <w:contextualSpacing/>
        <w:rPr>
          <w:rFonts w:cs="Calibri"/>
          <w:lang w:eastAsia="en-GB"/>
        </w:rPr>
      </w:pPr>
      <w:r w:rsidRPr="00D80A32">
        <w:rPr>
          <w:rFonts w:cs="Calibri"/>
          <w:lang w:eastAsia="en-GB"/>
        </w:rPr>
        <w:t>September 2024 - 3 requests received and responded to within the statutory limit.</w:t>
      </w:r>
    </w:p>
    <w:p w14:paraId="0F7C9FAC" w14:textId="77777777" w:rsidR="00647FE7" w:rsidRPr="00D80A32" w:rsidRDefault="00647FE7" w:rsidP="007A6076">
      <w:pPr>
        <w:pStyle w:val="ListParagraph"/>
        <w:numPr>
          <w:ilvl w:val="0"/>
          <w:numId w:val="35"/>
        </w:numPr>
        <w:contextualSpacing/>
        <w:rPr>
          <w:rFonts w:cs="Calibri"/>
          <w:lang w:eastAsia="en-GB"/>
        </w:rPr>
      </w:pPr>
      <w:r w:rsidRPr="00D80A32">
        <w:rPr>
          <w:rFonts w:cs="Calibri"/>
          <w:lang w:eastAsia="en-GB"/>
        </w:rPr>
        <w:t xml:space="preserve">October 2024 - 1 request received and responded to within the statutory limit.   </w:t>
      </w:r>
    </w:p>
    <w:p w14:paraId="3B063BB0" w14:textId="77777777" w:rsidR="00647FE7" w:rsidRPr="00D80A32" w:rsidRDefault="00647FE7" w:rsidP="007A6076">
      <w:pPr>
        <w:pStyle w:val="ListParagraph"/>
        <w:numPr>
          <w:ilvl w:val="0"/>
          <w:numId w:val="35"/>
        </w:numPr>
        <w:contextualSpacing/>
        <w:rPr>
          <w:rFonts w:cs="Calibri"/>
          <w:lang w:eastAsia="en-GB"/>
        </w:rPr>
      </w:pPr>
      <w:r w:rsidRPr="00D80A32">
        <w:rPr>
          <w:rFonts w:cs="Calibri"/>
          <w:lang w:eastAsia="en-GB"/>
        </w:rPr>
        <w:t xml:space="preserve">November 2024 – No requests received.  </w:t>
      </w:r>
    </w:p>
    <w:p w14:paraId="792C9D3C" w14:textId="77777777" w:rsidR="00647FE7" w:rsidRPr="00D80A32" w:rsidRDefault="00647FE7" w:rsidP="007A6076">
      <w:pPr>
        <w:pStyle w:val="ListParagraph"/>
        <w:numPr>
          <w:ilvl w:val="0"/>
          <w:numId w:val="35"/>
        </w:numPr>
        <w:contextualSpacing/>
        <w:rPr>
          <w:rFonts w:cs="Calibri"/>
          <w:lang w:eastAsia="en-GB"/>
        </w:rPr>
      </w:pPr>
      <w:r w:rsidRPr="00D80A32">
        <w:rPr>
          <w:rFonts w:cs="Calibri"/>
          <w:lang w:eastAsia="en-GB"/>
        </w:rPr>
        <w:t>December 2024 - 3 requests received and responded to within the statutory limit.</w:t>
      </w:r>
    </w:p>
    <w:p w14:paraId="3F98FFE2" w14:textId="77777777" w:rsidR="00647FE7" w:rsidRPr="00D80A32" w:rsidRDefault="00647FE7" w:rsidP="007A6076">
      <w:pPr>
        <w:pStyle w:val="ListParagraph"/>
        <w:numPr>
          <w:ilvl w:val="0"/>
          <w:numId w:val="35"/>
        </w:numPr>
        <w:contextualSpacing/>
        <w:rPr>
          <w:rFonts w:cs="Calibri"/>
          <w:lang w:eastAsia="en-GB"/>
        </w:rPr>
      </w:pPr>
      <w:r w:rsidRPr="00D80A32">
        <w:rPr>
          <w:rFonts w:cs="Calibri"/>
          <w:lang w:eastAsia="en-GB"/>
        </w:rPr>
        <w:t xml:space="preserve">January 2025 - 3 requests received and responded to within the statutory limit. </w:t>
      </w:r>
    </w:p>
    <w:p w14:paraId="6B9D48F5" w14:textId="77777777" w:rsidR="00647FE7" w:rsidRPr="00D80A32" w:rsidRDefault="00647FE7" w:rsidP="007A6076">
      <w:pPr>
        <w:pStyle w:val="ListParagraph"/>
        <w:numPr>
          <w:ilvl w:val="0"/>
          <w:numId w:val="35"/>
        </w:numPr>
        <w:contextualSpacing/>
        <w:rPr>
          <w:rFonts w:cs="Calibri"/>
          <w:lang w:eastAsia="en-GB"/>
        </w:rPr>
      </w:pPr>
      <w:r w:rsidRPr="00D80A32">
        <w:rPr>
          <w:rFonts w:cs="Calibri"/>
          <w:lang w:eastAsia="en-GB"/>
        </w:rPr>
        <w:lastRenderedPageBreak/>
        <w:t xml:space="preserve">February 2025 - 1 request received and responded to within the statutory limit.  </w:t>
      </w:r>
    </w:p>
    <w:p w14:paraId="2D509B7D" w14:textId="6113D282" w:rsidR="00647FE7" w:rsidRPr="00C557FC" w:rsidRDefault="00647FE7" w:rsidP="007A6076">
      <w:pPr>
        <w:pStyle w:val="ListParagraph"/>
        <w:numPr>
          <w:ilvl w:val="0"/>
          <w:numId w:val="35"/>
        </w:numPr>
        <w:contextualSpacing/>
        <w:rPr>
          <w:rFonts w:cs="Calibri"/>
          <w:lang w:eastAsia="en-GB"/>
        </w:rPr>
      </w:pPr>
      <w:r w:rsidRPr="00D80A32">
        <w:rPr>
          <w:rFonts w:cs="Calibri"/>
          <w:lang w:eastAsia="en-GB"/>
        </w:rPr>
        <w:t>March 2025 – No requests received</w:t>
      </w:r>
    </w:p>
    <w:p w14:paraId="0869D963"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5.3 (c)</w:t>
      </w:r>
      <w:r w:rsidRPr="007A6076">
        <w:rPr>
          <w:rFonts w:cs="Calibri"/>
          <w:i/>
          <w:iCs/>
          <w:lang w:eastAsia="en-GB"/>
        </w:rPr>
        <w:tab/>
        <w:t>The Commission complies with its equality and good relations duties and meets any reporting requirements.</w:t>
      </w:r>
    </w:p>
    <w:p w14:paraId="5FC56FAC" w14:textId="77777777" w:rsidR="00647FE7" w:rsidRDefault="00647FE7" w:rsidP="00647FE7">
      <w:pPr>
        <w:spacing w:before="100" w:beforeAutospacing="1" w:after="100" w:afterAutospacing="1"/>
        <w:rPr>
          <w:rFonts w:cs="Calibri"/>
          <w:lang w:eastAsia="en-GB"/>
        </w:rPr>
      </w:pPr>
      <w:r>
        <w:rPr>
          <w:rFonts w:cs="Calibri"/>
          <w:lang w:eastAsia="en-GB"/>
        </w:rPr>
        <w:t>The Commission’s annual Equality Monitoring Return and Progress Against the Equality Scheme Report was submitted to ECNI.</w:t>
      </w:r>
    </w:p>
    <w:p w14:paraId="7D174372" w14:textId="25D9B1C8" w:rsidR="00647FE7" w:rsidRPr="00610342" w:rsidRDefault="00647FE7" w:rsidP="00647FE7">
      <w:pPr>
        <w:spacing w:before="100" w:beforeAutospacing="1" w:after="100" w:afterAutospacing="1"/>
        <w:rPr>
          <w:rFonts w:cs="Calibri"/>
          <w:lang w:eastAsia="en-GB"/>
        </w:rPr>
      </w:pPr>
      <w:r>
        <w:rPr>
          <w:rFonts w:cs="Calibri"/>
          <w:lang w:eastAsia="en-GB"/>
        </w:rPr>
        <w:t>Quarterly Business Service (QBS) which replaced the Quarterly Employment, Index of Services and Index of Production surveys to measure employee jobs and economic output performance of the Northern Ireland economy were completed and submitted to the Department of Finance.</w:t>
      </w:r>
    </w:p>
    <w:p w14:paraId="00836A73"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5.3 (d)</w:t>
      </w:r>
      <w:r w:rsidRPr="007A6076">
        <w:rPr>
          <w:rFonts w:cs="Calibri"/>
          <w:i/>
          <w:iCs/>
          <w:lang w:eastAsia="en-GB"/>
        </w:rPr>
        <w:tab/>
        <w:t>The Commission responds promptly and engages transparently in response to any complaints made to the Parliamentary Ombudsman.</w:t>
      </w:r>
    </w:p>
    <w:p w14:paraId="66233BD7" w14:textId="78645C0D" w:rsidR="00647FE7" w:rsidRPr="00610342" w:rsidRDefault="00647FE7" w:rsidP="00647FE7">
      <w:pPr>
        <w:spacing w:before="100" w:beforeAutospacing="1" w:after="100" w:afterAutospacing="1"/>
        <w:rPr>
          <w:rFonts w:cs="Calibri"/>
          <w:lang w:eastAsia="en-GB"/>
        </w:rPr>
      </w:pPr>
      <w:r w:rsidRPr="00610342">
        <w:rPr>
          <w:rFonts w:cs="Calibri"/>
          <w:lang w:eastAsia="en-GB"/>
        </w:rPr>
        <w:t>There were no complaints made to the Parliamentary Ombudsman during the period 1 April 2024 – 31 March 2025.</w:t>
      </w:r>
    </w:p>
    <w:p w14:paraId="70BB940C" w14:textId="77777777" w:rsidR="00647FE7" w:rsidRPr="007A6076" w:rsidRDefault="00647FE7" w:rsidP="00647FE7">
      <w:pPr>
        <w:spacing w:before="100" w:beforeAutospacing="1" w:after="100" w:afterAutospacing="1"/>
        <w:ind w:left="1440" w:hanging="1440"/>
        <w:rPr>
          <w:rFonts w:cs="Calibri"/>
          <w:i/>
          <w:iCs/>
          <w:lang w:eastAsia="en-GB"/>
        </w:rPr>
      </w:pPr>
      <w:r w:rsidRPr="007A6076">
        <w:rPr>
          <w:rFonts w:cs="Calibri"/>
          <w:i/>
          <w:iCs/>
          <w:lang w:eastAsia="en-GB"/>
        </w:rPr>
        <w:t>5.3 (e)</w:t>
      </w:r>
      <w:r w:rsidRPr="007A6076">
        <w:rPr>
          <w:rFonts w:cs="Calibri"/>
          <w:i/>
          <w:iCs/>
          <w:lang w:eastAsia="en-GB"/>
        </w:rPr>
        <w:tab/>
        <w:t>All personal data held by the Commission is retained in accordance with the General Data Protection Regulation as it applies in the United Kingdom, tailored by the Data Protection Act 2018 and personal data related incidents reported formally to the Information Commissioner’s Office, if applicable.</w:t>
      </w:r>
    </w:p>
    <w:p w14:paraId="1321DCC8" w14:textId="6428ECA0" w:rsidR="007330CB" w:rsidRDefault="00647FE7" w:rsidP="00C557FC">
      <w:pPr>
        <w:spacing w:before="100" w:beforeAutospacing="1" w:after="100" w:afterAutospacing="1"/>
        <w:rPr>
          <w:rFonts w:cs="Calibri"/>
          <w:lang w:eastAsia="en-GB"/>
        </w:rPr>
      </w:pPr>
      <w:r w:rsidRPr="00610342">
        <w:rPr>
          <w:rFonts w:cs="Calibri"/>
          <w:lang w:eastAsia="en-GB"/>
        </w:rPr>
        <w:t>There were no data related incidents reported formally to the Information Commissioner’s Office during the period 1 April 2024- 31 March 2025</w:t>
      </w:r>
    </w:p>
    <w:p w14:paraId="624F4E34" w14:textId="77777777" w:rsidR="00C557FC" w:rsidRDefault="00C557FC" w:rsidP="00C557FC">
      <w:pPr>
        <w:spacing w:before="100" w:beforeAutospacing="1" w:after="100" w:afterAutospacing="1"/>
      </w:pPr>
    </w:p>
    <w:p w14:paraId="60DE570B" w14:textId="77777777" w:rsidR="007A6076" w:rsidRDefault="007A6076" w:rsidP="00C557FC">
      <w:pPr>
        <w:spacing w:before="100" w:beforeAutospacing="1" w:after="100" w:afterAutospacing="1"/>
      </w:pPr>
    </w:p>
    <w:p w14:paraId="34C1EDC9" w14:textId="77777777" w:rsidR="007A6076" w:rsidRDefault="007A6076" w:rsidP="00C557FC">
      <w:pPr>
        <w:spacing w:before="100" w:beforeAutospacing="1" w:after="100" w:afterAutospacing="1"/>
      </w:pPr>
    </w:p>
    <w:p w14:paraId="7727D041" w14:textId="77777777" w:rsidR="007A6076" w:rsidRDefault="007A6076" w:rsidP="00C557FC">
      <w:pPr>
        <w:spacing w:before="100" w:beforeAutospacing="1" w:after="100" w:afterAutospacing="1"/>
      </w:pPr>
    </w:p>
    <w:p w14:paraId="2873C3F2" w14:textId="77777777" w:rsidR="007A6076" w:rsidRDefault="007A6076" w:rsidP="00C557FC">
      <w:pPr>
        <w:spacing w:before="100" w:beforeAutospacing="1" w:after="100" w:afterAutospacing="1"/>
      </w:pPr>
    </w:p>
    <w:p w14:paraId="7ECC3C75" w14:textId="77777777" w:rsidR="007A6076" w:rsidRDefault="007A6076" w:rsidP="00C557FC">
      <w:pPr>
        <w:spacing w:before="100" w:beforeAutospacing="1" w:after="100" w:afterAutospacing="1"/>
      </w:pPr>
    </w:p>
    <w:p w14:paraId="1AAD9AB0" w14:textId="77777777" w:rsidR="007A6076" w:rsidRDefault="007A6076" w:rsidP="00C557FC">
      <w:pPr>
        <w:spacing w:before="100" w:beforeAutospacing="1" w:after="100" w:afterAutospacing="1"/>
      </w:pPr>
    </w:p>
    <w:p w14:paraId="0A1CEE53" w14:textId="77777777" w:rsidR="007A6076" w:rsidRDefault="007A6076" w:rsidP="00C557FC">
      <w:pPr>
        <w:spacing w:before="100" w:beforeAutospacing="1" w:after="100" w:afterAutospacing="1"/>
      </w:pPr>
    </w:p>
    <w:p w14:paraId="661CF4CB" w14:textId="77777777" w:rsidR="007A6076" w:rsidRPr="00C557FC" w:rsidRDefault="007A6076" w:rsidP="00C557FC">
      <w:pPr>
        <w:spacing w:before="100" w:beforeAutospacing="1" w:after="100" w:afterAutospacing="1"/>
      </w:pPr>
    </w:p>
    <w:p w14:paraId="549B2165" w14:textId="2080D0B2" w:rsidR="002667DD" w:rsidRPr="008E10A3" w:rsidRDefault="002667DD" w:rsidP="002667DD">
      <w:pPr>
        <w:rPr>
          <w:bCs/>
        </w:rPr>
      </w:pPr>
      <w:bookmarkStart w:id="9" w:name="KeyRisks"/>
      <w:r w:rsidRPr="008E10A3">
        <w:rPr>
          <w:rFonts w:eastAsia="Calibri"/>
          <w:b/>
          <w:color w:val="auto"/>
          <w:lang w:eastAsia="en-GB"/>
        </w:rPr>
        <w:lastRenderedPageBreak/>
        <w:t xml:space="preserve">Key risks facing the Northern Ireland Human Rights Commission  </w:t>
      </w:r>
    </w:p>
    <w:bookmarkEnd w:id="9"/>
    <w:p w14:paraId="5E5CF0D6" w14:textId="77777777" w:rsidR="002667DD" w:rsidRPr="008E10A3" w:rsidRDefault="002667DD" w:rsidP="002667DD">
      <w:pPr>
        <w:pStyle w:val="ListParagraph"/>
        <w:ind w:left="0"/>
      </w:pPr>
    </w:p>
    <w:p w14:paraId="019EDCF0" w14:textId="4B35E020" w:rsidR="006652D2" w:rsidRPr="008E10A3" w:rsidRDefault="00BD063F" w:rsidP="006652D2">
      <w:r>
        <w:t>Following its</w:t>
      </w:r>
      <w:r w:rsidR="00C8596A">
        <w:t xml:space="preserve"> </w:t>
      </w:r>
      <w:r w:rsidR="006652D2">
        <w:t>re-accredit</w:t>
      </w:r>
      <w:r>
        <w:t>ation</w:t>
      </w:r>
      <w:r w:rsidR="006652D2">
        <w:t xml:space="preserve"> with A status in November 2023</w:t>
      </w:r>
      <w:r>
        <w:t xml:space="preserve">, the Commission </w:t>
      </w:r>
      <w:r w:rsidR="0051618F">
        <w:t>worked alongside the Northern Ireland Office to address recommendations</w:t>
      </w:r>
      <w:r w:rsidR="00F35D9D">
        <w:t xml:space="preserve"> from the United Nations that has resulted</w:t>
      </w:r>
      <w:r w:rsidR="005A0907">
        <w:t xml:space="preserve"> in</w:t>
      </w:r>
      <w:r w:rsidR="0024410D">
        <w:t xml:space="preserve"> </w:t>
      </w:r>
      <w:r w:rsidR="006652D2">
        <w:t xml:space="preserve">two years of delays. The Global Alliance of National Human Rights Institutions Sub-committee on Accreditation made 4 recommendations to the Commission which </w:t>
      </w:r>
      <w:r w:rsidR="00792E8C">
        <w:t xml:space="preserve">continue to </w:t>
      </w:r>
      <w:r w:rsidR="006652D2">
        <w:t xml:space="preserve">require action by the UK </w:t>
      </w:r>
      <w:r w:rsidR="00F322BD">
        <w:t>g</w:t>
      </w:r>
      <w:r w:rsidR="006652D2">
        <w:t xml:space="preserve">overnment. Two of the recommendations focused on adequate funding and the need for increased financial autonomy. </w:t>
      </w:r>
      <w:r w:rsidR="005A0907">
        <w:t>These were considered</w:t>
      </w:r>
      <w:r w:rsidR="006652D2">
        <w:t xml:space="preserve"> through an independent </w:t>
      </w:r>
      <w:r w:rsidR="0058098F">
        <w:t>budget review</w:t>
      </w:r>
      <w:r w:rsidR="006652D2">
        <w:t xml:space="preserve"> of the Commission initiated by the Northern Ireland Office </w:t>
      </w:r>
      <w:r w:rsidR="003D26CE">
        <w:t xml:space="preserve">which </w:t>
      </w:r>
      <w:r w:rsidR="004813D6">
        <w:t>completed its work</w:t>
      </w:r>
      <w:r w:rsidR="003D26CE">
        <w:t xml:space="preserve"> in</w:t>
      </w:r>
      <w:r w:rsidR="006652D2">
        <w:t xml:space="preserve"> </w:t>
      </w:r>
      <w:r w:rsidR="00190A3C">
        <w:t>November</w:t>
      </w:r>
      <w:r w:rsidR="006652D2">
        <w:t xml:space="preserve"> 2024. </w:t>
      </w:r>
      <w:r w:rsidR="00A66BDA">
        <w:t xml:space="preserve">A response </w:t>
      </w:r>
      <w:r w:rsidR="0049381C">
        <w:t>from the Secretary of State</w:t>
      </w:r>
      <w:r w:rsidR="00ED1CB9">
        <w:t xml:space="preserve"> </w:t>
      </w:r>
      <w:r w:rsidR="0049381C">
        <w:t xml:space="preserve">has been </w:t>
      </w:r>
      <w:r w:rsidR="00ED1CB9">
        <w:t>anticipated</w:t>
      </w:r>
      <w:r w:rsidR="004813D6">
        <w:t xml:space="preserve"> since then</w:t>
      </w:r>
      <w:r w:rsidR="00ED1CB9">
        <w:t xml:space="preserve">. </w:t>
      </w:r>
      <w:r w:rsidR="00DC1A3A">
        <w:t xml:space="preserve">The </w:t>
      </w:r>
      <w:r w:rsidR="00D82B65">
        <w:t xml:space="preserve">Northern Ireland Office established a working group to progress the matter in the context of the Government </w:t>
      </w:r>
      <w:r w:rsidR="003E200D">
        <w:t>s</w:t>
      </w:r>
      <w:r w:rsidR="00D82B65">
        <w:t xml:space="preserve">pending </w:t>
      </w:r>
      <w:r w:rsidR="003E200D">
        <w:t>r</w:t>
      </w:r>
      <w:r w:rsidR="00D82B65">
        <w:t xml:space="preserve">eview 2025. </w:t>
      </w:r>
      <w:r w:rsidR="00044053">
        <w:t xml:space="preserve">The </w:t>
      </w:r>
      <w:r w:rsidR="00DC1A3A">
        <w:t xml:space="preserve">Commission is hopeful that </w:t>
      </w:r>
      <w:r w:rsidR="006C1425">
        <w:t xml:space="preserve">a response will </w:t>
      </w:r>
      <w:r w:rsidR="0DFD5CD7">
        <w:t xml:space="preserve">be </w:t>
      </w:r>
      <w:r w:rsidR="00DC1A3A">
        <w:t>provided</w:t>
      </w:r>
      <w:r w:rsidR="00B42EA6">
        <w:t xml:space="preserve"> </w:t>
      </w:r>
      <w:r w:rsidR="00784FF3">
        <w:t xml:space="preserve">without further delay </w:t>
      </w:r>
      <w:r w:rsidR="00044053">
        <w:t xml:space="preserve">following the outcome of the </w:t>
      </w:r>
      <w:r w:rsidR="004578A6">
        <w:t>s</w:t>
      </w:r>
      <w:r w:rsidR="00044053">
        <w:t xml:space="preserve">pending </w:t>
      </w:r>
      <w:r w:rsidR="004578A6">
        <w:t>r</w:t>
      </w:r>
      <w:r w:rsidR="00044053">
        <w:t xml:space="preserve">eview </w:t>
      </w:r>
      <w:r w:rsidR="00C8596A">
        <w:t xml:space="preserve">and </w:t>
      </w:r>
      <w:r w:rsidR="00DB0B79">
        <w:t xml:space="preserve">that </w:t>
      </w:r>
      <w:r w:rsidR="00C8596A">
        <w:t xml:space="preserve">both of the preceding </w:t>
      </w:r>
      <w:r w:rsidR="000F1553">
        <w:t>i</w:t>
      </w:r>
      <w:r w:rsidR="00C8596A">
        <w:t xml:space="preserve">ndependent </w:t>
      </w:r>
      <w:r w:rsidR="000F1553">
        <w:t>r</w:t>
      </w:r>
      <w:r w:rsidR="00C8596A">
        <w:t xml:space="preserve">eviews </w:t>
      </w:r>
      <w:r w:rsidR="00DB0B79">
        <w:t xml:space="preserve">will be </w:t>
      </w:r>
      <w:r w:rsidR="00784FF3">
        <w:t>publi</w:t>
      </w:r>
      <w:r w:rsidR="00504F1D">
        <w:t>shed</w:t>
      </w:r>
      <w:r w:rsidR="000F1553">
        <w:t>.</w:t>
      </w:r>
    </w:p>
    <w:p w14:paraId="468E9337" w14:textId="77777777" w:rsidR="006652D2" w:rsidRPr="008E10A3" w:rsidRDefault="006652D2" w:rsidP="006652D2">
      <w:pPr>
        <w:rPr>
          <w:bCs/>
        </w:rPr>
      </w:pPr>
    </w:p>
    <w:p w14:paraId="66B28F61" w14:textId="187B55AC" w:rsidR="006652D2" w:rsidRPr="008E10A3" w:rsidRDefault="006652D2" w:rsidP="006652D2">
      <w:r w:rsidRPr="008E10A3">
        <w:rPr>
          <w:bCs/>
        </w:rPr>
        <w:t xml:space="preserve">A further recommendation </w:t>
      </w:r>
      <w:r w:rsidR="00B523AF" w:rsidRPr="008E10A3">
        <w:rPr>
          <w:bCs/>
        </w:rPr>
        <w:t xml:space="preserve">from the United Nations </w:t>
      </w:r>
      <w:r w:rsidRPr="008E10A3">
        <w:rPr>
          <w:bCs/>
        </w:rPr>
        <w:t>focused on diversity and pluralism, with a particular reference to Commissioners. The Northern Ireland Office recruited for a vacant Commissioner position in 2</w:t>
      </w:r>
      <w:r w:rsidR="00B523AF" w:rsidRPr="008E10A3">
        <w:rPr>
          <w:bCs/>
        </w:rPr>
        <w:t>02</w:t>
      </w:r>
      <w:r w:rsidRPr="008E10A3">
        <w:rPr>
          <w:bCs/>
        </w:rPr>
        <w:t xml:space="preserve">4 and </w:t>
      </w:r>
      <w:r w:rsidR="005E4EA0" w:rsidRPr="008E10A3">
        <w:rPr>
          <w:bCs/>
        </w:rPr>
        <w:t>this has gone some way toward addressing the recommendation</w:t>
      </w:r>
      <w:r w:rsidRPr="008E10A3">
        <w:rPr>
          <w:bCs/>
        </w:rPr>
        <w:t xml:space="preserve">. </w:t>
      </w:r>
      <w:r w:rsidR="005E4EA0" w:rsidRPr="008E10A3">
        <w:rPr>
          <w:bCs/>
        </w:rPr>
        <w:t xml:space="preserve">A </w:t>
      </w:r>
      <w:r w:rsidRPr="008E10A3">
        <w:rPr>
          <w:bCs/>
        </w:rPr>
        <w:t>final recommendation from the Sub-committee highlighted the Commission’s ability to enter places of deprivation of liberty. It noted that our legal framework does not vest the institution with the statutory power to conduct unannounced visits to places of deprivation of liberty. To achieve this outcome will require a change in our founding legislation. The matter has been raised with the Northern Ireland Office for consideration</w:t>
      </w:r>
      <w:r w:rsidR="0005180C" w:rsidRPr="008E10A3">
        <w:rPr>
          <w:bCs/>
        </w:rPr>
        <w:t>, but no progress has been made to date</w:t>
      </w:r>
      <w:r w:rsidRPr="008E10A3">
        <w:rPr>
          <w:bCs/>
        </w:rPr>
        <w:t>.</w:t>
      </w:r>
    </w:p>
    <w:p w14:paraId="6B335ED7" w14:textId="77777777" w:rsidR="006652D2" w:rsidRPr="008E10A3" w:rsidRDefault="006652D2" w:rsidP="006652D2">
      <w:pPr>
        <w:rPr>
          <w:bCs/>
        </w:rPr>
      </w:pPr>
    </w:p>
    <w:p w14:paraId="2CCA5FCF" w14:textId="77777777" w:rsidR="006652D2" w:rsidRPr="00907D9F" w:rsidRDefault="006652D2" w:rsidP="006652D2">
      <w:r w:rsidRPr="008E10A3">
        <w:rPr>
          <w:bCs/>
        </w:rPr>
        <w:t>The Commission is now subject to a self-reporting obligation to the Global Alliance of National Human Rights Institution, noting in particular that the UK Government is committed to addressing the matters of funding and financial autonomy in the context of the 2025 spending review.</w:t>
      </w:r>
    </w:p>
    <w:p w14:paraId="2D8C2F5C" w14:textId="77777777" w:rsidR="002667DD" w:rsidRDefault="002667DD" w:rsidP="002667DD">
      <w:pPr>
        <w:rPr>
          <w:rFonts w:eastAsia="Calibri"/>
          <w:lang w:eastAsia="en-GB"/>
        </w:rPr>
      </w:pPr>
    </w:p>
    <w:p w14:paraId="12F3C57A" w14:textId="77777777" w:rsidR="00F04493" w:rsidRDefault="00F04493" w:rsidP="002667DD">
      <w:pPr>
        <w:rPr>
          <w:rFonts w:eastAsia="Calibri"/>
          <w:lang w:eastAsia="en-GB"/>
        </w:rPr>
      </w:pPr>
    </w:p>
    <w:p w14:paraId="65D5332E" w14:textId="77777777" w:rsidR="007330CB" w:rsidRDefault="007330CB" w:rsidP="002667DD">
      <w:pPr>
        <w:rPr>
          <w:rFonts w:eastAsia="Calibri"/>
          <w:lang w:eastAsia="en-GB"/>
        </w:rPr>
      </w:pPr>
    </w:p>
    <w:p w14:paraId="0F12A5BE" w14:textId="77777777" w:rsidR="007330CB" w:rsidRDefault="007330CB" w:rsidP="002667DD">
      <w:pPr>
        <w:rPr>
          <w:rFonts w:eastAsia="Calibri"/>
          <w:lang w:eastAsia="en-GB"/>
        </w:rPr>
      </w:pPr>
    </w:p>
    <w:p w14:paraId="1918E0BB" w14:textId="77777777" w:rsidR="00F04493" w:rsidRDefault="00F04493" w:rsidP="002667DD">
      <w:pPr>
        <w:rPr>
          <w:rFonts w:eastAsia="Calibri"/>
          <w:lang w:eastAsia="en-GB"/>
        </w:rPr>
      </w:pPr>
    </w:p>
    <w:p w14:paraId="38F722A2" w14:textId="77777777" w:rsidR="00F04493" w:rsidRDefault="00F04493" w:rsidP="002667DD">
      <w:pPr>
        <w:rPr>
          <w:rFonts w:eastAsia="Calibri"/>
          <w:lang w:eastAsia="en-GB"/>
        </w:rPr>
      </w:pPr>
    </w:p>
    <w:p w14:paraId="412EDBD4" w14:textId="77777777" w:rsidR="00F04493" w:rsidRDefault="00F04493" w:rsidP="002667DD">
      <w:pPr>
        <w:rPr>
          <w:rFonts w:eastAsia="Calibri"/>
          <w:lang w:eastAsia="en-GB"/>
        </w:rPr>
      </w:pPr>
    </w:p>
    <w:p w14:paraId="11CE6AAB" w14:textId="77777777" w:rsidR="00141EDB" w:rsidRDefault="00141EDB" w:rsidP="002667DD">
      <w:pPr>
        <w:rPr>
          <w:rFonts w:eastAsia="Calibri"/>
          <w:lang w:eastAsia="en-GB"/>
        </w:rPr>
      </w:pPr>
    </w:p>
    <w:p w14:paraId="1F199038" w14:textId="77777777" w:rsidR="00141EDB" w:rsidRDefault="00141EDB" w:rsidP="002667DD">
      <w:pPr>
        <w:rPr>
          <w:rFonts w:eastAsia="Calibri"/>
          <w:lang w:eastAsia="en-GB"/>
        </w:rPr>
      </w:pPr>
    </w:p>
    <w:p w14:paraId="3BE63372" w14:textId="77777777" w:rsidR="006652D2" w:rsidRDefault="006652D2" w:rsidP="002667DD">
      <w:pPr>
        <w:rPr>
          <w:rFonts w:eastAsia="Calibri"/>
          <w:lang w:eastAsia="en-GB"/>
        </w:rPr>
      </w:pPr>
    </w:p>
    <w:p w14:paraId="6DF5375F" w14:textId="77777777" w:rsidR="006652D2" w:rsidRDefault="006652D2" w:rsidP="002667DD">
      <w:pPr>
        <w:rPr>
          <w:rFonts w:eastAsia="Calibri"/>
          <w:lang w:eastAsia="en-GB"/>
        </w:rPr>
      </w:pPr>
    </w:p>
    <w:p w14:paraId="6374E321" w14:textId="77777777" w:rsidR="006652D2" w:rsidRDefault="006652D2" w:rsidP="002667DD">
      <w:pPr>
        <w:rPr>
          <w:rFonts w:eastAsia="Calibri"/>
          <w:lang w:eastAsia="en-GB"/>
        </w:rPr>
      </w:pPr>
    </w:p>
    <w:p w14:paraId="5400123D" w14:textId="77777777" w:rsidR="006652D2" w:rsidRDefault="006652D2" w:rsidP="002667DD">
      <w:pPr>
        <w:rPr>
          <w:rFonts w:eastAsia="Calibri"/>
          <w:lang w:eastAsia="en-GB"/>
        </w:rPr>
      </w:pPr>
    </w:p>
    <w:p w14:paraId="06321C2A" w14:textId="77777777" w:rsidR="007330CB" w:rsidRDefault="007330CB" w:rsidP="002667DD">
      <w:pPr>
        <w:rPr>
          <w:rFonts w:eastAsia="Calibri"/>
          <w:b/>
          <w:lang w:eastAsia="en-GB"/>
        </w:rPr>
      </w:pPr>
    </w:p>
    <w:p w14:paraId="412E277C" w14:textId="77777777" w:rsidR="004E5A0C" w:rsidRDefault="004E5A0C" w:rsidP="004E5A0C">
      <w:pPr>
        <w:rPr>
          <w:rFonts w:eastAsia="Calibri"/>
          <w:b/>
          <w:lang w:eastAsia="en-GB"/>
        </w:rPr>
      </w:pPr>
      <w:bookmarkStart w:id="10" w:name="SustainabilityReport"/>
      <w:r>
        <w:rPr>
          <w:rFonts w:eastAsia="Calibri"/>
          <w:b/>
          <w:lang w:eastAsia="en-GB"/>
        </w:rPr>
        <w:lastRenderedPageBreak/>
        <w:t>Sustainability Report</w:t>
      </w:r>
    </w:p>
    <w:bookmarkEnd w:id="10"/>
    <w:p w14:paraId="22AD9026" w14:textId="77777777" w:rsidR="004E5A0C" w:rsidRDefault="004E5A0C" w:rsidP="004E5A0C">
      <w:pPr>
        <w:rPr>
          <w:rFonts w:eastAsia="Calibri"/>
          <w:b/>
          <w:lang w:eastAsia="en-GB"/>
        </w:rPr>
      </w:pPr>
    </w:p>
    <w:p w14:paraId="777FBBF2" w14:textId="77777777" w:rsidR="004E5A0C" w:rsidRDefault="004E5A0C" w:rsidP="004E5A0C">
      <w:pPr>
        <w:rPr>
          <w:rFonts w:eastAsia="Calibri"/>
          <w:lang w:eastAsia="en-GB"/>
        </w:rPr>
      </w:pPr>
      <w:r>
        <w:rPr>
          <w:rFonts w:eastAsia="Calibri"/>
          <w:lang w:eastAsia="en-GB"/>
        </w:rPr>
        <w:t>The Commission has been granted an exemption from reporting sustainability information under the Greening Government Commitments, under the de minimis criteria. The Commission’s office space is less than 500m</w:t>
      </w:r>
      <w:r w:rsidRPr="00CC3C0D">
        <w:rPr>
          <w:rFonts w:eastAsia="Calibri"/>
          <w:vertAlign w:val="superscript"/>
          <w:lang w:eastAsia="en-GB"/>
        </w:rPr>
        <w:t>2</w:t>
      </w:r>
      <w:r>
        <w:rPr>
          <w:rFonts w:eastAsia="Calibri"/>
          <w:lang w:eastAsia="en-GB"/>
        </w:rPr>
        <w:t xml:space="preserve"> and has a staff complement of less than 50.  Consequently, the Commission has not included a full sustainability report in their annual report.</w:t>
      </w:r>
    </w:p>
    <w:p w14:paraId="7A5A3151" w14:textId="77777777" w:rsidR="004E5A0C" w:rsidRDefault="004E5A0C" w:rsidP="004E5A0C">
      <w:pPr>
        <w:rPr>
          <w:rFonts w:eastAsia="Calibri"/>
          <w:lang w:eastAsia="en-GB"/>
        </w:rPr>
      </w:pPr>
    </w:p>
    <w:p w14:paraId="7122DABF" w14:textId="6728E2BC" w:rsidR="004E5A0C" w:rsidRDefault="00986F38" w:rsidP="004E5A0C">
      <w:pPr>
        <w:rPr>
          <w:rFonts w:eastAsia="Calibri"/>
          <w:lang w:eastAsia="en-GB"/>
        </w:rPr>
      </w:pPr>
      <w:r>
        <w:rPr>
          <w:rFonts w:eastAsia="Calibri"/>
          <w:lang w:eastAsia="en-GB"/>
        </w:rPr>
        <w:t>T</w:t>
      </w:r>
      <w:r w:rsidR="004E5A0C">
        <w:rPr>
          <w:rFonts w:eastAsia="Calibri"/>
          <w:lang w:eastAsia="en-GB"/>
        </w:rPr>
        <w:t>he Commission continu</w:t>
      </w:r>
      <w:r>
        <w:rPr>
          <w:rFonts w:eastAsia="Calibri"/>
          <w:lang w:eastAsia="en-GB"/>
        </w:rPr>
        <w:t>es</w:t>
      </w:r>
      <w:r w:rsidR="004E5A0C">
        <w:rPr>
          <w:rFonts w:eastAsia="Calibri"/>
          <w:lang w:eastAsia="en-GB"/>
        </w:rPr>
        <w:t xml:space="preserve"> to take action to meet the Greening Government Commitments 2021 to 2025 policy by encouraging efficiency in the use of resources by operating a paperless office; recycling of dry office waste, printer cartridges, plastic bottles and cans; use of recycled paper; removing single use plastic from the office; </w:t>
      </w:r>
      <w:r w:rsidR="0034257E">
        <w:rPr>
          <w:rFonts w:eastAsia="Calibri"/>
          <w:lang w:eastAsia="en-GB"/>
        </w:rPr>
        <w:t xml:space="preserve">providing filtered water </w:t>
      </w:r>
      <w:r w:rsidR="00C1179F">
        <w:rPr>
          <w:rFonts w:eastAsia="Calibri"/>
          <w:lang w:eastAsia="en-GB"/>
        </w:rPr>
        <w:t xml:space="preserve">to reduce the need for single use plastic water bottles; </w:t>
      </w:r>
      <w:r w:rsidR="004E5A0C">
        <w:rPr>
          <w:rFonts w:eastAsia="Calibri"/>
          <w:lang w:eastAsia="en-GB"/>
        </w:rPr>
        <w:t xml:space="preserve">and engagement with the Commission’s Business and Human Rights Forum to promote sustainable and efficient products and services.  </w:t>
      </w:r>
    </w:p>
    <w:p w14:paraId="612EC7FF" w14:textId="77777777" w:rsidR="004E5A0C" w:rsidRDefault="004E5A0C" w:rsidP="004E5A0C">
      <w:pPr>
        <w:rPr>
          <w:rFonts w:eastAsia="Calibri"/>
          <w:lang w:eastAsia="en-GB"/>
        </w:rPr>
      </w:pPr>
    </w:p>
    <w:p w14:paraId="4E577AAF" w14:textId="77777777" w:rsidR="00B6383E" w:rsidRPr="00B6383E" w:rsidRDefault="00B6383E" w:rsidP="00B6383E">
      <w:pPr>
        <w:rPr>
          <w:lang w:eastAsia="en-GB"/>
        </w:rPr>
      </w:pPr>
      <w:r w:rsidRPr="00B6383E">
        <w:rPr>
          <w:lang w:eastAsia="en-GB"/>
        </w:rPr>
        <w:t xml:space="preserve">In the past year through our engagement with education providers, the Commission has made progress in raising awareness of the United Nations Sustainability Development Goals (SDGs) and human rights across Northern Ireland. </w:t>
      </w:r>
    </w:p>
    <w:p w14:paraId="0D0A7AEC" w14:textId="77777777" w:rsidR="00B6383E" w:rsidRPr="00B6383E" w:rsidRDefault="00B6383E" w:rsidP="00B6383E">
      <w:pPr>
        <w:rPr>
          <w:lang w:eastAsia="en-GB"/>
        </w:rPr>
      </w:pPr>
    </w:p>
    <w:p w14:paraId="661A6010" w14:textId="77777777" w:rsidR="00B6383E" w:rsidRPr="00B6383E" w:rsidRDefault="00B6383E" w:rsidP="00B6383E">
      <w:pPr>
        <w:rPr>
          <w:lang w:eastAsia="en-GB"/>
        </w:rPr>
      </w:pPr>
      <w:r w:rsidRPr="00B6383E">
        <w:rPr>
          <w:lang w:eastAsia="en-GB"/>
        </w:rPr>
        <w:t xml:space="preserve">We have been delighted to continue our partnership with Eco-Schools NI, an environmental education programme for schools. Between 10-19 September, the Commission delivered presentations to teachers participating in the Eco-Schools programme across 11 Council areas. </w:t>
      </w:r>
    </w:p>
    <w:p w14:paraId="1CE425B9" w14:textId="77777777" w:rsidR="00B6383E" w:rsidRPr="00B6383E" w:rsidRDefault="00B6383E" w:rsidP="00B6383E">
      <w:pPr>
        <w:rPr>
          <w:lang w:eastAsia="en-GB"/>
        </w:rPr>
      </w:pPr>
    </w:p>
    <w:p w14:paraId="7787F0DD" w14:textId="77777777" w:rsidR="00B6383E" w:rsidRPr="00B6383E" w:rsidRDefault="00B6383E" w:rsidP="00B6383E">
      <w:pPr>
        <w:rPr>
          <w:lang w:eastAsia="en-GB"/>
        </w:rPr>
      </w:pPr>
      <w:r w:rsidRPr="00B6383E">
        <w:rPr>
          <w:lang w:eastAsia="en-GB"/>
        </w:rPr>
        <w:t>On 22 October as part of our post primary education engagement the Commission conducted a workshop with pupils from St Colman's School in Kilkeel. The workshop focused on climate change, the SDGs, and human rights, engaging students in interactive discussions and activities.</w:t>
      </w:r>
    </w:p>
    <w:p w14:paraId="35303324" w14:textId="77777777" w:rsidR="00B6383E" w:rsidRPr="00B6383E" w:rsidRDefault="00B6383E" w:rsidP="00B6383E">
      <w:pPr>
        <w:rPr>
          <w:lang w:eastAsia="en-GB"/>
        </w:rPr>
      </w:pPr>
    </w:p>
    <w:p w14:paraId="1526B270" w14:textId="77777777" w:rsidR="00B6383E" w:rsidRPr="00B6383E" w:rsidRDefault="00B6383E" w:rsidP="00B6383E">
      <w:pPr>
        <w:rPr>
          <w:lang w:eastAsia="en-GB"/>
        </w:rPr>
      </w:pPr>
      <w:r w:rsidRPr="00B6383E">
        <w:rPr>
          <w:lang w:eastAsia="en-GB"/>
        </w:rPr>
        <w:t xml:space="preserve">The Commission participated in the Northern Ireland Human Rights Festival on 2 December, collaborating with Queens University Belfast's Centre for Sustainability, Equality and Climate Action. The Chief Commissioner took part in a panel discussion on "Human Rights &amp; the Sustainable Development Goals," alongside representatives from Queens University. </w:t>
      </w:r>
    </w:p>
    <w:p w14:paraId="08983BAC" w14:textId="77777777" w:rsidR="00B6383E" w:rsidRPr="00B6383E" w:rsidRDefault="00B6383E" w:rsidP="00B6383E">
      <w:pPr>
        <w:rPr>
          <w:lang w:eastAsia="en-GB"/>
        </w:rPr>
      </w:pPr>
    </w:p>
    <w:p w14:paraId="5335E5D0" w14:textId="77777777" w:rsidR="00B6383E" w:rsidRPr="00B6383E" w:rsidRDefault="00B6383E" w:rsidP="00B6383E">
      <w:pPr>
        <w:rPr>
          <w:lang w:eastAsia="en-GB"/>
        </w:rPr>
      </w:pPr>
      <w:r w:rsidRPr="00B6383E">
        <w:rPr>
          <w:lang w:eastAsia="en-GB"/>
        </w:rPr>
        <w:t>The Commission also joined the NI Commissioner for Children and Young People's Youth Panel event on 29 March at the College of Agriculture, Food &amp; Rural Enterprise (CAFRE) Greenmount Campus. The focus of the day was on tackling climate and environmental breakdown. This event brought together young people from across Northern Ireland, providing a platform for them to voice their concerns and share ideas on addressing environmental challenges.</w:t>
      </w:r>
    </w:p>
    <w:p w14:paraId="2721CCF3" w14:textId="77777777" w:rsidR="004E5A0C" w:rsidRDefault="004E5A0C" w:rsidP="004E5A0C">
      <w:pPr>
        <w:rPr>
          <w:rFonts w:eastAsia="Calibri"/>
          <w:lang w:eastAsia="en-GB"/>
        </w:rPr>
      </w:pPr>
    </w:p>
    <w:p w14:paraId="56C04524" w14:textId="77777777" w:rsidR="004E5A0C" w:rsidRDefault="004E5A0C" w:rsidP="004E5A0C">
      <w:pPr>
        <w:rPr>
          <w:rFonts w:eastAsia="Calibri"/>
          <w:lang w:eastAsia="en-GB"/>
        </w:rPr>
      </w:pPr>
      <w:r>
        <w:rPr>
          <w:rFonts w:eastAsia="Calibri"/>
          <w:lang w:eastAsia="en-GB"/>
        </w:rPr>
        <w:lastRenderedPageBreak/>
        <w:t>The Alfred Street office is located within Belfast City Centre close to public transport links, allowing staff to travel to and from the office in a sustainable manner.</w:t>
      </w:r>
    </w:p>
    <w:p w14:paraId="29295F21" w14:textId="77777777" w:rsidR="004E5A0C" w:rsidRDefault="004E5A0C" w:rsidP="004E5A0C">
      <w:pPr>
        <w:rPr>
          <w:rFonts w:eastAsia="Calibri"/>
          <w:lang w:eastAsia="en-GB"/>
        </w:rPr>
      </w:pPr>
    </w:p>
    <w:p w14:paraId="333341CA" w14:textId="77777777" w:rsidR="004E5A0C" w:rsidRDefault="004E5A0C" w:rsidP="004E5A0C">
      <w:pPr>
        <w:rPr>
          <w:rFonts w:eastAsia="Calibri"/>
          <w:lang w:eastAsia="en-GB"/>
        </w:rPr>
      </w:pPr>
      <w:r>
        <w:rPr>
          <w:rFonts w:eastAsia="Calibri"/>
          <w:lang w:eastAsia="en-GB"/>
        </w:rPr>
        <w:t>The Commission has also, in order to reduce its carbon footprint, pursued a policy of the facilitation, where possible, of staff flexibility in start and finish times allowing staff to travel to and from work at non-peak traffic times.</w:t>
      </w:r>
    </w:p>
    <w:p w14:paraId="506FC331" w14:textId="77777777" w:rsidR="004E5A0C" w:rsidRDefault="004E5A0C" w:rsidP="004E5A0C">
      <w:pPr>
        <w:rPr>
          <w:rFonts w:eastAsia="Calibri"/>
          <w:lang w:eastAsia="en-GB"/>
        </w:rPr>
      </w:pPr>
    </w:p>
    <w:p w14:paraId="6A9FFC59" w14:textId="77777777" w:rsidR="004E5A0C" w:rsidRDefault="004E5A0C" w:rsidP="004E5A0C">
      <w:pPr>
        <w:rPr>
          <w:rFonts w:eastAsia="Calibri"/>
          <w:lang w:eastAsia="en-GB"/>
        </w:rPr>
      </w:pPr>
      <w:r>
        <w:rPr>
          <w:rFonts w:eastAsia="Calibri"/>
          <w:lang w:eastAsia="en-GB"/>
        </w:rPr>
        <w:t>The Commission continues to operate a hybrid model of office and home based working where service delivery permits. It is expected that this will further support the achievement of the Greening Government Commitments 2021 to 2025.</w:t>
      </w:r>
    </w:p>
    <w:p w14:paraId="16A0E276" w14:textId="77777777" w:rsidR="004E5A0C" w:rsidRDefault="004E5A0C" w:rsidP="004E5A0C">
      <w:pPr>
        <w:jc w:val="center"/>
        <w:rPr>
          <w:rFonts w:cs="Arial"/>
          <w:b/>
          <w:color w:val="77328A"/>
          <w:sz w:val="30"/>
          <w:szCs w:val="30"/>
        </w:rPr>
      </w:pPr>
    </w:p>
    <w:p w14:paraId="17EB6013" w14:textId="77777777" w:rsidR="004E5A0C" w:rsidRDefault="004E5A0C" w:rsidP="0067151A">
      <w:pPr>
        <w:rPr>
          <w:rFonts w:cs="Arial"/>
          <w:b/>
          <w:color w:val="77328A"/>
          <w:sz w:val="30"/>
          <w:szCs w:val="30"/>
        </w:rPr>
      </w:pPr>
    </w:p>
    <w:p w14:paraId="3BD1882D" w14:textId="77777777" w:rsidR="004E5A0C" w:rsidRDefault="004E5A0C" w:rsidP="004E5A0C">
      <w:pPr>
        <w:rPr>
          <w:rFonts w:eastAsia="Calibri"/>
          <w:b/>
          <w:lang w:eastAsia="en-GB"/>
        </w:rPr>
      </w:pPr>
      <w:bookmarkStart w:id="11" w:name="TCFD"/>
      <w:r>
        <w:rPr>
          <w:rFonts w:eastAsia="Calibri"/>
          <w:b/>
          <w:lang w:eastAsia="en-GB"/>
        </w:rPr>
        <w:t>Task Force on Climate-related Financial Disclosures (TCFD)</w:t>
      </w:r>
    </w:p>
    <w:bookmarkEnd w:id="11"/>
    <w:p w14:paraId="706206ED" w14:textId="77777777" w:rsidR="004E5A0C" w:rsidRDefault="004E5A0C" w:rsidP="004E5A0C">
      <w:pPr>
        <w:rPr>
          <w:rFonts w:cs="Arial"/>
          <w:b/>
          <w:color w:val="77328A"/>
          <w:sz w:val="30"/>
          <w:szCs w:val="30"/>
        </w:rPr>
      </w:pPr>
    </w:p>
    <w:p w14:paraId="7BB0B777" w14:textId="77777777" w:rsidR="004E5A0C" w:rsidRDefault="004E5A0C" w:rsidP="004E5A0C">
      <w:pPr>
        <w:rPr>
          <w:rFonts w:eastAsia="Calibri"/>
          <w:lang w:eastAsia="en-GB"/>
        </w:rPr>
      </w:pPr>
      <w:r>
        <w:rPr>
          <w:rFonts w:eastAsia="Calibri"/>
          <w:lang w:eastAsia="en-GB"/>
        </w:rPr>
        <w:t>The Commission has been granted an exemption from reporting under the Task Force on Climate-related Financial Disclosures as the Commission has a staff complement of less than 500 and below £500m operating income.</w:t>
      </w:r>
    </w:p>
    <w:p w14:paraId="457B5CB9" w14:textId="77777777" w:rsidR="004E5A0C" w:rsidRDefault="004E5A0C" w:rsidP="004E5A0C">
      <w:pPr>
        <w:rPr>
          <w:rFonts w:eastAsia="Calibri"/>
          <w:lang w:eastAsia="en-GB"/>
        </w:rPr>
      </w:pPr>
    </w:p>
    <w:p w14:paraId="28A0EEDD" w14:textId="77777777" w:rsidR="004E5A0C" w:rsidRDefault="004E5A0C" w:rsidP="004E5A0C">
      <w:pPr>
        <w:rPr>
          <w:rFonts w:eastAsia="Calibri"/>
          <w:lang w:eastAsia="en-GB"/>
        </w:rPr>
      </w:pPr>
      <w:r>
        <w:rPr>
          <w:rFonts w:eastAsia="Calibri"/>
          <w:lang w:eastAsia="en-GB"/>
        </w:rPr>
        <w:t>The Commission’s sponsor branch, the Northern Ireland Office, have confirmed the Commission are not required to comply with TCFD. Consequently, the Commission has not included a TCFD in their annual report.</w:t>
      </w:r>
    </w:p>
    <w:p w14:paraId="75510B5F" w14:textId="77777777" w:rsidR="004E5A0C" w:rsidRDefault="004E5A0C" w:rsidP="002667DD">
      <w:pPr>
        <w:rPr>
          <w:rFonts w:eastAsia="Calibri"/>
          <w:b/>
          <w:lang w:eastAsia="en-GB"/>
        </w:rPr>
      </w:pPr>
    </w:p>
    <w:p w14:paraId="131350EA" w14:textId="77777777" w:rsidR="004E5A0C" w:rsidRDefault="004E5A0C" w:rsidP="002667DD">
      <w:pPr>
        <w:rPr>
          <w:rFonts w:eastAsia="Calibri"/>
          <w:b/>
          <w:lang w:eastAsia="en-GB"/>
        </w:rPr>
      </w:pPr>
    </w:p>
    <w:p w14:paraId="022CA3CC" w14:textId="77777777" w:rsidR="004E5A0C" w:rsidRDefault="004E5A0C" w:rsidP="002667DD">
      <w:pPr>
        <w:rPr>
          <w:rFonts w:eastAsia="Calibri"/>
          <w:b/>
          <w:lang w:eastAsia="en-GB"/>
        </w:rPr>
      </w:pPr>
    </w:p>
    <w:p w14:paraId="2A7F8F0F" w14:textId="77777777" w:rsidR="004E5A0C" w:rsidRDefault="004E5A0C" w:rsidP="002667DD">
      <w:pPr>
        <w:rPr>
          <w:rFonts w:eastAsia="Calibri"/>
          <w:b/>
          <w:lang w:eastAsia="en-GB"/>
        </w:rPr>
      </w:pPr>
    </w:p>
    <w:p w14:paraId="66B982F6" w14:textId="77777777" w:rsidR="004E5A0C" w:rsidRDefault="004E5A0C" w:rsidP="002667DD">
      <w:pPr>
        <w:rPr>
          <w:rFonts w:eastAsia="Calibri"/>
          <w:b/>
          <w:lang w:eastAsia="en-GB"/>
        </w:rPr>
      </w:pPr>
    </w:p>
    <w:p w14:paraId="7A78F2B2" w14:textId="77777777" w:rsidR="004E5A0C" w:rsidRDefault="004E5A0C" w:rsidP="002667DD">
      <w:pPr>
        <w:rPr>
          <w:rFonts w:eastAsia="Calibri"/>
          <w:b/>
          <w:lang w:eastAsia="en-GB"/>
        </w:rPr>
      </w:pPr>
    </w:p>
    <w:p w14:paraId="5C162789" w14:textId="77777777" w:rsidR="004E5A0C" w:rsidRDefault="004E5A0C" w:rsidP="002667DD">
      <w:pPr>
        <w:rPr>
          <w:rFonts w:eastAsia="Calibri"/>
          <w:b/>
          <w:lang w:eastAsia="en-GB"/>
        </w:rPr>
      </w:pPr>
    </w:p>
    <w:p w14:paraId="2C3EA9D2" w14:textId="77777777" w:rsidR="004E5A0C" w:rsidRDefault="004E5A0C" w:rsidP="002667DD">
      <w:pPr>
        <w:rPr>
          <w:rFonts w:eastAsia="Calibri"/>
          <w:b/>
          <w:lang w:eastAsia="en-GB"/>
        </w:rPr>
      </w:pPr>
    </w:p>
    <w:p w14:paraId="20DFD1BF" w14:textId="77777777" w:rsidR="004E5A0C" w:rsidRDefault="004E5A0C" w:rsidP="002667DD">
      <w:pPr>
        <w:rPr>
          <w:rFonts w:eastAsia="Calibri"/>
          <w:b/>
          <w:lang w:eastAsia="en-GB"/>
        </w:rPr>
      </w:pPr>
    </w:p>
    <w:p w14:paraId="19D1B706" w14:textId="77777777" w:rsidR="004E5A0C" w:rsidRDefault="004E5A0C" w:rsidP="002667DD">
      <w:pPr>
        <w:rPr>
          <w:rFonts w:eastAsia="Calibri"/>
          <w:b/>
          <w:lang w:eastAsia="en-GB"/>
        </w:rPr>
      </w:pPr>
    </w:p>
    <w:p w14:paraId="1B13CEB7" w14:textId="77777777" w:rsidR="004E5A0C" w:rsidRDefault="004E5A0C" w:rsidP="002667DD">
      <w:pPr>
        <w:rPr>
          <w:rFonts w:eastAsia="Calibri"/>
          <w:b/>
          <w:lang w:eastAsia="en-GB"/>
        </w:rPr>
      </w:pPr>
    </w:p>
    <w:p w14:paraId="05A1D466" w14:textId="77777777" w:rsidR="004E5A0C" w:rsidRDefault="004E5A0C" w:rsidP="002667DD">
      <w:pPr>
        <w:rPr>
          <w:rFonts w:eastAsia="Calibri"/>
          <w:b/>
          <w:lang w:eastAsia="en-GB"/>
        </w:rPr>
      </w:pPr>
    </w:p>
    <w:p w14:paraId="2BBA84ED" w14:textId="77777777" w:rsidR="004E5A0C" w:rsidRDefault="004E5A0C" w:rsidP="002667DD">
      <w:pPr>
        <w:rPr>
          <w:rFonts w:eastAsia="Calibri"/>
          <w:b/>
          <w:lang w:eastAsia="en-GB"/>
        </w:rPr>
      </w:pPr>
    </w:p>
    <w:p w14:paraId="2D624247" w14:textId="77777777" w:rsidR="004E5A0C" w:rsidRDefault="004E5A0C" w:rsidP="002667DD">
      <w:pPr>
        <w:rPr>
          <w:rFonts w:eastAsia="Calibri"/>
          <w:b/>
          <w:lang w:eastAsia="en-GB"/>
        </w:rPr>
      </w:pPr>
    </w:p>
    <w:p w14:paraId="2C4853CC" w14:textId="77777777" w:rsidR="0067151A" w:rsidRDefault="0067151A" w:rsidP="002667DD">
      <w:pPr>
        <w:rPr>
          <w:rFonts w:eastAsia="Calibri"/>
          <w:b/>
          <w:lang w:eastAsia="en-GB"/>
        </w:rPr>
      </w:pPr>
    </w:p>
    <w:p w14:paraId="0239EDD8" w14:textId="77777777" w:rsidR="0067151A" w:rsidRDefault="0067151A" w:rsidP="002667DD">
      <w:pPr>
        <w:rPr>
          <w:rFonts w:eastAsia="Calibri"/>
          <w:b/>
          <w:lang w:eastAsia="en-GB"/>
        </w:rPr>
      </w:pPr>
    </w:p>
    <w:p w14:paraId="561641D2" w14:textId="77777777" w:rsidR="004E5A0C" w:rsidRDefault="004E5A0C" w:rsidP="002667DD">
      <w:pPr>
        <w:rPr>
          <w:rFonts w:eastAsia="Calibri"/>
          <w:b/>
          <w:lang w:eastAsia="en-GB"/>
        </w:rPr>
      </w:pPr>
    </w:p>
    <w:p w14:paraId="155CF92D" w14:textId="77777777" w:rsidR="004E5A0C" w:rsidRDefault="004E5A0C" w:rsidP="002667DD">
      <w:pPr>
        <w:rPr>
          <w:rFonts w:eastAsia="Calibri"/>
          <w:b/>
          <w:lang w:eastAsia="en-GB"/>
        </w:rPr>
      </w:pPr>
    </w:p>
    <w:p w14:paraId="07B11D7B" w14:textId="77777777" w:rsidR="004E5A0C" w:rsidRDefault="004E5A0C" w:rsidP="002667DD">
      <w:pPr>
        <w:rPr>
          <w:rFonts w:eastAsia="Calibri"/>
          <w:b/>
          <w:lang w:eastAsia="en-GB"/>
        </w:rPr>
      </w:pPr>
    </w:p>
    <w:p w14:paraId="0232293A" w14:textId="77777777" w:rsidR="004E5A0C" w:rsidRDefault="004E5A0C" w:rsidP="002667DD">
      <w:pPr>
        <w:rPr>
          <w:rFonts w:eastAsia="Calibri"/>
          <w:b/>
          <w:lang w:eastAsia="en-GB"/>
        </w:rPr>
      </w:pPr>
    </w:p>
    <w:p w14:paraId="7937FC94" w14:textId="77777777" w:rsidR="004E5A0C" w:rsidRDefault="004E5A0C" w:rsidP="002667DD">
      <w:pPr>
        <w:rPr>
          <w:rFonts w:eastAsia="Calibri"/>
          <w:b/>
          <w:lang w:eastAsia="en-GB"/>
        </w:rPr>
      </w:pPr>
    </w:p>
    <w:p w14:paraId="5034C73C" w14:textId="77777777" w:rsidR="004E5A0C" w:rsidRDefault="004E5A0C" w:rsidP="002667DD">
      <w:pPr>
        <w:rPr>
          <w:rFonts w:eastAsia="Calibri"/>
          <w:b/>
          <w:lang w:eastAsia="en-GB"/>
        </w:rPr>
      </w:pPr>
    </w:p>
    <w:p w14:paraId="6C07B617" w14:textId="177D824D" w:rsidR="002667DD" w:rsidRPr="00604C51" w:rsidRDefault="002667DD" w:rsidP="002667DD">
      <w:pPr>
        <w:jc w:val="center"/>
        <w:rPr>
          <w:rFonts w:cs="Arial"/>
          <w:b/>
          <w:color w:val="77328A"/>
          <w:sz w:val="30"/>
          <w:szCs w:val="30"/>
        </w:rPr>
      </w:pPr>
      <w:bookmarkStart w:id="12" w:name="PerformanceAnalysis"/>
      <w:r>
        <w:rPr>
          <w:rFonts w:cs="Arial"/>
          <w:b/>
          <w:color w:val="77328A"/>
          <w:sz w:val="30"/>
          <w:szCs w:val="30"/>
        </w:rPr>
        <w:lastRenderedPageBreak/>
        <w:t>Performance Analysis</w:t>
      </w:r>
    </w:p>
    <w:bookmarkEnd w:id="12"/>
    <w:p w14:paraId="7EE19041" w14:textId="77777777" w:rsidR="002667DD" w:rsidRPr="00014CBD" w:rsidRDefault="002667DD" w:rsidP="002667DD">
      <w:pPr>
        <w:rPr>
          <w:rFonts w:eastAsia="Calibri"/>
          <w:b/>
          <w:sz w:val="22"/>
          <w:szCs w:val="22"/>
          <w:lang w:eastAsia="en-GB"/>
        </w:rPr>
      </w:pPr>
    </w:p>
    <w:p w14:paraId="2E681037" w14:textId="77777777" w:rsidR="002667DD" w:rsidRPr="00014CBD" w:rsidRDefault="002667DD" w:rsidP="002667DD">
      <w:pPr>
        <w:pStyle w:val="ListParagraph"/>
        <w:ind w:left="0"/>
      </w:pPr>
      <w:r w:rsidRPr="00014CBD">
        <w:t>The Commission reports on</w:t>
      </w:r>
      <w:r w:rsidRPr="00014CBD">
        <w:rPr>
          <w:b/>
        </w:rPr>
        <w:t xml:space="preserve"> </w:t>
      </w:r>
      <w:r w:rsidRPr="00014CBD">
        <w:t>its performance to the U</w:t>
      </w:r>
      <w:r>
        <w:t>nited Nations</w:t>
      </w:r>
      <w:r w:rsidRPr="00014CBD">
        <w:t xml:space="preserve"> through the periodic re-accreditation process, to the Northern Ireland Office as its sponsor branch as well as to Parliament through the Secretary of State for </w:t>
      </w:r>
      <w:r>
        <w:t>Northern Ireland</w:t>
      </w:r>
      <w:r w:rsidRPr="00014CBD">
        <w:t>.</w:t>
      </w:r>
    </w:p>
    <w:p w14:paraId="6942D888" w14:textId="77777777" w:rsidR="002667DD" w:rsidRPr="00014CBD" w:rsidRDefault="002667DD" w:rsidP="002667DD">
      <w:pPr>
        <w:pStyle w:val="ListParagraph"/>
        <w:ind w:left="0"/>
      </w:pPr>
    </w:p>
    <w:p w14:paraId="4479CF58" w14:textId="4BE8F5C7" w:rsidR="002667DD" w:rsidRDefault="002667DD" w:rsidP="002667DD">
      <w:pPr>
        <w:rPr>
          <w:noProof/>
          <w:lang w:eastAsia="en-GB"/>
        </w:rPr>
      </w:pPr>
      <w:r>
        <w:t>We have continued to adopt a robust performance management system to ensure regularity, propriety and value for money.</w:t>
      </w:r>
      <w:r w:rsidRPr="54F71CB4">
        <w:rPr>
          <w:noProof/>
          <w:lang w:eastAsia="en-GB"/>
        </w:rPr>
        <w:t xml:space="preserve"> This year we operated with one Chief Commissioner, Alyson Kilpatrick, and </w:t>
      </w:r>
      <w:r w:rsidR="00F7183D">
        <w:rPr>
          <w:noProof/>
          <w:lang w:eastAsia="en-GB"/>
        </w:rPr>
        <w:t>five</w:t>
      </w:r>
      <w:r w:rsidRPr="54F71CB4">
        <w:rPr>
          <w:noProof/>
          <w:lang w:eastAsia="en-GB"/>
        </w:rPr>
        <w:t xml:space="preserve"> part time Commissioners</w:t>
      </w:r>
      <w:r w:rsidR="00464BFD" w:rsidRPr="54F71CB4">
        <w:rPr>
          <w:noProof/>
          <w:lang w:eastAsia="en-GB"/>
        </w:rPr>
        <w:t xml:space="preserve"> until </w:t>
      </w:r>
      <w:r w:rsidR="00F7183D">
        <w:rPr>
          <w:noProof/>
          <w:lang w:eastAsia="en-GB"/>
        </w:rPr>
        <w:t>August</w:t>
      </w:r>
      <w:r w:rsidR="00B4092D" w:rsidRPr="54F71CB4">
        <w:rPr>
          <w:noProof/>
          <w:lang w:eastAsia="en-GB"/>
        </w:rPr>
        <w:t xml:space="preserve"> 202</w:t>
      </w:r>
      <w:r w:rsidR="00F7183D">
        <w:rPr>
          <w:noProof/>
          <w:lang w:eastAsia="en-GB"/>
        </w:rPr>
        <w:t>4</w:t>
      </w:r>
      <w:r w:rsidR="00B4092D" w:rsidRPr="54F71CB4">
        <w:rPr>
          <w:noProof/>
          <w:lang w:eastAsia="en-GB"/>
        </w:rPr>
        <w:t xml:space="preserve"> and </w:t>
      </w:r>
      <w:r w:rsidR="00F7183D">
        <w:rPr>
          <w:noProof/>
          <w:lang w:eastAsia="en-GB"/>
        </w:rPr>
        <w:t>six</w:t>
      </w:r>
      <w:r w:rsidR="00B4092D" w:rsidRPr="54F71CB4">
        <w:rPr>
          <w:noProof/>
          <w:lang w:eastAsia="en-GB"/>
        </w:rPr>
        <w:t xml:space="preserve"> part time Commissioners from </w:t>
      </w:r>
      <w:r w:rsidR="00430E1C" w:rsidRPr="54F71CB4">
        <w:rPr>
          <w:noProof/>
          <w:lang w:eastAsia="en-GB"/>
        </w:rPr>
        <w:t xml:space="preserve">September </w:t>
      </w:r>
      <w:r w:rsidR="00B4092D" w:rsidRPr="54F71CB4">
        <w:rPr>
          <w:noProof/>
          <w:lang w:eastAsia="en-GB"/>
        </w:rPr>
        <w:t>202</w:t>
      </w:r>
      <w:r w:rsidR="00F7183D">
        <w:rPr>
          <w:noProof/>
          <w:lang w:eastAsia="en-GB"/>
        </w:rPr>
        <w:t>4</w:t>
      </w:r>
      <w:r w:rsidRPr="54F71CB4">
        <w:rPr>
          <w:noProof/>
          <w:lang w:eastAsia="en-GB"/>
        </w:rPr>
        <w:t>.   The complement of staff at year-end was 2</w:t>
      </w:r>
      <w:r w:rsidR="008166B1">
        <w:rPr>
          <w:noProof/>
          <w:lang w:eastAsia="en-GB"/>
        </w:rPr>
        <w:t>8</w:t>
      </w:r>
      <w:r w:rsidRPr="54F71CB4">
        <w:rPr>
          <w:noProof/>
          <w:lang w:eastAsia="en-GB"/>
        </w:rPr>
        <w:t>, which included t</w:t>
      </w:r>
      <w:r w:rsidR="00E64DD4" w:rsidRPr="54F71CB4">
        <w:rPr>
          <w:noProof/>
          <w:lang w:eastAsia="en-GB"/>
        </w:rPr>
        <w:t>hree</w:t>
      </w:r>
      <w:r w:rsidRPr="54F71CB4">
        <w:rPr>
          <w:noProof/>
          <w:lang w:eastAsia="en-GB"/>
        </w:rPr>
        <w:t xml:space="preserve"> temporary contracts.</w:t>
      </w:r>
    </w:p>
    <w:p w14:paraId="10143911" w14:textId="77777777" w:rsidR="002667DD" w:rsidRDefault="002667DD" w:rsidP="002667DD">
      <w:pPr>
        <w:rPr>
          <w:noProof/>
          <w:lang w:eastAsia="en-GB"/>
        </w:rPr>
      </w:pPr>
    </w:p>
    <w:p w14:paraId="72DDE956" w14:textId="13E43CA2" w:rsidR="002667DD" w:rsidRDefault="002667DD" w:rsidP="008D7EEF">
      <w:pPr>
        <w:rPr>
          <w:noProof/>
          <w:lang w:eastAsia="en-GB"/>
        </w:rPr>
      </w:pPr>
      <w:r w:rsidRPr="0067151A">
        <w:rPr>
          <w:noProof/>
          <w:lang w:eastAsia="en-GB"/>
        </w:rPr>
        <w:t xml:space="preserve">Despite an absence of funding, the Joint Committee of representatives from the Irish Human Rights and Equality Commission and the Northern Ireland Human Rights Commission did meet </w:t>
      </w:r>
      <w:r w:rsidR="004707F5" w:rsidRPr="0067151A">
        <w:rPr>
          <w:noProof/>
          <w:lang w:eastAsia="en-GB"/>
        </w:rPr>
        <w:t xml:space="preserve">once </w:t>
      </w:r>
      <w:r w:rsidRPr="0067151A">
        <w:rPr>
          <w:noProof/>
          <w:lang w:eastAsia="en-GB"/>
        </w:rPr>
        <w:t>in 202</w:t>
      </w:r>
      <w:r w:rsidR="00CC2404" w:rsidRPr="0067151A">
        <w:rPr>
          <w:noProof/>
          <w:lang w:eastAsia="en-GB"/>
        </w:rPr>
        <w:t>4</w:t>
      </w:r>
      <w:r w:rsidRPr="0067151A">
        <w:rPr>
          <w:noProof/>
          <w:lang w:eastAsia="en-GB"/>
        </w:rPr>
        <w:t>-2</w:t>
      </w:r>
      <w:r w:rsidR="00CC2404" w:rsidRPr="0067151A">
        <w:rPr>
          <w:noProof/>
          <w:lang w:eastAsia="en-GB"/>
        </w:rPr>
        <w:t>5</w:t>
      </w:r>
      <w:r w:rsidRPr="0067151A">
        <w:rPr>
          <w:noProof/>
          <w:lang w:eastAsia="en-GB"/>
        </w:rPr>
        <w:t>.</w:t>
      </w:r>
    </w:p>
    <w:p w14:paraId="57478CAE" w14:textId="77777777" w:rsidR="00E664A6" w:rsidRPr="00014CBD" w:rsidRDefault="00E664A6" w:rsidP="008D7EEF">
      <w:bookmarkStart w:id="13" w:name="_Hlk137714097"/>
    </w:p>
    <w:p w14:paraId="6EECE55F" w14:textId="09F8CA51" w:rsidR="00E664A6" w:rsidRDefault="00E664A6" w:rsidP="54F71CB4">
      <w:pPr>
        <w:rPr>
          <w:noProof/>
          <w:lang w:eastAsia="en-GB"/>
        </w:rPr>
      </w:pPr>
      <w:r w:rsidRPr="54F71CB4">
        <w:rPr>
          <w:noProof/>
          <w:lang w:eastAsia="en-GB"/>
        </w:rPr>
        <w:t xml:space="preserve">For </w:t>
      </w:r>
      <w:r w:rsidR="00FC4A76" w:rsidRPr="54F71CB4">
        <w:rPr>
          <w:noProof/>
          <w:lang w:eastAsia="en-GB"/>
        </w:rPr>
        <w:t>202</w:t>
      </w:r>
      <w:r w:rsidR="00995315">
        <w:rPr>
          <w:noProof/>
          <w:lang w:eastAsia="en-GB"/>
        </w:rPr>
        <w:t>4</w:t>
      </w:r>
      <w:r w:rsidR="00FC4A76" w:rsidRPr="54F71CB4">
        <w:rPr>
          <w:noProof/>
          <w:lang w:eastAsia="en-GB"/>
        </w:rPr>
        <w:t>-2</w:t>
      </w:r>
      <w:r w:rsidR="00995315">
        <w:rPr>
          <w:noProof/>
          <w:lang w:eastAsia="en-GB"/>
        </w:rPr>
        <w:t>5</w:t>
      </w:r>
      <w:r w:rsidRPr="54F71CB4">
        <w:rPr>
          <w:noProof/>
          <w:lang w:eastAsia="en-GB"/>
        </w:rPr>
        <w:t xml:space="preserve"> the Commission had a core budget of £1,</w:t>
      </w:r>
      <w:r w:rsidR="003F2EED">
        <w:rPr>
          <w:noProof/>
          <w:lang w:eastAsia="en-GB"/>
        </w:rPr>
        <w:t>832</w:t>
      </w:r>
      <w:r w:rsidRPr="54F71CB4">
        <w:rPr>
          <w:noProof/>
          <w:lang w:eastAsia="en-GB"/>
        </w:rPr>
        <w:t>,</w:t>
      </w:r>
      <w:r w:rsidR="003F2EED">
        <w:rPr>
          <w:noProof/>
          <w:lang w:eastAsia="en-GB"/>
        </w:rPr>
        <w:t>000</w:t>
      </w:r>
      <w:r w:rsidRPr="54F71CB4">
        <w:rPr>
          <w:noProof/>
          <w:lang w:eastAsia="en-GB"/>
        </w:rPr>
        <w:t xml:space="preserve"> and £</w:t>
      </w:r>
      <w:r w:rsidR="0065613B" w:rsidRPr="54F71CB4">
        <w:rPr>
          <w:noProof/>
          <w:lang w:eastAsia="en-GB"/>
        </w:rPr>
        <w:t>9</w:t>
      </w:r>
      <w:r w:rsidR="004B12B9">
        <w:rPr>
          <w:noProof/>
          <w:lang w:eastAsia="en-GB"/>
        </w:rPr>
        <w:t>4</w:t>
      </w:r>
      <w:r w:rsidR="00F4307A">
        <w:rPr>
          <w:noProof/>
          <w:lang w:eastAsia="en-GB"/>
        </w:rPr>
        <w:t>6</w:t>
      </w:r>
      <w:r w:rsidRPr="54F71CB4">
        <w:rPr>
          <w:noProof/>
          <w:lang w:eastAsia="en-GB"/>
        </w:rPr>
        <w:t>,</w:t>
      </w:r>
      <w:r w:rsidR="00F4307A">
        <w:rPr>
          <w:noProof/>
          <w:lang w:eastAsia="en-GB"/>
        </w:rPr>
        <w:t>590</w:t>
      </w:r>
      <w:r w:rsidRPr="54F71CB4">
        <w:rPr>
          <w:noProof/>
          <w:lang w:eastAsia="en-GB"/>
        </w:rPr>
        <w:t xml:space="preserve"> for the Dedicated Mechanism.</w:t>
      </w:r>
      <w:r w:rsidR="00D106A7" w:rsidRPr="54F71CB4">
        <w:rPr>
          <w:noProof/>
          <w:lang w:eastAsia="en-GB"/>
        </w:rPr>
        <w:t xml:space="preserve">  The Commission had a</w:t>
      </w:r>
      <w:r w:rsidR="00EE0A85" w:rsidRPr="54F71CB4">
        <w:rPr>
          <w:noProof/>
          <w:lang w:eastAsia="en-GB"/>
        </w:rPr>
        <w:t xml:space="preserve"> </w:t>
      </w:r>
      <w:r w:rsidR="0052699A" w:rsidRPr="54F71CB4">
        <w:rPr>
          <w:noProof/>
          <w:lang w:eastAsia="en-GB"/>
        </w:rPr>
        <w:t xml:space="preserve">capital </w:t>
      </w:r>
      <w:r w:rsidR="00C25C54" w:rsidRPr="54F71CB4">
        <w:rPr>
          <w:noProof/>
          <w:lang w:eastAsia="en-GB"/>
        </w:rPr>
        <w:t>budget of</w:t>
      </w:r>
      <w:r w:rsidR="00EE0A85" w:rsidRPr="54F71CB4">
        <w:rPr>
          <w:noProof/>
          <w:lang w:eastAsia="en-GB"/>
        </w:rPr>
        <w:t xml:space="preserve"> £</w:t>
      </w:r>
      <w:r w:rsidR="004B12B9">
        <w:rPr>
          <w:noProof/>
          <w:lang w:eastAsia="en-GB"/>
        </w:rPr>
        <w:t>9</w:t>
      </w:r>
      <w:r w:rsidR="00EE0A85" w:rsidRPr="54F71CB4">
        <w:rPr>
          <w:noProof/>
          <w:lang w:eastAsia="en-GB"/>
        </w:rPr>
        <w:t>,</w:t>
      </w:r>
      <w:r w:rsidR="004B12B9">
        <w:rPr>
          <w:noProof/>
          <w:lang w:eastAsia="en-GB"/>
        </w:rPr>
        <w:t>0</w:t>
      </w:r>
      <w:r w:rsidR="00EE0A85" w:rsidRPr="54F71CB4">
        <w:rPr>
          <w:noProof/>
          <w:lang w:eastAsia="en-GB"/>
        </w:rPr>
        <w:t>00 for the Dedicated Mechanism.</w:t>
      </w:r>
      <w:r w:rsidRPr="54F71CB4">
        <w:rPr>
          <w:noProof/>
          <w:lang w:eastAsia="en-GB"/>
        </w:rPr>
        <w:t xml:space="preserve">  This was funded by grant-in-aid from Parliament through our sponsor branch, the Northern Ireland Office (NIO).  </w:t>
      </w:r>
    </w:p>
    <w:p w14:paraId="11285883" w14:textId="77777777" w:rsidR="00E664A6" w:rsidRDefault="00E664A6" w:rsidP="00E664A6">
      <w:pPr>
        <w:rPr>
          <w:bCs/>
          <w:noProof/>
          <w:lang w:eastAsia="en-GB"/>
        </w:rPr>
      </w:pPr>
    </w:p>
    <w:p w14:paraId="53D85BC0" w14:textId="1DD65D5B" w:rsidR="00E664A6" w:rsidRDefault="00E664A6" w:rsidP="00E664A6">
      <w:r>
        <w:t>The opening Taxpayers’ Equity on 1 April 202</w:t>
      </w:r>
      <w:r w:rsidR="00EB77DD">
        <w:t>4</w:t>
      </w:r>
      <w:r>
        <w:t xml:space="preserve"> was </w:t>
      </w:r>
      <w:r w:rsidR="00562927">
        <w:t>£</w:t>
      </w:r>
      <w:r w:rsidR="005D5B6B">
        <w:t>916</w:t>
      </w:r>
      <w:r w:rsidR="00562927">
        <w:t>,</w:t>
      </w:r>
      <w:r w:rsidR="005D5B6B">
        <w:t>678</w:t>
      </w:r>
      <w:r>
        <w:t xml:space="preserve">.  This </w:t>
      </w:r>
      <w:r w:rsidR="005D5B6B">
        <w:t>de</w:t>
      </w:r>
      <w:r>
        <w:t xml:space="preserve">creased by </w:t>
      </w:r>
      <w:r w:rsidR="009A0ABC">
        <w:t>£</w:t>
      </w:r>
      <w:r w:rsidR="002D5005">
        <w:t>7,669</w:t>
      </w:r>
      <w:r>
        <w:t xml:space="preserve"> to £</w:t>
      </w:r>
      <w:r w:rsidR="00DB4EE9">
        <w:t>9</w:t>
      </w:r>
      <w:r w:rsidR="002D5005">
        <w:t>09</w:t>
      </w:r>
      <w:r>
        <w:t>,</w:t>
      </w:r>
      <w:r w:rsidR="002D5005">
        <w:t>009</w:t>
      </w:r>
      <w:r>
        <w:t xml:space="preserve"> at the end of the financial year. </w:t>
      </w:r>
    </w:p>
    <w:p w14:paraId="2E44BD80" w14:textId="77777777" w:rsidR="00E664A6" w:rsidRDefault="00E664A6" w:rsidP="00E664A6"/>
    <w:p w14:paraId="1E26AECB" w14:textId="1D9674F4" w:rsidR="00E664A6" w:rsidRDefault="00E664A6" w:rsidP="00E664A6">
      <w:r>
        <w:t>The Commission’s net expenditure in 202</w:t>
      </w:r>
      <w:r w:rsidR="00ED14DF">
        <w:t>4</w:t>
      </w:r>
      <w:r>
        <w:t>-2</w:t>
      </w:r>
      <w:r w:rsidR="00ED14DF">
        <w:t>5</w:t>
      </w:r>
      <w:r>
        <w:t xml:space="preserve"> was £2,</w:t>
      </w:r>
      <w:r w:rsidR="007D23DF">
        <w:t>7</w:t>
      </w:r>
      <w:r w:rsidR="00ED14DF">
        <w:t>99</w:t>
      </w:r>
      <w:r>
        <w:t>,</w:t>
      </w:r>
      <w:r w:rsidR="007D23DF">
        <w:t>5</w:t>
      </w:r>
      <w:r w:rsidR="00ED14DF">
        <w:t>53</w:t>
      </w:r>
      <w:r>
        <w:t xml:space="preserve"> (202</w:t>
      </w:r>
      <w:r w:rsidR="00ED14DF">
        <w:t>3</w:t>
      </w:r>
      <w:r>
        <w:t>-2</w:t>
      </w:r>
      <w:r w:rsidR="00ED14DF">
        <w:t>4</w:t>
      </w:r>
      <w:r>
        <w:t xml:space="preserve"> £2,</w:t>
      </w:r>
      <w:r w:rsidR="00ED14DF">
        <w:t>702</w:t>
      </w:r>
      <w:r>
        <w:t>,</w:t>
      </w:r>
      <w:r w:rsidR="00ED14DF">
        <w:t>535</w:t>
      </w:r>
      <w:r>
        <w:t>).</w:t>
      </w:r>
      <w:r w:rsidRPr="54F71CB4">
        <w:rPr>
          <w:noProof/>
          <w:lang w:eastAsia="en-GB"/>
        </w:rPr>
        <w:t xml:space="preserve">  </w:t>
      </w:r>
      <w:r w:rsidR="008C3B25">
        <w:rPr>
          <w:noProof/>
          <w:lang w:eastAsia="en-GB"/>
        </w:rPr>
        <w:t xml:space="preserve">Net expenditure is £20,963 higher than budget and reserves have been utilised to fund the overspend.  </w:t>
      </w:r>
      <w:r>
        <w:t>The increase mainly resulted from increased staff costs</w:t>
      </w:r>
      <w:r w:rsidR="00075312">
        <w:t>.</w:t>
      </w:r>
    </w:p>
    <w:p w14:paraId="4D0C6CAD" w14:textId="77777777" w:rsidR="00E664A6" w:rsidRDefault="00E664A6" w:rsidP="00E664A6"/>
    <w:p w14:paraId="70B1F4E6" w14:textId="35F4FE45" w:rsidR="00E664A6" w:rsidRPr="00F32979" w:rsidRDefault="00E664A6" w:rsidP="00E664A6">
      <w:pPr>
        <w:rPr>
          <w:bCs/>
          <w:noProof/>
          <w:lang w:eastAsia="en-GB"/>
        </w:rPr>
      </w:pPr>
      <w:r>
        <w:t>The Commission had a net gain on revaluation of property for 202</w:t>
      </w:r>
      <w:r w:rsidR="00DE55E9">
        <w:t>4</w:t>
      </w:r>
      <w:r>
        <w:t>-2</w:t>
      </w:r>
      <w:r w:rsidR="00DE55E9">
        <w:t>5</w:t>
      </w:r>
      <w:r>
        <w:t xml:space="preserve"> of </w:t>
      </w:r>
      <w:r w:rsidR="00D129E3">
        <w:t xml:space="preserve">No </w:t>
      </w:r>
      <w:r>
        <w:t>£</w:t>
      </w:r>
      <w:r w:rsidR="008424B7">
        <w:t>4</w:t>
      </w:r>
      <w:r>
        <w:t>,</w:t>
      </w:r>
      <w:r w:rsidR="00DE55E9">
        <w:t>294</w:t>
      </w:r>
      <w:r>
        <w:t xml:space="preserve"> (202</w:t>
      </w:r>
      <w:r w:rsidR="00DE55E9">
        <w:t>3</w:t>
      </w:r>
      <w:r>
        <w:t>-2</w:t>
      </w:r>
      <w:r w:rsidR="00DE55E9">
        <w:t>4</w:t>
      </w:r>
      <w:r>
        <w:t xml:space="preserve"> £</w:t>
      </w:r>
      <w:r w:rsidR="00DE55E9">
        <w:t>14</w:t>
      </w:r>
      <w:r w:rsidR="008424B7">
        <w:t>,</w:t>
      </w:r>
      <w:r w:rsidR="00DE55E9">
        <w:t>976</w:t>
      </w:r>
      <w:r>
        <w:t xml:space="preserve">).  </w:t>
      </w:r>
    </w:p>
    <w:p w14:paraId="760D0367" w14:textId="77777777" w:rsidR="00E664A6" w:rsidRDefault="00E664A6" w:rsidP="00E664A6"/>
    <w:p w14:paraId="05E86FDD" w14:textId="07313473" w:rsidR="00F525CF" w:rsidRDefault="00E664A6" w:rsidP="00E664A6">
      <w:r>
        <w:t>Grant-in-aid from the NIO was £</w:t>
      </w:r>
      <w:r w:rsidR="00BD3837">
        <w:t>121</w:t>
      </w:r>
      <w:r>
        <w:t>,</w:t>
      </w:r>
      <w:r w:rsidR="00BD3837">
        <w:t>244</w:t>
      </w:r>
      <w:r>
        <w:t xml:space="preserve"> </w:t>
      </w:r>
      <w:r w:rsidR="00BD3837">
        <w:t xml:space="preserve">less </w:t>
      </w:r>
      <w:r>
        <w:t>than in the prior year.  This was due to a</w:t>
      </w:r>
      <w:r w:rsidR="009453D9">
        <w:t xml:space="preserve"> </w:t>
      </w:r>
      <w:r w:rsidR="0051762D">
        <w:t>de</w:t>
      </w:r>
      <w:r w:rsidR="009453D9">
        <w:t>crease</w:t>
      </w:r>
      <w:r>
        <w:t xml:space="preserve"> in the core budget of £</w:t>
      </w:r>
      <w:r w:rsidR="00AC71EA">
        <w:t>148</w:t>
      </w:r>
      <w:r>
        <w:t>,</w:t>
      </w:r>
      <w:r w:rsidR="00AC71EA">
        <w:t>053</w:t>
      </w:r>
      <w:r>
        <w:t>, an increase of £</w:t>
      </w:r>
      <w:r w:rsidR="00AD7EEF">
        <w:t>39</w:t>
      </w:r>
      <w:r>
        <w:t>,</w:t>
      </w:r>
      <w:r w:rsidR="00AD7EEF">
        <w:t>387</w:t>
      </w:r>
      <w:r>
        <w:t xml:space="preserve"> in the </w:t>
      </w:r>
      <w:r w:rsidR="00DB3825">
        <w:t>D</w:t>
      </w:r>
      <w:r>
        <w:t xml:space="preserve">edicated </w:t>
      </w:r>
      <w:r w:rsidR="00DB3825">
        <w:t>M</w:t>
      </w:r>
      <w:r>
        <w:t xml:space="preserve">echanism budget, and </w:t>
      </w:r>
      <w:r w:rsidR="009F5DDC">
        <w:t xml:space="preserve">a </w:t>
      </w:r>
      <w:r w:rsidR="0065798D">
        <w:t xml:space="preserve">decrease in </w:t>
      </w:r>
      <w:r w:rsidR="009F5DDC">
        <w:t xml:space="preserve">core capital budget of £21,569 and </w:t>
      </w:r>
      <w:r w:rsidR="00CF5221">
        <w:t xml:space="preserve">an increase of </w:t>
      </w:r>
      <w:r w:rsidR="00DB3825">
        <w:t>£</w:t>
      </w:r>
      <w:r w:rsidR="00D43125">
        <w:t>8</w:t>
      </w:r>
      <w:r w:rsidR="00DB3825">
        <w:t>,</w:t>
      </w:r>
      <w:r w:rsidR="00D43125">
        <w:t>991</w:t>
      </w:r>
      <w:r w:rsidR="00DB3825">
        <w:t xml:space="preserve"> for the Dedicated Mechanism</w:t>
      </w:r>
      <w:r w:rsidR="00C910AB">
        <w:t xml:space="preserve"> capital budget</w:t>
      </w:r>
      <w:r w:rsidR="00573F7E">
        <w:t xml:space="preserve">.  £7,491 </w:t>
      </w:r>
      <w:r w:rsidR="0003208E">
        <w:t>Dedicated</w:t>
      </w:r>
      <w:r w:rsidR="00C910AB">
        <w:t xml:space="preserve"> </w:t>
      </w:r>
      <w:r w:rsidR="0003208E">
        <w:t>Mechanism</w:t>
      </w:r>
      <w:r w:rsidR="00C910AB">
        <w:t xml:space="preserve"> </w:t>
      </w:r>
      <w:r w:rsidR="0003208E">
        <w:t xml:space="preserve">capital </w:t>
      </w:r>
      <w:r w:rsidR="00573F7E">
        <w:t>budget</w:t>
      </w:r>
      <w:r w:rsidR="008405AC">
        <w:t xml:space="preserve"> allocation</w:t>
      </w:r>
      <w:r w:rsidR="00517E9A">
        <w:t xml:space="preserve"> was not </w:t>
      </w:r>
      <w:r w:rsidR="00675033">
        <w:t>drawn down in</w:t>
      </w:r>
      <w:r w:rsidR="0003208E">
        <w:t xml:space="preserve"> 2023/24</w:t>
      </w:r>
      <w:r w:rsidR="00675033">
        <w:t>.</w:t>
      </w:r>
    </w:p>
    <w:p w14:paraId="2BD7F1E4" w14:textId="77777777" w:rsidR="00F525CF" w:rsidRDefault="00F525CF" w:rsidP="00E664A6"/>
    <w:p w14:paraId="5BBFFED8" w14:textId="77777777" w:rsidR="00F525CF" w:rsidRDefault="00F525CF" w:rsidP="00E664A6"/>
    <w:p w14:paraId="0124B54C" w14:textId="77777777" w:rsidR="00F525CF" w:rsidRDefault="00F525CF" w:rsidP="00E664A6"/>
    <w:p w14:paraId="3019ABC5" w14:textId="77777777" w:rsidR="00F525CF" w:rsidRDefault="00F525CF" w:rsidP="00E664A6"/>
    <w:p w14:paraId="3D516950" w14:textId="77777777" w:rsidR="00F525CF" w:rsidRDefault="00F525CF" w:rsidP="00E664A6"/>
    <w:p w14:paraId="6DF99B27" w14:textId="77777777" w:rsidR="00F525CF" w:rsidRDefault="00F525CF" w:rsidP="00E664A6"/>
    <w:p w14:paraId="26B55595" w14:textId="77777777" w:rsidR="00F525CF" w:rsidRDefault="00F525CF" w:rsidP="00E664A6"/>
    <w:bookmarkEnd w:id="13"/>
    <w:p w14:paraId="4ABF9D36" w14:textId="6EDAAE26" w:rsidR="002667DD" w:rsidRDefault="0021497F" w:rsidP="002667DD">
      <w:pPr>
        <w:rPr>
          <w:noProof/>
          <w:lang w:eastAsia="en-GB"/>
        </w:rPr>
      </w:pPr>
      <w:r>
        <w:rPr>
          <w:noProof/>
        </w:rPr>
        <w:lastRenderedPageBreak/>
        <w:drawing>
          <wp:inline distT="0" distB="0" distL="0" distR="0" wp14:anchorId="5657D294" wp14:editId="7CBE3F8C">
            <wp:extent cx="1627770" cy="452438"/>
            <wp:effectExtent l="0" t="0" r="0" b="508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ature on a white background&#10;&#10;Description automatically generated"/>
                    <pic:cNvPicPr/>
                  </pic:nvPicPr>
                  <pic:blipFill rotWithShape="1">
                    <a:blip r:embed="rId25" cstate="print">
                      <a:extLst>
                        <a:ext uri="{28A0092B-C50C-407E-A947-70E740481C1C}">
                          <a14:useLocalDpi xmlns:a14="http://schemas.microsoft.com/office/drawing/2010/main" val="0"/>
                        </a:ext>
                      </a:extLst>
                    </a:blip>
                    <a:srcRect t="27943" b="23685"/>
                    <a:stretch/>
                  </pic:blipFill>
                  <pic:spPr bwMode="auto">
                    <a:xfrm>
                      <a:off x="0" y="0"/>
                      <a:ext cx="1718836" cy="477750"/>
                    </a:xfrm>
                    <a:prstGeom prst="rect">
                      <a:avLst/>
                    </a:prstGeom>
                    <a:ln>
                      <a:noFill/>
                    </a:ln>
                    <a:extLst>
                      <a:ext uri="{53640926-AAD7-44D8-BBD7-CCE9431645EC}">
                        <a14:shadowObscured xmlns:a14="http://schemas.microsoft.com/office/drawing/2010/main"/>
                      </a:ext>
                    </a:extLst>
                  </pic:spPr>
                </pic:pic>
              </a:graphicData>
            </a:graphic>
          </wp:inline>
        </w:drawing>
      </w:r>
    </w:p>
    <w:p w14:paraId="64E2E14A" w14:textId="77777777" w:rsidR="0021497F" w:rsidRDefault="0021497F" w:rsidP="002667DD">
      <w:pPr>
        <w:rPr>
          <w:noProof/>
          <w:lang w:eastAsia="en-GB"/>
        </w:rPr>
      </w:pPr>
    </w:p>
    <w:p w14:paraId="33FEF0F2" w14:textId="77777777" w:rsidR="002667DD" w:rsidRPr="009B4441" w:rsidRDefault="002667DD" w:rsidP="002667DD">
      <w:pPr>
        <w:rPr>
          <w:b/>
          <w:color w:val="auto"/>
        </w:rPr>
      </w:pPr>
      <w:r>
        <w:rPr>
          <w:b/>
          <w:color w:val="auto"/>
        </w:rPr>
        <w:t>Dr David Russell</w:t>
      </w:r>
    </w:p>
    <w:p w14:paraId="566E339A" w14:textId="77777777" w:rsidR="002667DD" w:rsidRDefault="002667DD" w:rsidP="002667DD">
      <w:pPr>
        <w:rPr>
          <w:b/>
          <w:color w:val="auto"/>
        </w:rPr>
      </w:pPr>
      <w:r w:rsidRPr="009B4441">
        <w:rPr>
          <w:b/>
          <w:color w:val="auto"/>
        </w:rPr>
        <w:t>Accounting Officer</w:t>
      </w:r>
    </w:p>
    <w:p w14:paraId="5CBE83EB" w14:textId="77777777" w:rsidR="002667DD" w:rsidRPr="009B4441" w:rsidRDefault="002667DD" w:rsidP="002667DD">
      <w:pPr>
        <w:rPr>
          <w:b/>
          <w:color w:val="auto"/>
        </w:rPr>
      </w:pPr>
    </w:p>
    <w:p w14:paraId="2D511D26" w14:textId="08C77341" w:rsidR="0049647B" w:rsidRDefault="002667DD" w:rsidP="00C557FC">
      <w:pPr>
        <w:rPr>
          <w:b/>
          <w:color w:val="auto"/>
        </w:rPr>
      </w:pPr>
      <w:r w:rsidRPr="009B4441">
        <w:rPr>
          <w:b/>
          <w:color w:val="auto"/>
        </w:rPr>
        <w:t xml:space="preserve">Date:  </w:t>
      </w:r>
      <w:r w:rsidR="00410296">
        <w:rPr>
          <w:b/>
          <w:color w:val="auto"/>
        </w:rPr>
        <w:t>03 July 202</w:t>
      </w:r>
      <w:r w:rsidR="00C557FC">
        <w:rPr>
          <w:b/>
          <w:color w:val="auto"/>
        </w:rPr>
        <w:t>5</w:t>
      </w:r>
    </w:p>
    <w:p w14:paraId="77FD629E" w14:textId="77777777" w:rsidR="00F525CF" w:rsidRDefault="00F525CF" w:rsidP="00C557FC">
      <w:pPr>
        <w:rPr>
          <w:b/>
          <w:color w:val="auto"/>
        </w:rPr>
      </w:pPr>
    </w:p>
    <w:p w14:paraId="03DAAEE9" w14:textId="77777777" w:rsidR="00F525CF" w:rsidRDefault="00F525CF" w:rsidP="00C557FC">
      <w:pPr>
        <w:rPr>
          <w:b/>
          <w:color w:val="auto"/>
        </w:rPr>
      </w:pPr>
    </w:p>
    <w:p w14:paraId="587EB4FC" w14:textId="77777777" w:rsidR="00F525CF" w:rsidRDefault="00F525CF" w:rsidP="00C557FC">
      <w:pPr>
        <w:rPr>
          <w:b/>
          <w:color w:val="auto"/>
        </w:rPr>
      </w:pPr>
    </w:p>
    <w:p w14:paraId="52710188" w14:textId="77777777" w:rsidR="00F525CF" w:rsidRDefault="00F525CF" w:rsidP="00C557FC">
      <w:pPr>
        <w:rPr>
          <w:b/>
          <w:color w:val="auto"/>
        </w:rPr>
      </w:pPr>
    </w:p>
    <w:p w14:paraId="4EBD1F66" w14:textId="77777777" w:rsidR="00F525CF" w:rsidRDefault="00F525CF" w:rsidP="00C557FC">
      <w:pPr>
        <w:rPr>
          <w:b/>
          <w:color w:val="auto"/>
        </w:rPr>
      </w:pPr>
    </w:p>
    <w:p w14:paraId="374C376A" w14:textId="77777777" w:rsidR="00F525CF" w:rsidRDefault="00F525CF" w:rsidP="00C557FC">
      <w:pPr>
        <w:rPr>
          <w:b/>
          <w:color w:val="auto"/>
        </w:rPr>
      </w:pPr>
    </w:p>
    <w:p w14:paraId="6D300DAE" w14:textId="77777777" w:rsidR="00F525CF" w:rsidRDefault="00F525CF" w:rsidP="00C557FC">
      <w:pPr>
        <w:rPr>
          <w:b/>
          <w:color w:val="auto"/>
        </w:rPr>
      </w:pPr>
    </w:p>
    <w:p w14:paraId="29380C6E" w14:textId="77777777" w:rsidR="00F525CF" w:rsidRDefault="00F525CF" w:rsidP="00C557FC">
      <w:pPr>
        <w:rPr>
          <w:b/>
          <w:color w:val="auto"/>
        </w:rPr>
      </w:pPr>
    </w:p>
    <w:p w14:paraId="7F85CBB4" w14:textId="77777777" w:rsidR="00F525CF" w:rsidRDefault="00F525CF" w:rsidP="00C557FC">
      <w:pPr>
        <w:rPr>
          <w:b/>
          <w:color w:val="auto"/>
        </w:rPr>
      </w:pPr>
    </w:p>
    <w:p w14:paraId="43EF0C84" w14:textId="77777777" w:rsidR="00F525CF" w:rsidRDefault="00F525CF" w:rsidP="00C557FC">
      <w:pPr>
        <w:rPr>
          <w:b/>
          <w:color w:val="auto"/>
        </w:rPr>
      </w:pPr>
    </w:p>
    <w:p w14:paraId="121F6173" w14:textId="77777777" w:rsidR="00F525CF" w:rsidRDefault="00F525CF" w:rsidP="00C557FC">
      <w:pPr>
        <w:rPr>
          <w:b/>
          <w:color w:val="auto"/>
        </w:rPr>
      </w:pPr>
    </w:p>
    <w:p w14:paraId="2D374E30" w14:textId="77777777" w:rsidR="00F525CF" w:rsidRDefault="00F525CF" w:rsidP="00C557FC">
      <w:pPr>
        <w:rPr>
          <w:b/>
          <w:color w:val="auto"/>
        </w:rPr>
      </w:pPr>
    </w:p>
    <w:p w14:paraId="70F85E7D" w14:textId="77777777" w:rsidR="00F525CF" w:rsidRDefault="00F525CF" w:rsidP="00C557FC">
      <w:pPr>
        <w:rPr>
          <w:b/>
          <w:color w:val="auto"/>
        </w:rPr>
      </w:pPr>
    </w:p>
    <w:p w14:paraId="5DB57721" w14:textId="77777777" w:rsidR="00F525CF" w:rsidRDefault="00F525CF" w:rsidP="00C557FC">
      <w:pPr>
        <w:rPr>
          <w:b/>
          <w:color w:val="auto"/>
        </w:rPr>
      </w:pPr>
    </w:p>
    <w:p w14:paraId="6B14F070" w14:textId="77777777" w:rsidR="00F525CF" w:rsidRDefault="00F525CF" w:rsidP="00C557FC">
      <w:pPr>
        <w:rPr>
          <w:b/>
          <w:color w:val="auto"/>
        </w:rPr>
      </w:pPr>
    </w:p>
    <w:p w14:paraId="75E73BE3" w14:textId="77777777" w:rsidR="00F525CF" w:rsidRDefault="00F525CF" w:rsidP="00C557FC">
      <w:pPr>
        <w:rPr>
          <w:b/>
          <w:color w:val="auto"/>
        </w:rPr>
      </w:pPr>
    </w:p>
    <w:p w14:paraId="42EF6474" w14:textId="77777777" w:rsidR="00F525CF" w:rsidRDefault="00F525CF" w:rsidP="00C557FC">
      <w:pPr>
        <w:rPr>
          <w:b/>
          <w:color w:val="auto"/>
        </w:rPr>
      </w:pPr>
    </w:p>
    <w:p w14:paraId="583807AD" w14:textId="77777777" w:rsidR="00F525CF" w:rsidRDefault="00F525CF" w:rsidP="00C557FC">
      <w:pPr>
        <w:rPr>
          <w:b/>
          <w:color w:val="auto"/>
        </w:rPr>
      </w:pPr>
    </w:p>
    <w:p w14:paraId="12C6EA40" w14:textId="77777777" w:rsidR="00F525CF" w:rsidRDefault="00F525CF" w:rsidP="00C557FC">
      <w:pPr>
        <w:rPr>
          <w:b/>
          <w:color w:val="auto"/>
        </w:rPr>
      </w:pPr>
    </w:p>
    <w:p w14:paraId="73F321C9" w14:textId="77777777" w:rsidR="00F525CF" w:rsidRDefault="00F525CF" w:rsidP="00C557FC">
      <w:pPr>
        <w:rPr>
          <w:b/>
          <w:color w:val="auto"/>
        </w:rPr>
      </w:pPr>
    </w:p>
    <w:p w14:paraId="08060F2F" w14:textId="77777777" w:rsidR="00F525CF" w:rsidRDefault="00F525CF" w:rsidP="00C557FC">
      <w:pPr>
        <w:rPr>
          <w:b/>
          <w:color w:val="auto"/>
        </w:rPr>
      </w:pPr>
    </w:p>
    <w:p w14:paraId="54EF700F" w14:textId="77777777" w:rsidR="00F525CF" w:rsidRDefault="00F525CF" w:rsidP="00C557FC">
      <w:pPr>
        <w:rPr>
          <w:b/>
          <w:color w:val="auto"/>
        </w:rPr>
      </w:pPr>
    </w:p>
    <w:p w14:paraId="356011E1" w14:textId="77777777" w:rsidR="00F525CF" w:rsidRDefault="00F525CF" w:rsidP="00C557FC">
      <w:pPr>
        <w:rPr>
          <w:b/>
          <w:color w:val="auto"/>
        </w:rPr>
      </w:pPr>
    </w:p>
    <w:p w14:paraId="688E10F0" w14:textId="77777777" w:rsidR="00F525CF" w:rsidRDefault="00F525CF" w:rsidP="00C557FC">
      <w:pPr>
        <w:rPr>
          <w:b/>
          <w:color w:val="auto"/>
        </w:rPr>
      </w:pPr>
    </w:p>
    <w:p w14:paraId="2649A2C6" w14:textId="77777777" w:rsidR="00F525CF" w:rsidRDefault="00F525CF" w:rsidP="00C557FC">
      <w:pPr>
        <w:rPr>
          <w:b/>
          <w:color w:val="auto"/>
        </w:rPr>
      </w:pPr>
    </w:p>
    <w:p w14:paraId="11F60F10" w14:textId="77777777" w:rsidR="00F525CF" w:rsidRDefault="00F525CF" w:rsidP="00C557FC">
      <w:pPr>
        <w:rPr>
          <w:b/>
          <w:color w:val="auto"/>
        </w:rPr>
      </w:pPr>
    </w:p>
    <w:p w14:paraId="233271AD" w14:textId="77777777" w:rsidR="00F525CF" w:rsidRDefault="00F525CF" w:rsidP="00C557FC">
      <w:pPr>
        <w:rPr>
          <w:b/>
          <w:color w:val="auto"/>
        </w:rPr>
      </w:pPr>
    </w:p>
    <w:p w14:paraId="64A986A6" w14:textId="77777777" w:rsidR="00F525CF" w:rsidRDefault="00F525CF" w:rsidP="00C557FC">
      <w:pPr>
        <w:rPr>
          <w:b/>
          <w:color w:val="auto"/>
        </w:rPr>
      </w:pPr>
    </w:p>
    <w:p w14:paraId="3DBE55DA" w14:textId="77777777" w:rsidR="00F525CF" w:rsidRDefault="00F525CF" w:rsidP="00C557FC">
      <w:pPr>
        <w:rPr>
          <w:b/>
          <w:color w:val="auto"/>
        </w:rPr>
      </w:pPr>
    </w:p>
    <w:p w14:paraId="28532440" w14:textId="77777777" w:rsidR="00F525CF" w:rsidRDefault="00F525CF" w:rsidP="00C557FC">
      <w:pPr>
        <w:rPr>
          <w:b/>
          <w:color w:val="auto"/>
        </w:rPr>
      </w:pPr>
    </w:p>
    <w:p w14:paraId="2CB36238" w14:textId="77777777" w:rsidR="00F525CF" w:rsidRDefault="00F525CF" w:rsidP="00C557FC">
      <w:pPr>
        <w:rPr>
          <w:b/>
          <w:color w:val="auto"/>
        </w:rPr>
      </w:pPr>
    </w:p>
    <w:p w14:paraId="3EE0D85E" w14:textId="77777777" w:rsidR="00F525CF" w:rsidRDefault="00F525CF" w:rsidP="00C557FC">
      <w:pPr>
        <w:rPr>
          <w:b/>
          <w:color w:val="auto"/>
        </w:rPr>
      </w:pPr>
    </w:p>
    <w:p w14:paraId="79772694" w14:textId="77777777" w:rsidR="00F525CF" w:rsidRDefault="00F525CF" w:rsidP="00C557FC">
      <w:pPr>
        <w:rPr>
          <w:b/>
          <w:color w:val="auto"/>
        </w:rPr>
      </w:pPr>
    </w:p>
    <w:p w14:paraId="5F30EB9D" w14:textId="77777777" w:rsidR="00F525CF" w:rsidRDefault="00F525CF" w:rsidP="00C557FC">
      <w:pPr>
        <w:rPr>
          <w:b/>
          <w:color w:val="auto"/>
        </w:rPr>
      </w:pPr>
    </w:p>
    <w:p w14:paraId="123E4FFE" w14:textId="77777777" w:rsidR="00F525CF" w:rsidRDefault="00F525CF" w:rsidP="00C557FC">
      <w:pPr>
        <w:rPr>
          <w:b/>
          <w:color w:val="auto"/>
        </w:rPr>
      </w:pPr>
    </w:p>
    <w:p w14:paraId="4A49EFBB" w14:textId="77777777" w:rsidR="00F525CF" w:rsidRDefault="00F525CF" w:rsidP="00C557FC">
      <w:pPr>
        <w:rPr>
          <w:b/>
          <w:color w:val="auto"/>
        </w:rPr>
      </w:pPr>
    </w:p>
    <w:p w14:paraId="46241603" w14:textId="77777777" w:rsidR="00F525CF" w:rsidRDefault="00F525CF" w:rsidP="00C557FC">
      <w:pPr>
        <w:rPr>
          <w:b/>
          <w:color w:val="auto"/>
        </w:rPr>
      </w:pPr>
    </w:p>
    <w:p w14:paraId="0B0E050C" w14:textId="77777777" w:rsidR="00F525CF" w:rsidRDefault="00F525CF" w:rsidP="00C557FC">
      <w:pPr>
        <w:rPr>
          <w:b/>
          <w:color w:val="auto"/>
        </w:rPr>
      </w:pPr>
    </w:p>
    <w:p w14:paraId="59D86996" w14:textId="77777777" w:rsidR="00F525CF" w:rsidRDefault="00F525CF" w:rsidP="00C557FC">
      <w:pPr>
        <w:rPr>
          <w:b/>
          <w:color w:val="auto"/>
        </w:rPr>
      </w:pPr>
    </w:p>
    <w:p w14:paraId="5BD3CF30" w14:textId="77777777" w:rsidR="00F525CF" w:rsidRDefault="00F525CF" w:rsidP="00C557FC">
      <w:pPr>
        <w:rPr>
          <w:b/>
          <w:color w:val="auto"/>
        </w:rPr>
      </w:pPr>
    </w:p>
    <w:p w14:paraId="58E7D003" w14:textId="77777777" w:rsidR="00F525CF" w:rsidRPr="00C557FC" w:rsidRDefault="00F525CF" w:rsidP="00C557FC">
      <w:pPr>
        <w:rPr>
          <w:b/>
          <w:color w:val="auto"/>
        </w:rPr>
      </w:pPr>
    </w:p>
    <w:p w14:paraId="0B783B5D" w14:textId="20DBDA44" w:rsidR="002667DD" w:rsidRDefault="002667DD" w:rsidP="002667DD">
      <w:pPr>
        <w:jc w:val="center"/>
        <w:rPr>
          <w:rFonts w:cs="Arial"/>
          <w:b/>
          <w:color w:val="77328A"/>
          <w:sz w:val="30"/>
          <w:szCs w:val="30"/>
        </w:rPr>
      </w:pPr>
      <w:bookmarkStart w:id="14" w:name="AccountabilityReport"/>
      <w:r>
        <w:rPr>
          <w:rFonts w:cs="Arial"/>
          <w:b/>
          <w:color w:val="77328A"/>
          <w:sz w:val="30"/>
          <w:szCs w:val="30"/>
        </w:rPr>
        <w:lastRenderedPageBreak/>
        <w:t>Accountability Report</w:t>
      </w:r>
    </w:p>
    <w:bookmarkEnd w:id="14"/>
    <w:p w14:paraId="1E8A2226" w14:textId="77777777" w:rsidR="002667DD" w:rsidRDefault="002667DD" w:rsidP="002667DD">
      <w:pPr>
        <w:jc w:val="center"/>
        <w:rPr>
          <w:rFonts w:cs="Arial"/>
          <w:b/>
          <w:color w:val="77328A"/>
          <w:sz w:val="30"/>
          <w:szCs w:val="30"/>
        </w:rPr>
      </w:pPr>
    </w:p>
    <w:p w14:paraId="11BFF4F1" w14:textId="7436F65B" w:rsidR="001802BC" w:rsidRPr="005049F6" w:rsidRDefault="001802BC" w:rsidP="001802BC">
      <w:pPr>
        <w:rPr>
          <w:b/>
        </w:rPr>
      </w:pPr>
      <w:r>
        <w:rPr>
          <w:rFonts w:cs="Arial"/>
          <w:b/>
          <w:color w:val="77328A"/>
        </w:rPr>
        <w:t>Overview</w:t>
      </w:r>
    </w:p>
    <w:p w14:paraId="6CC8EA76" w14:textId="77777777" w:rsidR="007C2464" w:rsidRPr="009B4441" w:rsidRDefault="007C2464" w:rsidP="007C2464">
      <w:pPr>
        <w:widowControl w:val="0"/>
        <w:tabs>
          <w:tab w:val="left" w:pos="0"/>
        </w:tabs>
        <w:autoSpaceDE w:val="0"/>
        <w:autoSpaceDN w:val="0"/>
        <w:adjustRightInd w:val="0"/>
        <w:rPr>
          <w:b/>
        </w:rPr>
      </w:pPr>
    </w:p>
    <w:p w14:paraId="72D7AC6C" w14:textId="6462CA2F" w:rsidR="007C2464" w:rsidRDefault="001802BC" w:rsidP="007C2464">
      <w:pPr>
        <w:widowControl w:val="0"/>
        <w:tabs>
          <w:tab w:val="left" w:pos="0"/>
        </w:tabs>
        <w:autoSpaceDE w:val="0"/>
        <w:autoSpaceDN w:val="0"/>
        <w:adjustRightInd w:val="0"/>
      </w:pPr>
      <w:r>
        <w:t xml:space="preserve">The Accountability Report for the Commission comprises </w:t>
      </w:r>
      <w:r w:rsidR="005E56C5">
        <w:t>three key elements</w:t>
      </w:r>
      <w:r w:rsidR="00613E33">
        <w:t>:</w:t>
      </w:r>
    </w:p>
    <w:p w14:paraId="5CDD2634" w14:textId="77777777" w:rsidR="00613E33" w:rsidRDefault="00613E33" w:rsidP="007C2464">
      <w:pPr>
        <w:widowControl w:val="0"/>
        <w:tabs>
          <w:tab w:val="left" w:pos="0"/>
        </w:tabs>
        <w:autoSpaceDE w:val="0"/>
        <w:autoSpaceDN w:val="0"/>
        <w:adjustRightInd w:val="0"/>
      </w:pPr>
    </w:p>
    <w:p w14:paraId="0C57CE99" w14:textId="2C174481" w:rsidR="00613E33" w:rsidRDefault="00613E33" w:rsidP="007A6076">
      <w:pPr>
        <w:pStyle w:val="ListParagraph"/>
        <w:widowControl w:val="0"/>
        <w:numPr>
          <w:ilvl w:val="0"/>
          <w:numId w:val="30"/>
        </w:numPr>
        <w:tabs>
          <w:tab w:val="left" w:pos="0"/>
        </w:tabs>
        <w:autoSpaceDE w:val="0"/>
        <w:autoSpaceDN w:val="0"/>
        <w:adjustRightInd w:val="0"/>
      </w:pPr>
      <w:r>
        <w:t>Corporate Governance Report</w:t>
      </w:r>
    </w:p>
    <w:p w14:paraId="4430648C" w14:textId="7A8FF7BA" w:rsidR="00613E33" w:rsidRDefault="00613E33" w:rsidP="007A6076">
      <w:pPr>
        <w:pStyle w:val="ListParagraph"/>
        <w:widowControl w:val="0"/>
        <w:numPr>
          <w:ilvl w:val="0"/>
          <w:numId w:val="30"/>
        </w:numPr>
        <w:tabs>
          <w:tab w:val="left" w:pos="0"/>
        </w:tabs>
        <w:autoSpaceDE w:val="0"/>
        <w:autoSpaceDN w:val="0"/>
        <w:adjustRightInd w:val="0"/>
      </w:pPr>
      <w:r>
        <w:t>Remuneration and Staff Report</w:t>
      </w:r>
    </w:p>
    <w:p w14:paraId="54A47094" w14:textId="4E8A6059" w:rsidR="00613E33" w:rsidRPr="003F7E43" w:rsidRDefault="00613E33" w:rsidP="007A6076">
      <w:pPr>
        <w:pStyle w:val="ListParagraph"/>
        <w:widowControl w:val="0"/>
        <w:numPr>
          <w:ilvl w:val="0"/>
          <w:numId w:val="30"/>
        </w:numPr>
        <w:tabs>
          <w:tab w:val="left" w:pos="0"/>
        </w:tabs>
        <w:autoSpaceDE w:val="0"/>
        <w:autoSpaceDN w:val="0"/>
        <w:adjustRightInd w:val="0"/>
      </w:pPr>
      <w:r>
        <w:t>Parl</w:t>
      </w:r>
      <w:r w:rsidR="00A9374A">
        <w:t>iamentary Accountability and Audit Report</w:t>
      </w:r>
    </w:p>
    <w:p w14:paraId="5E47D452" w14:textId="77777777" w:rsidR="007C2464" w:rsidRDefault="007C2464" w:rsidP="002667DD">
      <w:pPr>
        <w:jc w:val="center"/>
        <w:rPr>
          <w:rFonts w:cs="Arial"/>
          <w:b/>
          <w:color w:val="77328A"/>
          <w:sz w:val="30"/>
          <w:szCs w:val="30"/>
        </w:rPr>
      </w:pPr>
    </w:p>
    <w:p w14:paraId="344CCA98" w14:textId="77777777" w:rsidR="002667DD" w:rsidRDefault="002667DD" w:rsidP="002667DD">
      <w:pPr>
        <w:jc w:val="center"/>
        <w:rPr>
          <w:rFonts w:cs="Arial"/>
          <w:b/>
          <w:color w:val="77328A"/>
          <w:sz w:val="30"/>
          <w:szCs w:val="30"/>
        </w:rPr>
      </w:pPr>
      <w:bookmarkStart w:id="15" w:name="CorporateGovernanceReport"/>
      <w:r>
        <w:rPr>
          <w:rFonts w:cs="Arial"/>
          <w:b/>
          <w:color w:val="77328A"/>
          <w:sz w:val="30"/>
          <w:szCs w:val="30"/>
        </w:rPr>
        <w:t>Corporate Governance Report</w:t>
      </w:r>
    </w:p>
    <w:bookmarkEnd w:id="15"/>
    <w:p w14:paraId="6F4B5480" w14:textId="77777777" w:rsidR="007D6C3F" w:rsidRDefault="007D6C3F" w:rsidP="002667DD">
      <w:pPr>
        <w:jc w:val="center"/>
        <w:rPr>
          <w:rFonts w:cs="Arial"/>
          <w:b/>
          <w:color w:val="77328A"/>
          <w:sz w:val="30"/>
          <w:szCs w:val="30"/>
        </w:rPr>
      </w:pPr>
    </w:p>
    <w:p w14:paraId="378BBA77" w14:textId="5036A973" w:rsidR="007D6C3F" w:rsidRPr="008E7AC5" w:rsidRDefault="00C52450" w:rsidP="007D6C3F">
      <w:pPr>
        <w:rPr>
          <w:b/>
        </w:rPr>
      </w:pPr>
      <w:r w:rsidRPr="003F7E43">
        <w:t>Th</w:t>
      </w:r>
      <w:r>
        <w:t xml:space="preserve">is section of the report outlines the compositions </w:t>
      </w:r>
      <w:r w:rsidR="008F05CD">
        <w:t xml:space="preserve">and </w:t>
      </w:r>
      <w:r w:rsidR="008E7AC5">
        <w:t>organisation of the Commission’s governance structures and how they support the achievement of the Commission’s objectives.</w:t>
      </w:r>
    </w:p>
    <w:p w14:paraId="01050B4E" w14:textId="77777777" w:rsidR="002667DD" w:rsidRPr="009B4441" w:rsidRDefault="002667DD" w:rsidP="002667DD">
      <w:pPr>
        <w:jc w:val="center"/>
        <w:rPr>
          <w:rFonts w:eastAsia="Calibri"/>
          <w:b/>
          <w:lang w:eastAsia="en-GB"/>
        </w:rPr>
      </w:pPr>
    </w:p>
    <w:p w14:paraId="398F59E5" w14:textId="77777777" w:rsidR="002667DD" w:rsidRPr="005049F6" w:rsidRDefault="002667DD" w:rsidP="002667DD">
      <w:pPr>
        <w:rPr>
          <w:b/>
        </w:rPr>
      </w:pPr>
      <w:bookmarkStart w:id="16" w:name="DirectorsReport"/>
      <w:r>
        <w:rPr>
          <w:rFonts w:cs="Arial"/>
          <w:b/>
          <w:color w:val="77328A"/>
        </w:rPr>
        <w:t>Director’s Report</w:t>
      </w:r>
      <w:bookmarkEnd w:id="16"/>
    </w:p>
    <w:p w14:paraId="4B7886A0" w14:textId="77777777" w:rsidR="002667DD" w:rsidRPr="009B4441" w:rsidRDefault="002667DD" w:rsidP="002667DD">
      <w:pPr>
        <w:rPr>
          <w:rFonts w:eastAsia="Calibri"/>
          <w:b/>
          <w:lang w:eastAsia="en-GB"/>
        </w:rPr>
      </w:pPr>
    </w:p>
    <w:p w14:paraId="69D184A9" w14:textId="77777777" w:rsidR="002667DD" w:rsidRPr="009B4441" w:rsidRDefault="002667DD" w:rsidP="002667DD">
      <w:pPr>
        <w:widowControl w:val="0"/>
        <w:tabs>
          <w:tab w:val="left" w:pos="0"/>
        </w:tabs>
        <w:autoSpaceDE w:val="0"/>
        <w:autoSpaceDN w:val="0"/>
        <w:adjustRightInd w:val="0"/>
        <w:rPr>
          <w:b/>
        </w:rPr>
      </w:pPr>
      <w:r w:rsidRPr="009B4441">
        <w:rPr>
          <w:b/>
        </w:rPr>
        <w:t>Entity</w:t>
      </w:r>
    </w:p>
    <w:p w14:paraId="25DB2DC0" w14:textId="77777777" w:rsidR="002667DD" w:rsidRPr="009B4441" w:rsidRDefault="002667DD" w:rsidP="002667DD">
      <w:pPr>
        <w:widowControl w:val="0"/>
        <w:tabs>
          <w:tab w:val="left" w:pos="0"/>
        </w:tabs>
        <w:autoSpaceDE w:val="0"/>
        <w:autoSpaceDN w:val="0"/>
        <w:adjustRightInd w:val="0"/>
        <w:rPr>
          <w:b/>
        </w:rPr>
      </w:pPr>
    </w:p>
    <w:p w14:paraId="6476D6DF" w14:textId="77777777" w:rsidR="002667DD" w:rsidRPr="003F7E43" w:rsidRDefault="002667DD" w:rsidP="002667DD">
      <w:pPr>
        <w:widowControl w:val="0"/>
        <w:tabs>
          <w:tab w:val="left" w:pos="0"/>
        </w:tabs>
        <w:autoSpaceDE w:val="0"/>
        <w:autoSpaceDN w:val="0"/>
        <w:adjustRightInd w:val="0"/>
      </w:pPr>
      <w:r w:rsidRPr="003F7E43">
        <w:t>The Commission is a non-departmental public body established as part of the Belfast (Good Friday) Agreement through the Northern Ireland Act 1998 and in accordance with the United Nations Paris Principles as a National Human Rights Institution.</w:t>
      </w:r>
    </w:p>
    <w:p w14:paraId="3E1E04B9" w14:textId="77777777" w:rsidR="002667DD" w:rsidRPr="003F7E43" w:rsidRDefault="002667DD" w:rsidP="002667DD">
      <w:pPr>
        <w:widowControl w:val="0"/>
        <w:tabs>
          <w:tab w:val="left" w:pos="0"/>
        </w:tabs>
        <w:autoSpaceDE w:val="0"/>
        <w:autoSpaceDN w:val="0"/>
        <w:adjustRightInd w:val="0"/>
      </w:pPr>
    </w:p>
    <w:p w14:paraId="20A813A3" w14:textId="77777777" w:rsidR="002667DD" w:rsidRPr="003F7E43" w:rsidRDefault="002667DD" w:rsidP="002667DD">
      <w:pPr>
        <w:widowControl w:val="0"/>
        <w:tabs>
          <w:tab w:val="left" w:pos="0"/>
        </w:tabs>
        <w:autoSpaceDE w:val="0"/>
        <w:autoSpaceDN w:val="0"/>
        <w:adjustRightInd w:val="0"/>
      </w:pPr>
      <w:r w:rsidRPr="003F7E43">
        <w:t xml:space="preserve">The Commission’s </w:t>
      </w:r>
      <w:r w:rsidRPr="003F7E43">
        <w:rPr>
          <w:rFonts w:cs="Verdana"/>
        </w:rPr>
        <w:t>powers and duties are derived from sections 69 and 70 of the Northern Ireland Act 1998</w:t>
      </w:r>
      <w:r>
        <w:rPr>
          <w:rFonts w:cs="Verdana"/>
        </w:rPr>
        <w:t xml:space="preserve">, </w:t>
      </w:r>
      <w:r w:rsidRPr="003F7E43">
        <w:rPr>
          <w:rFonts w:cs="Verdana"/>
        </w:rPr>
        <w:t>sections 14 to 16 of the Justice and Security (Northern Ireland) Act 2007</w:t>
      </w:r>
      <w:r>
        <w:rPr>
          <w:rFonts w:cs="Verdana"/>
        </w:rPr>
        <w:t xml:space="preserve">, and Schedule 3 of the </w:t>
      </w:r>
      <w:r w:rsidRPr="009A2C67">
        <w:rPr>
          <w:rFonts w:cs="Verdana"/>
        </w:rPr>
        <w:t>European Union (Withdrawal Agreement) Act 2020</w:t>
      </w:r>
      <w:r w:rsidRPr="003F7E43">
        <w:rPr>
          <w:rFonts w:cs="Verdana"/>
        </w:rPr>
        <w:t xml:space="preserve">.  </w:t>
      </w:r>
    </w:p>
    <w:p w14:paraId="6B06134D" w14:textId="77777777" w:rsidR="002667DD" w:rsidRPr="003F7E43" w:rsidRDefault="002667DD" w:rsidP="002667DD">
      <w:pPr>
        <w:widowControl w:val="0"/>
        <w:tabs>
          <w:tab w:val="left" w:pos="0"/>
        </w:tabs>
        <w:autoSpaceDE w:val="0"/>
        <w:autoSpaceDN w:val="0"/>
        <w:adjustRightInd w:val="0"/>
      </w:pPr>
    </w:p>
    <w:p w14:paraId="631F6EED" w14:textId="77777777" w:rsidR="002667DD" w:rsidRPr="003F7E43" w:rsidRDefault="002667DD" w:rsidP="002667DD">
      <w:pPr>
        <w:widowControl w:val="0"/>
        <w:tabs>
          <w:tab w:val="left" w:pos="0"/>
        </w:tabs>
        <w:autoSpaceDE w:val="0"/>
        <w:autoSpaceDN w:val="0"/>
        <w:adjustRightInd w:val="0"/>
      </w:pPr>
      <w:r w:rsidRPr="00A22300">
        <w:t>The Commission is located at 4</w:t>
      </w:r>
      <w:r w:rsidRPr="00A22300">
        <w:rPr>
          <w:vertAlign w:val="superscript"/>
        </w:rPr>
        <w:t>th</w:t>
      </w:r>
      <w:r w:rsidRPr="00A22300">
        <w:t xml:space="preserve"> Floor, 19-21 Alfred Street, Belfast, BT2 8ED and its sponsor branch is the Northern Ireland Office located at </w:t>
      </w:r>
      <w:r>
        <w:t>Erskine House, 20-32 Chichester Street, Belfast, BT1 4GF</w:t>
      </w:r>
      <w:r w:rsidRPr="00A22300">
        <w:t>.</w:t>
      </w:r>
    </w:p>
    <w:p w14:paraId="47EF60F9" w14:textId="77777777" w:rsidR="002667DD" w:rsidRPr="003F7E43" w:rsidRDefault="002667DD" w:rsidP="002667DD">
      <w:pPr>
        <w:widowControl w:val="0"/>
        <w:autoSpaceDE w:val="0"/>
        <w:autoSpaceDN w:val="0"/>
        <w:adjustRightInd w:val="0"/>
        <w:rPr>
          <w:b/>
        </w:rPr>
      </w:pPr>
    </w:p>
    <w:p w14:paraId="4568195B" w14:textId="77777777" w:rsidR="002667DD" w:rsidRPr="003F7E43" w:rsidRDefault="002667DD" w:rsidP="002667DD">
      <w:pPr>
        <w:widowControl w:val="0"/>
        <w:autoSpaceDE w:val="0"/>
        <w:autoSpaceDN w:val="0"/>
        <w:adjustRightInd w:val="0"/>
        <w:rPr>
          <w:b/>
        </w:rPr>
      </w:pPr>
      <w:r w:rsidRPr="003F7E43">
        <w:rPr>
          <w:b/>
        </w:rPr>
        <w:t>Commissioners and Management Team</w:t>
      </w:r>
    </w:p>
    <w:p w14:paraId="45A19D49" w14:textId="77777777" w:rsidR="002667DD" w:rsidRPr="003F7E43" w:rsidRDefault="002667DD" w:rsidP="002667DD">
      <w:pPr>
        <w:widowControl w:val="0"/>
        <w:autoSpaceDE w:val="0"/>
        <w:autoSpaceDN w:val="0"/>
        <w:adjustRightInd w:val="0"/>
        <w:rPr>
          <w:b/>
        </w:rPr>
      </w:pPr>
    </w:p>
    <w:p w14:paraId="641BE291" w14:textId="4CECBA02" w:rsidR="002667DD" w:rsidRPr="003F7E43" w:rsidRDefault="002667DD" w:rsidP="002667DD">
      <w:pPr>
        <w:widowControl w:val="0"/>
        <w:autoSpaceDE w:val="0"/>
        <w:autoSpaceDN w:val="0"/>
        <w:adjustRightInd w:val="0"/>
      </w:pPr>
      <w:r w:rsidRPr="003F7E43">
        <w:t xml:space="preserve">The Commission is governed by its Commissioners.  The following served as Commissioners during </w:t>
      </w:r>
      <w:r w:rsidRPr="003F7E43">
        <w:rPr>
          <w:rFonts w:cs="MetaPlusNormal-Roman"/>
          <w:lang w:val="en-US"/>
        </w:rPr>
        <w:t>20</w:t>
      </w:r>
      <w:r>
        <w:t>2</w:t>
      </w:r>
      <w:r w:rsidR="00E60BB2">
        <w:t>4</w:t>
      </w:r>
      <w:r>
        <w:t>-2</w:t>
      </w:r>
      <w:r w:rsidR="00E60BB2">
        <w:t>5</w:t>
      </w:r>
      <w:r w:rsidRPr="003F7E43">
        <w:t xml:space="preserve">:  </w:t>
      </w:r>
    </w:p>
    <w:p w14:paraId="1CCFC7D8" w14:textId="77777777" w:rsidR="002667DD" w:rsidRPr="003F7E43" w:rsidRDefault="002667DD" w:rsidP="002667DD">
      <w:pPr>
        <w:tabs>
          <w:tab w:val="right" w:pos="8820"/>
        </w:tabs>
        <w:ind w:left="360"/>
      </w:pPr>
    </w:p>
    <w:p w14:paraId="6A3263E9" w14:textId="77777777" w:rsidR="002667DD" w:rsidRDefault="002667DD" w:rsidP="002667DD">
      <w:pPr>
        <w:numPr>
          <w:ilvl w:val="0"/>
          <w:numId w:val="4"/>
        </w:numPr>
        <w:tabs>
          <w:tab w:val="clear" w:pos="360"/>
        </w:tabs>
        <w:ind w:left="567" w:hanging="567"/>
      </w:pPr>
      <w:r>
        <w:t>Alyson Kilpatrick</w:t>
      </w:r>
    </w:p>
    <w:p w14:paraId="2A2FD58F" w14:textId="77777777" w:rsidR="002667DD" w:rsidRDefault="002667DD" w:rsidP="002667DD">
      <w:pPr>
        <w:numPr>
          <w:ilvl w:val="0"/>
          <w:numId w:val="4"/>
        </w:numPr>
        <w:tabs>
          <w:tab w:val="clear" w:pos="360"/>
        </w:tabs>
        <w:ind w:left="567" w:hanging="567"/>
      </w:pPr>
      <w:r>
        <w:t xml:space="preserve">Helen Henderson </w:t>
      </w:r>
    </w:p>
    <w:p w14:paraId="53B4C4BC" w14:textId="1111CBA9" w:rsidR="00E60BB2" w:rsidRDefault="00E60BB2" w:rsidP="002667DD">
      <w:pPr>
        <w:numPr>
          <w:ilvl w:val="0"/>
          <w:numId w:val="4"/>
        </w:numPr>
        <w:tabs>
          <w:tab w:val="clear" w:pos="360"/>
        </w:tabs>
        <w:ind w:left="567" w:hanging="567"/>
      </w:pPr>
      <w:r>
        <w:t>Mairead Holder (from 01 September 2024)</w:t>
      </w:r>
    </w:p>
    <w:p w14:paraId="0820A8B8" w14:textId="77777777" w:rsidR="002667DD" w:rsidRDefault="002667DD" w:rsidP="002667DD">
      <w:pPr>
        <w:numPr>
          <w:ilvl w:val="0"/>
          <w:numId w:val="4"/>
        </w:numPr>
        <w:tabs>
          <w:tab w:val="clear" w:pos="360"/>
        </w:tabs>
        <w:ind w:left="567" w:hanging="567"/>
      </w:pPr>
      <w:r>
        <w:t xml:space="preserve">Jonathan Kearney </w:t>
      </w:r>
    </w:p>
    <w:p w14:paraId="67F53F2F" w14:textId="7C6DABA8" w:rsidR="002667DD" w:rsidRDefault="002667DD" w:rsidP="002667DD">
      <w:pPr>
        <w:numPr>
          <w:ilvl w:val="0"/>
          <w:numId w:val="4"/>
        </w:numPr>
        <w:tabs>
          <w:tab w:val="clear" w:pos="360"/>
        </w:tabs>
        <w:ind w:left="567" w:hanging="567"/>
      </w:pPr>
      <w:r>
        <w:t xml:space="preserve">Justin Kouame </w:t>
      </w:r>
    </w:p>
    <w:p w14:paraId="4685CB96" w14:textId="77777777" w:rsidR="002667DD" w:rsidRDefault="002667DD" w:rsidP="002667DD">
      <w:pPr>
        <w:numPr>
          <w:ilvl w:val="0"/>
          <w:numId w:val="4"/>
        </w:numPr>
        <w:tabs>
          <w:tab w:val="clear" w:pos="360"/>
        </w:tabs>
        <w:ind w:left="567" w:hanging="567"/>
      </w:pPr>
      <w:r>
        <w:t xml:space="preserve">David A Lavery CB </w:t>
      </w:r>
    </w:p>
    <w:p w14:paraId="4E868A3E" w14:textId="77777777" w:rsidR="002667DD" w:rsidRDefault="002667DD" w:rsidP="002667DD">
      <w:pPr>
        <w:numPr>
          <w:ilvl w:val="0"/>
          <w:numId w:val="4"/>
        </w:numPr>
        <w:tabs>
          <w:tab w:val="clear" w:pos="360"/>
        </w:tabs>
        <w:ind w:left="567" w:hanging="567"/>
      </w:pPr>
      <w:r>
        <w:t xml:space="preserve">Stephen White OBE </w:t>
      </w:r>
    </w:p>
    <w:p w14:paraId="1A724D1C" w14:textId="77777777" w:rsidR="002667DD" w:rsidRPr="003F7E43" w:rsidRDefault="002667DD" w:rsidP="002667DD">
      <w:pPr>
        <w:ind w:left="567"/>
      </w:pPr>
    </w:p>
    <w:p w14:paraId="2E04E3D2" w14:textId="17970BAC" w:rsidR="002667DD" w:rsidRPr="003F7E43" w:rsidRDefault="002667DD" w:rsidP="002667DD">
      <w:pPr>
        <w:autoSpaceDE w:val="0"/>
        <w:autoSpaceDN w:val="0"/>
        <w:adjustRightInd w:val="0"/>
        <w:rPr>
          <w:rFonts w:cs="HelveticaNeueLTStd-Lt"/>
          <w:lang w:val="en-US"/>
        </w:rPr>
      </w:pPr>
      <w:r w:rsidRPr="003F7E43">
        <w:lastRenderedPageBreak/>
        <w:t xml:space="preserve">The Commission’s Director is its Chief Executive, Dr David Russell.  As Accounting Officer, the Chief Executive is responsible for maintaining a sound system of internal control. The Governance Statement sets out how this responsibility has been discharged in </w:t>
      </w:r>
      <w:r w:rsidRPr="003F7E43">
        <w:rPr>
          <w:rFonts w:cs="MetaPlusNormal-Roman"/>
          <w:lang w:val="en-US"/>
        </w:rPr>
        <w:t>20</w:t>
      </w:r>
      <w:r>
        <w:t>2</w:t>
      </w:r>
      <w:r w:rsidR="004B45A5">
        <w:t>4</w:t>
      </w:r>
      <w:r>
        <w:t>-2</w:t>
      </w:r>
      <w:r w:rsidR="004B45A5">
        <w:t>5</w:t>
      </w:r>
      <w:r w:rsidRPr="003F7E43">
        <w:rPr>
          <w:rFonts w:cs="HelveticaNeueLTStd-Lt"/>
          <w:lang w:val="en-US"/>
        </w:rPr>
        <w:t>.</w:t>
      </w:r>
    </w:p>
    <w:p w14:paraId="0CA4AF0E" w14:textId="77777777" w:rsidR="002667DD" w:rsidRPr="003F7E43" w:rsidRDefault="002667DD" w:rsidP="002667DD">
      <w:pPr>
        <w:autoSpaceDE w:val="0"/>
        <w:autoSpaceDN w:val="0"/>
        <w:adjustRightInd w:val="0"/>
        <w:rPr>
          <w:rFonts w:cs="Univers"/>
          <w:lang w:val="en-US"/>
        </w:rPr>
      </w:pPr>
    </w:p>
    <w:p w14:paraId="24DC75AB" w14:textId="77777777" w:rsidR="002667DD" w:rsidRPr="009B4441" w:rsidRDefault="002667DD" w:rsidP="002667DD">
      <w:pPr>
        <w:autoSpaceDE w:val="0"/>
        <w:autoSpaceDN w:val="0"/>
        <w:adjustRightInd w:val="0"/>
        <w:rPr>
          <w:rFonts w:cs="Univers"/>
          <w:lang w:val="en-US"/>
        </w:rPr>
      </w:pPr>
      <w:r w:rsidRPr="003F7E43">
        <w:rPr>
          <w:rFonts w:cs="Univers"/>
          <w:lang w:val="en-US"/>
        </w:rPr>
        <w:t>Details of remuneration can be found in the Remuneration Report.</w:t>
      </w:r>
    </w:p>
    <w:p w14:paraId="4DD264C9" w14:textId="700C99D3" w:rsidR="00C93755" w:rsidRPr="00A9374A" w:rsidRDefault="002667DD" w:rsidP="00A9374A">
      <w:pPr>
        <w:autoSpaceDE w:val="0"/>
        <w:autoSpaceDN w:val="0"/>
        <w:adjustRightInd w:val="0"/>
        <w:rPr>
          <w:rFonts w:cs="Univers"/>
          <w:i/>
          <w:lang w:val="en-US"/>
        </w:rPr>
      </w:pPr>
      <w:r w:rsidRPr="003F7E43">
        <w:rPr>
          <w:rFonts w:cs="Univers"/>
          <w:lang w:val="en-US"/>
        </w:rPr>
        <w:t xml:space="preserve">A register of interests of the Commissioners and the Management Team can be found on our website: </w:t>
      </w:r>
      <w:hyperlink r:id="rId26" w:history="1">
        <w:r w:rsidRPr="00B56F25">
          <w:rPr>
            <w:rStyle w:val="Hyperlink"/>
            <w:rFonts w:cs="Univers"/>
            <w:i/>
            <w:lang w:val="en-US"/>
          </w:rPr>
          <w:t>www.nihrc.org</w:t>
        </w:r>
      </w:hyperlink>
    </w:p>
    <w:p w14:paraId="0DB6CAE0" w14:textId="77777777" w:rsidR="002667DD" w:rsidRDefault="002667DD" w:rsidP="002667DD">
      <w:pPr>
        <w:widowControl w:val="0"/>
        <w:autoSpaceDE w:val="0"/>
        <w:autoSpaceDN w:val="0"/>
        <w:adjustRightInd w:val="0"/>
        <w:rPr>
          <w:b/>
        </w:rPr>
      </w:pPr>
    </w:p>
    <w:p w14:paraId="3891B889" w14:textId="77777777" w:rsidR="002667DD" w:rsidRPr="003F7E43" w:rsidRDefault="002667DD" w:rsidP="002667DD">
      <w:pPr>
        <w:widowControl w:val="0"/>
        <w:autoSpaceDE w:val="0"/>
        <w:autoSpaceDN w:val="0"/>
        <w:adjustRightInd w:val="0"/>
        <w:rPr>
          <w:b/>
        </w:rPr>
      </w:pPr>
      <w:r w:rsidRPr="003F7E43">
        <w:rPr>
          <w:b/>
        </w:rPr>
        <w:t>Audit and Risk Management Committee</w:t>
      </w:r>
    </w:p>
    <w:p w14:paraId="49612C59" w14:textId="77777777" w:rsidR="002667DD" w:rsidRPr="003F7E43" w:rsidRDefault="002667DD" w:rsidP="002667DD">
      <w:pPr>
        <w:widowControl w:val="0"/>
        <w:autoSpaceDE w:val="0"/>
        <w:autoSpaceDN w:val="0"/>
        <w:adjustRightInd w:val="0"/>
        <w:rPr>
          <w:b/>
        </w:rPr>
      </w:pPr>
    </w:p>
    <w:p w14:paraId="2FEF1E3C" w14:textId="464C9BAB" w:rsidR="002667DD" w:rsidRPr="003F7E43" w:rsidRDefault="002667DD" w:rsidP="002667DD">
      <w:pPr>
        <w:autoSpaceDE w:val="0"/>
        <w:autoSpaceDN w:val="0"/>
        <w:adjustRightInd w:val="0"/>
        <w:rPr>
          <w:rFonts w:cs="Univers"/>
          <w:lang w:val="en-US"/>
        </w:rPr>
      </w:pPr>
      <w:r w:rsidRPr="003F7E43">
        <w:rPr>
          <w:rFonts w:cs="Univers"/>
          <w:lang w:val="en-US"/>
        </w:rPr>
        <w:t xml:space="preserve">The Commission’s Audit and Risk Management Committee met </w:t>
      </w:r>
      <w:r w:rsidR="00157392">
        <w:t>twice</w:t>
      </w:r>
      <w:r w:rsidRPr="003F7E43">
        <w:rPr>
          <w:rFonts w:cs="Univers"/>
          <w:lang w:val="en-US"/>
        </w:rPr>
        <w:t xml:space="preserve"> during </w:t>
      </w:r>
      <w:r w:rsidRPr="003F7E43">
        <w:rPr>
          <w:rFonts w:cs="MetaPlusNormal-Roman"/>
          <w:lang w:val="en-US"/>
        </w:rPr>
        <w:t>the year</w:t>
      </w:r>
      <w:r>
        <w:rPr>
          <w:rFonts w:cs="Univers"/>
          <w:lang w:val="en-US"/>
        </w:rPr>
        <w:t>.</w:t>
      </w:r>
    </w:p>
    <w:p w14:paraId="0367BDB7" w14:textId="77777777" w:rsidR="002667DD" w:rsidRPr="003F7E43" w:rsidRDefault="002667DD" w:rsidP="002667DD">
      <w:pPr>
        <w:autoSpaceDE w:val="0"/>
        <w:autoSpaceDN w:val="0"/>
        <w:adjustRightInd w:val="0"/>
        <w:rPr>
          <w:rFonts w:cs="Univers"/>
          <w:lang w:val="en-US"/>
        </w:rPr>
      </w:pPr>
    </w:p>
    <w:p w14:paraId="3DE5C7C2" w14:textId="38CDF111" w:rsidR="002667DD" w:rsidRPr="003F7E43" w:rsidRDefault="002667DD" w:rsidP="002667DD">
      <w:pPr>
        <w:autoSpaceDE w:val="0"/>
        <w:autoSpaceDN w:val="0"/>
        <w:adjustRightInd w:val="0"/>
        <w:rPr>
          <w:rFonts w:cs="Univers"/>
          <w:lang w:val="en-US"/>
        </w:rPr>
      </w:pPr>
      <w:r w:rsidRPr="003F7E43">
        <w:rPr>
          <w:rFonts w:cs="Univers"/>
          <w:lang w:val="en-US"/>
        </w:rPr>
        <w:t xml:space="preserve">The Audit and Risk Management Committee </w:t>
      </w:r>
      <w:r>
        <w:rPr>
          <w:rFonts w:cs="Univers"/>
          <w:lang w:val="en-US"/>
        </w:rPr>
        <w:t>202</w:t>
      </w:r>
      <w:r w:rsidR="00157392">
        <w:rPr>
          <w:rFonts w:cs="Univers"/>
          <w:lang w:val="en-US"/>
        </w:rPr>
        <w:t>4</w:t>
      </w:r>
      <w:r>
        <w:rPr>
          <w:rFonts w:cs="Univers"/>
          <w:lang w:val="en-US"/>
        </w:rPr>
        <w:t>-2</w:t>
      </w:r>
      <w:r w:rsidR="005333A5">
        <w:rPr>
          <w:rFonts w:cs="Univers"/>
          <w:lang w:val="en-US"/>
        </w:rPr>
        <w:t>5</w:t>
      </w:r>
      <w:r>
        <w:rPr>
          <w:rFonts w:cs="Univers"/>
          <w:lang w:val="en-US"/>
        </w:rPr>
        <w:t xml:space="preserve"> comprised</w:t>
      </w:r>
      <w:r w:rsidRPr="003F7E43">
        <w:rPr>
          <w:rFonts w:cs="Univers"/>
          <w:lang w:val="en-US"/>
        </w:rPr>
        <w:t>:</w:t>
      </w:r>
    </w:p>
    <w:p w14:paraId="332D32BF" w14:textId="77777777" w:rsidR="002667DD" w:rsidRPr="003F7E43" w:rsidRDefault="002667DD" w:rsidP="002667DD">
      <w:pPr>
        <w:autoSpaceDE w:val="0"/>
        <w:autoSpaceDN w:val="0"/>
        <w:adjustRightInd w:val="0"/>
        <w:rPr>
          <w:rFonts w:cs="Univers"/>
          <w:lang w:val="en-US"/>
        </w:rPr>
      </w:pPr>
    </w:p>
    <w:p w14:paraId="680097FC" w14:textId="77777777" w:rsidR="002667DD" w:rsidRDefault="002667DD" w:rsidP="002667DD">
      <w:pPr>
        <w:numPr>
          <w:ilvl w:val="2"/>
          <w:numId w:val="5"/>
        </w:numPr>
        <w:tabs>
          <w:tab w:val="clear" w:pos="2160"/>
        </w:tabs>
        <w:autoSpaceDE w:val="0"/>
        <w:autoSpaceDN w:val="0"/>
        <w:adjustRightInd w:val="0"/>
        <w:ind w:left="567" w:hanging="567"/>
        <w:rPr>
          <w:rFonts w:cs="Arial"/>
        </w:rPr>
      </w:pPr>
      <w:r>
        <w:rPr>
          <w:rFonts w:cs="Arial"/>
        </w:rPr>
        <w:t>Sean Donaghy</w:t>
      </w:r>
      <w:r w:rsidRPr="3285EAFF">
        <w:rPr>
          <w:rFonts w:cs="Arial"/>
        </w:rPr>
        <w:t>, Independent Chairperson</w:t>
      </w:r>
    </w:p>
    <w:p w14:paraId="3AAAEAA1" w14:textId="05ADA948" w:rsidR="0075722B" w:rsidRPr="00FA0F19" w:rsidRDefault="0075722B" w:rsidP="002667DD">
      <w:pPr>
        <w:numPr>
          <w:ilvl w:val="2"/>
          <w:numId w:val="5"/>
        </w:numPr>
        <w:tabs>
          <w:tab w:val="clear" w:pos="2160"/>
        </w:tabs>
        <w:autoSpaceDE w:val="0"/>
        <w:autoSpaceDN w:val="0"/>
        <w:adjustRightInd w:val="0"/>
        <w:ind w:left="567" w:hanging="567"/>
        <w:rPr>
          <w:rFonts w:cs="Arial"/>
        </w:rPr>
      </w:pPr>
      <w:r w:rsidRPr="54F71CB4">
        <w:rPr>
          <w:rFonts w:cs="Arial"/>
        </w:rPr>
        <w:t>Helen Henderson</w:t>
      </w:r>
    </w:p>
    <w:p w14:paraId="79D38D23" w14:textId="77777777" w:rsidR="002667DD" w:rsidRPr="00FA0F19" w:rsidRDefault="002667DD" w:rsidP="002667DD">
      <w:pPr>
        <w:numPr>
          <w:ilvl w:val="2"/>
          <w:numId w:val="5"/>
        </w:numPr>
        <w:tabs>
          <w:tab w:val="clear" w:pos="2160"/>
        </w:tabs>
        <w:autoSpaceDE w:val="0"/>
        <w:autoSpaceDN w:val="0"/>
        <w:adjustRightInd w:val="0"/>
        <w:ind w:left="567" w:hanging="567"/>
        <w:rPr>
          <w:rFonts w:cs="Univers"/>
          <w:lang w:val="en-US"/>
        </w:rPr>
      </w:pPr>
      <w:r>
        <w:rPr>
          <w:rFonts w:cs="Arial"/>
        </w:rPr>
        <w:t xml:space="preserve">David A Lavery CB </w:t>
      </w:r>
    </w:p>
    <w:p w14:paraId="2FCCBD65" w14:textId="77777777" w:rsidR="002667DD" w:rsidRPr="00AF7B8A" w:rsidRDefault="002667DD" w:rsidP="002667DD">
      <w:pPr>
        <w:numPr>
          <w:ilvl w:val="2"/>
          <w:numId w:val="5"/>
        </w:numPr>
        <w:tabs>
          <w:tab w:val="clear" w:pos="2160"/>
        </w:tabs>
        <w:autoSpaceDE w:val="0"/>
        <w:autoSpaceDN w:val="0"/>
        <w:adjustRightInd w:val="0"/>
        <w:ind w:left="567" w:hanging="567"/>
        <w:rPr>
          <w:rFonts w:cs="Univers"/>
          <w:lang w:val="en-US"/>
        </w:rPr>
      </w:pPr>
      <w:r>
        <w:rPr>
          <w:rFonts w:cs="Arial"/>
        </w:rPr>
        <w:t xml:space="preserve">Stephen White OBE </w:t>
      </w:r>
    </w:p>
    <w:p w14:paraId="3018CFB0" w14:textId="77777777" w:rsidR="00604725" w:rsidRDefault="00604725" w:rsidP="002667DD">
      <w:pPr>
        <w:autoSpaceDE w:val="0"/>
        <w:autoSpaceDN w:val="0"/>
        <w:adjustRightInd w:val="0"/>
        <w:rPr>
          <w:rFonts w:cs="Univers"/>
          <w:lang w:val="en-US"/>
        </w:rPr>
      </w:pPr>
    </w:p>
    <w:p w14:paraId="4D763F43" w14:textId="01C3ABAD" w:rsidR="00604725" w:rsidRPr="00C6256C" w:rsidRDefault="00604725" w:rsidP="002667DD">
      <w:pPr>
        <w:autoSpaceDE w:val="0"/>
        <w:autoSpaceDN w:val="0"/>
        <w:adjustRightInd w:val="0"/>
        <w:rPr>
          <w:rFonts w:cs="Arial"/>
        </w:rPr>
      </w:pPr>
      <w:r w:rsidRPr="00604725">
        <w:rPr>
          <w:rFonts w:cs="Arial"/>
          <w:lang w:val="en-US"/>
        </w:rPr>
        <w:t xml:space="preserve">The Chief Executive, Director (Finance, Personnel and Corporate Affairs), and Director </w:t>
      </w:r>
      <w:r w:rsidRPr="00604725">
        <w:rPr>
          <w:rFonts w:cs="Arial"/>
        </w:rPr>
        <w:t xml:space="preserve">(Engagement and Communications) attend the Audit and Risk Management Committee meetings,  with other Directors attending as required.  The </w:t>
      </w:r>
      <w:r w:rsidRPr="00604725">
        <w:rPr>
          <w:rFonts w:cs="Arial"/>
          <w:lang w:val="en-US"/>
        </w:rPr>
        <w:t>Internal Auditor, External Auditor and a representative from the NIO also attend Committee meetings.</w:t>
      </w:r>
    </w:p>
    <w:p w14:paraId="42C7D1F2" w14:textId="77777777" w:rsidR="002667DD" w:rsidRPr="003F7E43" w:rsidRDefault="002667DD" w:rsidP="002667DD">
      <w:pPr>
        <w:autoSpaceDE w:val="0"/>
        <w:autoSpaceDN w:val="0"/>
        <w:adjustRightInd w:val="0"/>
        <w:rPr>
          <w:rFonts w:cs="Univers"/>
          <w:lang w:val="en-US"/>
        </w:rPr>
      </w:pPr>
    </w:p>
    <w:p w14:paraId="06CDFC12" w14:textId="77777777" w:rsidR="002667DD" w:rsidRPr="003F7E43" w:rsidRDefault="002667DD" w:rsidP="002667DD">
      <w:pPr>
        <w:autoSpaceDE w:val="0"/>
        <w:autoSpaceDN w:val="0"/>
        <w:adjustRightInd w:val="0"/>
        <w:rPr>
          <w:lang w:val="en-US"/>
        </w:rPr>
      </w:pPr>
      <w:r w:rsidRPr="003F7E43">
        <w:rPr>
          <w:rFonts w:cs="Univers"/>
          <w:lang w:val="en-US"/>
        </w:rPr>
        <w:t xml:space="preserve">The Audit and Risk Management Committee supports the Accounting Officer, and the Commission, </w:t>
      </w:r>
      <w:r w:rsidRPr="003F7E43">
        <w:rPr>
          <w:lang w:val="en-US"/>
        </w:rPr>
        <w:t xml:space="preserve">by monitoring and reviewing the risk, control and governance systems, and the associated assurance processes. This is achieved by providing an independent perspective and through a process of constructive challenge. The Chairperson or nominated Committee member </w:t>
      </w:r>
      <w:r w:rsidRPr="003F7E43">
        <w:rPr>
          <w:rFonts w:cs="Univers"/>
          <w:lang w:val="en-US"/>
        </w:rPr>
        <w:t xml:space="preserve">reports on the activities </w:t>
      </w:r>
      <w:r w:rsidRPr="003F7E43">
        <w:rPr>
          <w:lang w:val="en-US"/>
        </w:rPr>
        <w:t xml:space="preserve">of the </w:t>
      </w:r>
      <w:r w:rsidRPr="003F7E43">
        <w:rPr>
          <w:rFonts w:cs="Univers"/>
          <w:lang w:val="en-US"/>
        </w:rPr>
        <w:t>Audit and Risk Management Committee at Commission meetings. Minutes of Audit and Risk Management Committee meetings are circulated to all Commissioners.</w:t>
      </w:r>
    </w:p>
    <w:p w14:paraId="274BF923" w14:textId="77777777" w:rsidR="002667DD" w:rsidRPr="003F7E43" w:rsidRDefault="002667DD" w:rsidP="002667DD">
      <w:pPr>
        <w:widowControl w:val="0"/>
        <w:autoSpaceDE w:val="0"/>
        <w:autoSpaceDN w:val="0"/>
        <w:adjustRightInd w:val="0"/>
        <w:rPr>
          <w:b/>
        </w:rPr>
      </w:pPr>
    </w:p>
    <w:p w14:paraId="28A168D7" w14:textId="77777777" w:rsidR="002667DD" w:rsidRPr="00C6256C" w:rsidRDefault="002667DD" w:rsidP="002667DD">
      <w:pPr>
        <w:rPr>
          <w:bCs/>
          <w:noProof/>
          <w:lang w:eastAsia="en-GB"/>
        </w:rPr>
      </w:pPr>
      <w:r w:rsidRPr="003F7E43">
        <w:rPr>
          <w:b/>
        </w:rPr>
        <w:t>Risk management</w:t>
      </w:r>
      <w:r>
        <w:rPr>
          <w:b/>
        </w:rPr>
        <w:t xml:space="preserve"> </w:t>
      </w:r>
    </w:p>
    <w:p w14:paraId="533FD1A0" w14:textId="77777777" w:rsidR="002667DD" w:rsidRPr="003F7E43" w:rsidRDefault="002667DD" w:rsidP="002667DD">
      <w:pPr>
        <w:rPr>
          <w:b/>
        </w:rPr>
      </w:pPr>
    </w:p>
    <w:p w14:paraId="5259D8F1" w14:textId="77777777" w:rsidR="002667DD" w:rsidRPr="00215C42" w:rsidRDefault="002667DD" w:rsidP="002667DD">
      <w:r w:rsidRPr="00215C42">
        <w:t xml:space="preserve">The Commission is committed to ensuring a high standard of corporate governance. We have identified our risk appetite as well as defining strategy and determining resource allocation to ensure the delivery of the Commission objectives. The system of internal control is designed to manage risk to a reasonable level rather than to eliminate all risk. The Audit and Risk </w:t>
      </w:r>
      <w:r>
        <w:t xml:space="preserve">Management </w:t>
      </w:r>
      <w:r w:rsidRPr="00215C42">
        <w:t xml:space="preserve">Committee oversee this work under an independent Chair. </w:t>
      </w:r>
    </w:p>
    <w:p w14:paraId="5BE46C04" w14:textId="77777777" w:rsidR="002667DD" w:rsidRPr="00215C42" w:rsidRDefault="002667DD" w:rsidP="002667DD"/>
    <w:p w14:paraId="6510C6D1" w14:textId="77777777" w:rsidR="002667DD" w:rsidRDefault="002667DD" w:rsidP="002667DD">
      <w:r w:rsidRPr="00215C42">
        <w:t xml:space="preserve">All Commissioners have received training in the role and responsibilities of National Human Rights Institution Commissioners and as board members of non-Departmental public bodies as well as induction and </w:t>
      </w:r>
      <w:r>
        <w:t xml:space="preserve">follow up </w:t>
      </w:r>
      <w:r w:rsidRPr="00215C42">
        <w:lastRenderedPageBreak/>
        <w:t xml:space="preserve">training </w:t>
      </w:r>
      <w:r>
        <w:t>on</w:t>
      </w:r>
      <w:r w:rsidRPr="00215C42">
        <w:t xml:space="preserve"> the work of the Commission. The Audit and Risk Management Committee reviews its effectiveness by assessing its operation and constitution against good practice guidelines issued by the National Audit Office. </w:t>
      </w:r>
      <w:r>
        <w:t>A member of the</w:t>
      </w:r>
      <w:r w:rsidRPr="00215C42">
        <w:t xml:space="preserve"> Audit and Risk Management </w:t>
      </w:r>
      <w:r>
        <w:t>C</w:t>
      </w:r>
      <w:r w:rsidRPr="00215C42">
        <w:t xml:space="preserve">ommittee reports </w:t>
      </w:r>
      <w:r>
        <w:t>to the full Commission board following a committee meeting.</w:t>
      </w:r>
      <w:r w:rsidRPr="009A2C67">
        <w:t xml:space="preserve"> The independent chairperson normally reports annually to the full Comm</w:t>
      </w:r>
      <w:r>
        <w:t>ission board, usually in August</w:t>
      </w:r>
      <w:r w:rsidRPr="009A2C67">
        <w:t>.</w:t>
      </w:r>
    </w:p>
    <w:p w14:paraId="4FA8394F" w14:textId="77777777" w:rsidR="002667DD" w:rsidRPr="00014CBD" w:rsidRDefault="002667DD" w:rsidP="002667DD"/>
    <w:p w14:paraId="03AB6F6F" w14:textId="77777777" w:rsidR="002667DD" w:rsidRPr="00215C42" w:rsidRDefault="002667DD" w:rsidP="002667DD">
      <w:pPr>
        <w:widowControl w:val="0"/>
        <w:autoSpaceDE w:val="0"/>
        <w:autoSpaceDN w:val="0"/>
        <w:adjustRightInd w:val="0"/>
      </w:pPr>
      <w:r w:rsidRPr="00215C42">
        <w:t>Overall responsibility for ensuring that risks are identified and an appropriate framework is in place to manage those risks down to an acceptable level rests with the Commission’s Accounting Officer. Individual staff members can be nominated as ‘risk owners’ with responsibility delegated from the Accounting Officer. The risk register is reviewed monthly by the management team who are also responsible for reviewing the Business Continuity Plan.</w:t>
      </w:r>
    </w:p>
    <w:p w14:paraId="62DE9FBB" w14:textId="77777777" w:rsidR="002667DD" w:rsidRPr="00215C42" w:rsidRDefault="002667DD" w:rsidP="002667DD">
      <w:pPr>
        <w:widowControl w:val="0"/>
        <w:autoSpaceDE w:val="0"/>
        <w:autoSpaceDN w:val="0"/>
        <w:adjustRightInd w:val="0"/>
      </w:pPr>
    </w:p>
    <w:p w14:paraId="11A2C1CC" w14:textId="33800C11" w:rsidR="002667DD" w:rsidRPr="00215C42" w:rsidRDefault="002667DD" w:rsidP="002667DD">
      <w:pPr>
        <w:widowControl w:val="0"/>
        <w:autoSpaceDE w:val="0"/>
        <w:autoSpaceDN w:val="0"/>
        <w:adjustRightInd w:val="0"/>
      </w:pPr>
      <w:r>
        <w:t xml:space="preserve">The Commission’s risk register is presented to each Audit and Risk Management Committee meeting for scrutiny and discussion.  The Commission </w:t>
      </w:r>
      <w:r w:rsidR="0047393A">
        <w:t>records</w:t>
      </w:r>
      <w:r>
        <w:t xml:space="preserve"> any risks, and identifies the likelihood of occurrence and the impact of the risk.  Any controls that are put in place to mitigate the risk are recorded and, if necessary, any remedial action.  Changes to the assessment and evaluation of risk are noted by the Audit and Risk Management Committee and the full Commission board.</w:t>
      </w:r>
    </w:p>
    <w:p w14:paraId="2BF16210" w14:textId="77777777" w:rsidR="002667DD" w:rsidRPr="008D428E" w:rsidRDefault="002667DD" w:rsidP="002667DD">
      <w:pPr>
        <w:widowControl w:val="0"/>
        <w:autoSpaceDE w:val="0"/>
        <w:autoSpaceDN w:val="0"/>
        <w:adjustRightInd w:val="0"/>
        <w:rPr>
          <w:highlight w:val="yellow"/>
        </w:rPr>
      </w:pPr>
    </w:p>
    <w:p w14:paraId="664BC711" w14:textId="0326CFD6" w:rsidR="002667DD" w:rsidRPr="00C6256C" w:rsidRDefault="002667DD" w:rsidP="54F71CB4">
      <w:pPr>
        <w:rPr>
          <w:b/>
          <w:bCs/>
          <w:color w:val="FF0000"/>
        </w:rPr>
      </w:pPr>
      <w:r>
        <w:t>There w</w:t>
      </w:r>
      <w:r w:rsidR="0074301E">
        <w:t>ere no</w:t>
      </w:r>
      <w:r>
        <w:t xml:space="preserve"> complaint</w:t>
      </w:r>
      <w:r w:rsidR="0074301E">
        <w:t>s</w:t>
      </w:r>
      <w:r>
        <w:t xml:space="preserve"> to the Parliamentary Ombudsman in 202</w:t>
      </w:r>
      <w:r w:rsidR="0074301E">
        <w:t>4</w:t>
      </w:r>
      <w:r>
        <w:t>-2</w:t>
      </w:r>
      <w:r w:rsidR="0074301E">
        <w:t>5</w:t>
      </w:r>
      <w:r>
        <w:t xml:space="preserve"> (202</w:t>
      </w:r>
      <w:r w:rsidR="009308B8">
        <w:t>3</w:t>
      </w:r>
      <w:r>
        <w:t>-2</w:t>
      </w:r>
      <w:r w:rsidR="009308B8">
        <w:t>4</w:t>
      </w:r>
      <w:r>
        <w:t xml:space="preserve">: </w:t>
      </w:r>
      <w:r w:rsidR="009308B8">
        <w:t>One</w:t>
      </w:r>
      <w:r w:rsidR="00A47A34">
        <w:t xml:space="preserve"> which was not upheld</w:t>
      </w:r>
      <w:r>
        <w:t xml:space="preserve">).  </w:t>
      </w:r>
    </w:p>
    <w:p w14:paraId="0420CD6B" w14:textId="77777777" w:rsidR="002667DD" w:rsidRPr="003F7E43" w:rsidRDefault="002667DD" w:rsidP="002667DD"/>
    <w:p w14:paraId="7975271B" w14:textId="07FBA368" w:rsidR="002667DD" w:rsidRDefault="002667DD" w:rsidP="002667DD">
      <w:pPr>
        <w:widowControl w:val="0"/>
        <w:autoSpaceDE w:val="0"/>
        <w:autoSpaceDN w:val="0"/>
        <w:adjustRightInd w:val="0"/>
        <w:rPr>
          <w:b/>
          <w:color w:val="FF0000"/>
        </w:rPr>
      </w:pPr>
      <w:r w:rsidRPr="009B4441">
        <w:rPr>
          <w:b/>
          <w:color w:val="auto"/>
        </w:rPr>
        <w:t>Personal data</w:t>
      </w:r>
      <w:r>
        <w:rPr>
          <w:b/>
          <w:color w:val="auto"/>
        </w:rPr>
        <w:t xml:space="preserve"> related incidents </w:t>
      </w:r>
      <w:r w:rsidR="00F33AE6">
        <w:rPr>
          <w:b/>
          <w:color w:val="auto"/>
        </w:rPr>
        <w:t>and Freedom of Information</w:t>
      </w:r>
    </w:p>
    <w:p w14:paraId="1E6A4194" w14:textId="77777777" w:rsidR="002667DD" w:rsidRPr="009B4441" w:rsidRDefault="002667DD" w:rsidP="002667DD">
      <w:pPr>
        <w:widowControl w:val="0"/>
        <w:autoSpaceDE w:val="0"/>
        <w:autoSpaceDN w:val="0"/>
        <w:adjustRightInd w:val="0"/>
        <w:rPr>
          <w:color w:val="auto"/>
        </w:rPr>
      </w:pPr>
    </w:p>
    <w:p w14:paraId="6D628D86" w14:textId="77777777" w:rsidR="002667DD" w:rsidRDefault="002667DD" w:rsidP="002667DD">
      <w:pPr>
        <w:widowControl w:val="0"/>
        <w:autoSpaceDE w:val="0"/>
        <w:autoSpaceDN w:val="0"/>
        <w:adjustRightInd w:val="0"/>
        <w:rPr>
          <w:rFonts w:cs="MetaPlusNormal-Roman"/>
          <w:color w:val="auto"/>
          <w:lang w:val="en-US"/>
        </w:rPr>
      </w:pPr>
      <w:r w:rsidRPr="009B4441">
        <w:rPr>
          <w:rFonts w:cs="MetaPlusNormal-Roman"/>
          <w:color w:val="auto"/>
          <w:lang w:val="en-US"/>
        </w:rPr>
        <w:t xml:space="preserve">We are committed to safeguarding all retained personal </w:t>
      </w:r>
      <w:r>
        <w:rPr>
          <w:rFonts w:cs="MetaPlusNormal-Roman"/>
          <w:color w:val="auto"/>
          <w:lang w:val="en-US"/>
        </w:rPr>
        <w:t>data and follow the General Data Protection Regulation (GDPR) as it applies in the UK, tailored by the Data Protection Act 2018</w:t>
      </w:r>
      <w:r w:rsidRPr="009B4441">
        <w:rPr>
          <w:rFonts w:cs="MetaPlusNormal-Roman"/>
          <w:color w:val="auto"/>
          <w:lang w:val="en-US"/>
        </w:rPr>
        <w:t>.</w:t>
      </w:r>
      <w:r>
        <w:rPr>
          <w:rFonts w:cs="MetaPlusNormal-Roman"/>
          <w:color w:val="auto"/>
          <w:lang w:val="en-US"/>
        </w:rPr>
        <w:t xml:space="preserve"> A member of the senior management team has been appointed as the Data Protection Officer and a member of staff provides support in the role of the Data Protection Practitioner.</w:t>
      </w:r>
      <w:r w:rsidRPr="009B4441">
        <w:rPr>
          <w:rFonts w:cs="MetaPlusNormal-Roman"/>
          <w:color w:val="auto"/>
          <w:lang w:val="en-US"/>
        </w:rPr>
        <w:t xml:space="preserve"> </w:t>
      </w:r>
    </w:p>
    <w:p w14:paraId="78DC47CF" w14:textId="77777777" w:rsidR="002667DD" w:rsidRDefault="002667DD" w:rsidP="002667DD">
      <w:pPr>
        <w:widowControl w:val="0"/>
        <w:autoSpaceDE w:val="0"/>
        <w:autoSpaceDN w:val="0"/>
        <w:adjustRightInd w:val="0"/>
        <w:rPr>
          <w:rFonts w:cs="MetaPlusNormal-Roman"/>
          <w:color w:val="auto"/>
          <w:lang w:val="en-US"/>
        </w:rPr>
      </w:pPr>
    </w:p>
    <w:p w14:paraId="35BBD366" w14:textId="77777777" w:rsidR="002667DD" w:rsidRDefault="002667DD" w:rsidP="002667DD">
      <w:pPr>
        <w:widowControl w:val="0"/>
        <w:autoSpaceDE w:val="0"/>
        <w:autoSpaceDN w:val="0"/>
        <w:adjustRightInd w:val="0"/>
        <w:rPr>
          <w:rFonts w:cs="MetaPlusNormal-Roman"/>
          <w:color w:val="auto"/>
          <w:lang w:val="en-US"/>
        </w:rPr>
      </w:pPr>
      <w:r w:rsidRPr="009B4441">
        <w:rPr>
          <w:rFonts w:cs="MetaPlusNormal-Roman"/>
          <w:color w:val="auto"/>
          <w:lang w:val="en-US"/>
        </w:rPr>
        <w:t>Risks in this area are recorded in the Commission’s risk register and the Audit and Risk Management Committee receives regular reports on activities to</w:t>
      </w:r>
      <w:r w:rsidRPr="009B4441">
        <w:rPr>
          <w:rFonts w:cs="MetaPlusNormal-Roman"/>
          <w:color w:val="auto"/>
        </w:rPr>
        <w:t xml:space="preserve"> minimise</w:t>
      </w:r>
      <w:r w:rsidRPr="009B4441">
        <w:rPr>
          <w:rFonts w:cs="MetaPlusNormal-Roman"/>
          <w:color w:val="auto"/>
          <w:lang w:val="en-US"/>
        </w:rPr>
        <w:t xml:space="preserve"> the likeli</w:t>
      </w:r>
      <w:r>
        <w:rPr>
          <w:rFonts w:cs="MetaPlusNormal-Roman"/>
          <w:color w:val="auto"/>
          <w:lang w:val="en-US"/>
        </w:rPr>
        <w:t>hood of the occurrence of these and other</w:t>
      </w:r>
      <w:r w:rsidRPr="009B4441">
        <w:rPr>
          <w:rFonts w:cs="MetaPlusNormal-Roman"/>
          <w:color w:val="auto"/>
          <w:lang w:val="en-US"/>
        </w:rPr>
        <w:t xml:space="preserve"> risks. </w:t>
      </w:r>
    </w:p>
    <w:p w14:paraId="01A9CBFF" w14:textId="77777777" w:rsidR="002667DD" w:rsidRDefault="002667DD" w:rsidP="002667DD">
      <w:pPr>
        <w:widowControl w:val="0"/>
        <w:autoSpaceDE w:val="0"/>
        <w:autoSpaceDN w:val="0"/>
        <w:adjustRightInd w:val="0"/>
        <w:rPr>
          <w:rFonts w:cs="MetaPlusNormal-Roman"/>
          <w:color w:val="auto"/>
          <w:lang w:val="en-US"/>
        </w:rPr>
      </w:pPr>
    </w:p>
    <w:p w14:paraId="6A03A43D" w14:textId="4B8C7128" w:rsidR="002667DD" w:rsidRDefault="002667DD" w:rsidP="002667DD">
      <w:r w:rsidRPr="003F7E43">
        <w:t>There w</w:t>
      </w:r>
      <w:r>
        <w:t>ere no personal data related incidents during 202</w:t>
      </w:r>
      <w:r w:rsidR="00C471A1">
        <w:t>4</w:t>
      </w:r>
      <w:r>
        <w:t>-2</w:t>
      </w:r>
      <w:r w:rsidR="00C471A1">
        <w:t>5</w:t>
      </w:r>
      <w:r>
        <w:t xml:space="preserve"> (202</w:t>
      </w:r>
      <w:r w:rsidR="00C471A1">
        <w:t>3</w:t>
      </w:r>
      <w:r>
        <w:t>-2</w:t>
      </w:r>
      <w:r w:rsidR="00C471A1">
        <w:t>4</w:t>
      </w:r>
      <w:r w:rsidRPr="003F7E43">
        <w:t xml:space="preserve">: </w:t>
      </w:r>
      <w:r w:rsidR="00F41464">
        <w:t>None</w:t>
      </w:r>
      <w:r w:rsidRPr="003F7E43">
        <w:t>).</w:t>
      </w:r>
      <w:r>
        <w:t xml:space="preserve">  All staff completed the mandatory Civil Service Learning training on Security and Data Protection during the year.</w:t>
      </w:r>
    </w:p>
    <w:p w14:paraId="51F4A070" w14:textId="77777777" w:rsidR="00F33AE6" w:rsidRDefault="00F33AE6" w:rsidP="002667DD"/>
    <w:p w14:paraId="28C0B79E" w14:textId="07A112C6" w:rsidR="002667DD" w:rsidRDefault="00C44AB5" w:rsidP="002667DD">
      <w:r>
        <w:t>In 202</w:t>
      </w:r>
      <w:r w:rsidR="00484B54">
        <w:t>4</w:t>
      </w:r>
      <w:r>
        <w:t>-2</w:t>
      </w:r>
      <w:r w:rsidR="00484B54">
        <w:t>5</w:t>
      </w:r>
      <w:r>
        <w:t xml:space="preserve"> the Commission received twenty </w:t>
      </w:r>
      <w:r w:rsidR="47A5953E">
        <w:t>f</w:t>
      </w:r>
      <w:r w:rsidR="00107B2A">
        <w:t>our</w:t>
      </w:r>
      <w:r w:rsidR="5734588D">
        <w:t xml:space="preserve"> </w:t>
      </w:r>
      <w:r>
        <w:t>Freedom of Information requests (202</w:t>
      </w:r>
      <w:r w:rsidR="00484B54">
        <w:t>3</w:t>
      </w:r>
      <w:r>
        <w:t>-2</w:t>
      </w:r>
      <w:r w:rsidR="00484B54">
        <w:t>4</w:t>
      </w:r>
      <w:r w:rsidR="003F013D">
        <w:t xml:space="preserve"> </w:t>
      </w:r>
      <w:r w:rsidR="00484B54">
        <w:t>twenty five</w:t>
      </w:r>
      <w:r w:rsidR="003F013D">
        <w:t xml:space="preserve">).  Responses were provided to </w:t>
      </w:r>
      <w:r w:rsidR="00E25B33">
        <w:t xml:space="preserve">twenty </w:t>
      </w:r>
      <w:r w:rsidR="004477CA">
        <w:t>four</w:t>
      </w:r>
      <w:r w:rsidR="00CE69C2">
        <w:t xml:space="preserve"> </w:t>
      </w:r>
      <w:r w:rsidR="00E25B33">
        <w:t>of these requests</w:t>
      </w:r>
      <w:r w:rsidR="00BD7C91">
        <w:t xml:space="preserve"> in 202</w:t>
      </w:r>
      <w:r w:rsidR="004477CA">
        <w:t>4</w:t>
      </w:r>
      <w:r w:rsidR="00BD7C91">
        <w:t>-2</w:t>
      </w:r>
      <w:r w:rsidR="004477CA">
        <w:t>5</w:t>
      </w:r>
      <w:r w:rsidR="000150A8">
        <w:t>.</w:t>
      </w:r>
    </w:p>
    <w:p w14:paraId="6BFDBAE4" w14:textId="77777777" w:rsidR="00FF2873" w:rsidRPr="000150A8" w:rsidRDefault="00FF2873" w:rsidP="002667DD"/>
    <w:p w14:paraId="0450E638" w14:textId="77777777" w:rsidR="002667DD" w:rsidRPr="003F7E43" w:rsidRDefault="002667DD" w:rsidP="002667DD">
      <w:pPr>
        <w:rPr>
          <w:b/>
        </w:rPr>
      </w:pPr>
      <w:r w:rsidRPr="003F7E43">
        <w:rPr>
          <w:b/>
        </w:rPr>
        <w:lastRenderedPageBreak/>
        <w:t>Register of Interests</w:t>
      </w:r>
    </w:p>
    <w:p w14:paraId="2E9CA034" w14:textId="77777777" w:rsidR="002667DD" w:rsidRPr="003F7E43" w:rsidRDefault="002667DD" w:rsidP="002667DD">
      <w:pPr>
        <w:rPr>
          <w:b/>
        </w:rPr>
      </w:pPr>
    </w:p>
    <w:p w14:paraId="49BAA4A9" w14:textId="77777777" w:rsidR="002667DD" w:rsidRPr="003F7E43" w:rsidRDefault="002667DD" w:rsidP="002667DD">
      <w:pPr>
        <w:rPr>
          <w:b/>
        </w:rPr>
      </w:pPr>
      <w:r w:rsidRPr="003F7E43">
        <w:t xml:space="preserve">The Register of Interests and Related Party Declarations for the Chief Commissioner, Commissioners, Chief Executive and senior management can be found on the Commission’s website at </w:t>
      </w:r>
      <w:hyperlink r:id="rId27" w:history="1">
        <w:r w:rsidRPr="003F7E43">
          <w:rPr>
            <w:rStyle w:val="Hyperlink"/>
          </w:rPr>
          <w:t>www.nihrc.org</w:t>
        </w:r>
      </w:hyperlink>
    </w:p>
    <w:p w14:paraId="2A93BE2D" w14:textId="77777777" w:rsidR="002667DD" w:rsidRDefault="002667DD" w:rsidP="002667DD">
      <w:pPr>
        <w:widowControl w:val="0"/>
        <w:autoSpaceDE w:val="0"/>
        <w:autoSpaceDN w:val="0"/>
        <w:adjustRightInd w:val="0"/>
        <w:rPr>
          <w:b/>
        </w:rPr>
      </w:pPr>
    </w:p>
    <w:p w14:paraId="184BC2F6" w14:textId="439AF41C" w:rsidR="002667DD" w:rsidRPr="003F7E43" w:rsidRDefault="002667DD" w:rsidP="002667DD">
      <w:pPr>
        <w:widowControl w:val="0"/>
        <w:autoSpaceDE w:val="0"/>
        <w:autoSpaceDN w:val="0"/>
        <w:adjustRightInd w:val="0"/>
        <w:rPr>
          <w:b/>
        </w:rPr>
      </w:pPr>
      <w:r w:rsidRPr="003F7E43">
        <w:rPr>
          <w:b/>
        </w:rPr>
        <w:t>Auditors</w:t>
      </w:r>
    </w:p>
    <w:p w14:paraId="2D83097F" w14:textId="77777777" w:rsidR="002667DD" w:rsidRPr="003F7E43" w:rsidRDefault="002667DD" w:rsidP="002667DD">
      <w:pPr>
        <w:widowControl w:val="0"/>
        <w:autoSpaceDE w:val="0"/>
        <w:autoSpaceDN w:val="0"/>
        <w:adjustRightInd w:val="0"/>
        <w:rPr>
          <w:b/>
        </w:rPr>
      </w:pPr>
    </w:p>
    <w:p w14:paraId="17101479" w14:textId="1CE10A16" w:rsidR="002667DD" w:rsidRPr="003F7E43" w:rsidRDefault="002667DD" w:rsidP="002667DD">
      <w:pPr>
        <w:widowControl w:val="0"/>
        <w:autoSpaceDE w:val="0"/>
        <w:autoSpaceDN w:val="0"/>
        <w:adjustRightInd w:val="0"/>
      </w:pPr>
      <w:r w:rsidRPr="003F7E43">
        <w:t>The financial statements are audited by the Comptroller and Auditor General.  The audit fe</w:t>
      </w:r>
      <w:r>
        <w:t>e for this year is £</w:t>
      </w:r>
      <w:r w:rsidR="00C73AA5">
        <w:t>31</w:t>
      </w:r>
      <w:r>
        <w:t>,</w:t>
      </w:r>
      <w:r w:rsidR="00C73AA5">
        <w:t>500</w:t>
      </w:r>
      <w:r>
        <w:t xml:space="preserve"> (202</w:t>
      </w:r>
      <w:r w:rsidR="00C73AA5">
        <w:t>3</w:t>
      </w:r>
      <w:r>
        <w:t>-2</w:t>
      </w:r>
      <w:r w:rsidR="00C73AA5">
        <w:t>4</w:t>
      </w:r>
      <w:r>
        <w:t>: £</w:t>
      </w:r>
      <w:r w:rsidR="0039604A">
        <w:t>2</w:t>
      </w:r>
      <w:r w:rsidR="00C73AA5">
        <w:t>6</w:t>
      </w:r>
      <w:r>
        <w:t>,</w:t>
      </w:r>
      <w:r w:rsidR="00C73AA5">
        <w:t>250</w:t>
      </w:r>
      <w:r w:rsidRPr="003F7E43">
        <w:t>).</w:t>
      </w:r>
    </w:p>
    <w:p w14:paraId="5EEE166F" w14:textId="77777777" w:rsidR="002667DD" w:rsidRPr="003F7E43" w:rsidRDefault="002667DD" w:rsidP="002667DD">
      <w:pPr>
        <w:widowControl w:val="0"/>
        <w:autoSpaceDE w:val="0"/>
        <w:autoSpaceDN w:val="0"/>
        <w:adjustRightInd w:val="0"/>
      </w:pPr>
    </w:p>
    <w:p w14:paraId="6EDF8E2B" w14:textId="5A340D28" w:rsidR="002667DD" w:rsidRPr="009B4441" w:rsidRDefault="002667DD" w:rsidP="002667DD">
      <w:pPr>
        <w:widowControl w:val="0"/>
        <w:autoSpaceDE w:val="0"/>
        <w:autoSpaceDN w:val="0"/>
        <w:adjustRightInd w:val="0"/>
      </w:pPr>
      <w:r>
        <w:t xml:space="preserve">The Commission’s internal audit is provided by </w:t>
      </w:r>
      <w:r w:rsidR="00E7697A">
        <w:t>Sumer NI (previously known as ASM (Belfast))</w:t>
      </w:r>
      <w:r>
        <w:t xml:space="preserve">. </w:t>
      </w:r>
    </w:p>
    <w:p w14:paraId="115DEC67" w14:textId="77777777" w:rsidR="002667DD" w:rsidRPr="009B4441" w:rsidRDefault="002667DD" w:rsidP="002667DD">
      <w:pPr>
        <w:widowControl w:val="0"/>
        <w:autoSpaceDE w:val="0"/>
        <w:autoSpaceDN w:val="0"/>
        <w:adjustRightInd w:val="0"/>
        <w:rPr>
          <w:color w:val="auto"/>
        </w:rPr>
      </w:pPr>
    </w:p>
    <w:p w14:paraId="5B42EABB" w14:textId="77777777" w:rsidR="002667DD" w:rsidRPr="004113D9" w:rsidRDefault="002667DD" w:rsidP="002667DD">
      <w:pPr>
        <w:widowControl w:val="0"/>
        <w:autoSpaceDE w:val="0"/>
        <w:autoSpaceDN w:val="0"/>
        <w:adjustRightInd w:val="0"/>
        <w:rPr>
          <w:b/>
          <w:color w:val="auto"/>
        </w:rPr>
      </w:pPr>
      <w:r w:rsidRPr="004113D9">
        <w:rPr>
          <w:b/>
          <w:color w:val="auto"/>
        </w:rPr>
        <w:t>Creditor payment, policy and performance</w:t>
      </w:r>
    </w:p>
    <w:p w14:paraId="3133F46E" w14:textId="77777777" w:rsidR="002667DD" w:rsidRPr="004113D9" w:rsidRDefault="002667DD" w:rsidP="002667DD">
      <w:pPr>
        <w:widowControl w:val="0"/>
        <w:autoSpaceDE w:val="0"/>
        <w:autoSpaceDN w:val="0"/>
        <w:adjustRightInd w:val="0"/>
        <w:rPr>
          <w:color w:val="auto"/>
        </w:rPr>
      </w:pPr>
    </w:p>
    <w:p w14:paraId="3134FA67" w14:textId="29A4410A" w:rsidR="002667DD" w:rsidRDefault="002667DD" w:rsidP="002667DD">
      <w:pPr>
        <w:pStyle w:val="Default"/>
        <w:rPr>
          <w:rFonts w:ascii="Verdana" w:hAnsi="Verdana"/>
          <w:color w:val="auto"/>
        </w:rPr>
      </w:pPr>
      <w:r w:rsidRPr="004113D9">
        <w:rPr>
          <w:rFonts w:ascii="Verdana" w:hAnsi="Verdana"/>
          <w:color w:val="auto"/>
        </w:rPr>
        <w:t xml:space="preserve">Monthly statistics submitted to the Northern Ireland Office highlight that the Commission has paid </w:t>
      </w:r>
      <w:r>
        <w:rPr>
          <w:rFonts w:ascii="Verdana" w:hAnsi="Verdana"/>
          <w:color w:val="auto"/>
        </w:rPr>
        <w:t>9</w:t>
      </w:r>
      <w:r w:rsidR="00295E5E">
        <w:rPr>
          <w:rFonts w:ascii="Verdana" w:hAnsi="Verdana"/>
          <w:color w:val="auto"/>
        </w:rPr>
        <w:t>9</w:t>
      </w:r>
      <w:r>
        <w:rPr>
          <w:rFonts w:ascii="Verdana" w:hAnsi="Verdana"/>
          <w:color w:val="auto"/>
        </w:rPr>
        <w:t>.</w:t>
      </w:r>
      <w:r w:rsidR="00295E5E">
        <w:rPr>
          <w:rFonts w:ascii="Verdana" w:hAnsi="Verdana"/>
          <w:color w:val="auto"/>
        </w:rPr>
        <w:t>3</w:t>
      </w:r>
      <w:r>
        <w:rPr>
          <w:rFonts w:ascii="Verdana" w:hAnsi="Verdana"/>
          <w:color w:val="auto"/>
        </w:rPr>
        <w:t xml:space="preserve"> </w:t>
      </w:r>
      <w:r w:rsidRPr="004113D9">
        <w:rPr>
          <w:rFonts w:ascii="Verdana" w:hAnsi="Verdana"/>
          <w:color w:val="auto"/>
        </w:rPr>
        <w:t xml:space="preserve">per cent of all undisputed invoices within five working days against the Government target of paying </w:t>
      </w:r>
      <w:r w:rsidR="00787157">
        <w:rPr>
          <w:rFonts w:ascii="Verdana" w:hAnsi="Verdana"/>
          <w:color w:val="auto"/>
        </w:rPr>
        <w:t xml:space="preserve">90 </w:t>
      </w:r>
      <w:r w:rsidRPr="004113D9">
        <w:rPr>
          <w:rFonts w:ascii="Verdana" w:hAnsi="Verdana"/>
          <w:color w:val="auto"/>
        </w:rPr>
        <w:t>per cent of such invoic</w:t>
      </w:r>
      <w:r>
        <w:rPr>
          <w:rFonts w:ascii="Verdana" w:hAnsi="Verdana"/>
          <w:color w:val="auto"/>
        </w:rPr>
        <w:t>es within this time period (202</w:t>
      </w:r>
      <w:r w:rsidR="00295E5E">
        <w:rPr>
          <w:rFonts w:ascii="Verdana" w:hAnsi="Verdana"/>
          <w:color w:val="auto"/>
        </w:rPr>
        <w:t>3</w:t>
      </w:r>
      <w:r>
        <w:rPr>
          <w:rFonts w:ascii="Verdana" w:hAnsi="Verdana"/>
          <w:color w:val="auto"/>
        </w:rPr>
        <w:t>-2</w:t>
      </w:r>
      <w:r w:rsidR="00295E5E">
        <w:rPr>
          <w:rFonts w:ascii="Verdana" w:hAnsi="Verdana"/>
          <w:color w:val="auto"/>
        </w:rPr>
        <w:t>4</w:t>
      </w:r>
      <w:r w:rsidRPr="004113D9">
        <w:rPr>
          <w:rFonts w:ascii="Verdana" w:hAnsi="Verdana"/>
          <w:color w:val="auto"/>
        </w:rPr>
        <w:t xml:space="preserve">: </w:t>
      </w:r>
      <w:r>
        <w:rPr>
          <w:rFonts w:ascii="Verdana" w:hAnsi="Verdana"/>
          <w:color w:val="auto"/>
        </w:rPr>
        <w:t>9</w:t>
      </w:r>
      <w:r w:rsidR="00295E5E">
        <w:rPr>
          <w:rFonts w:ascii="Verdana" w:hAnsi="Verdana"/>
          <w:color w:val="auto"/>
        </w:rPr>
        <w:t>7</w:t>
      </w:r>
      <w:r>
        <w:rPr>
          <w:rFonts w:ascii="Verdana" w:hAnsi="Verdana"/>
          <w:color w:val="auto"/>
        </w:rPr>
        <w:t>.</w:t>
      </w:r>
      <w:r w:rsidR="00295E5E">
        <w:rPr>
          <w:rFonts w:ascii="Verdana" w:hAnsi="Verdana"/>
          <w:color w:val="auto"/>
        </w:rPr>
        <w:t>7</w:t>
      </w:r>
      <w:r w:rsidRPr="004113D9">
        <w:rPr>
          <w:rFonts w:ascii="Verdana" w:hAnsi="Verdana"/>
          <w:color w:val="auto"/>
        </w:rPr>
        <w:t xml:space="preserve"> per cent).</w:t>
      </w:r>
      <w:r w:rsidRPr="009B4441">
        <w:rPr>
          <w:rFonts w:ascii="Verdana" w:hAnsi="Verdana"/>
          <w:color w:val="auto"/>
        </w:rPr>
        <w:t xml:space="preserve"> </w:t>
      </w:r>
    </w:p>
    <w:p w14:paraId="5876FE1C" w14:textId="77777777" w:rsidR="002667DD" w:rsidRPr="009B4441" w:rsidRDefault="002667DD" w:rsidP="002667DD">
      <w:pPr>
        <w:pStyle w:val="Default"/>
        <w:rPr>
          <w:rFonts w:ascii="Verdana" w:hAnsi="Verdana"/>
          <w:color w:val="auto"/>
          <w:lang w:eastAsia="en-GB"/>
        </w:rPr>
      </w:pPr>
    </w:p>
    <w:p w14:paraId="67FF56F4" w14:textId="77777777" w:rsidR="002667DD" w:rsidRPr="00467207" w:rsidRDefault="002667DD" w:rsidP="002667DD">
      <w:pPr>
        <w:autoSpaceDE w:val="0"/>
        <w:autoSpaceDN w:val="0"/>
        <w:adjustRightInd w:val="0"/>
        <w:rPr>
          <w:rFonts w:cs="Univers-Bold"/>
          <w:b/>
          <w:bCs/>
          <w:color w:val="auto"/>
          <w:lang w:val="en-US"/>
        </w:rPr>
      </w:pPr>
      <w:r w:rsidRPr="00467207">
        <w:rPr>
          <w:rFonts w:cs="Univers-Bold"/>
          <w:b/>
          <w:bCs/>
          <w:color w:val="auto"/>
          <w:lang w:val="en-US"/>
        </w:rPr>
        <w:t>Days lost due to absence</w:t>
      </w:r>
    </w:p>
    <w:p w14:paraId="49B7C63A" w14:textId="77777777" w:rsidR="002667DD" w:rsidRPr="00467207" w:rsidRDefault="002667DD" w:rsidP="002667DD">
      <w:pPr>
        <w:autoSpaceDE w:val="0"/>
        <w:autoSpaceDN w:val="0"/>
        <w:adjustRightInd w:val="0"/>
        <w:rPr>
          <w:rFonts w:cs="Univers"/>
          <w:color w:val="auto"/>
          <w:lang w:val="en-US"/>
        </w:rPr>
      </w:pPr>
    </w:p>
    <w:p w14:paraId="2A3C7504" w14:textId="77777777" w:rsidR="002667DD" w:rsidRPr="00467207" w:rsidRDefault="002667DD" w:rsidP="002667DD">
      <w:pPr>
        <w:autoSpaceDE w:val="0"/>
        <w:autoSpaceDN w:val="0"/>
        <w:adjustRightInd w:val="0"/>
        <w:rPr>
          <w:rFonts w:cs="Univers"/>
          <w:color w:val="auto"/>
          <w:lang w:val="en-US"/>
        </w:rPr>
      </w:pPr>
      <w:r w:rsidRPr="00467207">
        <w:rPr>
          <w:rFonts w:cs="Univers"/>
          <w:color w:val="auto"/>
          <w:lang w:val="en-US"/>
        </w:rPr>
        <w:t>The Commission encourages a culture where good attendance is expected and valued. However, we</w:t>
      </w:r>
      <w:r w:rsidRPr="00467207">
        <w:rPr>
          <w:rFonts w:cs="Univers"/>
          <w:color w:val="auto"/>
        </w:rPr>
        <w:t xml:space="preserve"> recognise</w:t>
      </w:r>
      <w:r w:rsidRPr="00467207">
        <w:rPr>
          <w:rFonts w:cs="Univers"/>
          <w:color w:val="auto"/>
          <w:lang w:val="en-US"/>
        </w:rPr>
        <w:t xml:space="preserve"> that from time to time absences for medical reasons may be unavoidable. We aim to treat staff who are ill with sympathy and fairness and where possible provide them with support, which will enable them to recover their health and attend work regularly. </w:t>
      </w:r>
    </w:p>
    <w:p w14:paraId="6C61DB0A" w14:textId="77777777" w:rsidR="002667DD" w:rsidRPr="00467207" w:rsidRDefault="002667DD" w:rsidP="002667DD">
      <w:pPr>
        <w:autoSpaceDE w:val="0"/>
        <w:autoSpaceDN w:val="0"/>
        <w:adjustRightInd w:val="0"/>
        <w:rPr>
          <w:rFonts w:cs="Univers"/>
          <w:color w:val="auto"/>
          <w:highlight w:val="yellow"/>
          <w:lang w:val="en-US"/>
        </w:rPr>
      </w:pPr>
    </w:p>
    <w:p w14:paraId="011CFE81" w14:textId="562B91F5" w:rsidR="002667DD" w:rsidRDefault="002667DD" w:rsidP="002667DD">
      <w:pPr>
        <w:widowControl w:val="0"/>
        <w:tabs>
          <w:tab w:val="right" w:pos="7371"/>
          <w:tab w:val="right" w:pos="9356"/>
        </w:tabs>
        <w:autoSpaceDE w:val="0"/>
        <w:autoSpaceDN w:val="0"/>
        <w:adjustRightInd w:val="0"/>
      </w:pPr>
      <w:r>
        <w:t xml:space="preserve">Staff absence arising as a result of illness, including injuries, disability or other health problems, was approximately </w:t>
      </w:r>
      <w:r w:rsidR="00A70C73">
        <w:t>23</w:t>
      </w:r>
      <w:r>
        <w:t>.</w:t>
      </w:r>
      <w:r w:rsidR="00A70C73">
        <w:t>71</w:t>
      </w:r>
      <w:r>
        <w:t xml:space="preserve"> days per employee in 202</w:t>
      </w:r>
      <w:r w:rsidR="00B218FA">
        <w:t>4</w:t>
      </w:r>
      <w:r>
        <w:t>-2</w:t>
      </w:r>
      <w:r w:rsidR="00B218FA">
        <w:t>5</w:t>
      </w:r>
      <w:r>
        <w:t xml:space="preserve"> (202</w:t>
      </w:r>
      <w:r w:rsidR="00B218FA">
        <w:t>3</w:t>
      </w:r>
      <w:r>
        <w:t>-2</w:t>
      </w:r>
      <w:r w:rsidR="00B218FA">
        <w:t>4</w:t>
      </w:r>
      <w:r>
        <w:t xml:space="preserve">: </w:t>
      </w:r>
      <w:r w:rsidR="002D7210">
        <w:t>4.</w:t>
      </w:r>
      <w:r w:rsidR="00B218FA">
        <w:t>46</w:t>
      </w:r>
      <w:r>
        <w:t xml:space="preserve"> days).  The </w:t>
      </w:r>
      <w:r w:rsidR="0003354A">
        <w:t xml:space="preserve">increase in </w:t>
      </w:r>
      <w:r>
        <w:t>number of days sick per employee is due to long-term sick absence of two members of staff. The size of the Commission means that small changes in absence can appear to have a disproportionate impact on reporting statistics.</w:t>
      </w:r>
    </w:p>
    <w:p w14:paraId="5E3AE816" w14:textId="77777777" w:rsidR="008221CD" w:rsidRDefault="008221CD" w:rsidP="002667DD">
      <w:pPr>
        <w:widowControl w:val="0"/>
        <w:tabs>
          <w:tab w:val="right" w:pos="7371"/>
          <w:tab w:val="right" w:pos="9356"/>
        </w:tabs>
        <w:autoSpaceDE w:val="0"/>
        <w:autoSpaceDN w:val="0"/>
        <w:adjustRightInd w:val="0"/>
      </w:pPr>
    </w:p>
    <w:p w14:paraId="505C55AE" w14:textId="6B36C262" w:rsidR="002667DD" w:rsidRDefault="0021497F" w:rsidP="002667DD">
      <w:pPr>
        <w:widowControl w:val="0"/>
        <w:tabs>
          <w:tab w:val="right" w:pos="7371"/>
          <w:tab w:val="right" w:pos="9356"/>
        </w:tabs>
        <w:autoSpaceDE w:val="0"/>
        <w:autoSpaceDN w:val="0"/>
        <w:adjustRightInd w:val="0"/>
      </w:pPr>
      <w:r>
        <w:rPr>
          <w:noProof/>
        </w:rPr>
        <w:drawing>
          <wp:inline distT="0" distB="0" distL="0" distR="0" wp14:anchorId="2ECC0DEF" wp14:editId="7DFCA87C">
            <wp:extent cx="1627770" cy="452438"/>
            <wp:effectExtent l="0" t="0" r="0" b="5080"/>
            <wp:docPr id="412752792" name="Picture 412752792"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2792" name="Picture 412752792" descr="A blue signature on a white background&#10;&#10;Description automatically generated"/>
                    <pic:cNvPicPr/>
                  </pic:nvPicPr>
                  <pic:blipFill rotWithShape="1">
                    <a:blip r:embed="rId25" cstate="print">
                      <a:extLst>
                        <a:ext uri="{28A0092B-C50C-407E-A947-70E740481C1C}">
                          <a14:useLocalDpi xmlns:a14="http://schemas.microsoft.com/office/drawing/2010/main" val="0"/>
                        </a:ext>
                      </a:extLst>
                    </a:blip>
                    <a:srcRect t="27943" b="23685"/>
                    <a:stretch/>
                  </pic:blipFill>
                  <pic:spPr bwMode="auto">
                    <a:xfrm>
                      <a:off x="0" y="0"/>
                      <a:ext cx="1718836" cy="477750"/>
                    </a:xfrm>
                    <a:prstGeom prst="rect">
                      <a:avLst/>
                    </a:prstGeom>
                    <a:ln>
                      <a:noFill/>
                    </a:ln>
                    <a:extLst>
                      <a:ext uri="{53640926-AAD7-44D8-BBD7-CCE9431645EC}">
                        <a14:shadowObscured xmlns:a14="http://schemas.microsoft.com/office/drawing/2010/main"/>
                      </a:ext>
                    </a:extLst>
                  </pic:spPr>
                </pic:pic>
              </a:graphicData>
            </a:graphic>
          </wp:inline>
        </w:drawing>
      </w:r>
    </w:p>
    <w:p w14:paraId="602FB591" w14:textId="77777777" w:rsidR="0021497F" w:rsidRDefault="0021497F" w:rsidP="002667DD">
      <w:pPr>
        <w:widowControl w:val="0"/>
        <w:tabs>
          <w:tab w:val="right" w:pos="7371"/>
          <w:tab w:val="right" w:pos="9356"/>
        </w:tabs>
        <w:autoSpaceDE w:val="0"/>
        <w:autoSpaceDN w:val="0"/>
        <w:adjustRightInd w:val="0"/>
      </w:pPr>
    </w:p>
    <w:p w14:paraId="7101DEEE" w14:textId="77777777" w:rsidR="002667DD" w:rsidRPr="00D80497" w:rsidRDefault="002667DD" w:rsidP="002667DD">
      <w:pPr>
        <w:widowControl w:val="0"/>
        <w:autoSpaceDE w:val="0"/>
        <w:autoSpaceDN w:val="0"/>
        <w:adjustRightInd w:val="0"/>
        <w:rPr>
          <w:b/>
        </w:rPr>
      </w:pPr>
      <w:r>
        <w:rPr>
          <w:b/>
        </w:rPr>
        <w:t>Dr David Russell</w:t>
      </w:r>
    </w:p>
    <w:p w14:paraId="6FD23B62" w14:textId="1BD53F01" w:rsidR="002667DD" w:rsidRPr="00D80497" w:rsidRDefault="002667DD" w:rsidP="002667DD">
      <w:pPr>
        <w:widowControl w:val="0"/>
        <w:autoSpaceDE w:val="0"/>
        <w:autoSpaceDN w:val="0"/>
        <w:adjustRightInd w:val="0"/>
        <w:rPr>
          <w:b/>
        </w:rPr>
      </w:pPr>
      <w:r w:rsidRPr="00D80497">
        <w:rPr>
          <w:b/>
        </w:rPr>
        <w:t>Accounting Officer</w:t>
      </w:r>
    </w:p>
    <w:p w14:paraId="6F3D0BC5" w14:textId="77777777" w:rsidR="002667DD" w:rsidRPr="00D80497" w:rsidRDefault="002667DD" w:rsidP="002667DD">
      <w:pPr>
        <w:widowControl w:val="0"/>
        <w:tabs>
          <w:tab w:val="left" w:pos="2802"/>
        </w:tabs>
        <w:autoSpaceDE w:val="0"/>
        <w:autoSpaceDN w:val="0"/>
        <w:adjustRightInd w:val="0"/>
      </w:pPr>
    </w:p>
    <w:p w14:paraId="775C613E" w14:textId="46B81DE1" w:rsidR="002667DD" w:rsidRDefault="002667DD" w:rsidP="0049647B">
      <w:pPr>
        <w:widowControl w:val="0"/>
        <w:tabs>
          <w:tab w:val="left" w:pos="851"/>
        </w:tabs>
        <w:autoSpaceDE w:val="0"/>
        <w:autoSpaceDN w:val="0"/>
        <w:adjustRightInd w:val="0"/>
        <w:rPr>
          <w:b/>
        </w:rPr>
      </w:pPr>
      <w:r w:rsidRPr="00D80497">
        <w:rPr>
          <w:b/>
        </w:rPr>
        <w:t xml:space="preserve">Date: </w:t>
      </w:r>
      <w:r w:rsidR="00410296">
        <w:rPr>
          <w:b/>
        </w:rPr>
        <w:t>03 July 202</w:t>
      </w:r>
      <w:r w:rsidR="00C557FC">
        <w:rPr>
          <w:b/>
        </w:rPr>
        <w:t>5</w:t>
      </w:r>
      <w:r>
        <w:rPr>
          <w:b/>
        </w:rPr>
        <w:t xml:space="preserve"> </w:t>
      </w:r>
    </w:p>
    <w:p w14:paraId="53909F11" w14:textId="77777777" w:rsidR="005F0594" w:rsidRDefault="005F0594" w:rsidP="0049647B">
      <w:pPr>
        <w:widowControl w:val="0"/>
        <w:tabs>
          <w:tab w:val="left" w:pos="851"/>
        </w:tabs>
        <w:autoSpaceDE w:val="0"/>
        <w:autoSpaceDN w:val="0"/>
        <w:adjustRightInd w:val="0"/>
        <w:rPr>
          <w:b/>
        </w:rPr>
      </w:pPr>
    </w:p>
    <w:p w14:paraId="0296D321" w14:textId="77777777" w:rsidR="00787157" w:rsidRDefault="00787157" w:rsidP="002667DD">
      <w:pPr>
        <w:rPr>
          <w:b/>
        </w:rPr>
      </w:pPr>
    </w:p>
    <w:p w14:paraId="5D216F73" w14:textId="77777777" w:rsidR="00787157" w:rsidRDefault="00787157" w:rsidP="002667DD">
      <w:pPr>
        <w:rPr>
          <w:b/>
        </w:rPr>
      </w:pPr>
    </w:p>
    <w:p w14:paraId="1839B985" w14:textId="77777777" w:rsidR="000150A8" w:rsidRDefault="000150A8" w:rsidP="002667DD">
      <w:pPr>
        <w:rPr>
          <w:b/>
        </w:rPr>
      </w:pPr>
    </w:p>
    <w:p w14:paraId="2E0B8721" w14:textId="6F2E4532" w:rsidR="002667DD" w:rsidRPr="008D428E" w:rsidRDefault="002667DD" w:rsidP="002667DD">
      <w:pPr>
        <w:rPr>
          <w:b/>
        </w:rPr>
      </w:pPr>
      <w:bookmarkStart w:id="17" w:name="StatementofAccountingOfficer"/>
      <w:r w:rsidRPr="003F7E43">
        <w:rPr>
          <w:b/>
        </w:rPr>
        <w:lastRenderedPageBreak/>
        <w:t>Statement of Accounting Officer’s Responsibilities</w:t>
      </w:r>
    </w:p>
    <w:bookmarkEnd w:id="17"/>
    <w:p w14:paraId="0B4BBD5B" w14:textId="77777777" w:rsidR="002667DD" w:rsidRPr="003F7E43" w:rsidRDefault="002667DD" w:rsidP="002667DD">
      <w:pPr>
        <w:jc w:val="center"/>
      </w:pPr>
    </w:p>
    <w:p w14:paraId="73AC00A8" w14:textId="485A1EFF" w:rsidR="002667DD" w:rsidRPr="003F7E43" w:rsidRDefault="002667DD" w:rsidP="002667DD">
      <w:pPr>
        <w:rPr>
          <w:rFonts w:cs="Arial"/>
        </w:rPr>
      </w:pPr>
      <w:r w:rsidRPr="003F7E43">
        <w:t>Under Section 7(2)(a) of Schedule 7 to the Northern Ireland Act 1998</w:t>
      </w:r>
      <w:r w:rsidRPr="003F7E43">
        <w:rPr>
          <w:rFonts w:cs="Arial"/>
        </w:rPr>
        <w:t>, the Secretary of State for Northern Ireland (with the consent of HM Treasury) has directed the Northern Ireland Human Rights Commission to prepare for each financial year a statement of accounts in the form and on the basis set out in the Accounts Direction.  The accounts are prepared on an accruals basis and must give a true and fair view of the</w:t>
      </w:r>
      <w:r w:rsidR="00F93C03">
        <w:rPr>
          <w:rFonts w:cs="Arial"/>
        </w:rPr>
        <w:t xml:space="preserve"> state of affairs </w:t>
      </w:r>
      <w:r w:rsidR="00B839C7">
        <w:rPr>
          <w:rFonts w:cs="Arial"/>
        </w:rPr>
        <w:t>of the</w:t>
      </w:r>
      <w:r w:rsidRPr="003F7E43">
        <w:rPr>
          <w:rFonts w:cs="Arial"/>
        </w:rPr>
        <w:t xml:space="preserve"> Northern Ireland Human Rights Commission</w:t>
      </w:r>
      <w:r w:rsidR="00B839C7">
        <w:rPr>
          <w:rFonts w:cs="Arial"/>
        </w:rPr>
        <w:t xml:space="preserve"> </w:t>
      </w:r>
      <w:r w:rsidRPr="003F7E43">
        <w:rPr>
          <w:rFonts w:cs="Arial"/>
        </w:rPr>
        <w:t xml:space="preserve">and of its income and expenditure, </w:t>
      </w:r>
      <w:r w:rsidR="007C4571">
        <w:rPr>
          <w:rFonts w:cs="Arial"/>
        </w:rPr>
        <w:t>Statement of Financial Position</w:t>
      </w:r>
      <w:r w:rsidRPr="003F7E43">
        <w:rPr>
          <w:rFonts w:cs="Arial"/>
        </w:rPr>
        <w:t>, and cash flows for the financial year.</w:t>
      </w:r>
      <w:r w:rsidRPr="003F7E43">
        <w:t xml:space="preserve"> </w:t>
      </w:r>
    </w:p>
    <w:p w14:paraId="28A21A81" w14:textId="77777777" w:rsidR="002667DD" w:rsidRPr="003F7E43" w:rsidRDefault="002667DD" w:rsidP="002667DD">
      <w:pPr>
        <w:rPr>
          <w:rFonts w:cs="Arial"/>
          <w:lang w:val="en-US"/>
        </w:rPr>
      </w:pPr>
    </w:p>
    <w:p w14:paraId="6DDF88DF" w14:textId="0CE03F6D" w:rsidR="002667DD" w:rsidRPr="003F7E43" w:rsidRDefault="002667DD" w:rsidP="002667DD">
      <w:pPr>
        <w:rPr>
          <w:rFonts w:cs="Arial"/>
        </w:rPr>
      </w:pPr>
      <w:r w:rsidRPr="003F7E43">
        <w:rPr>
          <w:rFonts w:cs="Arial"/>
        </w:rPr>
        <w:t xml:space="preserve">In preparing the accounts, the Accounting Officer is required to comply with the requirements of the </w:t>
      </w:r>
      <w:r w:rsidR="00B80D3A">
        <w:rPr>
          <w:rFonts w:cs="Arial"/>
          <w:i/>
          <w:iCs/>
        </w:rPr>
        <w:t>Government</w:t>
      </w:r>
      <w:r w:rsidRPr="003F7E43">
        <w:rPr>
          <w:rFonts w:cs="Arial"/>
          <w:i/>
        </w:rPr>
        <w:t xml:space="preserve"> Financial Reporting Manual</w:t>
      </w:r>
      <w:r w:rsidRPr="003F7E43">
        <w:rPr>
          <w:rFonts w:cs="Arial"/>
          <w:iCs/>
        </w:rPr>
        <w:t xml:space="preserve"> </w:t>
      </w:r>
      <w:r w:rsidRPr="003F7E43">
        <w:rPr>
          <w:rFonts w:cs="Arial"/>
        </w:rPr>
        <w:t>and</w:t>
      </w:r>
      <w:r w:rsidR="00794628">
        <w:rPr>
          <w:rFonts w:cs="Arial"/>
        </w:rPr>
        <w:t xml:space="preserve"> </w:t>
      </w:r>
      <w:r w:rsidRPr="003F7E43">
        <w:rPr>
          <w:rFonts w:cs="Arial"/>
        </w:rPr>
        <w:t xml:space="preserve">in particular to: </w:t>
      </w:r>
    </w:p>
    <w:p w14:paraId="7CA85EA2" w14:textId="77777777" w:rsidR="002667DD" w:rsidRDefault="002667DD" w:rsidP="000E4145">
      <w:pPr>
        <w:rPr>
          <w:rFonts w:cs="Arial"/>
        </w:rPr>
      </w:pPr>
    </w:p>
    <w:p w14:paraId="1BBCADBE" w14:textId="77777777" w:rsidR="000E4145" w:rsidRDefault="000E4145" w:rsidP="000E4145">
      <w:pPr>
        <w:rPr>
          <w:rFonts w:cs="Arial"/>
        </w:rPr>
      </w:pPr>
    </w:p>
    <w:p w14:paraId="6243664F" w14:textId="77777777" w:rsidR="002667DD" w:rsidRPr="00CC62B1" w:rsidRDefault="002667DD" w:rsidP="002667DD">
      <w:pPr>
        <w:numPr>
          <w:ilvl w:val="0"/>
          <w:numId w:val="2"/>
        </w:numPr>
        <w:rPr>
          <w:rFonts w:cs="Arial"/>
        </w:rPr>
      </w:pPr>
      <w:r w:rsidRPr="00CC62B1">
        <w:rPr>
          <w:rFonts w:cs="Arial"/>
        </w:rPr>
        <w:t>observe the Accounts Direction issued by the Secretary of State for Northern Ireland, including the relevant accounting and disclosure requirements, and apply suitable accounting policies on a consistent basis;</w:t>
      </w:r>
    </w:p>
    <w:p w14:paraId="4EB8CF79" w14:textId="77777777" w:rsidR="002667DD" w:rsidRPr="00CC62B1" w:rsidRDefault="002667DD" w:rsidP="002667DD">
      <w:pPr>
        <w:rPr>
          <w:rFonts w:cs="Arial"/>
        </w:rPr>
      </w:pPr>
    </w:p>
    <w:p w14:paraId="22FC2894" w14:textId="77777777" w:rsidR="002667DD" w:rsidRPr="00CC62B1" w:rsidRDefault="002667DD" w:rsidP="002667DD">
      <w:pPr>
        <w:numPr>
          <w:ilvl w:val="0"/>
          <w:numId w:val="2"/>
        </w:numPr>
        <w:rPr>
          <w:rFonts w:cs="Arial"/>
        </w:rPr>
      </w:pPr>
      <w:r w:rsidRPr="00CC62B1">
        <w:rPr>
          <w:rFonts w:cs="Arial"/>
        </w:rPr>
        <w:t>make judgements and estimates on a reasonable basis;</w:t>
      </w:r>
    </w:p>
    <w:p w14:paraId="3EAD8484" w14:textId="77777777" w:rsidR="002667DD" w:rsidRPr="00CC62B1" w:rsidRDefault="002667DD" w:rsidP="002667DD">
      <w:pPr>
        <w:rPr>
          <w:rFonts w:cs="Arial"/>
        </w:rPr>
      </w:pPr>
    </w:p>
    <w:p w14:paraId="21C1921F" w14:textId="6540497C" w:rsidR="002667DD" w:rsidRPr="00CC62B1" w:rsidRDefault="002667DD" w:rsidP="002667DD">
      <w:pPr>
        <w:numPr>
          <w:ilvl w:val="0"/>
          <w:numId w:val="2"/>
        </w:numPr>
        <w:rPr>
          <w:rFonts w:cs="Arial"/>
        </w:rPr>
      </w:pPr>
      <w:r w:rsidRPr="00CC62B1">
        <w:rPr>
          <w:rFonts w:cs="Arial"/>
        </w:rPr>
        <w:t xml:space="preserve">state whether applicable accounting standards as set out in the </w:t>
      </w:r>
      <w:r w:rsidR="00D7049A" w:rsidRPr="00903A06">
        <w:rPr>
          <w:rFonts w:cs="Arial"/>
          <w:i/>
          <w:iCs/>
        </w:rPr>
        <w:t>Government</w:t>
      </w:r>
      <w:r w:rsidRPr="00903A06">
        <w:rPr>
          <w:rFonts w:cs="Arial"/>
          <w:i/>
          <w:iCs/>
        </w:rPr>
        <w:t xml:space="preserve"> Financial Reporting Manual</w:t>
      </w:r>
      <w:r w:rsidRPr="00CC62B1">
        <w:rPr>
          <w:rFonts w:cs="Arial"/>
          <w:iCs/>
        </w:rPr>
        <w:t xml:space="preserve"> </w:t>
      </w:r>
      <w:r w:rsidRPr="00CC62B1">
        <w:rPr>
          <w:rFonts w:cs="Arial"/>
        </w:rPr>
        <w:t xml:space="preserve">have been followed, and disclose and explain any material departures in the financial statements; </w:t>
      </w:r>
    </w:p>
    <w:p w14:paraId="3E08C2BF" w14:textId="77777777" w:rsidR="00B0221D" w:rsidRPr="00CC62B1" w:rsidRDefault="00B0221D" w:rsidP="00B0221D">
      <w:pPr>
        <w:pStyle w:val="ListParagraph"/>
        <w:rPr>
          <w:rFonts w:cs="Arial"/>
        </w:rPr>
      </w:pPr>
    </w:p>
    <w:p w14:paraId="42D9F13E" w14:textId="4AE3BA80" w:rsidR="00B0221D" w:rsidRPr="00CC62B1" w:rsidRDefault="00B0221D" w:rsidP="002667DD">
      <w:pPr>
        <w:numPr>
          <w:ilvl w:val="0"/>
          <w:numId w:val="2"/>
        </w:numPr>
        <w:rPr>
          <w:rFonts w:cs="Arial"/>
        </w:rPr>
      </w:pPr>
      <w:r w:rsidRPr="00CC62B1">
        <w:rPr>
          <w:rFonts w:cs="Arial"/>
        </w:rPr>
        <w:t>prepare the financial statements on a going concern basis</w:t>
      </w:r>
      <w:r w:rsidR="00913966" w:rsidRPr="00CC62B1">
        <w:rPr>
          <w:rFonts w:cs="Arial"/>
        </w:rPr>
        <w:t>; and</w:t>
      </w:r>
    </w:p>
    <w:p w14:paraId="1A0F84C2" w14:textId="77777777" w:rsidR="002667DD" w:rsidRPr="003F7E43" w:rsidRDefault="002667DD" w:rsidP="002667DD">
      <w:pPr>
        <w:rPr>
          <w:rFonts w:cs="Arial"/>
        </w:rPr>
      </w:pPr>
    </w:p>
    <w:p w14:paraId="7B1A559B" w14:textId="523118BC" w:rsidR="000E4145" w:rsidRDefault="000E4145" w:rsidP="000E4145">
      <w:pPr>
        <w:numPr>
          <w:ilvl w:val="0"/>
          <w:numId w:val="2"/>
        </w:numPr>
        <w:rPr>
          <w:rFonts w:cs="Arial"/>
        </w:rPr>
      </w:pPr>
      <w:r>
        <w:rPr>
          <w:rFonts w:cs="Arial"/>
        </w:rPr>
        <w:t xml:space="preserve">confirm that the </w:t>
      </w:r>
      <w:r w:rsidR="00913966">
        <w:rPr>
          <w:rFonts w:cs="Arial"/>
        </w:rPr>
        <w:t>A</w:t>
      </w:r>
      <w:r>
        <w:rPr>
          <w:rFonts w:cs="Arial"/>
        </w:rPr>
        <w:t xml:space="preserve">nnual </w:t>
      </w:r>
      <w:r w:rsidR="00913966">
        <w:rPr>
          <w:rFonts w:cs="Arial"/>
        </w:rPr>
        <w:t>R</w:t>
      </w:r>
      <w:r>
        <w:rPr>
          <w:rFonts w:cs="Arial"/>
        </w:rPr>
        <w:t xml:space="preserve">eport and </w:t>
      </w:r>
      <w:r w:rsidR="00913966">
        <w:rPr>
          <w:rFonts w:cs="Arial"/>
        </w:rPr>
        <w:t>A</w:t>
      </w:r>
      <w:r>
        <w:rPr>
          <w:rFonts w:cs="Arial"/>
        </w:rPr>
        <w:t xml:space="preserve">ccounts as a whole are fair, balanced and understandable and take personal responsibility for the </w:t>
      </w:r>
      <w:r w:rsidR="00CC62B1">
        <w:rPr>
          <w:rFonts w:cs="Arial"/>
        </w:rPr>
        <w:t>A</w:t>
      </w:r>
      <w:r>
        <w:rPr>
          <w:rFonts w:cs="Arial"/>
        </w:rPr>
        <w:t xml:space="preserve">nnual </w:t>
      </w:r>
      <w:r w:rsidR="00CC62B1">
        <w:rPr>
          <w:rFonts w:cs="Arial"/>
        </w:rPr>
        <w:t>R</w:t>
      </w:r>
      <w:r>
        <w:rPr>
          <w:rFonts w:cs="Arial"/>
        </w:rPr>
        <w:t xml:space="preserve">eport and </w:t>
      </w:r>
      <w:r w:rsidR="00CC62B1">
        <w:rPr>
          <w:rFonts w:cs="Arial"/>
        </w:rPr>
        <w:t>A</w:t>
      </w:r>
      <w:r>
        <w:rPr>
          <w:rFonts w:cs="Arial"/>
        </w:rPr>
        <w:t>ccounts and the judgements required for determining that they are fair, balanced and understandable</w:t>
      </w:r>
      <w:r w:rsidR="00CC62B1">
        <w:rPr>
          <w:rFonts w:cs="Arial"/>
        </w:rPr>
        <w:t>.</w:t>
      </w:r>
    </w:p>
    <w:p w14:paraId="14B166A2" w14:textId="77777777" w:rsidR="002667DD" w:rsidRPr="003F7E43" w:rsidRDefault="002667DD" w:rsidP="002667DD">
      <w:pPr>
        <w:rPr>
          <w:rFonts w:cs="Arial"/>
          <w:lang w:val="en-US"/>
        </w:rPr>
      </w:pPr>
    </w:p>
    <w:p w14:paraId="5B5157B7" w14:textId="52B6258F" w:rsidR="0055459B" w:rsidRDefault="002667DD" w:rsidP="002667DD">
      <w:pPr>
        <w:autoSpaceDE w:val="0"/>
        <w:autoSpaceDN w:val="0"/>
        <w:adjustRightInd w:val="0"/>
        <w:rPr>
          <w:rFonts w:cs="Arial"/>
        </w:rPr>
      </w:pPr>
      <w:r w:rsidRPr="003F7E43">
        <w:rPr>
          <w:rFonts w:cs="Arial"/>
        </w:rPr>
        <w:t xml:space="preserve">The Accounting Officer of the Northern Ireland Office has </w:t>
      </w:r>
      <w:r w:rsidR="00E76789">
        <w:rPr>
          <w:rFonts w:cs="Arial"/>
        </w:rPr>
        <w:t>appointed</w:t>
      </w:r>
      <w:r w:rsidRPr="003F7E43">
        <w:rPr>
          <w:rFonts w:cs="Arial"/>
        </w:rPr>
        <w:t xml:space="preserve"> the </w:t>
      </w:r>
      <w:r>
        <w:rPr>
          <w:rFonts w:cs="Arial"/>
        </w:rPr>
        <w:t>Chief Executive</w:t>
      </w:r>
      <w:r w:rsidRPr="003F7E43">
        <w:rPr>
          <w:rFonts w:cs="Arial"/>
        </w:rPr>
        <w:t xml:space="preserve"> as Accounting Officer of the Northern Ireland Human Rights Commission.</w:t>
      </w:r>
      <w:r>
        <w:rPr>
          <w:rFonts w:cs="Arial"/>
        </w:rPr>
        <w:t xml:space="preserve"> The </w:t>
      </w:r>
      <w:r w:rsidR="00FE647C">
        <w:rPr>
          <w:rFonts w:cs="Arial"/>
        </w:rPr>
        <w:t xml:space="preserve">responsibilities </w:t>
      </w:r>
      <w:r w:rsidR="00A8793F">
        <w:rPr>
          <w:rFonts w:cs="Arial"/>
        </w:rPr>
        <w:t xml:space="preserve">of an </w:t>
      </w:r>
      <w:r>
        <w:rPr>
          <w:rFonts w:cs="Arial"/>
        </w:rPr>
        <w:t>Accounting Officer</w:t>
      </w:r>
      <w:r w:rsidR="00A8793F">
        <w:rPr>
          <w:rFonts w:cs="Arial"/>
        </w:rPr>
        <w:t xml:space="preserve">, including responsibility for the propriety and regularity of the public </w:t>
      </w:r>
      <w:r w:rsidR="00C9463E">
        <w:rPr>
          <w:rFonts w:cs="Arial"/>
        </w:rPr>
        <w:t xml:space="preserve">finances for which the Accounting Officer is answerable, for keeping proper records and for safeguarding the </w:t>
      </w:r>
      <w:r w:rsidR="00775210">
        <w:rPr>
          <w:rFonts w:cs="Arial"/>
        </w:rPr>
        <w:t>Norther</w:t>
      </w:r>
      <w:r w:rsidR="00FC41D2">
        <w:rPr>
          <w:rFonts w:cs="Arial"/>
        </w:rPr>
        <w:t>n</w:t>
      </w:r>
      <w:r w:rsidR="00775210">
        <w:rPr>
          <w:rFonts w:cs="Arial"/>
        </w:rPr>
        <w:t xml:space="preserve"> Ireland Human Rights Commission’s assets, are set out in Managing P</w:t>
      </w:r>
      <w:r w:rsidR="0055459B">
        <w:rPr>
          <w:rFonts w:cs="Arial"/>
        </w:rPr>
        <w:t>ublic Money published by the HM Treasury.</w:t>
      </w:r>
    </w:p>
    <w:p w14:paraId="46FBE786" w14:textId="77777777" w:rsidR="002667DD" w:rsidRDefault="002667DD" w:rsidP="002667DD">
      <w:pPr>
        <w:autoSpaceDE w:val="0"/>
        <w:autoSpaceDN w:val="0"/>
        <w:adjustRightInd w:val="0"/>
        <w:rPr>
          <w:rFonts w:cs="Arial"/>
        </w:rPr>
      </w:pPr>
    </w:p>
    <w:p w14:paraId="668DE2B2" w14:textId="2520D93E" w:rsidR="002667DD" w:rsidRDefault="006B1EAE" w:rsidP="002667DD">
      <w:pPr>
        <w:autoSpaceDE w:val="0"/>
        <w:autoSpaceDN w:val="0"/>
        <w:adjustRightInd w:val="0"/>
        <w:rPr>
          <w:rFonts w:eastAsia="Univers-Light" w:cs="Univers-Light"/>
          <w:color w:val="auto"/>
          <w:lang w:val="en-US"/>
        </w:rPr>
      </w:pPr>
      <w:r>
        <w:rPr>
          <w:rFonts w:eastAsia="Univers-Light" w:cs="Univers-Light"/>
          <w:color w:val="auto"/>
          <w:lang w:val="en-US"/>
        </w:rPr>
        <w:t>As the Accounting Officer, I have taken all the steps that I ought to have taken to make myself aware of any relevant audit information to est</w:t>
      </w:r>
      <w:r w:rsidR="00E76789">
        <w:rPr>
          <w:rFonts w:eastAsia="Univers-Light" w:cs="Univers-Light"/>
          <w:color w:val="auto"/>
          <w:lang w:val="en-US"/>
        </w:rPr>
        <w:t xml:space="preserve">ablish that the Northern Ireland Human Rights Commission’s auditors are aware </w:t>
      </w:r>
      <w:r w:rsidR="00E76789">
        <w:rPr>
          <w:rFonts w:eastAsia="Univers-Light" w:cs="Univers-Light"/>
          <w:color w:val="auto"/>
          <w:lang w:val="en-US"/>
        </w:rPr>
        <w:lastRenderedPageBreak/>
        <w:t>of that information.  So far as I am aware, there is no relevant audit information of which the auditors are unaware.</w:t>
      </w:r>
    </w:p>
    <w:p w14:paraId="573D4D34" w14:textId="5CB8BCFC" w:rsidR="00DA67DD" w:rsidRDefault="00DA67DD" w:rsidP="002667DD">
      <w:pPr>
        <w:autoSpaceDE w:val="0"/>
        <w:autoSpaceDN w:val="0"/>
        <w:adjustRightInd w:val="0"/>
        <w:rPr>
          <w:rFonts w:eastAsia="Univers-Light" w:cs="Univers-Light"/>
          <w:color w:val="auto"/>
          <w:lang w:val="en-US"/>
        </w:rPr>
      </w:pPr>
    </w:p>
    <w:p w14:paraId="6C3EAEE3" w14:textId="77777777" w:rsidR="002667DD" w:rsidRPr="003F7E43" w:rsidRDefault="002667DD" w:rsidP="002667DD">
      <w:pPr>
        <w:autoSpaceDE w:val="0"/>
        <w:autoSpaceDN w:val="0"/>
        <w:adjustRightInd w:val="0"/>
        <w:rPr>
          <w:rFonts w:cs="Univers-Bold"/>
          <w:b/>
          <w:bCs/>
          <w:color w:val="auto"/>
          <w:lang w:val="en-US"/>
        </w:rPr>
      </w:pPr>
      <w:r w:rsidRPr="003F7E43">
        <w:rPr>
          <w:rFonts w:cs="Univers-Bold"/>
          <w:b/>
          <w:bCs/>
          <w:color w:val="auto"/>
          <w:lang w:val="en-US"/>
        </w:rPr>
        <w:t>Disclosure of audit information</w:t>
      </w:r>
    </w:p>
    <w:p w14:paraId="3BC82DB5" w14:textId="0A90820B" w:rsidR="002667DD" w:rsidRPr="003F7E43" w:rsidRDefault="002667DD" w:rsidP="002667DD">
      <w:pPr>
        <w:autoSpaceDE w:val="0"/>
        <w:autoSpaceDN w:val="0"/>
        <w:adjustRightInd w:val="0"/>
        <w:rPr>
          <w:rFonts w:cs="Univers"/>
          <w:color w:val="auto"/>
          <w:lang w:val="en-US"/>
        </w:rPr>
      </w:pPr>
    </w:p>
    <w:p w14:paraId="098E3A52" w14:textId="59194041" w:rsidR="002667DD" w:rsidRPr="003F7E43" w:rsidRDefault="002667DD" w:rsidP="002667DD">
      <w:pPr>
        <w:widowControl w:val="0"/>
        <w:autoSpaceDE w:val="0"/>
        <w:autoSpaceDN w:val="0"/>
        <w:adjustRightInd w:val="0"/>
        <w:rPr>
          <w:rFonts w:cs="Arial"/>
        </w:rPr>
      </w:pPr>
      <w:r w:rsidRPr="003F7E43">
        <w:rPr>
          <w:color w:val="auto"/>
        </w:rPr>
        <w:t xml:space="preserve">As Accounting Officer, I confirm that I have taken all steps to ensure that I am aware of any relevant audit information and to ensure the Commission’s auditors are aware of that information.  As far as I am aware, there is no relevant </w:t>
      </w:r>
      <w:r w:rsidR="00B001D4">
        <w:rPr>
          <w:color w:val="auto"/>
        </w:rPr>
        <w:t xml:space="preserve">audit </w:t>
      </w:r>
      <w:r w:rsidRPr="003F7E43">
        <w:rPr>
          <w:color w:val="auto"/>
        </w:rPr>
        <w:t xml:space="preserve">information of which the Commission’s auditors are unaware.  The </w:t>
      </w:r>
      <w:r w:rsidRPr="003F7E43">
        <w:rPr>
          <w:rFonts w:cs="Arial"/>
        </w:rPr>
        <w:t>auditor has not received any remuneration for non-audit work.</w:t>
      </w:r>
    </w:p>
    <w:p w14:paraId="30600CCB" w14:textId="77777777" w:rsidR="002667DD" w:rsidRPr="003F7E43" w:rsidRDefault="002667DD" w:rsidP="002667DD">
      <w:pPr>
        <w:widowControl w:val="0"/>
        <w:autoSpaceDE w:val="0"/>
        <w:autoSpaceDN w:val="0"/>
        <w:adjustRightInd w:val="0"/>
        <w:rPr>
          <w:rFonts w:cs="Arial"/>
        </w:rPr>
      </w:pPr>
    </w:p>
    <w:p w14:paraId="6FD799A4" w14:textId="2E51A271" w:rsidR="002667DD" w:rsidRPr="009B4441" w:rsidRDefault="002667DD" w:rsidP="002667DD">
      <w:pPr>
        <w:widowControl w:val="0"/>
        <w:autoSpaceDE w:val="0"/>
        <w:autoSpaceDN w:val="0"/>
        <w:adjustRightInd w:val="0"/>
        <w:rPr>
          <w:color w:val="auto"/>
        </w:rPr>
      </w:pPr>
      <w:r w:rsidRPr="003F7E43">
        <w:rPr>
          <w:rFonts w:cs="Arial"/>
        </w:rPr>
        <w:t>As Accounting Officer, I confirm that the annual report</w:t>
      </w:r>
      <w:r w:rsidR="00B83BF3">
        <w:rPr>
          <w:rFonts w:cs="Arial"/>
        </w:rPr>
        <w:t xml:space="preserve"> and accounts</w:t>
      </w:r>
      <w:r w:rsidRPr="003F7E43">
        <w:rPr>
          <w:rFonts w:cs="Arial"/>
        </w:rPr>
        <w:t xml:space="preserve"> as a whole is fair, balanced and understandable and that I take personal responsibility for the annual report and accounts and the judgments required for determining that it is fair, balanced and understandable.</w:t>
      </w:r>
    </w:p>
    <w:p w14:paraId="3D2E16E0" w14:textId="77777777" w:rsidR="002667DD" w:rsidRDefault="002667DD" w:rsidP="002667DD">
      <w:pPr>
        <w:rPr>
          <w:b/>
        </w:rPr>
      </w:pPr>
      <w:bookmarkStart w:id="18" w:name="GovernanceStatement"/>
    </w:p>
    <w:p w14:paraId="2C30513D" w14:textId="77777777" w:rsidR="002667DD" w:rsidRPr="003F7E43" w:rsidRDefault="002667DD" w:rsidP="002667DD">
      <w:pPr>
        <w:rPr>
          <w:b/>
        </w:rPr>
      </w:pPr>
      <w:r w:rsidRPr="003F7E43">
        <w:rPr>
          <w:b/>
        </w:rPr>
        <w:t>Governance Statement</w:t>
      </w:r>
    </w:p>
    <w:bookmarkEnd w:id="18"/>
    <w:p w14:paraId="54A95E09" w14:textId="77777777" w:rsidR="002667DD" w:rsidRPr="003F7E43" w:rsidRDefault="002667DD" w:rsidP="002667DD">
      <w:pPr>
        <w:jc w:val="center"/>
        <w:rPr>
          <w:b/>
        </w:rPr>
      </w:pPr>
    </w:p>
    <w:p w14:paraId="0089670D" w14:textId="77777777" w:rsidR="002667DD" w:rsidRPr="003F7E43" w:rsidRDefault="002667DD" w:rsidP="002667DD">
      <w:pPr>
        <w:rPr>
          <w:rFonts w:eastAsia="PMingLiU"/>
        </w:rPr>
      </w:pPr>
      <w:r w:rsidRPr="003F7E43">
        <w:rPr>
          <w:rFonts w:eastAsia="PMingLiU"/>
        </w:rPr>
        <w:t xml:space="preserve">As Accounting Officer, I have responsibility for maintaining a sound system of internal control that supports the achievement of the Northern Ireland Human Rights Commission’s policies, aims and objectives, as set by Commissioners, and approved by the Secretary of State for Northern Ireland, whilst safeguarding the public funds and the Commission’s assets for which I am personally responsible, in accordance with the responsibilities assigned to me in </w:t>
      </w:r>
      <w:r w:rsidRPr="003F7E43">
        <w:rPr>
          <w:rFonts w:cs="Arial"/>
          <w:i/>
        </w:rPr>
        <w:t>Managing Public Money</w:t>
      </w:r>
      <w:r w:rsidRPr="003F7E43">
        <w:rPr>
          <w:rFonts w:eastAsia="PMingLiU"/>
        </w:rPr>
        <w:t xml:space="preserve">.  Our focus is upon outcomes and robust governance procedures, which are designed to ensure that risk and opportunity are clearly identified and responded to.  </w:t>
      </w:r>
    </w:p>
    <w:p w14:paraId="324300CA" w14:textId="11491AE5" w:rsidR="002667DD" w:rsidRDefault="002667DD" w:rsidP="002667DD">
      <w:pPr>
        <w:widowControl w:val="0"/>
        <w:rPr>
          <w:rFonts w:cs="Humanist777BT-LightB"/>
          <w:color w:val="auto"/>
          <w:lang w:eastAsia="en-GB"/>
        </w:rPr>
      </w:pPr>
      <w:r w:rsidRPr="003F7E43">
        <w:rPr>
          <w:rFonts w:eastAsia="PMingLiU"/>
        </w:rPr>
        <w:t xml:space="preserve">The Commission complies </w:t>
      </w:r>
      <w:r w:rsidR="00406ADE">
        <w:rPr>
          <w:rFonts w:eastAsia="PMingLiU"/>
        </w:rPr>
        <w:t xml:space="preserve">as </w:t>
      </w:r>
      <w:r w:rsidR="001F4292">
        <w:rPr>
          <w:rFonts w:eastAsia="PMingLiU"/>
        </w:rPr>
        <w:t>far as applicable</w:t>
      </w:r>
      <w:r w:rsidRPr="003F7E43">
        <w:rPr>
          <w:rFonts w:eastAsia="PMingLiU"/>
        </w:rPr>
        <w:t xml:space="preserve"> with the guidance provided in </w:t>
      </w:r>
      <w:r>
        <w:rPr>
          <w:rFonts w:eastAsia="PMingLiU"/>
        </w:rPr>
        <w:t>HM Treasury’s</w:t>
      </w:r>
      <w:r w:rsidRPr="003F7E43">
        <w:rPr>
          <w:rFonts w:eastAsia="PMingLiU"/>
        </w:rPr>
        <w:t xml:space="preserve"> </w:t>
      </w:r>
      <w:r w:rsidRPr="003F7E43">
        <w:rPr>
          <w:rFonts w:cs="Humanist777BT-LightB"/>
          <w:color w:val="auto"/>
          <w:lang w:eastAsia="en-GB"/>
        </w:rPr>
        <w:t>corporate governance code for central government departments</w:t>
      </w:r>
      <w:r>
        <w:rPr>
          <w:rFonts w:cs="Humanist777BT-LightB"/>
          <w:color w:val="auto"/>
          <w:lang w:eastAsia="en-GB"/>
        </w:rPr>
        <w:t xml:space="preserve"> (April 2017)</w:t>
      </w:r>
      <w:r w:rsidRPr="003F7E43">
        <w:rPr>
          <w:rFonts w:cs="Humanist777BT-LightB"/>
          <w:color w:val="auto"/>
          <w:lang w:eastAsia="en-GB"/>
        </w:rPr>
        <w:t>.</w:t>
      </w:r>
      <w:r>
        <w:rPr>
          <w:rFonts w:cs="Humanist777BT-LightB"/>
          <w:color w:val="auto"/>
          <w:lang w:eastAsia="en-GB"/>
        </w:rPr>
        <w:t xml:space="preserve"> </w:t>
      </w:r>
    </w:p>
    <w:p w14:paraId="23272353" w14:textId="77777777" w:rsidR="00AE6221" w:rsidRDefault="00AE6221" w:rsidP="002667DD">
      <w:pPr>
        <w:widowControl w:val="0"/>
        <w:rPr>
          <w:rFonts w:cs="Humanist777BT-LightB"/>
          <w:color w:val="auto"/>
          <w:lang w:eastAsia="en-GB"/>
        </w:rPr>
      </w:pPr>
    </w:p>
    <w:p w14:paraId="36FE7B88" w14:textId="6DAB1227" w:rsidR="00AE6221" w:rsidRPr="003F7E43" w:rsidRDefault="00AE6221" w:rsidP="002667DD">
      <w:pPr>
        <w:widowControl w:val="0"/>
        <w:rPr>
          <w:rFonts w:cs="Humanist777BT-LightB"/>
          <w:color w:val="auto"/>
          <w:lang w:eastAsia="en-GB"/>
        </w:rPr>
      </w:pPr>
      <w:r>
        <w:rPr>
          <w:rFonts w:cs="Humanist777BT-LightB"/>
          <w:color w:val="auto"/>
          <w:lang w:eastAsia="en-GB"/>
        </w:rPr>
        <w:t>Throughout 202</w:t>
      </w:r>
      <w:r w:rsidR="00D01EF2">
        <w:rPr>
          <w:rFonts w:cs="Humanist777BT-LightB"/>
          <w:color w:val="auto"/>
          <w:lang w:eastAsia="en-GB"/>
        </w:rPr>
        <w:t>4</w:t>
      </w:r>
      <w:r>
        <w:rPr>
          <w:rFonts w:cs="Humanist777BT-LightB"/>
          <w:color w:val="auto"/>
          <w:lang w:eastAsia="en-GB"/>
        </w:rPr>
        <w:t>-2</w:t>
      </w:r>
      <w:r w:rsidR="00D01EF2">
        <w:rPr>
          <w:rFonts w:cs="Humanist777BT-LightB"/>
          <w:color w:val="auto"/>
          <w:lang w:eastAsia="en-GB"/>
        </w:rPr>
        <w:t>5</w:t>
      </w:r>
      <w:r>
        <w:rPr>
          <w:rFonts w:cs="Humanist777BT-LightB"/>
          <w:color w:val="auto"/>
          <w:lang w:eastAsia="en-GB"/>
        </w:rPr>
        <w:t xml:space="preserve"> the Commission effectively discharged its statutory functions and duties.  In line with best practice, the operational procedures of the Commission and the quality of data used is kept under continuous review to ensure the Commission is content that it is provided with all requisite information to enable it to make informed decisions.</w:t>
      </w:r>
    </w:p>
    <w:p w14:paraId="4F821F86" w14:textId="77777777" w:rsidR="002667DD" w:rsidRPr="003F7E43" w:rsidRDefault="002667DD" w:rsidP="002667DD">
      <w:pPr>
        <w:widowControl w:val="0"/>
        <w:rPr>
          <w:rFonts w:ascii="Humanist777BT-LightB" w:hAnsi="Humanist777BT-LightB" w:cs="Humanist777BT-LightB"/>
          <w:color w:val="auto"/>
          <w:lang w:eastAsia="en-GB"/>
        </w:rPr>
      </w:pPr>
    </w:p>
    <w:p w14:paraId="4E002A5D" w14:textId="67F91B47" w:rsidR="002667DD" w:rsidRPr="003F7E43" w:rsidRDefault="002667DD" w:rsidP="002667DD">
      <w:pPr>
        <w:widowControl w:val="0"/>
      </w:pPr>
      <w:r w:rsidRPr="003F7E43">
        <w:rPr>
          <w:rFonts w:eastAsia="PMingLiU"/>
        </w:rPr>
        <w:t>As a non–departmental public body (NDPB), sponsored by the Northern Ireland Office, responsible to Parliament through the Secretary of State for Northern Ireland the governance framework of the organisation includes a Financial Sta</w:t>
      </w:r>
      <w:r>
        <w:rPr>
          <w:rFonts w:eastAsia="PMingLiU"/>
        </w:rPr>
        <w:t>tement and Management Agreement, (Framework Document</w:t>
      </w:r>
      <w:r w:rsidR="005333A5">
        <w:rPr>
          <w:rFonts w:eastAsia="PMingLiU"/>
        </w:rPr>
        <w:t xml:space="preserve"> February 2023</w:t>
      </w:r>
      <w:r>
        <w:rPr>
          <w:rFonts w:eastAsia="PMingLiU"/>
        </w:rPr>
        <w:t>).</w:t>
      </w:r>
      <w:r w:rsidRPr="003F7E43">
        <w:rPr>
          <w:rFonts w:eastAsia="PMingLiU"/>
        </w:rPr>
        <w:t xml:space="preserve"> The Commissioners also operate in accordance with Standing Orders and guidance on corporate governance as well as agreed principles of public service in the Nolan Principles. The Chief </w:t>
      </w:r>
      <w:r w:rsidRPr="003F7E43">
        <w:t xml:space="preserve">Commissioner and Commissioners have corporate responsibility for promoting the efficient and effective use of staff and other resources by the Commission, demonstrating high standards of corporate governance at all times.  This role includes ensuring that they receive and review </w:t>
      </w:r>
      <w:r w:rsidRPr="003F7E43">
        <w:lastRenderedPageBreak/>
        <w:t>regular financial information concerning the management of the Commission, are informed in a timely manner about any concerns about the activities of the Commission, and provide assurance to the sponsoring Department that appropriate action has been taken on such concerns.</w:t>
      </w:r>
      <w:r>
        <w:t xml:space="preserve">  The Commission maintains whistleblowing procedures consistent with the Public Interest Disclosures Act 1998 and standards of conduct for staff are in place.</w:t>
      </w:r>
    </w:p>
    <w:p w14:paraId="207FAECF" w14:textId="77777777" w:rsidR="002667DD" w:rsidRPr="003F7E43" w:rsidRDefault="002667DD" w:rsidP="002667DD">
      <w:pPr>
        <w:rPr>
          <w:rFonts w:eastAsia="PMingLiU"/>
        </w:rPr>
      </w:pPr>
    </w:p>
    <w:p w14:paraId="5D61FAF6" w14:textId="17A9F603" w:rsidR="002667DD" w:rsidRDefault="002667DD" w:rsidP="002667DD">
      <w:pPr>
        <w:rPr>
          <w:rFonts w:eastAsia="PMingLiU"/>
        </w:rPr>
      </w:pPr>
      <w:r w:rsidRPr="003F7E43">
        <w:rPr>
          <w:rFonts w:eastAsia="PMingLiU"/>
        </w:rPr>
        <w:t>Discussions on financial matters and risk are normally held with officials at the NIO, rather than directly with Ministers.  The NIO has, in ongoing formal meetings</w:t>
      </w:r>
      <w:r w:rsidR="0000138B">
        <w:rPr>
          <w:rFonts w:eastAsia="PMingLiU"/>
        </w:rPr>
        <w:t>,</w:t>
      </w:r>
      <w:r w:rsidRPr="003F7E43">
        <w:rPr>
          <w:rFonts w:eastAsia="PMingLiU"/>
        </w:rPr>
        <w:t xml:space="preserve"> confirmed the Commission’s fulfilment of assurances. The Chief Commissioner and Commissioners have access to the Secretary of State on request.</w:t>
      </w:r>
      <w:r w:rsidRPr="009B4441">
        <w:rPr>
          <w:rFonts w:eastAsia="PMingLiU"/>
        </w:rPr>
        <w:t xml:space="preserve">  </w:t>
      </w:r>
    </w:p>
    <w:p w14:paraId="12E59F50" w14:textId="77777777" w:rsidR="002667DD" w:rsidRDefault="002667DD" w:rsidP="002667DD">
      <w:pPr>
        <w:rPr>
          <w:rFonts w:eastAsia="PMingLiU"/>
        </w:rPr>
      </w:pPr>
    </w:p>
    <w:p w14:paraId="0E1D81C7" w14:textId="77777777" w:rsidR="002667DD" w:rsidRDefault="002667DD" w:rsidP="002667DD">
      <w:pPr>
        <w:rPr>
          <w:rFonts w:eastAsia="PMingLiU"/>
          <w:b/>
        </w:rPr>
      </w:pPr>
      <w:r>
        <w:rPr>
          <w:rFonts w:eastAsia="PMingLiU"/>
          <w:b/>
        </w:rPr>
        <w:t>Governance Framework</w:t>
      </w:r>
    </w:p>
    <w:p w14:paraId="1D086E3C" w14:textId="77777777" w:rsidR="002667DD" w:rsidRDefault="002667DD" w:rsidP="002667DD">
      <w:pPr>
        <w:rPr>
          <w:rFonts w:eastAsia="PMingLiU"/>
          <w:b/>
        </w:rPr>
      </w:pPr>
    </w:p>
    <w:p w14:paraId="6779BD73" w14:textId="77777777" w:rsidR="002667DD" w:rsidRPr="00283726" w:rsidRDefault="002667DD" w:rsidP="002667DD">
      <w:pPr>
        <w:rPr>
          <w:rFonts w:eastAsia="PMingLiU"/>
        </w:rPr>
      </w:pPr>
      <w:r>
        <w:rPr>
          <w:rFonts w:eastAsia="PMingLiU"/>
        </w:rPr>
        <w:t>As Accounting Officer, I function with the support of the Audit and Risk Management Committee and the Senior Management Team.</w:t>
      </w:r>
    </w:p>
    <w:p w14:paraId="4465D3D2" w14:textId="77777777" w:rsidR="002667DD" w:rsidRPr="009B4441" w:rsidRDefault="002667DD" w:rsidP="002667DD">
      <w:pPr>
        <w:rPr>
          <w:rFonts w:eastAsia="PMingLiU"/>
        </w:rPr>
      </w:pPr>
    </w:p>
    <w:p w14:paraId="117C0079" w14:textId="77777777" w:rsidR="002667DD" w:rsidRPr="00B814F8" w:rsidRDefault="002667DD" w:rsidP="002667DD">
      <w:pPr>
        <w:rPr>
          <w:rFonts w:eastAsia="PMingLiU"/>
          <w:b/>
        </w:rPr>
      </w:pPr>
      <w:r w:rsidRPr="00B814F8">
        <w:rPr>
          <w:rFonts w:eastAsia="PMingLiU"/>
          <w:b/>
        </w:rPr>
        <w:t>Commissioners’ Meetings</w:t>
      </w:r>
    </w:p>
    <w:p w14:paraId="5D2AEBFC" w14:textId="77777777" w:rsidR="002667DD" w:rsidRPr="00B814F8" w:rsidRDefault="002667DD" w:rsidP="002667DD">
      <w:pPr>
        <w:rPr>
          <w:rFonts w:eastAsia="PMingLiU"/>
          <w:b/>
        </w:rPr>
      </w:pPr>
    </w:p>
    <w:p w14:paraId="52AC0E11" w14:textId="1151BD96" w:rsidR="002667DD" w:rsidRPr="00B814F8" w:rsidRDefault="002667DD" w:rsidP="002667DD">
      <w:pPr>
        <w:rPr>
          <w:rFonts w:eastAsia="PMingLiU"/>
        </w:rPr>
      </w:pPr>
      <w:r w:rsidRPr="3285EAFF">
        <w:rPr>
          <w:rFonts w:eastAsia="PMingLiU"/>
        </w:rPr>
        <w:t xml:space="preserve">The Commission met </w:t>
      </w:r>
      <w:r>
        <w:rPr>
          <w:rFonts w:eastAsia="PMingLiU"/>
        </w:rPr>
        <w:t>1</w:t>
      </w:r>
      <w:r w:rsidR="00486AA1">
        <w:rPr>
          <w:rFonts w:eastAsia="PMingLiU"/>
        </w:rPr>
        <w:t>0</w:t>
      </w:r>
      <w:r w:rsidRPr="3285EAFF">
        <w:rPr>
          <w:rFonts w:eastAsia="PMingLiU"/>
        </w:rPr>
        <w:t xml:space="preserve"> times during the reporting period</w:t>
      </w:r>
      <w:r>
        <w:rPr>
          <w:rFonts w:eastAsia="PMingLiU"/>
        </w:rPr>
        <w:t xml:space="preserve"> (1</w:t>
      </w:r>
      <w:r w:rsidR="00486AA1">
        <w:rPr>
          <w:rFonts w:eastAsia="PMingLiU"/>
        </w:rPr>
        <w:t>0</w:t>
      </w:r>
      <w:r>
        <w:rPr>
          <w:rFonts w:eastAsia="PMingLiU"/>
        </w:rPr>
        <w:t xml:space="preserve"> ordinary Commission meetings and </w:t>
      </w:r>
      <w:r w:rsidR="001D551F">
        <w:rPr>
          <w:rFonts w:eastAsia="PMingLiU"/>
        </w:rPr>
        <w:t>no</w:t>
      </w:r>
      <w:r>
        <w:rPr>
          <w:rFonts w:eastAsia="PMingLiU"/>
        </w:rPr>
        <w:t xml:space="preserve"> special Commission meeting</w:t>
      </w:r>
      <w:r w:rsidR="00B042C7">
        <w:rPr>
          <w:rFonts w:eastAsia="PMingLiU"/>
        </w:rPr>
        <w:t>s</w:t>
      </w:r>
      <w:r>
        <w:rPr>
          <w:rFonts w:eastAsia="PMingLiU"/>
        </w:rPr>
        <w:t>)</w:t>
      </w:r>
      <w:r w:rsidRPr="3285EAFF">
        <w:rPr>
          <w:rFonts w:eastAsia="PMingLiU"/>
        </w:rPr>
        <w:t>.</w:t>
      </w:r>
    </w:p>
    <w:p w14:paraId="2DA4951E" w14:textId="77777777" w:rsidR="002667DD" w:rsidRPr="00B814F8" w:rsidRDefault="002667DD" w:rsidP="002667DD">
      <w:pPr>
        <w:rPr>
          <w:rFonts w:eastAsia="PMingLiU"/>
        </w:rPr>
      </w:pPr>
    </w:p>
    <w:p w14:paraId="1DF96BCE" w14:textId="2ED54115" w:rsidR="002667DD" w:rsidRPr="00B814F8" w:rsidRDefault="002667DD" w:rsidP="002667DD">
      <w:pPr>
        <w:rPr>
          <w:rFonts w:eastAsia="PMingLiU"/>
        </w:rPr>
      </w:pPr>
      <w:r w:rsidRPr="00B814F8">
        <w:rPr>
          <w:rFonts w:eastAsia="PMingLiU"/>
        </w:rPr>
        <w:t>The following served as</w:t>
      </w:r>
      <w:r>
        <w:rPr>
          <w:rFonts w:eastAsia="PMingLiU"/>
        </w:rPr>
        <w:t xml:space="preserve"> Commissioners from 1 April 202</w:t>
      </w:r>
      <w:r w:rsidR="00486AA1">
        <w:rPr>
          <w:rFonts w:eastAsia="PMingLiU"/>
        </w:rPr>
        <w:t>4</w:t>
      </w:r>
      <w:r>
        <w:rPr>
          <w:rFonts w:eastAsia="PMingLiU"/>
        </w:rPr>
        <w:t xml:space="preserve"> - 31 March 202</w:t>
      </w:r>
      <w:r w:rsidR="00486AA1">
        <w:rPr>
          <w:rFonts w:eastAsia="PMingLiU"/>
        </w:rPr>
        <w:t>5</w:t>
      </w:r>
    </w:p>
    <w:p w14:paraId="04A97164" w14:textId="77777777" w:rsidR="002667DD" w:rsidRPr="00B814F8" w:rsidRDefault="002667DD" w:rsidP="002667DD">
      <w:pPr>
        <w:rPr>
          <w:rFonts w:eastAsia="PMingLiU"/>
        </w:rPr>
      </w:pPr>
    </w:p>
    <w:tbl>
      <w:tblPr>
        <w:tblW w:w="0" w:type="auto"/>
        <w:tblLook w:val="04A0" w:firstRow="1" w:lastRow="0" w:firstColumn="1" w:lastColumn="0" w:noHBand="0" w:noVBand="1"/>
      </w:tblPr>
      <w:tblGrid>
        <w:gridCol w:w="6318"/>
        <w:gridCol w:w="2753"/>
      </w:tblGrid>
      <w:tr w:rsidR="002667DD" w:rsidRPr="00B814F8" w14:paraId="763F4283" w14:textId="77777777" w:rsidTr="001958BD">
        <w:tc>
          <w:tcPr>
            <w:tcW w:w="6318" w:type="dxa"/>
            <w:shd w:val="clear" w:color="auto" w:fill="auto"/>
          </w:tcPr>
          <w:p w14:paraId="736FBB9A" w14:textId="77777777" w:rsidR="002667DD" w:rsidRPr="00B814F8" w:rsidRDefault="002667DD" w:rsidP="001958BD">
            <w:pPr>
              <w:rPr>
                <w:rFonts w:eastAsia="PMingLiU"/>
              </w:rPr>
            </w:pPr>
          </w:p>
        </w:tc>
        <w:tc>
          <w:tcPr>
            <w:tcW w:w="2753" w:type="dxa"/>
            <w:shd w:val="clear" w:color="auto" w:fill="auto"/>
          </w:tcPr>
          <w:p w14:paraId="207CFE94" w14:textId="77777777" w:rsidR="002667DD" w:rsidRPr="00B814F8" w:rsidRDefault="002667DD" w:rsidP="001958BD">
            <w:pPr>
              <w:rPr>
                <w:rFonts w:eastAsia="PMingLiU"/>
                <w:b/>
              </w:rPr>
            </w:pPr>
            <w:r w:rsidRPr="00B814F8">
              <w:rPr>
                <w:rFonts w:eastAsia="PMingLiU"/>
                <w:b/>
              </w:rPr>
              <w:t>Meetings attended</w:t>
            </w:r>
          </w:p>
        </w:tc>
      </w:tr>
      <w:tr w:rsidR="002667DD" w:rsidRPr="008711E7" w14:paraId="6CB3396F" w14:textId="77777777" w:rsidTr="001958BD">
        <w:tc>
          <w:tcPr>
            <w:tcW w:w="6318" w:type="dxa"/>
            <w:shd w:val="clear" w:color="auto" w:fill="auto"/>
          </w:tcPr>
          <w:p w14:paraId="73E7981E" w14:textId="77777777" w:rsidR="002667DD" w:rsidRDefault="002667DD" w:rsidP="001958BD">
            <w:r>
              <w:t xml:space="preserve">Alyson Kilpatrick </w:t>
            </w:r>
          </w:p>
        </w:tc>
        <w:tc>
          <w:tcPr>
            <w:tcW w:w="2753" w:type="dxa"/>
            <w:shd w:val="clear" w:color="auto" w:fill="auto"/>
          </w:tcPr>
          <w:p w14:paraId="16C3B2E8" w14:textId="63BC5802" w:rsidR="002667DD" w:rsidRPr="3285EAFF" w:rsidRDefault="00D96E6B" w:rsidP="001958BD">
            <w:pPr>
              <w:jc w:val="right"/>
              <w:rPr>
                <w:rFonts w:eastAsia="PMingLiU"/>
              </w:rPr>
            </w:pPr>
            <w:r>
              <w:rPr>
                <w:rFonts w:eastAsia="PMingLiU"/>
              </w:rPr>
              <w:t>10</w:t>
            </w:r>
            <w:r w:rsidR="002667DD">
              <w:rPr>
                <w:rFonts w:eastAsia="PMingLiU"/>
              </w:rPr>
              <w:t>/1</w:t>
            </w:r>
            <w:r>
              <w:rPr>
                <w:rFonts w:eastAsia="PMingLiU"/>
              </w:rPr>
              <w:t>0</w:t>
            </w:r>
          </w:p>
        </w:tc>
      </w:tr>
      <w:tr w:rsidR="002667DD" w:rsidRPr="008711E7" w14:paraId="652B3434" w14:textId="77777777" w:rsidTr="001958BD">
        <w:tc>
          <w:tcPr>
            <w:tcW w:w="6318" w:type="dxa"/>
            <w:shd w:val="clear" w:color="auto" w:fill="auto"/>
          </w:tcPr>
          <w:p w14:paraId="32AF3848" w14:textId="40901E4E" w:rsidR="00D96E6B" w:rsidRPr="00B814F8" w:rsidRDefault="002667DD" w:rsidP="001958BD">
            <w:r>
              <w:t>Helen Henderson</w:t>
            </w:r>
          </w:p>
        </w:tc>
        <w:tc>
          <w:tcPr>
            <w:tcW w:w="2753" w:type="dxa"/>
            <w:shd w:val="clear" w:color="auto" w:fill="auto"/>
          </w:tcPr>
          <w:p w14:paraId="070EFDCC" w14:textId="554FD435" w:rsidR="002667DD" w:rsidRDefault="0030136A" w:rsidP="001958BD">
            <w:pPr>
              <w:jc w:val="right"/>
              <w:rPr>
                <w:rFonts w:eastAsia="PMingLiU"/>
              </w:rPr>
            </w:pPr>
            <w:r>
              <w:rPr>
                <w:rFonts w:eastAsia="PMingLiU"/>
              </w:rPr>
              <w:t>9</w:t>
            </w:r>
            <w:r w:rsidR="002667DD">
              <w:rPr>
                <w:rFonts w:eastAsia="PMingLiU"/>
              </w:rPr>
              <w:t>/1</w:t>
            </w:r>
            <w:r>
              <w:rPr>
                <w:rFonts w:eastAsia="PMingLiU"/>
              </w:rPr>
              <w:t>0</w:t>
            </w:r>
          </w:p>
        </w:tc>
      </w:tr>
      <w:tr w:rsidR="00153C9A" w:rsidRPr="008711E7" w14:paraId="06D52F74" w14:textId="77777777" w:rsidTr="001958BD">
        <w:tc>
          <w:tcPr>
            <w:tcW w:w="6318" w:type="dxa"/>
            <w:shd w:val="clear" w:color="auto" w:fill="auto"/>
          </w:tcPr>
          <w:p w14:paraId="16605025" w14:textId="44FF4036" w:rsidR="00153C9A" w:rsidRDefault="00153C9A" w:rsidP="001958BD">
            <w:r>
              <w:t>Mairead Holder (from 01 September 2024)</w:t>
            </w:r>
          </w:p>
        </w:tc>
        <w:tc>
          <w:tcPr>
            <w:tcW w:w="2753" w:type="dxa"/>
            <w:shd w:val="clear" w:color="auto" w:fill="auto"/>
          </w:tcPr>
          <w:p w14:paraId="07EF6A7F" w14:textId="3BFC7956" w:rsidR="00153C9A" w:rsidRDefault="0050212D" w:rsidP="001958BD">
            <w:pPr>
              <w:jc w:val="right"/>
              <w:rPr>
                <w:rFonts w:eastAsia="PMingLiU"/>
              </w:rPr>
            </w:pPr>
            <w:r>
              <w:rPr>
                <w:rFonts w:eastAsia="PMingLiU"/>
              </w:rPr>
              <w:t>6/7</w:t>
            </w:r>
          </w:p>
        </w:tc>
      </w:tr>
      <w:tr w:rsidR="002667DD" w:rsidRPr="008711E7" w14:paraId="3275D802" w14:textId="77777777" w:rsidTr="001958BD">
        <w:tc>
          <w:tcPr>
            <w:tcW w:w="6318" w:type="dxa"/>
            <w:shd w:val="clear" w:color="auto" w:fill="auto"/>
          </w:tcPr>
          <w:p w14:paraId="457E9877" w14:textId="77777777" w:rsidR="002667DD" w:rsidRDefault="002667DD" w:rsidP="001958BD">
            <w:pPr>
              <w:rPr>
                <w:rFonts w:eastAsia="PMingLiU"/>
              </w:rPr>
            </w:pPr>
            <w:r>
              <w:rPr>
                <w:rFonts w:eastAsia="PMingLiU"/>
              </w:rPr>
              <w:t>Jonathan Kearney</w:t>
            </w:r>
          </w:p>
          <w:p w14:paraId="24ABE473" w14:textId="7CD0A67D" w:rsidR="002667DD" w:rsidRPr="00B814F8" w:rsidRDefault="002667DD" w:rsidP="001958BD">
            <w:pPr>
              <w:rPr>
                <w:rFonts w:eastAsia="PMingLiU"/>
              </w:rPr>
            </w:pPr>
            <w:r>
              <w:rPr>
                <w:rFonts w:eastAsia="PMingLiU"/>
              </w:rPr>
              <w:t xml:space="preserve">Justin Kouame                      </w:t>
            </w:r>
          </w:p>
        </w:tc>
        <w:tc>
          <w:tcPr>
            <w:tcW w:w="2753" w:type="dxa"/>
            <w:shd w:val="clear" w:color="auto" w:fill="auto"/>
          </w:tcPr>
          <w:p w14:paraId="7167D3BC" w14:textId="3E7ED016" w:rsidR="002667DD" w:rsidRDefault="0050212D" w:rsidP="001958BD">
            <w:pPr>
              <w:jc w:val="right"/>
              <w:rPr>
                <w:rFonts w:eastAsia="PMingLiU"/>
              </w:rPr>
            </w:pPr>
            <w:r>
              <w:rPr>
                <w:rFonts w:eastAsia="PMingLiU"/>
              </w:rPr>
              <w:t>8</w:t>
            </w:r>
            <w:r w:rsidR="002667DD">
              <w:rPr>
                <w:rFonts w:eastAsia="PMingLiU"/>
              </w:rPr>
              <w:t>/1</w:t>
            </w:r>
            <w:r>
              <w:rPr>
                <w:rFonts w:eastAsia="PMingLiU"/>
              </w:rPr>
              <w:t>0</w:t>
            </w:r>
          </w:p>
          <w:p w14:paraId="3732C9D6" w14:textId="1A886FEA" w:rsidR="002667DD" w:rsidRPr="00A71E41" w:rsidRDefault="0050212D" w:rsidP="001958BD">
            <w:pPr>
              <w:jc w:val="right"/>
              <w:rPr>
                <w:rFonts w:eastAsia="PMingLiU"/>
              </w:rPr>
            </w:pPr>
            <w:r>
              <w:rPr>
                <w:rFonts w:eastAsia="PMingLiU"/>
              </w:rPr>
              <w:t>7</w:t>
            </w:r>
            <w:r w:rsidR="002667DD">
              <w:rPr>
                <w:rFonts w:eastAsia="PMingLiU"/>
              </w:rPr>
              <w:t>/</w:t>
            </w:r>
            <w:r w:rsidR="00BB69DF">
              <w:rPr>
                <w:rFonts w:eastAsia="PMingLiU"/>
              </w:rPr>
              <w:t>1</w:t>
            </w:r>
            <w:r>
              <w:rPr>
                <w:rFonts w:eastAsia="PMingLiU"/>
              </w:rPr>
              <w:t>0</w:t>
            </w:r>
          </w:p>
        </w:tc>
      </w:tr>
      <w:tr w:rsidR="002667DD" w:rsidRPr="008711E7" w14:paraId="03779415" w14:textId="77777777" w:rsidTr="001958BD">
        <w:tc>
          <w:tcPr>
            <w:tcW w:w="6318" w:type="dxa"/>
            <w:shd w:val="clear" w:color="auto" w:fill="auto"/>
          </w:tcPr>
          <w:p w14:paraId="6DEC8038" w14:textId="77777777" w:rsidR="002667DD" w:rsidRPr="00B814F8" w:rsidRDefault="002667DD" w:rsidP="001958BD">
            <w:r>
              <w:t>David Lavery CB</w:t>
            </w:r>
          </w:p>
        </w:tc>
        <w:tc>
          <w:tcPr>
            <w:tcW w:w="2753" w:type="dxa"/>
            <w:shd w:val="clear" w:color="auto" w:fill="auto"/>
          </w:tcPr>
          <w:p w14:paraId="24FFC6BA" w14:textId="7589605A" w:rsidR="002667DD" w:rsidRDefault="002B3EF1" w:rsidP="001958BD">
            <w:pPr>
              <w:jc w:val="right"/>
              <w:rPr>
                <w:rFonts w:eastAsia="PMingLiU"/>
              </w:rPr>
            </w:pPr>
            <w:r>
              <w:rPr>
                <w:rFonts w:eastAsia="PMingLiU"/>
              </w:rPr>
              <w:t>8</w:t>
            </w:r>
            <w:r w:rsidR="002667DD">
              <w:rPr>
                <w:rFonts w:eastAsia="PMingLiU"/>
              </w:rPr>
              <w:t>/1</w:t>
            </w:r>
            <w:r w:rsidR="0050212D">
              <w:rPr>
                <w:rFonts w:eastAsia="PMingLiU"/>
              </w:rPr>
              <w:t>0</w:t>
            </w:r>
          </w:p>
        </w:tc>
      </w:tr>
      <w:tr w:rsidR="002667DD" w:rsidRPr="008711E7" w14:paraId="552DE985" w14:textId="77777777" w:rsidTr="001958BD">
        <w:tc>
          <w:tcPr>
            <w:tcW w:w="6318" w:type="dxa"/>
            <w:shd w:val="clear" w:color="auto" w:fill="auto"/>
          </w:tcPr>
          <w:p w14:paraId="64E62D38" w14:textId="77777777" w:rsidR="002667DD" w:rsidRDefault="002667DD" w:rsidP="001958BD">
            <w:r>
              <w:t>Stephen White OBE</w:t>
            </w:r>
          </w:p>
        </w:tc>
        <w:tc>
          <w:tcPr>
            <w:tcW w:w="2753" w:type="dxa"/>
            <w:shd w:val="clear" w:color="auto" w:fill="auto"/>
          </w:tcPr>
          <w:p w14:paraId="6D619F6C" w14:textId="3B2ED53F" w:rsidR="002667DD" w:rsidRDefault="0050212D" w:rsidP="001958BD">
            <w:pPr>
              <w:jc w:val="right"/>
              <w:rPr>
                <w:rFonts w:eastAsia="PMingLiU"/>
              </w:rPr>
            </w:pPr>
            <w:r>
              <w:rPr>
                <w:rFonts w:eastAsia="PMingLiU"/>
              </w:rPr>
              <w:t>9</w:t>
            </w:r>
            <w:r w:rsidR="002667DD">
              <w:rPr>
                <w:rFonts w:eastAsia="PMingLiU"/>
              </w:rPr>
              <w:t>/1</w:t>
            </w:r>
            <w:r>
              <w:rPr>
                <w:rFonts w:eastAsia="PMingLiU"/>
              </w:rPr>
              <w:t>0</w:t>
            </w:r>
          </w:p>
        </w:tc>
      </w:tr>
    </w:tbl>
    <w:p w14:paraId="316F581F" w14:textId="77777777" w:rsidR="00607470" w:rsidRDefault="00607470" w:rsidP="002667DD">
      <w:pPr>
        <w:rPr>
          <w:rFonts w:eastAsia="PMingLiU"/>
          <w:b/>
        </w:rPr>
      </w:pPr>
    </w:p>
    <w:p w14:paraId="3E1EAC90" w14:textId="106C9A7D" w:rsidR="002667DD" w:rsidRPr="00B814F8" w:rsidRDefault="002667DD" w:rsidP="002667DD">
      <w:pPr>
        <w:rPr>
          <w:rFonts w:eastAsia="PMingLiU"/>
          <w:b/>
        </w:rPr>
      </w:pPr>
      <w:r w:rsidRPr="00B814F8">
        <w:rPr>
          <w:rFonts w:eastAsia="PMingLiU"/>
          <w:b/>
        </w:rPr>
        <w:t>Audit and Risk Management Committee Meetings</w:t>
      </w:r>
    </w:p>
    <w:p w14:paraId="39CEF8D7" w14:textId="77777777" w:rsidR="002667DD" w:rsidRPr="00B814F8" w:rsidRDefault="002667DD" w:rsidP="002667DD">
      <w:pPr>
        <w:rPr>
          <w:rFonts w:eastAsia="PMingLiU"/>
          <w:b/>
        </w:rPr>
      </w:pPr>
    </w:p>
    <w:p w14:paraId="2324607E" w14:textId="3D9860C6" w:rsidR="00604725" w:rsidRPr="00604725" w:rsidRDefault="00604725" w:rsidP="00604725">
      <w:pPr>
        <w:rPr>
          <w:rFonts w:eastAsia="PMingLiU"/>
        </w:rPr>
      </w:pPr>
      <w:r w:rsidRPr="00604725">
        <w:rPr>
          <w:rFonts w:eastAsia="PMingLiU"/>
        </w:rPr>
        <w:t>The Audit and Risk Management Committee normally meet quarterly but due to unforeseen circumstances only met twice during the reporting period.</w:t>
      </w:r>
      <w:r>
        <w:rPr>
          <w:rFonts w:eastAsia="PMingLiU"/>
        </w:rPr>
        <w:t xml:space="preserve">  </w:t>
      </w:r>
      <w:r w:rsidRPr="00604725">
        <w:rPr>
          <w:rFonts w:eastAsia="PMingLiU"/>
          <w:lang w:val="en-US"/>
        </w:rPr>
        <w:t>However, meetings were held with the Independent Chair to provide an update on any issues and the full Commission Board were also kept informed of any developments at their monthly meetings.</w:t>
      </w:r>
    </w:p>
    <w:p w14:paraId="602B4310" w14:textId="77777777" w:rsidR="002667DD" w:rsidRPr="00B814F8" w:rsidRDefault="002667DD" w:rsidP="002667DD">
      <w:pPr>
        <w:rPr>
          <w:rFonts w:eastAsia="PMingLiU"/>
        </w:rPr>
      </w:pPr>
    </w:p>
    <w:tbl>
      <w:tblPr>
        <w:tblW w:w="0" w:type="auto"/>
        <w:tblLook w:val="04A0" w:firstRow="1" w:lastRow="0" w:firstColumn="1" w:lastColumn="0" w:noHBand="0" w:noVBand="1"/>
      </w:tblPr>
      <w:tblGrid>
        <w:gridCol w:w="6318"/>
        <w:gridCol w:w="2753"/>
      </w:tblGrid>
      <w:tr w:rsidR="002667DD" w:rsidRPr="00B814F8" w14:paraId="51AC98D9" w14:textId="77777777" w:rsidTr="54F71CB4">
        <w:tc>
          <w:tcPr>
            <w:tcW w:w="6318" w:type="dxa"/>
            <w:shd w:val="clear" w:color="auto" w:fill="auto"/>
          </w:tcPr>
          <w:p w14:paraId="76B8AE1A" w14:textId="77777777" w:rsidR="002667DD" w:rsidRPr="00B814F8" w:rsidRDefault="002667DD" w:rsidP="001958BD">
            <w:pPr>
              <w:rPr>
                <w:rFonts w:eastAsia="PMingLiU"/>
              </w:rPr>
            </w:pPr>
          </w:p>
        </w:tc>
        <w:tc>
          <w:tcPr>
            <w:tcW w:w="2753" w:type="dxa"/>
            <w:shd w:val="clear" w:color="auto" w:fill="auto"/>
          </w:tcPr>
          <w:p w14:paraId="25FC0DDD" w14:textId="77777777" w:rsidR="002667DD" w:rsidRPr="00B814F8" w:rsidRDefault="002667DD" w:rsidP="001958BD">
            <w:pPr>
              <w:rPr>
                <w:rFonts w:eastAsia="PMingLiU"/>
                <w:b/>
              </w:rPr>
            </w:pPr>
            <w:r w:rsidRPr="00B814F8">
              <w:rPr>
                <w:rFonts w:eastAsia="PMingLiU"/>
                <w:b/>
              </w:rPr>
              <w:t>Meetings attended</w:t>
            </w:r>
          </w:p>
        </w:tc>
      </w:tr>
      <w:tr w:rsidR="002667DD" w:rsidRPr="00B814F8" w14:paraId="29B82F88" w14:textId="77777777" w:rsidTr="54F71CB4">
        <w:tc>
          <w:tcPr>
            <w:tcW w:w="6318" w:type="dxa"/>
            <w:shd w:val="clear" w:color="auto" w:fill="auto"/>
          </w:tcPr>
          <w:p w14:paraId="65709432" w14:textId="77777777" w:rsidR="002667DD" w:rsidRPr="00B814F8" w:rsidRDefault="002667DD" w:rsidP="001958BD">
            <w:pPr>
              <w:rPr>
                <w:rFonts w:eastAsia="PMingLiU"/>
              </w:rPr>
            </w:pPr>
            <w:r>
              <w:rPr>
                <w:rFonts w:eastAsia="PMingLiU"/>
              </w:rPr>
              <w:t>Sean Donaghy</w:t>
            </w:r>
          </w:p>
        </w:tc>
        <w:tc>
          <w:tcPr>
            <w:tcW w:w="2753" w:type="dxa"/>
            <w:shd w:val="clear" w:color="auto" w:fill="auto"/>
          </w:tcPr>
          <w:p w14:paraId="2AF23A6D" w14:textId="6AF002D7" w:rsidR="002667DD" w:rsidRPr="00B814F8" w:rsidRDefault="00033553" w:rsidP="001958BD">
            <w:pPr>
              <w:jc w:val="right"/>
              <w:rPr>
                <w:rFonts w:eastAsia="PMingLiU"/>
              </w:rPr>
            </w:pPr>
            <w:r>
              <w:rPr>
                <w:rFonts w:eastAsia="PMingLiU"/>
              </w:rPr>
              <w:t>2</w:t>
            </w:r>
            <w:r w:rsidR="002667DD" w:rsidRPr="54F71CB4">
              <w:rPr>
                <w:rFonts w:eastAsia="PMingLiU"/>
              </w:rPr>
              <w:t>/</w:t>
            </w:r>
            <w:r>
              <w:rPr>
                <w:rFonts w:eastAsia="PMingLiU"/>
              </w:rPr>
              <w:t>2</w:t>
            </w:r>
          </w:p>
        </w:tc>
      </w:tr>
      <w:tr w:rsidR="002C2BB9" w:rsidRPr="00B814F8" w14:paraId="1D357E2F" w14:textId="77777777" w:rsidTr="54F71CB4">
        <w:tc>
          <w:tcPr>
            <w:tcW w:w="6318" w:type="dxa"/>
            <w:shd w:val="clear" w:color="auto" w:fill="auto"/>
          </w:tcPr>
          <w:p w14:paraId="17A292EB" w14:textId="5163CAA3" w:rsidR="002C2BB9" w:rsidRDefault="45A68424" w:rsidP="001958BD">
            <w:pPr>
              <w:rPr>
                <w:rFonts w:eastAsia="PMingLiU"/>
              </w:rPr>
            </w:pPr>
            <w:r w:rsidRPr="54F71CB4">
              <w:rPr>
                <w:rFonts w:eastAsia="PMingLiU"/>
              </w:rPr>
              <w:t xml:space="preserve">Helen Henderson </w:t>
            </w:r>
          </w:p>
        </w:tc>
        <w:tc>
          <w:tcPr>
            <w:tcW w:w="2753" w:type="dxa"/>
            <w:shd w:val="clear" w:color="auto" w:fill="auto"/>
          </w:tcPr>
          <w:p w14:paraId="52EB0541" w14:textId="7F57CA5E" w:rsidR="002C2BB9" w:rsidRDefault="00033553" w:rsidP="001958BD">
            <w:pPr>
              <w:jc w:val="right"/>
              <w:rPr>
                <w:rFonts w:eastAsia="PMingLiU"/>
              </w:rPr>
            </w:pPr>
            <w:r>
              <w:rPr>
                <w:rFonts w:eastAsia="PMingLiU"/>
              </w:rPr>
              <w:t>2</w:t>
            </w:r>
            <w:r w:rsidR="45A68424" w:rsidRPr="54F71CB4">
              <w:rPr>
                <w:rFonts w:eastAsia="PMingLiU"/>
              </w:rPr>
              <w:t>/</w:t>
            </w:r>
            <w:r>
              <w:rPr>
                <w:rFonts w:eastAsia="PMingLiU"/>
              </w:rPr>
              <w:t>2</w:t>
            </w:r>
          </w:p>
        </w:tc>
      </w:tr>
      <w:tr w:rsidR="002667DD" w:rsidRPr="008711E7" w14:paraId="34F72254" w14:textId="77777777" w:rsidTr="54F71CB4">
        <w:tc>
          <w:tcPr>
            <w:tcW w:w="6318" w:type="dxa"/>
            <w:shd w:val="clear" w:color="auto" w:fill="auto"/>
          </w:tcPr>
          <w:p w14:paraId="1A043645" w14:textId="77777777" w:rsidR="002667DD" w:rsidRPr="00B814F8" w:rsidRDefault="002667DD" w:rsidP="001958BD">
            <w:pPr>
              <w:rPr>
                <w:rFonts w:eastAsia="PMingLiU"/>
              </w:rPr>
            </w:pPr>
            <w:r>
              <w:rPr>
                <w:rFonts w:eastAsia="PMingLiU"/>
              </w:rPr>
              <w:t>David Lavery CB</w:t>
            </w:r>
          </w:p>
        </w:tc>
        <w:tc>
          <w:tcPr>
            <w:tcW w:w="2753" w:type="dxa"/>
            <w:shd w:val="clear" w:color="auto" w:fill="auto"/>
          </w:tcPr>
          <w:p w14:paraId="2EA2C1F2" w14:textId="70A39D1C" w:rsidR="002667DD" w:rsidRPr="008711E7" w:rsidRDefault="00033553" w:rsidP="001958BD">
            <w:pPr>
              <w:jc w:val="right"/>
              <w:rPr>
                <w:rFonts w:eastAsia="PMingLiU"/>
              </w:rPr>
            </w:pPr>
            <w:r>
              <w:rPr>
                <w:rFonts w:eastAsia="PMingLiU"/>
              </w:rPr>
              <w:t>2</w:t>
            </w:r>
            <w:r w:rsidR="002667DD" w:rsidRPr="54F71CB4">
              <w:rPr>
                <w:rFonts w:eastAsia="PMingLiU"/>
              </w:rPr>
              <w:t>/</w:t>
            </w:r>
            <w:r>
              <w:rPr>
                <w:rFonts w:eastAsia="PMingLiU"/>
              </w:rPr>
              <w:t>2</w:t>
            </w:r>
          </w:p>
        </w:tc>
      </w:tr>
      <w:tr w:rsidR="002667DD" w:rsidRPr="008711E7" w14:paraId="4D8CE2BD" w14:textId="77777777" w:rsidTr="54F71CB4">
        <w:tc>
          <w:tcPr>
            <w:tcW w:w="6318" w:type="dxa"/>
            <w:shd w:val="clear" w:color="auto" w:fill="auto"/>
          </w:tcPr>
          <w:p w14:paraId="369CAAF9" w14:textId="77777777" w:rsidR="002667DD" w:rsidRDefault="002667DD" w:rsidP="001958BD">
            <w:pPr>
              <w:rPr>
                <w:rFonts w:eastAsia="PMingLiU"/>
              </w:rPr>
            </w:pPr>
            <w:r>
              <w:rPr>
                <w:rFonts w:eastAsia="PMingLiU"/>
              </w:rPr>
              <w:t xml:space="preserve">Stephen White OBE </w:t>
            </w:r>
          </w:p>
        </w:tc>
        <w:tc>
          <w:tcPr>
            <w:tcW w:w="2753" w:type="dxa"/>
            <w:shd w:val="clear" w:color="auto" w:fill="auto"/>
          </w:tcPr>
          <w:p w14:paraId="3357E22F" w14:textId="16689089" w:rsidR="002667DD" w:rsidRDefault="00033553" w:rsidP="001958BD">
            <w:pPr>
              <w:jc w:val="right"/>
              <w:rPr>
                <w:rFonts w:eastAsia="PMingLiU"/>
              </w:rPr>
            </w:pPr>
            <w:r>
              <w:rPr>
                <w:rFonts w:eastAsia="PMingLiU"/>
              </w:rPr>
              <w:t>1</w:t>
            </w:r>
            <w:r w:rsidR="002667DD" w:rsidRPr="54F71CB4">
              <w:rPr>
                <w:rFonts w:eastAsia="PMingLiU"/>
              </w:rPr>
              <w:t>/</w:t>
            </w:r>
            <w:r>
              <w:rPr>
                <w:rFonts w:eastAsia="PMingLiU"/>
              </w:rPr>
              <w:t>2</w:t>
            </w:r>
          </w:p>
        </w:tc>
      </w:tr>
      <w:tr w:rsidR="002667DD" w:rsidRPr="008711E7" w14:paraId="3BDD39EE" w14:textId="77777777" w:rsidTr="54F71CB4">
        <w:tc>
          <w:tcPr>
            <w:tcW w:w="6318" w:type="dxa"/>
            <w:shd w:val="clear" w:color="auto" w:fill="auto"/>
          </w:tcPr>
          <w:p w14:paraId="30E3594F" w14:textId="77777777" w:rsidR="002667DD" w:rsidRDefault="002667DD" w:rsidP="001958BD">
            <w:pPr>
              <w:rPr>
                <w:rFonts w:eastAsia="PMingLiU"/>
              </w:rPr>
            </w:pPr>
          </w:p>
        </w:tc>
        <w:tc>
          <w:tcPr>
            <w:tcW w:w="2753" w:type="dxa"/>
            <w:shd w:val="clear" w:color="auto" w:fill="auto"/>
          </w:tcPr>
          <w:p w14:paraId="1CE5EDB7" w14:textId="77777777" w:rsidR="002667DD" w:rsidRDefault="002667DD" w:rsidP="001958BD">
            <w:pPr>
              <w:jc w:val="right"/>
              <w:rPr>
                <w:rFonts w:eastAsia="PMingLiU"/>
              </w:rPr>
            </w:pPr>
          </w:p>
        </w:tc>
      </w:tr>
    </w:tbl>
    <w:p w14:paraId="0AF186D2" w14:textId="2E05D79F" w:rsidR="002667DD" w:rsidRPr="003F7E43" w:rsidRDefault="002667DD" w:rsidP="002667DD">
      <w:pPr>
        <w:pStyle w:val="Default"/>
        <w:rPr>
          <w:rFonts w:ascii="Verdana" w:hAnsi="Verdana"/>
        </w:rPr>
      </w:pPr>
      <w:r w:rsidRPr="003F7E43">
        <w:rPr>
          <w:rFonts w:ascii="Verdana" w:hAnsi="Verdana"/>
        </w:rPr>
        <w:lastRenderedPageBreak/>
        <w:t>The Audit and Ris</w:t>
      </w:r>
      <w:r>
        <w:rPr>
          <w:rFonts w:ascii="Verdana" w:hAnsi="Verdana"/>
        </w:rPr>
        <w:t>k Management Committee comprised</w:t>
      </w:r>
      <w:r w:rsidRPr="003F7E43">
        <w:rPr>
          <w:rFonts w:ascii="Verdana" w:hAnsi="Verdana"/>
        </w:rPr>
        <w:t xml:space="preserve"> an </w:t>
      </w:r>
      <w:r>
        <w:rPr>
          <w:rFonts w:ascii="Verdana" w:hAnsi="Verdana"/>
        </w:rPr>
        <w:t>independent Chairperson, who had</w:t>
      </w:r>
      <w:r w:rsidRPr="003F7E43">
        <w:rPr>
          <w:rFonts w:ascii="Verdana" w:hAnsi="Verdana"/>
        </w:rPr>
        <w:t xml:space="preserve"> extensive financial management experience at a senior level in the </w:t>
      </w:r>
      <w:r>
        <w:rPr>
          <w:rFonts w:ascii="Verdana" w:hAnsi="Verdana"/>
        </w:rPr>
        <w:t>public sector, and</w:t>
      </w:r>
      <w:r w:rsidRPr="003F7E43">
        <w:rPr>
          <w:rFonts w:ascii="Verdana" w:hAnsi="Verdana"/>
        </w:rPr>
        <w:t xml:space="preserve"> was appointed following an open recruitment competition, and up to </w:t>
      </w:r>
      <w:r>
        <w:rPr>
          <w:rFonts w:ascii="Verdana" w:hAnsi="Verdana"/>
        </w:rPr>
        <w:t>three</w:t>
      </w:r>
      <w:r w:rsidRPr="003F7E43">
        <w:rPr>
          <w:rFonts w:ascii="Verdana" w:hAnsi="Verdana"/>
        </w:rPr>
        <w:t xml:space="preserve"> Commissioners with a range of experience in corporate governance. Both the Commission’s internal and external auditors also attend Audit and Risk Management Committee meetings, as well as a representative of the </w:t>
      </w:r>
      <w:r w:rsidRPr="003F7E43">
        <w:rPr>
          <w:rFonts w:ascii="Verdana" w:eastAsia="PMingLiU" w:hAnsi="Verdana"/>
        </w:rPr>
        <w:t>Northern Ireland Office.</w:t>
      </w:r>
      <w:r>
        <w:rPr>
          <w:rFonts w:ascii="Verdana" w:eastAsia="PMingLiU" w:hAnsi="Verdana"/>
        </w:rPr>
        <w:t xml:space="preserve"> </w:t>
      </w:r>
    </w:p>
    <w:p w14:paraId="6ECDD305" w14:textId="77777777" w:rsidR="002667DD" w:rsidRPr="003F7E43" w:rsidRDefault="002667DD" w:rsidP="002667DD">
      <w:pPr>
        <w:pStyle w:val="Default"/>
        <w:rPr>
          <w:rFonts w:ascii="Verdana" w:hAnsi="Verdana"/>
        </w:rPr>
      </w:pPr>
    </w:p>
    <w:p w14:paraId="69255183" w14:textId="77777777" w:rsidR="002667DD" w:rsidRPr="008711E7" w:rsidRDefault="002667DD" w:rsidP="002667DD">
      <w:pPr>
        <w:pStyle w:val="Default"/>
        <w:rPr>
          <w:rFonts w:ascii="Verdana" w:hAnsi="Verdana"/>
        </w:rPr>
      </w:pPr>
      <w:r w:rsidRPr="003F7E43">
        <w:rPr>
          <w:rFonts w:ascii="Verdana" w:hAnsi="Verdana"/>
        </w:rPr>
        <w:t xml:space="preserve">As outlined, </w:t>
      </w:r>
      <w:r>
        <w:rPr>
          <w:rFonts w:ascii="Verdana" w:hAnsi="Verdana"/>
        </w:rPr>
        <w:t xml:space="preserve">a Commissioner from the </w:t>
      </w:r>
      <w:r w:rsidRPr="003F7E43">
        <w:rPr>
          <w:rFonts w:ascii="Verdana" w:hAnsi="Verdana"/>
        </w:rPr>
        <w:t xml:space="preserve">Audit and Risk Management Committee </w:t>
      </w:r>
      <w:r>
        <w:rPr>
          <w:rFonts w:ascii="Verdana" w:hAnsi="Verdana"/>
        </w:rPr>
        <w:t>provides an update on the meetings to the Commission meeting</w:t>
      </w:r>
      <w:r w:rsidRPr="003F7E43">
        <w:rPr>
          <w:rFonts w:ascii="Verdana" w:hAnsi="Verdana"/>
        </w:rPr>
        <w:t xml:space="preserve"> and the Committee reports annually to the Commission. Furthermore, the Chairperson has direct access to the Chief Executive and Chief Commissioner as appropriate.</w:t>
      </w:r>
    </w:p>
    <w:p w14:paraId="57B5019B" w14:textId="77777777" w:rsidR="002667DD" w:rsidRPr="007F2DCD" w:rsidRDefault="002667DD" w:rsidP="002667DD">
      <w:pPr>
        <w:pStyle w:val="Default"/>
        <w:rPr>
          <w:rFonts w:ascii="Verdana" w:hAnsi="Verdana"/>
          <w:sz w:val="22"/>
          <w:szCs w:val="22"/>
        </w:rPr>
      </w:pPr>
    </w:p>
    <w:p w14:paraId="560B6A2E" w14:textId="77777777" w:rsidR="002667DD" w:rsidRDefault="002667DD" w:rsidP="002667DD">
      <w:pPr>
        <w:pStyle w:val="Default"/>
        <w:rPr>
          <w:rFonts w:ascii="Verdana" w:hAnsi="Verdana"/>
        </w:rPr>
      </w:pPr>
      <w:r w:rsidRPr="000150A8">
        <w:rPr>
          <w:rFonts w:ascii="Verdana" w:hAnsi="Verdana"/>
        </w:rPr>
        <w:t xml:space="preserve">The Audit and Risk Management Committee has scheduled a review of its effectiveness. This will be completed, by using the National Audit Office’s Audit and Risk Assurance Committee Effectiveness Checklist, which condenses the good practice principles of </w:t>
      </w:r>
      <w:r w:rsidRPr="000150A8">
        <w:rPr>
          <w:rFonts w:ascii="Verdana" w:hAnsi="Verdana"/>
          <w:i/>
        </w:rPr>
        <w:t xml:space="preserve">HM Treasury’s Audit and Risk Assurance Committee Handbook. </w:t>
      </w:r>
      <w:r w:rsidRPr="000150A8">
        <w:rPr>
          <w:rFonts w:ascii="Verdana" w:hAnsi="Verdana"/>
        </w:rPr>
        <w:t>The Committee noted that it was performing effectively against the core elements of the principles and concluded that on an ongoing basis the Committee should consider utilisation of external specialist resource where appropriate. Any corporate issues of concern were brought to the Commission Board for discussion and approval.</w:t>
      </w:r>
      <w:r>
        <w:rPr>
          <w:rFonts w:ascii="Verdana" w:hAnsi="Verdana"/>
        </w:rPr>
        <w:t xml:space="preserve"> </w:t>
      </w:r>
    </w:p>
    <w:p w14:paraId="0EF53C82" w14:textId="77777777" w:rsidR="002667DD" w:rsidRPr="008711E7" w:rsidRDefault="002667DD" w:rsidP="002667DD">
      <w:pPr>
        <w:pStyle w:val="Default"/>
        <w:rPr>
          <w:rFonts w:ascii="Verdana" w:hAnsi="Verdana"/>
          <w:b/>
          <w:i/>
        </w:rPr>
      </w:pPr>
    </w:p>
    <w:p w14:paraId="711EF9E0" w14:textId="77777777" w:rsidR="002667DD" w:rsidRDefault="002667DD" w:rsidP="002667DD">
      <w:pPr>
        <w:rPr>
          <w:rFonts w:eastAsia="PMingLiU"/>
        </w:rPr>
      </w:pPr>
      <w:r w:rsidRPr="003F7E43">
        <w:rPr>
          <w:rFonts w:eastAsia="PMingLiU"/>
        </w:rPr>
        <w:t xml:space="preserve">The Audit and Risk Management Committee report as required and at least annually to the full Commission board through the Independent Chair of the Committee. Audit and Risk Management Committee papers are available to all Commissioners. The Commission works through </w:t>
      </w:r>
      <w:r>
        <w:rPr>
          <w:rFonts w:eastAsia="PMingLiU"/>
        </w:rPr>
        <w:t xml:space="preserve">a monthly </w:t>
      </w:r>
      <w:r w:rsidRPr="003F7E43">
        <w:rPr>
          <w:rFonts w:eastAsia="PMingLiU"/>
        </w:rPr>
        <w:t>Commission meeting</w:t>
      </w:r>
      <w:r>
        <w:rPr>
          <w:rFonts w:eastAsia="PMingLiU"/>
        </w:rPr>
        <w:t>, though there is provision for additional meetings if required.</w:t>
      </w:r>
      <w:r w:rsidRPr="003F7E43">
        <w:rPr>
          <w:rFonts w:eastAsia="PMingLiU"/>
        </w:rPr>
        <w:t xml:space="preserve"> </w:t>
      </w:r>
      <w:r>
        <w:rPr>
          <w:rFonts w:eastAsia="PMingLiU"/>
        </w:rPr>
        <w:t xml:space="preserve">It </w:t>
      </w:r>
      <w:r w:rsidRPr="003F7E43">
        <w:rPr>
          <w:rFonts w:eastAsia="PMingLiU"/>
        </w:rPr>
        <w:t xml:space="preserve">has no separate standing Committees other than that of Audit and Risk Management. </w:t>
      </w:r>
    </w:p>
    <w:p w14:paraId="4C64FE7C" w14:textId="77777777" w:rsidR="002667DD" w:rsidRDefault="002667DD" w:rsidP="002667DD">
      <w:pPr>
        <w:rPr>
          <w:rFonts w:eastAsia="PMingLiU"/>
        </w:rPr>
      </w:pPr>
    </w:p>
    <w:p w14:paraId="5983BB7A" w14:textId="77777777" w:rsidR="002667DD" w:rsidRPr="008711E7" w:rsidRDefault="002667DD" w:rsidP="002667DD">
      <w:pPr>
        <w:rPr>
          <w:rFonts w:eastAsia="PMingLiU"/>
        </w:rPr>
      </w:pPr>
      <w:bookmarkStart w:id="19" w:name="_Hlk135828817"/>
      <w:r w:rsidRPr="003F7E43">
        <w:rPr>
          <w:rFonts w:eastAsia="PMingLiU"/>
        </w:rPr>
        <w:t>The Commission is also represented by Commissioners and staff on the joint Independent Monitoring Committee</w:t>
      </w:r>
      <w:r>
        <w:rPr>
          <w:rFonts w:eastAsia="PMingLiU"/>
        </w:rPr>
        <w:t xml:space="preserve"> for the UN Convention on the Rights of People with Disabilities in Northern Ireland</w:t>
      </w:r>
      <w:r w:rsidRPr="003F7E43">
        <w:rPr>
          <w:rFonts w:eastAsia="PMingLiU"/>
        </w:rPr>
        <w:t xml:space="preserve"> with the Equality Commission</w:t>
      </w:r>
      <w:r>
        <w:rPr>
          <w:rFonts w:eastAsia="PMingLiU"/>
        </w:rPr>
        <w:t>, and exercises statutory functions alongside the Equality Commission as the Dedicated Mechanism established under the EU Withdrawal Agreement.</w:t>
      </w:r>
    </w:p>
    <w:bookmarkEnd w:id="19"/>
    <w:p w14:paraId="2DBC2EC2" w14:textId="77777777" w:rsidR="002667DD" w:rsidRPr="008711E7" w:rsidRDefault="002667DD" w:rsidP="002667DD">
      <w:pPr>
        <w:rPr>
          <w:i/>
        </w:rPr>
      </w:pPr>
    </w:p>
    <w:p w14:paraId="275A907C" w14:textId="7160CC79" w:rsidR="002667DD" w:rsidRPr="008711E7" w:rsidRDefault="002667DD" w:rsidP="002667DD">
      <w:pPr>
        <w:rPr>
          <w:rFonts w:eastAsia="PMingLiU"/>
        </w:rPr>
      </w:pPr>
      <w:r w:rsidRPr="00B814F8">
        <w:rPr>
          <w:rFonts w:eastAsia="PMingLiU"/>
        </w:rPr>
        <w:t xml:space="preserve">During this year, the Commission </w:t>
      </w:r>
      <w:r>
        <w:rPr>
          <w:rFonts w:eastAsia="PMingLiU"/>
        </w:rPr>
        <w:t xml:space="preserve">Board </w:t>
      </w:r>
      <w:r w:rsidRPr="00B814F8">
        <w:rPr>
          <w:rFonts w:eastAsia="PMingLiU"/>
        </w:rPr>
        <w:t xml:space="preserve">has met </w:t>
      </w:r>
      <w:r w:rsidR="00381DB9">
        <w:rPr>
          <w:rFonts w:eastAsia="PMingLiU"/>
        </w:rPr>
        <w:t>ten</w:t>
      </w:r>
      <w:r w:rsidRPr="00B814F8">
        <w:rPr>
          <w:rFonts w:eastAsia="PMingLiU"/>
        </w:rPr>
        <w:t xml:space="preserve"> </w:t>
      </w:r>
      <w:r>
        <w:rPr>
          <w:rFonts w:eastAsia="PMingLiU"/>
        </w:rPr>
        <w:t>times (</w:t>
      </w:r>
      <w:r w:rsidR="00381DB9">
        <w:rPr>
          <w:rFonts w:eastAsia="PMingLiU"/>
        </w:rPr>
        <w:t>ten</w:t>
      </w:r>
      <w:r>
        <w:rPr>
          <w:rFonts w:eastAsia="PMingLiU"/>
        </w:rPr>
        <w:t xml:space="preserve"> ordinary Commission meetings and </w:t>
      </w:r>
      <w:r w:rsidR="00B042C7">
        <w:rPr>
          <w:rFonts w:eastAsia="PMingLiU"/>
        </w:rPr>
        <w:t>no</w:t>
      </w:r>
      <w:r>
        <w:rPr>
          <w:rFonts w:eastAsia="PMingLiU"/>
        </w:rPr>
        <w:t xml:space="preserve"> special Commission meeting</w:t>
      </w:r>
      <w:r w:rsidR="00B042C7">
        <w:rPr>
          <w:rFonts w:eastAsia="PMingLiU"/>
        </w:rPr>
        <w:t>s</w:t>
      </w:r>
      <w:r>
        <w:rPr>
          <w:rFonts w:eastAsia="PMingLiU"/>
        </w:rPr>
        <w:t xml:space="preserve">).  Members of the Committee provided updates on the Audit and Risk Management Committee throughout the year.  </w:t>
      </w:r>
    </w:p>
    <w:p w14:paraId="5865ADE0" w14:textId="77777777" w:rsidR="002667DD" w:rsidRPr="008711E7" w:rsidRDefault="002667DD" w:rsidP="002667DD">
      <w:pPr>
        <w:rPr>
          <w:rFonts w:eastAsia="PMingLiU"/>
        </w:rPr>
      </w:pPr>
    </w:p>
    <w:p w14:paraId="4FCC597E" w14:textId="77777777" w:rsidR="002667DD" w:rsidRDefault="002667DD" w:rsidP="002667DD">
      <w:pPr>
        <w:rPr>
          <w:rFonts w:eastAsia="PMingLiU"/>
        </w:rPr>
      </w:pPr>
      <w:r w:rsidRPr="008711E7">
        <w:rPr>
          <w:rFonts w:eastAsia="PMingLiU"/>
        </w:rPr>
        <w:t xml:space="preserve">With a reliance on robust recruitment processes and performance appraisals, the Commission satisfies itself as to the quality of professional advice provided to it.  </w:t>
      </w:r>
    </w:p>
    <w:p w14:paraId="7135E581" w14:textId="77777777" w:rsidR="00637CA2" w:rsidRDefault="00637CA2" w:rsidP="6B3529A9">
      <w:pPr>
        <w:rPr>
          <w:rFonts w:eastAsia="PMingLiU"/>
          <w:b/>
        </w:rPr>
      </w:pPr>
    </w:p>
    <w:p w14:paraId="19B93002" w14:textId="7BFB4292" w:rsidR="002667DD" w:rsidRDefault="002667DD" w:rsidP="6B3529A9">
      <w:pPr>
        <w:rPr>
          <w:rFonts w:eastAsia="PMingLiU"/>
          <w:b/>
          <w:bCs/>
        </w:rPr>
      </w:pPr>
      <w:r w:rsidRPr="6B3529A9">
        <w:rPr>
          <w:rFonts w:eastAsia="PMingLiU"/>
          <w:b/>
          <w:bCs/>
        </w:rPr>
        <w:lastRenderedPageBreak/>
        <w:t>Commission’s Performance</w:t>
      </w:r>
    </w:p>
    <w:p w14:paraId="70738255" w14:textId="77777777" w:rsidR="002667DD" w:rsidRDefault="002667DD" w:rsidP="002667DD">
      <w:pPr>
        <w:rPr>
          <w:rFonts w:eastAsia="PMingLiU"/>
          <w:b/>
        </w:rPr>
      </w:pPr>
    </w:p>
    <w:p w14:paraId="1A5BED45" w14:textId="0E785F9F" w:rsidR="002667DD" w:rsidRDefault="002667DD" w:rsidP="002667DD">
      <w:pPr>
        <w:rPr>
          <w:rFonts w:eastAsia="PMingLiU"/>
        </w:rPr>
      </w:pPr>
      <w:r>
        <w:rPr>
          <w:rFonts w:eastAsia="PMingLiU"/>
        </w:rPr>
        <w:t>Throughout 202</w:t>
      </w:r>
      <w:r w:rsidR="00381DB9">
        <w:rPr>
          <w:rFonts w:eastAsia="PMingLiU"/>
        </w:rPr>
        <w:t>4</w:t>
      </w:r>
      <w:r>
        <w:rPr>
          <w:rFonts w:eastAsia="PMingLiU"/>
        </w:rPr>
        <w:t>-2</w:t>
      </w:r>
      <w:r w:rsidR="00381DB9">
        <w:rPr>
          <w:rFonts w:eastAsia="PMingLiU"/>
        </w:rPr>
        <w:t>5</w:t>
      </w:r>
      <w:r>
        <w:rPr>
          <w:rFonts w:eastAsia="PMingLiU"/>
        </w:rPr>
        <w:t>, the Commission effectively discharged its statutory functions and duties.  In line with best practice, the operational procedures of the Commission and the quality of data used by the Commission is kept under continuous review to ensure that the Commission is content that it is provided with all requisite information to enable it to make informed decisions.</w:t>
      </w:r>
    </w:p>
    <w:p w14:paraId="53AA233E" w14:textId="77777777" w:rsidR="002667DD" w:rsidRDefault="002667DD" w:rsidP="002667DD">
      <w:pPr>
        <w:rPr>
          <w:rFonts w:eastAsia="PMingLiU"/>
        </w:rPr>
      </w:pPr>
    </w:p>
    <w:p w14:paraId="4116DDAF" w14:textId="15E3A523" w:rsidR="002667DD" w:rsidRDefault="002667DD" w:rsidP="002667DD">
      <w:r>
        <w:t xml:space="preserve">The Commission’s Strategic Plan for 2022-2025 was published in April 2022 and can be found on the Commission’s website at: </w:t>
      </w:r>
      <w:hyperlink r:id="rId28">
        <w:r w:rsidRPr="54F71CB4">
          <w:rPr>
            <w:rStyle w:val="Hyperlink"/>
          </w:rPr>
          <w:t>https://nihrc.org/publication/detail/strategic-plan-2022-2025</w:t>
        </w:r>
      </w:hyperlink>
    </w:p>
    <w:p w14:paraId="13E6626B" w14:textId="77777777" w:rsidR="00564FA9" w:rsidRDefault="00564FA9" w:rsidP="002667DD"/>
    <w:p w14:paraId="26A44481" w14:textId="77777777" w:rsidR="002667DD" w:rsidRDefault="002667DD" w:rsidP="002667DD">
      <w:pPr>
        <w:rPr>
          <w:rFonts w:eastAsia="PMingLiU"/>
        </w:rPr>
      </w:pPr>
    </w:p>
    <w:p w14:paraId="06E4E2B5" w14:textId="77777777" w:rsidR="002667DD" w:rsidRPr="00112AF2" w:rsidRDefault="002667DD" w:rsidP="002667DD">
      <w:pPr>
        <w:rPr>
          <w:bCs/>
          <w:noProof/>
          <w:lang w:eastAsia="en-GB"/>
        </w:rPr>
      </w:pPr>
      <w:r w:rsidRPr="00112AF2">
        <w:rPr>
          <w:rFonts w:cs="Arial"/>
          <w:b/>
        </w:rPr>
        <w:t xml:space="preserve">Risk management and control </w:t>
      </w:r>
    </w:p>
    <w:p w14:paraId="15D9E511" w14:textId="77777777" w:rsidR="002667DD" w:rsidRPr="00112AF2" w:rsidRDefault="002667DD" w:rsidP="002667DD">
      <w:pPr>
        <w:autoSpaceDE w:val="0"/>
        <w:autoSpaceDN w:val="0"/>
        <w:adjustRightInd w:val="0"/>
        <w:rPr>
          <w:rFonts w:cs="Arial"/>
          <w:b/>
        </w:rPr>
      </w:pPr>
    </w:p>
    <w:p w14:paraId="63357033" w14:textId="5AAF0E12" w:rsidR="002667DD" w:rsidRPr="00422EEA" w:rsidRDefault="002667DD" w:rsidP="002667DD">
      <w:pPr>
        <w:autoSpaceDE w:val="0"/>
        <w:autoSpaceDN w:val="0"/>
        <w:adjustRightInd w:val="0"/>
        <w:rPr>
          <w:rFonts w:cs="Arial"/>
          <w:highlight w:val="yellow"/>
        </w:rPr>
      </w:pPr>
      <w:r w:rsidRPr="00673894">
        <w:rPr>
          <w:rFonts w:cs="Arial"/>
        </w:rP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Commission’s policies, aims and objectives, to evaluate the likelihood of those risks being realised and the impact should they be realised, and to manage them efficiently, effectively and economically.  The system of internal control has been in place in the Commission </w:t>
      </w:r>
      <w:r>
        <w:rPr>
          <w:rFonts w:cs="Arial"/>
        </w:rPr>
        <w:t>for the year ended 31 March 202</w:t>
      </w:r>
      <w:r w:rsidR="00475710">
        <w:rPr>
          <w:rFonts w:cs="Arial"/>
        </w:rPr>
        <w:t>5</w:t>
      </w:r>
      <w:r w:rsidRPr="00673894">
        <w:rPr>
          <w:rFonts w:cs="Arial"/>
        </w:rPr>
        <w:t xml:space="preserve"> and up to the date of approval of the annual report and accounts, and accords with Treasury guidance. </w:t>
      </w:r>
    </w:p>
    <w:p w14:paraId="141E491E" w14:textId="77777777" w:rsidR="002667DD" w:rsidRPr="00422EEA" w:rsidRDefault="002667DD" w:rsidP="002667DD">
      <w:pPr>
        <w:rPr>
          <w:highlight w:val="yellow"/>
        </w:rPr>
      </w:pPr>
    </w:p>
    <w:p w14:paraId="68E7CFA6" w14:textId="77777777" w:rsidR="002667DD" w:rsidRPr="00673894" w:rsidRDefault="002667DD" w:rsidP="002667DD">
      <w:pPr>
        <w:widowControl w:val="0"/>
        <w:tabs>
          <w:tab w:val="left" w:pos="8535"/>
        </w:tabs>
        <w:autoSpaceDE w:val="0"/>
        <w:autoSpaceDN w:val="0"/>
        <w:adjustRightInd w:val="0"/>
      </w:pPr>
      <w:r w:rsidRPr="00673894">
        <w:t xml:space="preserve">The Commission’s risk management framework involves Commissioners and staff in reviewing and assessing risk on a regular basis, so that risk is an integral part of the ongoing planning and monitoring processes of the Commission.  </w:t>
      </w:r>
    </w:p>
    <w:p w14:paraId="201605A6" w14:textId="77777777" w:rsidR="002667DD" w:rsidRPr="00673894" w:rsidRDefault="002667DD" w:rsidP="002667DD">
      <w:pPr>
        <w:widowControl w:val="0"/>
        <w:tabs>
          <w:tab w:val="left" w:pos="8535"/>
        </w:tabs>
        <w:autoSpaceDE w:val="0"/>
        <w:autoSpaceDN w:val="0"/>
        <w:adjustRightInd w:val="0"/>
      </w:pPr>
    </w:p>
    <w:p w14:paraId="07E36BD4" w14:textId="77777777" w:rsidR="002667DD" w:rsidRPr="00673894" w:rsidRDefault="002667DD" w:rsidP="002667DD">
      <w:pPr>
        <w:widowControl w:val="0"/>
        <w:tabs>
          <w:tab w:val="left" w:pos="8535"/>
        </w:tabs>
        <w:autoSpaceDE w:val="0"/>
        <w:autoSpaceDN w:val="0"/>
        <w:adjustRightInd w:val="0"/>
      </w:pPr>
      <w:r w:rsidRPr="00673894">
        <w:t>The Chairperson of the Commission’s Audit and Risk Management Committee, who is independent of the Commission, also provides an additional source of expertise for management and Commissioners to consult on specific issues as they arise.</w:t>
      </w:r>
    </w:p>
    <w:p w14:paraId="3AAC522C" w14:textId="77777777" w:rsidR="002667DD" w:rsidRPr="00673894" w:rsidRDefault="002667DD" w:rsidP="002667DD">
      <w:pPr>
        <w:rPr>
          <w:rFonts w:cs="Arial"/>
          <w:bCs/>
        </w:rPr>
      </w:pPr>
    </w:p>
    <w:p w14:paraId="7FD937A0" w14:textId="77777777" w:rsidR="002667DD" w:rsidRPr="00673894" w:rsidRDefault="002667DD" w:rsidP="002667DD">
      <w:pPr>
        <w:rPr>
          <w:rFonts w:cs="Arial"/>
          <w:bCs/>
        </w:rPr>
      </w:pPr>
      <w:r w:rsidRPr="00673894">
        <w:rPr>
          <w:rFonts w:cs="Arial"/>
          <w:bCs/>
        </w:rPr>
        <w:t>The Commission has a continuous, proactive and systematic approach to understand, manage and communicate risk across the organisation.  The risk management framework is comprehensive and involves Commissioners, managers and staff as follows:</w:t>
      </w:r>
    </w:p>
    <w:p w14:paraId="4B37E691" w14:textId="77777777" w:rsidR="002667DD" w:rsidRPr="00673894" w:rsidRDefault="002667DD" w:rsidP="002667DD">
      <w:pPr>
        <w:rPr>
          <w:snapToGrid w:val="0"/>
        </w:rPr>
      </w:pPr>
    </w:p>
    <w:p w14:paraId="3A9522D1" w14:textId="77777777" w:rsidR="002667DD" w:rsidRPr="00673894" w:rsidRDefault="002667DD" w:rsidP="002667DD">
      <w:pPr>
        <w:numPr>
          <w:ilvl w:val="0"/>
          <w:numId w:val="6"/>
        </w:numPr>
        <w:ind w:left="426" w:hanging="426"/>
        <w:rPr>
          <w:snapToGrid w:val="0"/>
        </w:rPr>
      </w:pPr>
      <w:r w:rsidRPr="00673894">
        <w:rPr>
          <w:snapToGrid w:val="0"/>
        </w:rPr>
        <w:t>overall responsibility for ensuring that risks are identified and an appropriate framework is in place to manage those risks down to an acceptable level rests with the Commission’s Accounting Officer</w:t>
      </w:r>
    </w:p>
    <w:p w14:paraId="0665731D" w14:textId="77777777" w:rsidR="002667DD" w:rsidRPr="00673894" w:rsidRDefault="002667DD" w:rsidP="002667DD">
      <w:pPr>
        <w:ind w:left="426" w:hanging="426"/>
        <w:rPr>
          <w:snapToGrid w:val="0"/>
        </w:rPr>
      </w:pPr>
    </w:p>
    <w:p w14:paraId="7CFDC213" w14:textId="77777777" w:rsidR="002667DD" w:rsidRPr="00673894" w:rsidRDefault="002667DD" w:rsidP="002667DD">
      <w:pPr>
        <w:numPr>
          <w:ilvl w:val="0"/>
          <w:numId w:val="6"/>
        </w:numPr>
        <w:ind w:left="426" w:hanging="426"/>
        <w:rPr>
          <w:snapToGrid w:val="0"/>
        </w:rPr>
      </w:pPr>
      <w:r w:rsidRPr="00673894">
        <w:rPr>
          <w:snapToGrid w:val="0"/>
        </w:rPr>
        <w:lastRenderedPageBreak/>
        <w:t xml:space="preserve">individual members of staff can be nominated as ‘risk owners’ delegated with responsibility from the Chief Executive for monitoring and reporting on specific risks within their area of work </w:t>
      </w:r>
      <w:r w:rsidRPr="00673894">
        <w:rPr>
          <w:snapToGrid w:val="0"/>
        </w:rPr>
        <w:br/>
      </w:r>
    </w:p>
    <w:p w14:paraId="2E0B48FE" w14:textId="77777777" w:rsidR="002667DD" w:rsidRPr="00673894" w:rsidRDefault="002667DD" w:rsidP="002667DD">
      <w:pPr>
        <w:numPr>
          <w:ilvl w:val="0"/>
          <w:numId w:val="6"/>
        </w:numPr>
        <w:ind w:left="426" w:hanging="426"/>
        <w:rPr>
          <w:snapToGrid w:val="0"/>
        </w:rPr>
      </w:pPr>
      <w:r w:rsidRPr="00673894">
        <w:rPr>
          <w:snapToGrid w:val="0"/>
        </w:rPr>
        <w:t xml:space="preserve">the risk register, and the effectiveness of activities to manage identified risks, is reviewed by the </w:t>
      </w:r>
      <w:r>
        <w:rPr>
          <w:snapToGrid w:val="0"/>
        </w:rPr>
        <w:t xml:space="preserve">Senior </w:t>
      </w:r>
      <w:r w:rsidRPr="00673894">
        <w:rPr>
          <w:snapToGrid w:val="0"/>
        </w:rPr>
        <w:t>Management Team</w:t>
      </w:r>
    </w:p>
    <w:p w14:paraId="01FBF5F2" w14:textId="77777777" w:rsidR="002667DD" w:rsidRPr="00422EEA" w:rsidRDefault="002667DD" w:rsidP="002667DD">
      <w:pPr>
        <w:ind w:left="426" w:hanging="426"/>
        <w:rPr>
          <w:snapToGrid w:val="0"/>
          <w:highlight w:val="yellow"/>
        </w:rPr>
      </w:pPr>
    </w:p>
    <w:p w14:paraId="3A16E4D6" w14:textId="77777777" w:rsidR="002667DD" w:rsidRPr="00673894" w:rsidRDefault="002667DD" w:rsidP="002667DD">
      <w:pPr>
        <w:numPr>
          <w:ilvl w:val="0"/>
          <w:numId w:val="6"/>
        </w:numPr>
        <w:ind w:left="426" w:hanging="426"/>
        <w:rPr>
          <w:snapToGrid w:val="0"/>
        </w:rPr>
      </w:pPr>
      <w:r w:rsidRPr="00673894">
        <w:rPr>
          <w:snapToGrid w:val="0"/>
        </w:rPr>
        <w:t>the Audit and Risk Management Committee, which ordinarily meets quarterly, reviews the risk register and reports to the Commission, through the Chief Executive, on the effectiveness of activities to manage identified risks following each meeting</w:t>
      </w:r>
    </w:p>
    <w:p w14:paraId="1B55A7C2" w14:textId="77777777" w:rsidR="002667DD" w:rsidRPr="00673894" w:rsidRDefault="002667DD" w:rsidP="002667DD">
      <w:pPr>
        <w:ind w:left="426" w:hanging="426"/>
        <w:rPr>
          <w:snapToGrid w:val="0"/>
        </w:rPr>
      </w:pPr>
    </w:p>
    <w:p w14:paraId="401188EE" w14:textId="77777777" w:rsidR="002667DD" w:rsidRPr="00673894" w:rsidRDefault="002667DD" w:rsidP="002667DD">
      <w:pPr>
        <w:pStyle w:val="ListParagraph"/>
        <w:numPr>
          <w:ilvl w:val="1"/>
          <w:numId w:val="6"/>
        </w:numPr>
        <w:tabs>
          <w:tab w:val="left" w:pos="709"/>
        </w:tabs>
        <w:ind w:left="426" w:hanging="426"/>
        <w:rPr>
          <w:snapToGrid w:val="0"/>
        </w:rPr>
      </w:pPr>
      <w:r w:rsidRPr="00673894">
        <w:rPr>
          <w:snapToGrid w:val="0"/>
        </w:rPr>
        <w:t xml:space="preserve">the </w:t>
      </w:r>
      <w:r>
        <w:rPr>
          <w:snapToGrid w:val="0"/>
        </w:rPr>
        <w:t>Committee</w:t>
      </w:r>
      <w:r w:rsidRPr="00673894">
        <w:rPr>
          <w:snapToGrid w:val="0"/>
        </w:rPr>
        <w:t xml:space="preserve"> reviews the risk register and the effectiveness of the risk management framework </w:t>
      </w:r>
      <w:r w:rsidRPr="00673894">
        <w:rPr>
          <w:snapToGrid w:val="0"/>
        </w:rPr>
        <w:br/>
      </w:r>
    </w:p>
    <w:p w14:paraId="7BBEE8ED" w14:textId="77777777" w:rsidR="002667DD" w:rsidRPr="00673894" w:rsidRDefault="002667DD" w:rsidP="002667DD">
      <w:pPr>
        <w:widowControl w:val="0"/>
        <w:numPr>
          <w:ilvl w:val="0"/>
          <w:numId w:val="6"/>
        </w:numPr>
        <w:tabs>
          <w:tab w:val="left" w:pos="709"/>
          <w:tab w:val="left" w:pos="8535"/>
        </w:tabs>
        <w:autoSpaceDE w:val="0"/>
        <w:autoSpaceDN w:val="0"/>
        <w:adjustRightInd w:val="0"/>
        <w:ind w:left="426" w:hanging="426"/>
      </w:pPr>
      <w:r w:rsidRPr="00673894">
        <w:rPr>
          <w:snapToGrid w:val="0"/>
        </w:rPr>
        <w:t>the external environment is assessed for any opportunistic new risks as part of the annual business planning process and in addition for the new strategic plan</w:t>
      </w:r>
      <w:r w:rsidRPr="00673894">
        <w:rPr>
          <w:snapToGrid w:val="0"/>
        </w:rPr>
        <w:br/>
      </w:r>
    </w:p>
    <w:p w14:paraId="65FABD76" w14:textId="77777777" w:rsidR="002667DD" w:rsidRPr="00673894" w:rsidRDefault="002667DD" w:rsidP="002667DD">
      <w:pPr>
        <w:widowControl w:val="0"/>
        <w:numPr>
          <w:ilvl w:val="0"/>
          <w:numId w:val="6"/>
        </w:numPr>
        <w:tabs>
          <w:tab w:val="left" w:pos="709"/>
          <w:tab w:val="left" w:pos="8535"/>
        </w:tabs>
        <w:autoSpaceDE w:val="0"/>
        <w:autoSpaceDN w:val="0"/>
        <w:adjustRightInd w:val="0"/>
        <w:ind w:left="426" w:hanging="426"/>
      </w:pPr>
      <w:r w:rsidRPr="00673894">
        <w:t>information risk is managed by the Commission within the context of the risk management framework.  The Commission seeks to manage down the likelihood of the risk materialising through an Information Assurance Policy and Information and Communications Technology (ICT) policies and procedures, supported by training for staff on these.</w:t>
      </w:r>
      <w:r w:rsidRPr="00673894">
        <w:br/>
      </w:r>
    </w:p>
    <w:p w14:paraId="5F435153" w14:textId="77777777" w:rsidR="002667DD" w:rsidRPr="00673894" w:rsidRDefault="002667DD" w:rsidP="002667DD">
      <w:pPr>
        <w:widowControl w:val="0"/>
        <w:tabs>
          <w:tab w:val="left" w:pos="709"/>
          <w:tab w:val="left" w:pos="8535"/>
        </w:tabs>
        <w:autoSpaceDE w:val="0"/>
        <w:autoSpaceDN w:val="0"/>
        <w:adjustRightInd w:val="0"/>
      </w:pPr>
      <w:r w:rsidRPr="00673894">
        <w:t>The Commission has liaised closely with the NIO network to ensure compliance.  Commissioners and staff also complete annual information assurance e-learning courses.</w:t>
      </w:r>
    </w:p>
    <w:p w14:paraId="3493C7DA" w14:textId="77777777" w:rsidR="002667DD" w:rsidRPr="00422EEA" w:rsidRDefault="002667DD" w:rsidP="002667DD">
      <w:pPr>
        <w:autoSpaceDE w:val="0"/>
        <w:autoSpaceDN w:val="0"/>
        <w:adjustRightInd w:val="0"/>
        <w:rPr>
          <w:rFonts w:cs="Arial"/>
          <w:highlight w:val="yellow"/>
        </w:rPr>
      </w:pPr>
      <w:r w:rsidRPr="00422EEA">
        <w:rPr>
          <w:rFonts w:cs="Arial"/>
          <w:highlight w:val="yellow"/>
        </w:rPr>
        <w:t xml:space="preserve"> </w:t>
      </w:r>
    </w:p>
    <w:p w14:paraId="2466C2D9" w14:textId="3EC70CB4" w:rsidR="002667DD" w:rsidRDefault="002667DD" w:rsidP="002667DD">
      <w:pPr>
        <w:autoSpaceDE w:val="0"/>
        <w:autoSpaceDN w:val="0"/>
        <w:adjustRightInd w:val="0"/>
        <w:rPr>
          <w:rFonts w:cs="Arial"/>
        </w:rPr>
      </w:pPr>
      <w:r w:rsidRPr="00673894">
        <w:rPr>
          <w:rFonts w:cs="Arial"/>
        </w:rPr>
        <w:t>During the course of 202</w:t>
      </w:r>
      <w:r w:rsidR="000600DA">
        <w:rPr>
          <w:rFonts w:cs="Arial"/>
        </w:rPr>
        <w:t>4</w:t>
      </w:r>
      <w:r>
        <w:rPr>
          <w:rFonts w:cs="Arial"/>
        </w:rPr>
        <w:t>-2</w:t>
      </w:r>
      <w:r w:rsidR="000600DA">
        <w:rPr>
          <w:rFonts w:cs="Arial"/>
        </w:rPr>
        <w:t>5</w:t>
      </w:r>
      <w:r w:rsidRPr="00673894">
        <w:rPr>
          <w:rFonts w:cs="Arial"/>
        </w:rPr>
        <w:t xml:space="preserve">, the main risks </w:t>
      </w:r>
      <w:r>
        <w:rPr>
          <w:rFonts w:cs="Arial"/>
        </w:rPr>
        <w:t xml:space="preserve">faced by the Commission </w:t>
      </w:r>
      <w:r w:rsidRPr="00673894">
        <w:rPr>
          <w:rFonts w:cs="Arial"/>
        </w:rPr>
        <w:t>were</w:t>
      </w:r>
      <w:r>
        <w:rPr>
          <w:rFonts w:cs="Arial"/>
        </w:rPr>
        <w:t>:</w:t>
      </w:r>
    </w:p>
    <w:p w14:paraId="154DD1B5" w14:textId="77777777" w:rsidR="002667DD" w:rsidRDefault="002667DD" w:rsidP="002667DD">
      <w:pPr>
        <w:autoSpaceDE w:val="0"/>
        <w:autoSpaceDN w:val="0"/>
        <w:adjustRightInd w:val="0"/>
        <w:rPr>
          <w:rFonts w:cs="Arial"/>
        </w:rPr>
      </w:pPr>
    </w:p>
    <w:p w14:paraId="6572BC2E" w14:textId="70F7FFBC" w:rsidR="002667DD" w:rsidRPr="00485D4A" w:rsidRDefault="000F7775" w:rsidP="007A6076">
      <w:pPr>
        <w:pStyle w:val="ListParagraph"/>
        <w:numPr>
          <w:ilvl w:val="0"/>
          <w:numId w:val="16"/>
        </w:numPr>
        <w:autoSpaceDE w:val="0"/>
        <w:autoSpaceDN w:val="0"/>
        <w:adjustRightInd w:val="0"/>
        <w:rPr>
          <w:rFonts w:cs="Arial"/>
        </w:rPr>
      </w:pPr>
      <w:r w:rsidRPr="00485D4A">
        <w:rPr>
          <w:rFonts w:cs="Arial"/>
        </w:rPr>
        <w:t>the recommendations of the United Nations that had resulted in a delay in its reaccre</w:t>
      </w:r>
      <w:r w:rsidR="0072626E" w:rsidRPr="00485D4A">
        <w:rPr>
          <w:rFonts w:cs="Arial"/>
        </w:rPr>
        <w:t xml:space="preserve">ditation which remain outstanding; </w:t>
      </w:r>
      <w:r w:rsidR="002667DD" w:rsidRPr="00485D4A">
        <w:rPr>
          <w:rFonts w:cs="Arial"/>
        </w:rPr>
        <w:t>and</w:t>
      </w:r>
      <w:r w:rsidR="0072626E" w:rsidRPr="00485D4A">
        <w:rPr>
          <w:rFonts w:cs="Arial"/>
        </w:rPr>
        <w:t>,</w:t>
      </w:r>
      <w:r w:rsidR="002667DD" w:rsidRPr="00485D4A">
        <w:rPr>
          <w:rFonts w:cs="Arial"/>
        </w:rPr>
        <w:t xml:space="preserve"> </w:t>
      </w:r>
    </w:p>
    <w:p w14:paraId="7DAA3016" w14:textId="77777777" w:rsidR="002667DD" w:rsidRPr="00485D4A" w:rsidRDefault="002667DD" w:rsidP="007A6076">
      <w:pPr>
        <w:pStyle w:val="ListParagraph"/>
        <w:numPr>
          <w:ilvl w:val="0"/>
          <w:numId w:val="16"/>
        </w:numPr>
        <w:rPr>
          <w:rFonts w:cs="Arial"/>
          <w:color w:val="000000" w:themeColor="text1"/>
        </w:rPr>
      </w:pPr>
      <w:r w:rsidRPr="00485D4A">
        <w:rPr>
          <w:rFonts w:cs="Arial"/>
          <w:color w:val="000000" w:themeColor="text1"/>
        </w:rPr>
        <w:t>ability to fulfil its statutory duties and exercise powers due to limited budget</w:t>
      </w:r>
    </w:p>
    <w:p w14:paraId="0503B41B" w14:textId="77777777" w:rsidR="002667DD" w:rsidRDefault="002667DD" w:rsidP="002667DD">
      <w:pPr>
        <w:pStyle w:val="CommentText"/>
        <w:rPr>
          <w:rFonts w:cs="Arial"/>
          <w:sz w:val="24"/>
          <w:szCs w:val="24"/>
        </w:rPr>
      </w:pPr>
    </w:p>
    <w:p w14:paraId="7A2129E0" w14:textId="5BCF51D6" w:rsidR="002667DD" w:rsidRPr="00F931C1" w:rsidRDefault="002667DD" w:rsidP="002667DD">
      <w:pPr>
        <w:pStyle w:val="CommentText"/>
        <w:rPr>
          <w:sz w:val="24"/>
          <w:szCs w:val="24"/>
        </w:rPr>
      </w:pPr>
      <w:r w:rsidRPr="54F71CB4">
        <w:rPr>
          <w:rFonts w:cs="Arial"/>
          <w:sz w:val="24"/>
          <w:szCs w:val="24"/>
        </w:rPr>
        <w:t>In addition to the mechanisms outlined above, as Accounting Officer, I have responsibility for ensuring the effectiveness of the system of internal control.  Reviewing the effectiveness of the system of internal control is informed by the work of the internal auditors, and comments made by the external auditors in their management letter and other reports.  The</w:t>
      </w:r>
      <w:r w:rsidRPr="54F71CB4">
        <w:rPr>
          <w:sz w:val="24"/>
          <w:szCs w:val="24"/>
        </w:rPr>
        <w:t xml:space="preserve"> Commission Board continued to receive monthly financial reports for scrutiny at each of its meetings, which were presented by the Chief Executive and the Director (Finance, Personnel and Corporate Affairs).  Any corporate issues of concern were also brought to the Commission Board for discussion and approval.   The Commission’s own management controls such as its financial management procedures and the appointment of an Independent Chair to the Audit and Risk Management </w:t>
      </w:r>
      <w:r w:rsidRPr="54F71CB4">
        <w:rPr>
          <w:sz w:val="24"/>
          <w:szCs w:val="24"/>
        </w:rPr>
        <w:lastRenderedPageBreak/>
        <w:t xml:space="preserve">Committee, ensured that the Commission continued to operate throughout the period without any significant concerns being identified.  </w:t>
      </w:r>
      <w:r w:rsidRPr="54F71CB4">
        <w:rPr>
          <w:rFonts w:cs="Arial"/>
          <w:sz w:val="24"/>
          <w:szCs w:val="24"/>
        </w:rPr>
        <w:t>I have been advised on the effectiveness of the system of internal control by the Commission (the Board), the Audit and Risk Management Committee and a plan to address identified weaknesses and ensure continuous improvement of the system is in place.</w:t>
      </w:r>
      <w:r w:rsidRPr="54F71CB4">
        <w:rPr>
          <w:rFonts w:cs="Arial"/>
        </w:rPr>
        <w:t xml:space="preserve"> </w:t>
      </w:r>
    </w:p>
    <w:p w14:paraId="179ABD40" w14:textId="77777777" w:rsidR="002667DD" w:rsidRDefault="002667DD" w:rsidP="002667DD">
      <w:pPr>
        <w:pStyle w:val="Default"/>
        <w:rPr>
          <w:rFonts w:ascii="Verdana" w:hAnsi="Verdana"/>
          <w:b/>
        </w:rPr>
      </w:pPr>
    </w:p>
    <w:p w14:paraId="59918CB8" w14:textId="7D574263" w:rsidR="002667DD" w:rsidRDefault="002667DD" w:rsidP="002667DD">
      <w:pPr>
        <w:pStyle w:val="Default"/>
        <w:rPr>
          <w:rFonts w:ascii="Verdana" w:hAnsi="Verdana"/>
          <w:b/>
        </w:rPr>
      </w:pPr>
      <w:r>
        <w:rPr>
          <w:rFonts w:ascii="Verdana" w:hAnsi="Verdana"/>
          <w:b/>
        </w:rPr>
        <w:t>Review of effectiveness</w:t>
      </w:r>
    </w:p>
    <w:p w14:paraId="3FD0459C" w14:textId="77777777" w:rsidR="002667DD" w:rsidRDefault="002667DD" w:rsidP="002667DD">
      <w:pPr>
        <w:pStyle w:val="Default"/>
        <w:rPr>
          <w:rFonts w:ascii="Verdana" w:hAnsi="Verdana"/>
          <w:b/>
        </w:rPr>
      </w:pPr>
    </w:p>
    <w:p w14:paraId="340B588D" w14:textId="77777777" w:rsidR="002667DD" w:rsidRDefault="002667DD" w:rsidP="002667DD">
      <w:pPr>
        <w:pStyle w:val="Default"/>
        <w:rPr>
          <w:rFonts w:ascii="Verdana" w:hAnsi="Verdana"/>
        </w:rPr>
      </w:pPr>
      <w:r w:rsidRPr="008711E7">
        <w:rPr>
          <w:rFonts w:ascii="Verdana" w:hAnsi="Verdana"/>
        </w:rPr>
        <w:t xml:space="preserve">The Audit and Risk Management Committee reviews the effectiveness of the Commission’s internal control mechanisms, including receiving and approving internal audit plans and reports, approving the Commission’s Financial Procedures Manual and </w:t>
      </w:r>
      <w:r>
        <w:rPr>
          <w:rFonts w:ascii="Verdana" w:hAnsi="Verdana"/>
        </w:rPr>
        <w:t xml:space="preserve">any </w:t>
      </w:r>
      <w:r w:rsidRPr="008711E7">
        <w:rPr>
          <w:rFonts w:ascii="Verdana" w:hAnsi="Verdana"/>
        </w:rPr>
        <w:t xml:space="preserve">significant changes to it. The Committee also oversees the risk management framework and reporting to the Commission on the effectiveness of activities to manage the occurrence or impact of identified risks. The Committee furthermore reviews all international travel undertaken by Commissioners and staff, expenses claims submitted by the Chief Commissioner and the </w:t>
      </w:r>
      <w:r>
        <w:rPr>
          <w:rFonts w:ascii="Verdana" w:hAnsi="Verdana"/>
        </w:rPr>
        <w:t>Chief Executive</w:t>
      </w:r>
      <w:r w:rsidRPr="008711E7">
        <w:rPr>
          <w:rFonts w:ascii="Verdana" w:hAnsi="Verdana"/>
        </w:rPr>
        <w:t>, and purchases over £1,000, with a particular focus on any contracts let by single tender action. As an additional reputational safeguard, the Chair of the Committee discharges the role of Authorising Officer for the Chief Commissioner’s travel and expenses claims.</w:t>
      </w:r>
    </w:p>
    <w:p w14:paraId="3250DBC3" w14:textId="77777777" w:rsidR="002667DD" w:rsidRDefault="002667DD" w:rsidP="002667DD">
      <w:pPr>
        <w:pStyle w:val="Default"/>
        <w:rPr>
          <w:rFonts w:ascii="Verdana" w:hAnsi="Verdana"/>
        </w:rPr>
      </w:pPr>
    </w:p>
    <w:p w14:paraId="630B86B4" w14:textId="6BC7302A" w:rsidR="002667DD" w:rsidRPr="008711E7" w:rsidRDefault="002667DD" w:rsidP="002667DD">
      <w:pPr>
        <w:pStyle w:val="Default"/>
        <w:rPr>
          <w:rFonts w:ascii="Verdana" w:hAnsi="Verdana"/>
        </w:rPr>
      </w:pPr>
      <w:r>
        <w:rPr>
          <w:rFonts w:ascii="Verdana" w:hAnsi="Verdana"/>
        </w:rPr>
        <w:t xml:space="preserve">The Chief Commissioner, all senior management and staff completed Civil Service Mandatory training on Security and Data Protection; </w:t>
      </w:r>
      <w:r w:rsidR="007B7B2A">
        <w:rPr>
          <w:rFonts w:ascii="Verdana" w:hAnsi="Verdana"/>
        </w:rPr>
        <w:t>Government Security Classification Policy</w:t>
      </w:r>
      <w:r>
        <w:rPr>
          <w:rFonts w:ascii="Verdana" w:hAnsi="Verdana"/>
        </w:rPr>
        <w:t xml:space="preserve">; and Health and Safety. </w:t>
      </w:r>
    </w:p>
    <w:p w14:paraId="4C3B9071" w14:textId="77777777" w:rsidR="002667DD" w:rsidRPr="008711E7" w:rsidRDefault="002667DD" w:rsidP="002667DD">
      <w:pPr>
        <w:pStyle w:val="Default"/>
        <w:rPr>
          <w:rFonts w:ascii="Verdana" w:hAnsi="Verdana"/>
        </w:rPr>
      </w:pPr>
    </w:p>
    <w:p w14:paraId="24210BDB" w14:textId="77777777" w:rsidR="002667DD" w:rsidRDefault="002667DD" w:rsidP="002667DD">
      <w:pPr>
        <w:pStyle w:val="Default"/>
        <w:rPr>
          <w:rFonts w:ascii="Verdana" w:hAnsi="Verdana"/>
        </w:rPr>
      </w:pPr>
      <w:r w:rsidRPr="008711E7">
        <w:rPr>
          <w:rFonts w:ascii="Verdana" w:hAnsi="Verdana"/>
        </w:rPr>
        <w:t xml:space="preserve">The Committee contributed an audit, risk management and value perspective to the development of the Commission’s strategic and business plans, and of its policies across a range of issues including </w:t>
      </w:r>
      <w:r>
        <w:rPr>
          <w:rFonts w:ascii="Verdana" w:hAnsi="Verdana"/>
        </w:rPr>
        <w:t>managing difficult members of the public</w:t>
      </w:r>
      <w:r w:rsidRPr="008711E7">
        <w:rPr>
          <w:rFonts w:ascii="Verdana" w:hAnsi="Verdana"/>
        </w:rPr>
        <w:t>.</w:t>
      </w:r>
    </w:p>
    <w:p w14:paraId="22D08B01" w14:textId="77777777" w:rsidR="002667DD" w:rsidRDefault="002667DD" w:rsidP="002667DD">
      <w:pPr>
        <w:pStyle w:val="Default"/>
        <w:rPr>
          <w:rFonts w:ascii="Verdana" w:hAnsi="Verdana"/>
        </w:rPr>
      </w:pPr>
    </w:p>
    <w:p w14:paraId="357172EA" w14:textId="77777777" w:rsidR="002667DD" w:rsidRDefault="002667DD" w:rsidP="002667DD">
      <w:pPr>
        <w:pStyle w:val="Default"/>
        <w:rPr>
          <w:rFonts w:ascii="Verdana" w:hAnsi="Verdana"/>
          <w:b/>
        </w:rPr>
      </w:pPr>
      <w:r>
        <w:rPr>
          <w:rFonts w:ascii="Verdana" w:hAnsi="Verdana"/>
          <w:b/>
        </w:rPr>
        <w:t xml:space="preserve">Internal Auditors </w:t>
      </w:r>
    </w:p>
    <w:p w14:paraId="5C5254C5" w14:textId="77777777" w:rsidR="002667DD" w:rsidRDefault="002667DD" w:rsidP="002667DD">
      <w:pPr>
        <w:pStyle w:val="Default"/>
        <w:rPr>
          <w:rFonts w:ascii="Verdana" w:hAnsi="Verdana"/>
          <w:b/>
        </w:rPr>
      </w:pPr>
    </w:p>
    <w:p w14:paraId="4555D3E4" w14:textId="77777777" w:rsidR="00EC3BB7" w:rsidRDefault="00687488" w:rsidP="002667DD">
      <w:pPr>
        <w:pStyle w:val="Default"/>
        <w:rPr>
          <w:rFonts w:ascii="Verdana" w:hAnsi="Verdana"/>
        </w:rPr>
      </w:pPr>
      <w:r>
        <w:rPr>
          <w:rFonts w:ascii="Verdana" w:hAnsi="Verdana"/>
        </w:rPr>
        <w:t xml:space="preserve">The primary role </w:t>
      </w:r>
      <w:r w:rsidR="009871E3">
        <w:rPr>
          <w:rFonts w:ascii="Verdana" w:hAnsi="Verdana"/>
        </w:rPr>
        <w:t>of Internal Audit is to provide the Accounting Officer and the Commission Board with an independent and objective opinion on risk management, control and governance by measuring and evaluating their effectiveness in achieving the organi</w:t>
      </w:r>
      <w:r w:rsidR="00EC3BB7">
        <w:rPr>
          <w:rFonts w:ascii="Verdana" w:hAnsi="Verdana"/>
        </w:rPr>
        <w:t xml:space="preserve">sation’s objectives. </w:t>
      </w:r>
    </w:p>
    <w:p w14:paraId="2EF9DC6F" w14:textId="77777777" w:rsidR="00EC3BB7" w:rsidRDefault="00EC3BB7" w:rsidP="002667DD">
      <w:pPr>
        <w:pStyle w:val="Default"/>
        <w:rPr>
          <w:rFonts w:ascii="Verdana" w:hAnsi="Verdana"/>
        </w:rPr>
      </w:pPr>
    </w:p>
    <w:p w14:paraId="5D8AFAA2" w14:textId="089B0D0E" w:rsidR="002667DD" w:rsidRDefault="002667DD" w:rsidP="002667DD">
      <w:pPr>
        <w:pStyle w:val="Default"/>
        <w:rPr>
          <w:rFonts w:ascii="Verdana" w:hAnsi="Verdana"/>
        </w:rPr>
      </w:pPr>
      <w:r w:rsidRPr="3285EAFF">
        <w:rPr>
          <w:rFonts w:ascii="Verdana" w:hAnsi="Verdana"/>
        </w:rPr>
        <w:t xml:space="preserve">Through a tender process ASM </w:t>
      </w:r>
      <w:r>
        <w:rPr>
          <w:rFonts w:ascii="Verdana" w:hAnsi="Verdana"/>
        </w:rPr>
        <w:t>(Belfast)</w:t>
      </w:r>
      <w:r w:rsidR="00B61DF4">
        <w:rPr>
          <w:rFonts w:ascii="Verdana" w:hAnsi="Verdana"/>
        </w:rPr>
        <w:t xml:space="preserve"> (now</w:t>
      </w:r>
      <w:r w:rsidR="00680F10">
        <w:rPr>
          <w:rFonts w:ascii="Verdana" w:hAnsi="Verdana"/>
        </w:rPr>
        <w:t xml:space="preserve"> known as</w:t>
      </w:r>
      <w:r w:rsidR="00B61DF4">
        <w:rPr>
          <w:rFonts w:ascii="Verdana" w:hAnsi="Verdana"/>
        </w:rPr>
        <w:t xml:space="preserve"> Su</w:t>
      </w:r>
      <w:r w:rsidR="00680F10">
        <w:rPr>
          <w:rFonts w:ascii="Verdana" w:hAnsi="Verdana"/>
        </w:rPr>
        <w:t>mer NI)</w:t>
      </w:r>
      <w:r>
        <w:rPr>
          <w:rFonts w:ascii="Verdana" w:hAnsi="Verdana"/>
        </w:rPr>
        <w:t xml:space="preserve"> </w:t>
      </w:r>
      <w:r w:rsidRPr="3285EAFF">
        <w:rPr>
          <w:rFonts w:ascii="Verdana" w:hAnsi="Verdana"/>
        </w:rPr>
        <w:t>were appointed as the Commission’s new Internal Auditors and commenced in March 202</w:t>
      </w:r>
      <w:r>
        <w:rPr>
          <w:rFonts w:ascii="Verdana" w:hAnsi="Verdana"/>
        </w:rPr>
        <w:t>1 for a period of 3 years</w:t>
      </w:r>
      <w:r w:rsidR="00F324DF">
        <w:rPr>
          <w:rFonts w:ascii="Verdana" w:hAnsi="Verdana"/>
        </w:rPr>
        <w:t>, with the option t</w:t>
      </w:r>
      <w:r w:rsidR="00434583">
        <w:rPr>
          <w:rFonts w:ascii="Verdana" w:hAnsi="Verdana"/>
        </w:rPr>
        <w:t>o extend for a further year</w:t>
      </w:r>
      <w:r w:rsidRPr="3285EAFF">
        <w:rPr>
          <w:rFonts w:ascii="Verdana" w:hAnsi="Verdana"/>
        </w:rPr>
        <w:t>.</w:t>
      </w:r>
      <w:r w:rsidR="00877FF4">
        <w:rPr>
          <w:rFonts w:ascii="Verdana" w:hAnsi="Verdana"/>
        </w:rPr>
        <w:t xml:space="preserve">  The Commission utilised this extension option to 31 March 2025.</w:t>
      </w:r>
      <w:r w:rsidRPr="3285EAFF">
        <w:rPr>
          <w:rFonts w:ascii="Verdana" w:hAnsi="Verdana"/>
        </w:rPr>
        <w:t xml:space="preserve"> </w:t>
      </w:r>
      <w:r>
        <w:rPr>
          <w:rFonts w:ascii="Verdana" w:hAnsi="Verdana"/>
        </w:rPr>
        <w:t xml:space="preserve">The services provided by </w:t>
      </w:r>
      <w:r w:rsidR="00680F10">
        <w:rPr>
          <w:rFonts w:ascii="Verdana" w:hAnsi="Verdana"/>
        </w:rPr>
        <w:t xml:space="preserve">Sumer NI </w:t>
      </w:r>
      <w:r>
        <w:rPr>
          <w:rFonts w:ascii="Verdana" w:hAnsi="Verdana"/>
        </w:rPr>
        <w:t xml:space="preserve">operate to standards defined by the Public Sector Internal Audit Standards. </w:t>
      </w:r>
      <w:r w:rsidRPr="3285EAFF">
        <w:rPr>
          <w:rFonts w:ascii="Verdana" w:hAnsi="Verdana"/>
        </w:rPr>
        <w:t>A</w:t>
      </w:r>
      <w:r>
        <w:rPr>
          <w:rFonts w:ascii="Verdana" w:hAnsi="Verdana"/>
        </w:rPr>
        <w:t xml:space="preserve">n </w:t>
      </w:r>
      <w:r w:rsidRPr="3285EAFF">
        <w:rPr>
          <w:rFonts w:ascii="Verdana" w:hAnsi="Verdana"/>
        </w:rPr>
        <w:t>Internal Audit Plan for 202</w:t>
      </w:r>
      <w:r w:rsidR="00A51751">
        <w:rPr>
          <w:rFonts w:ascii="Verdana" w:hAnsi="Verdana"/>
        </w:rPr>
        <w:t>4</w:t>
      </w:r>
      <w:r w:rsidRPr="3285EAFF">
        <w:rPr>
          <w:rFonts w:ascii="Verdana" w:hAnsi="Verdana"/>
        </w:rPr>
        <w:t>-2</w:t>
      </w:r>
      <w:r w:rsidR="00A51751">
        <w:rPr>
          <w:rFonts w:ascii="Verdana" w:hAnsi="Verdana"/>
        </w:rPr>
        <w:t>5</w:t>
      </w:r>
      <w:r w:rsidRPr="3285EAFF">
        <w:rPr>
          <w:rFonts w:ascii="Verdana" w:hAnsi="Verdana"/>
        </w:rPr>
        <w:t xml:space="preserve"> was presented to the Commission’s Audit and Risk Management Committee in </w:t>
      </w:r>
      <w:r w:rsidR="00A51751">
        <w:rPr>
          <w:rFonts w:ascii="Verdana" w:hAnsi="Verdana"/>
        </w:rPr>
        <w:t>December 2024</w:t>
      </w:r>
      <w:r w:rsidRPr="3285EAFF">
        <w:rPr>
          <w:rFonts w:ascii="Verdana" w:hAnsi="Verdana"/>
        </w:rPr>
        <w:t xml:space="preserve"> for approval.</w:t>
      </w:r>
    </w:p>
    <w:p w14:paraId="099BE9C3" w14:textId="77777777" w:rsidR="00637CA2" w:rsidRDefault="00637CA2" w:rsidP="002667DD">
      <w:pPr>
        <w:pStyle w:val="Default"/>
        <w:rPr>
          <w:rFonts w:ascii="Verdana" w:hAnsi="Verdana"/>
        </w:rPr>
      </w:pPr>
    </w:p>
    <w:p w14:paraId="0DA11BA4" w14:textId="7F76BF75" w:rsidR="002667DD" w:rsidRDefault="002667DD" w:rsidP="002667DD">
      <w:pPr>
        <w:pStyle w:val="Default"/>
        <w:rPr>
          <w:rFonts w:ascii="Verdana" w:hAnsi="Verdana"/>
        </w:rPr>
      </w:pPr>
      <w:r>
        <w:rPr>
          <w:rFonts w:ascii="Verdana" w:hAnsi="Verdana"/>
        </w:rPr>
        <w:lastRenderedPageBreak/>
        <w:t xml:space="preserve">Internal Audit’s work plan is informed by an analysis of the risk to which the Commission is exposed. </w:t>
      </w:r>
    </w:p>
    <w:p w14:paraId="78AE0B7C" w14:textId="77777777" w:rsidR="002667DD" w:rsidRDefault="002667DD" w:rsidP="002667DD">
      <w:pPr>
        <w:pStyle w:val="Default"/>
        <w:rPr>
          <w:rFonts w:ascii="Verdana" w:hAnsi="Verdana"/>
        </w:rPr>
      </w:pPr>
    </w:p>
    <w:p w14:paraId="47FB9AFE" w14:textId="4D66BE1C" w:rsidR="002667DD" w:rsidRDefault="002667DD" w:rsidP="002667DD">
      <w:pPr>
        <w:pStyle w:val="Default"/>
        <w:rPr>
          <w:rFonts w:ascii="Verdana" w:hAnsi="Verdana"/>
        </w:rPr>
      </w:pPr>
      <w:r>
        <w:rPr>
          <w:rFonts w:ascii="Verdana" w:hAnsi="Verdana"/>
        </w:rPr>
        <w:t xml:space="preserve">The table below </w:t>
      </w:r>
      <w:r w:rsidRPr="74585EFD">
        <w:rPr>
          <w:rFonts w:ascii="Verdana" w:hAnsi="Verdana"/>
        </w:rPr>
        <w:t>outlines</w:t>
      </w:r>
      <w:r>
        <w:rPr>
          <w:rFonts w:ascii="Verdana" w:hAnsi="Verdana"/>
        </w:rPr>
        <w:t xml:space="preserve"> the internal audit programme that was carried out relating to 202</w:t>
      </w:r>
      <w:r w:rsidR="00A51751">
        <w:rPr>
          <w:rFonts w:ascii="Verdana" w:hAnsi="Verdana"/>
        </w:rPr>
        <w:t>4</w:t>
      </w:r>
      <w:r>
        <w:rPr>
          <w:rFonts w:ascii="Verdana" w:hAnsi="Verdana"/>
        </w:rPr>
        <w:t>-2</w:t>
      </w:r>
      <w:r w:rsidR="00A51751">
        <w:rPr>
          <w:rFonts w:ascii="Verdana" w:hAnsi="Verdana"/>
        </w:rPr>
        <w:t>5</w:t>
      </w:r>
      <w:r>
        <w:rPr>
          <w:rFonts w:ascii="Verdana" w:hAnsi="Verdana"/>
        </w:rPr>
        <w:t>.</w:t>
      </w:r>
    </w:p>
    <w:p w14:paraId="101B8956" w14:textId="77777777" w:rsidR="007330CB" w:rsidRDefault="007330CB" w:rsidP="002667DD">
      <w:pPr>
        <w:pStyle w:val="Default"/>
        <w:rPr>
          <w:rFonts w:ascii="Verdana" w:hAnsi="Verdana"/>
        </w:rPr>
      </w:pPr>
    </w:p>
    <w:tbl>
      <w:tblPr>
        <w:tblStyle w:val="TableGrid"/>
        <w:tblW w:w="0" w:type="auto"/>
        <w:tblLook w:val="04A0" w:firstRow="1" w:lastRow="0" w:firstColumn="1" w:lastColumn="0" w:noHBand="0" w:noVBand="1"/>
      </w:tblPr>
      <w:tblGrid>
        <w:gridCol w:w="2815"/>
        <w:gridCol w:w="1977"/>
        <w:gridCol w:w="1975"/>
        <w:gridCol w:w="2249"/>
      </w:tblGrid>
      <w:tr w:rsidR="002667DD" w:rsidRPr="00D2611F" w14:paraId="2ECA534E" w14:textId="77777777" w:rsidTr="549A3FF4">
        <w:tc>
          <w:tcPr>
            <w:tcW w:w="2815" w:type="dxa"/>
          </w:tcPr>
          <w:p w14:paraId="37534D28" w14:textId="77777777" w:rsidR="002667DD" w:rsidRPr="00D2611F" w:rsidRDefault="002667DD" w:rsidP="001958BD">
            <w:pPr>
              <w:pStyle w:val="Default"/>
              <w:rPr>
                <w:rFonts w:ascii="Verdana" w:hAnsi="Verdana"/>
                <w:b/>
                <w:bCs/>
              </w:rPr>
            </w:pPr>
            <w:bookmarkStart w:id="20" w:name="_Hlk198549214"/>
            <w:r w:rsidRPr="00D2611F">
              <w:rPr>
                <w:rFonts w:ascii="Verdana" w:hAnsi="Verdana"/>
                <w:b/>
                <w:bCs/>
              </w:rPr>
              <w:t>System</w:t>
            </w:r>
          </w:p>
        </w:tc>
        <w:tc>
          <w:tcPr>
            <w:tcW w:w="1977" w:type="dxa"/>
          </w:tcPr>
          <w:p w14:paraId="11C3BCFE" w14:textId="77777777" w:rsidR="002667DD" w:rsidRPr="00D2611F" w:rsidRDefault="002667DD" w:rsidP="001958BD">
            <w:pPr>
              <w:pStyle w:val="Default"/>
              <w:rPr>
                <w:rFonts w:ascii="Verdana" w:hAnsi="Verdana"/>
                <w:b/>
                <w:bCs/>
              </w:rPr>
            </w:pPr>
            <w:r w:rsidRPr="00D2611F">
              <w:rPr>
                <w:rFonts w:ascii="Verdana" w:hAnsi="Verdana"/>
                <w:b/>
                <w:bCs/>
              </w:rPr>
              <w:t>Date of final report</w:t>
            </w:r>
          </w:p>
        </w:tc>
        <w:tc>
          <w:tcPr>
            <w:tcW w:w="1975" w:type="dxa"/>
          </w:tcPr>
          <w:p w14:paraId="1D361E5D" w14:textId="77777777" w:rsidR="002667DD" w:rsidRPr="00D2611F" w:rsidRDefault="002667DD" w:rsidP="001958BD">
            <w:pPr>
              <w:pStyle w:val="Default"/>
              <w:rPr>
                <w:rFonts w:ascii="Verdana" w:hAnsi="Verdana"/>
                <w:b/>
                <w:bCs/>
              </w:rPr>
            </w:pPr>
            <w:r w:rsidRPr="00D2611F">
              <w:rPr>
                <w:rFonts w:ascii="Verdana" w:hAnsi="Verdana"/>
                <w:b/>
                <w:bCs/>
              </w:rPr>
              <w:t>Assurance rating</w:t>
            </w:r>
          </w:p>
        </w:tc>
        <w:tc>
          <w:tcPr>
            <w:tcW w:w="2249" w:type="dxa"/>
          </w:tcPr>
          <w:p w14:paraId="40379134" w14:textId="77777777" w:rsidR="002667DD" w:rsidRPr="00D2611F" w:rsidRDefault="002667DD" w:rsidP="001958BD">
            <w:pPr>
              <w:pStyle w:val="Default"/>
              <w:rPr>
                <w:rFonts w:ascii="Verdana" w:hAnsi="Verdana"/>
                <w:b/>
                <w:bCs/>
              </w:rPr>
            </w:pPr>
            <w:r w:rsidRPr="00D2611F">
              <w:rPr>
                <w:rFonts w:ascii="Verdana" w:hAnsi="Verdana"/>
                <w:b/>
                <w:bCs/>
              </w:rPr>
              <w:t>Status</w:t>
            </w:r>
          </w:p>
        </w:tc>
      </w:tr>
      <w:tr w:rsidR="002667DD" w:rsidRPr="00D2611F" w14:paraId="04719EAB" w14:textId="77777777" w:rsidTr="549A3FF4">
        <w:tc>
          <w:tcPr>
            <w:tcW w:w="2815" w:type="dxa"/>
          </w:tcPr>
          <w:p w14:paraId="25A69942" w14:textId="77777777" w:rsidR="002667DD" w:rsidRPr="00D2611F" w:rsidRDefault="00121988" w:rsidP="001958BD">
            <w:pPr>
              <w:pStyle w:val="Default"/>
              <w:rPr>
                <w:rFonts w:ascii="Verdana" w:hAnsi="Verdana"/>
              </w:rPr>
            </w:pPr>
            <w:r w:rsidRPr="00D2611F">
              <w:rPr>
                <w:rFonts w:ascii="Verdana" w:hAnsi="Verdana"/>
              </w:rPr>
              <w:t xml:space="preserve">Financial Systems </w:t>
            </w:r>
          </w:p>
          <w:p w14:paraId="75CFF546" w14:textId="77777777" w:rsidR="0082378C" w:rsidRPr="00D2611F" w:rsidRDefault="0082378C" w:rsidP="001958BD">
            <w:pPr>
              <w:pStyle w:val="Default"/>
              <w:rPr>
                <w:rFonts w:ascii="Verdana" w:hAnsi="Verdana"/>
              </w:rPr>
            </w:pPr>
          </w:p>
          <w:p w14:paraId="32D7B6C1" w14:textId="28D0F614" w:rsidR="0082378C" w:rsidRPr="00D2611F" w:rsidRDefault="0082378C" w:rsidP="001958BD">
            <w:pPr>
              <w:pStyle w:val="Default"/>
              <w:rPr>
                <w:rFonts w:ascii="Verdana" w:hAnsi="Verdana"/>
              </w:rPr>
            </w:pPr>
          </w:p>
        </w:tc>
        <w:tc>
          <w:tcPr>
            <w:tcW w:w="1977" w:type="dxa"/>
          </w:tcPr>
          <w:p w14:paraId="188AC622" w14:textId="321112DC" w:rsidR="002667DD" w:rsidRPr="00D2611F" w:rsidRDefault="00F74EAF" w:rsidP="001958BD">
            <w:pPr>
              <w:pStyle w:val="Default"/>
              <w:rPr>
                <w:rFonts w:ascii="Verdana" w:hAnsi="Verdana"/>
              </w:rPr>
            </w:pPr>
            <w:r w:rsidRPr="00D2611F">
              <w:rPr>
                <w:rFonts w:ascii="Verdana" w:hAnsi="Verdana"/>
              </w:rPr>
              <w:t>30 May 2025</w:t>
            </w:r>
          </w:p>
        </w:tc>
        <w:tc>
          <w:tcPr>
            <w:tcW w:w="1975" w:type="dxa"/>
          </w:tcPr>
          <w:p w14:paraId="1EDFCCC9" w14:textId="0CA6190A" w:rsidR="002667DD" w:rsidRPr="00D2611F" w:rsidRDefault="00F74EAF" w:rsidP="001958BD">
            <w:pPr>
              <w:pStyle w:val="Default"/>
              <w:rPr>
                <w:rFonts w:ascii="Verdana" w:hAnsi="Verdana"/>
              </w:rPr>
            </w:pPr>
            <w:r w:rsidRPr="00D2611F">
              <w:rPr>
                <w:rFonts w:ascii="Verdana" w:hAnsi="Verdana"/>
              </w:rPr>
              <w:t>Satisfactory</w:t>
            </w:r>
          </w:p>
        </w:tc>
        <w:tc>
          <w:tcPr>
            <w:tcW w:w="2249" w:type="dxa"/>
          </w:tcPr>
          <w:p w14:paraId="0AC00AF9" w14:textId="06BBBF93" w:rsidR="002667DD" w:rsidRPr="00D2611F" w:rsidRDefault="00ED2A7F" w:rsidP="001958BD">
            <w:pPr>
              <w:pStyle w:val="Default"/>
              <w:rPr>
                <w:rFonts w:ascii="Verdana" w:hAnsi="Verdana"/>
              </w:rPr>
            </w:pPr>
            <w:r w:rsidRPr="00D2611F">
              <w:rPr>
                <w:rFonts w:ascii="Verdana" w:hAnsi="Verdana"/>
              </w:rPr>
              <w:t>Final Report</w:t>
            </w:r>
          </w:p>
        </w:tc>
      </w:tr>
      <w:tr w:rsidR="00A07F62" w:rsidRPr="00D2611F" w14:paraId="2B74E461" w14:textId="77777777" w:rsidTr="549A3FF4">
        <w:tc>
          <w:tcPr>
            <w:tcW w:w="2815" w:type="dxa"/>
          </w:tcPr>
          <w:p w14:paraId="7F08701D" w14:textId="56B56E06" w:rsidR="00A07F62" w:rsidRPr="00D2611F" w:rsidRDefault="00A07F62" w:rsidP="001958BD">
            <w:pPr>
              <w:pStyle w:val="Default"/>
              <w:rPr>
                <w:rFonts w:ascii="Verdana" w:hAnsi="Verdana"/>
              </w:rPr>
            </w:pPr>
            <w:r w:rsidRPr="00D2611F">
              <w:rPr>
                <w:rFonts w:ascii="Verdana" w:hAnsi="Verdana"/>
              </w:rPr>
              <w:t xml:space="preserve">IT </w:t>
            </w:r>
            <w:r w:rsidR="00135F7A" w:rsidRPr="00D2611F">
              <w:rPr>
                <w:rFonts w:ascii="Verdana" w:hAnsi="Verdana"/>
              </w:rPr>
              <w:t>Systems and Security</w:t>
            </w:r>
          </w:p>
        </w:tc>
        <w:tc>
          <w:tcPr>
            <w:tcW w:w="1977" w:type="dxa"/>
          </w:tcPr>
          <w:p w14:paraId="01C1F88F" w14:textId="323D0858" w:rsidR="00A07F62" w:rsidRPr="00D2611F" w:rsidRDefault="00135F7A" w:rsidP="001958BD">
            <w:pPr>
              <w:pStyle w:val="Default"/>
              <w:rPr>
                <w:rFonts w:ascii="Verdana" w:hAnsi="Verdana"/>
              </w:rPr>
            </w:pPr>
            <w:r w:rsidRPr="00D2611F">
              <w:rPr>
                <w:rFonts w:ascii="Verdana" w:hAnsi="Verdana"/>
              </w:rPr>
              <w:t>11 June 2025</w:t>
            </w:r>
          </w:p>
        </w:tc>
        <w:tc>
          <w:tcPr>
            <w:tcW w:w="1975" w:type="dxa"/>
          </w:tcPr>
          <w:p w14:paraId="09692858" w14:textId="47CABEA2" w:rsidR="00A07F62" w:rsidRPr="00D2611F" w:rsidRDefault="00135F7A" w:rsidP="001958BD">
            <w:pPr>
              <w:pStyle w:val="Default"/>
              <w:rPr>
                <w:rFonts w:ascii="Verdana" w:hAnsi="Verdana"/>
              </w:rPr>
            </w:pPr>
            <w:r w:rsidRPr="00D2611F">
              <w:rPr>
                <w:rFonts w:ascii="Verdana" w:hAnsi="Verdana"/>
              </w:rPr>
              <w:t>Satisfactory</w:t>
            </w:r>
          </w:p>
        </w:tc>
        <w:tc>
          <w:tcPr>
            <w:tcW w:w="2249" w:type="dxa"/>
          </w:tcPr>
          <w:p w14:paraId="223D79C3" w14:textId="2A1A6EC1" w:rsidR="00A07F62" w:rsidRPr="00D2611F" w:rsidRDefault="00135F7A" w:rsidP="001958BD">
            <w:pPr>
              <w:pStyle w:val="Default"/>
              <w:rPr>
                <w:rFonts w:ascii="Verdana" w:hAnsi="Verdana"/>
              </w:rPr>
            </w:pPr>
            <w:r w:rsidRPr="00D2611F">
              <w:rPr>
                <w:rFonts w:ascii="Verdana" w:hAnsi="Verdana"/>
              </w:rPr>
              <w:t>Final Report</w:t>
            </w:r>
          </w:p>
        </w:tc>
      </w:tr>
      <w:bookmarkEnd w:id="20"/>
    </w:tbl>
    <w:p w14:paraId="4C8503DF" w14:textId="77777777" w:rsidR="00D42A55" w:rsidRPr="00D2611F" w:rsidRDefault="00D42A55" w:rsidP="002667DD">
      <w:pPr>
        <w:pStyle w:val="Default"/>
        <w:rPr>
          <w:rFonts w:ascii="Verdana" w:hAnsi="Verdana"/>
        </w:rPr>
      </w:pPr>
    </w:p>
    <w:p w14:paraId="6A342921" w14:textId="3C0CA790" w:rsidR="002667DD" w:rsidRPr="00D2611F" w:rsidRDefault="002667DD" w:rsidP="002667DD">
      <w:pPr>
        <w:pStyle w:val="Default"/>
        <w:rPr>
          <w:rFonts w:ascii="Verdana" w:hAnsi="Verdana"/>
        </w:rPr>
      </w:pPr>
      <w:r w:rsidRPr="00D2611F">
        <w:rPr>
          <w:rFonts w:ascii="Verdana" w:hAnsi="Verdana"/>
        </w:rPr>
        <w:t>A Satisfactory assurance level denotes that overall there is a satisfactory system of governance, risk management and control. While there may be some residual risk identified, this should not significantly impact on the achievement of system objectives.</w:t>
      </w:r>
    </w:p>
    <w:p w14:paraId="6E1ACD99" w14:textId="77777777" w:rsidR="002667DD" w:rsidRPr="00D2611F" w:rsidRDefault="002667DD" w:rsidP="002667DD">
      <w:pPr>
        <w:pStyle w:val="Default"/>
        <w:rPr>
          <w:rFonts w:ascii="Verdana" w:hAnsi="Verdana"/>
        </w:rPr>
      </w:pPr>
    </w:p>
    <w:p w14:paraId="154E5507" w14:textId="74815551" w:rsidR="002667DD" w:rsidRDefault="002667DD" w:rsidP="002667DD">
      <w:pPr>
        <w:pStyle w:val="Default"/>
        <w:rPr>
          <w:rFonts w:ascii="Verdana" w:hAnsi="Verdana"/>
        </w:rPr>
      </w:pPr>
      <w:r w:rsidRPr="00D2611F">
        <w:rPr>
          <w:rFonts w:ascii="Verdana" w:hAnsi="Verdana"/>
        </w:rPr>
        <w:t xml:space="preserve">During </w:t>
      </w:r>
      <w:r w:rsidR="006E1D33" w:rsidRPr="00D2611F">
        <w:rPr>
          <w:rFonts w:ascii="Verdana" w:hAnsi="Verdana"/>
        </w:rPr>
        <w:t>202</w:t>
      </w:r>
      <w:r w:rsidR="003273C7" w:rsidRPr="00D2611F">
        <w:rPr>
          <w:rFonts w:ascii="Verdana" w:hAnsi="Verdana"/>
        </w:rPr>
        <w:t>4</w:t>
      </w:r>
      <w:r w:rsidR="006E1D33" w:rsidRPr="00D2611F">
        <w:rPr>
          <w:rFonts w:ascii="Verdana" w:hAnsi="Verdana"/>
        </w:rPr>
        <w:t>-2</w:t>
      </w:r>
      <w:r w:rsidR="003273C7" w:rsidRPr="00D2611F">
        <w:rPr>
          <w:rFonts w:ascii="Verdana" w:hAnsi="Verdana"/>
        </w:rPr>
        <w:t>5</w:t>
      </w:r>
      <w:r w:rsidRPr="00D2611F">
        <w:rPr>
          <w:rFonts w:ascii="Verdana" w:hAnsi="Verdana"/>
        </w:rPr>
        <w:t xml:space="preserve"> a total of </w:t>
      </w:r>
      <w:r w:rsidR="00135F7A" w:rsidRPr="00D2611F">
        <w:rPr>
          <w:rFonts w:ascii="Verdana" w:hAnsi="Verdana"/>
        </w:rPr>
        <w:t>9</w:t>
      </w:r>
      <w:r w:rsidR="003978F0" w:rsidRPr="00D2611F">
        <w:rPr>
          <w:rFonts w:ascii="Verdana" w:hAnsi="Verdana"/>
        </w:rPr>
        <w:t xml:space="preserve"> </w:t>
      </w:r>
      <w:r w:rsidRPr="00D2611F">
        <w:rPr>
          <w:rFonts w:ascii="Verdana" w:hAnsi="Verdana"/>
        </w:rPr>
        <w:t xml:space="preserve">recommendations were made.  There were no Priority One recommendations, </w:t>
      </w:r>
      <w:r w:rsidR="007A0238" w:rsidRPr="00D2611F">
        <w:rPr>
          <w:rFonts w:ascii="Verdana" w:hAnsi="Verdana"/>
        </w:rPr>
        <w:t>two</w:t>
      </w:r>
      <w:r w:rsidRPr="00D2611F">
        <w:rPr>
          <w:rFonts w:ascii="Verdana" w:hAnsi="Verdana"/>
        </w:rPr>
        <w:t xml:space="preserve"> were identified as Priority Two and </w:t>
      </w:r>
      <w:r w:rsidR="007A0238" w:rsidRPr="00D2611F">
        <w:rPr>
          <w:rFonts w:ascii="Verdana" w:hAnsi="Verdana"/>
        </w:rPr>
        <w:t>seven</w:t>
      </w:r>
      <w:r w:rsidRPr="00D2611F">
        <w:rPr>
          <w:rFonts w:ascii="Verdana" w:hAnsi="Verdana"/>
        </w:rPr>
        <w:t xml:space="preserve"> as Priority Three.</w:t>
      </w:r>
    </w:p>
    <w:p w14:paraId="7393D966" w14:textId="77777777" w:rsidR="002667DD" w:rsidRDefault="002667DD" w:rsidP="002667DD"/>
    <w:p w14:paraId="0A081592" w14:textId="1C4F824B" w:rsidR="002667DD" w:rsidRDefault="002667DD" w:rsidP="002667DD">
      <w:r>
        <w:t xml:space="preserve">Internal audit findings are presented to the Audit and Risk Management Committee and copies of all final reports are provided to me, in my role as Accounting Officer.  </w:t>
      </w:r>
      <w:bookmarkStart w:id="21" w:name="_Hlk135985181"/>
      <w:r>
        <w:t xml:space="preserve">In addition, Internal Audit provided an Annual Assurance Report </w:t>
      </w:r>
      <w:r w:rsidR="00E16470">
        <w:t xml:space="preserve">which </w:t>
      </w:r>
      <w:r w:rsidR="00B62714">
        <w:t>was</w:t>
      </w:r>
      <w:r>
        <w:t xml:space="preserve"> presented to the Audit and Risk Management Committee in June 202</w:t>
      </w:r>
      <w:r w:rsidR="00221C0E">
        <w:t>5</w:t>
      </w:r>
      <w:r>
        <w:t xml:space="preserve">, confirming that the Commission’s systems in relation to risk management, control and governance were adequate and operated effectively, thereby providing an overall satisfactory assurance. </w:t>
      </w:r>
    </w:p>
    <w:bookmarkEnd w:id="21"/>
    <w:p w14:paraId="73302AB9" w14:textId="77777777" w:rsidR="002667DD" w:rsidRPr="008711E7" w:rsidRDefault="002667DD" w:rsidP="002667DD"/>
    <w:p w14:paraId="19E3ED40" w14:textId="77777777" w:rsidR="002667DD" w:rsidRDefault="002667DD" w:rsidP="002667DD">
      <w:pPr>
        <w:rPr>
          <w:rFonts w:eastAsia="PMingLiU"/>
        </w:rPr>
      </w:pPr>
      <w:r w:rsidRPr="00A076E3">
        <w:rPr>
          <w:rFonts w:eastAsia="PMingLiU"/>
        </w:rPr>
        <w:t>Commissioners continue to receive monthly reports on financial performance and audit activity, and regular updates on the risk register.</w:t>
      </w:r>
      <w:r w:rsidRPr="008711E7">
        <w:rPr>
          <w:rFonts w:eastAsia="PMingLiU"/>
        </w:rPr>
        <w:t xml:space="preserve">  </w:t>
      </w:r>
    </w:p>
    <w:p w14:paraId="58117568" w14:textId="77777777" w:rsidR="002667DD" w:rsidRDefault="002667DD" w:rsidP="002667DD">
      <w:pPr>
        <w:rPr>
          <w:rFonts w:eastAsia="PMingLiU"/>
        </w:rPr>
      </w:pPr>
    </w:p>
    <w:p w14:paraId="30D209B9" w14:textId="77777777" w:rsidR="002667DD" w:rsidRDefault="002667DD" w:rsidP="002667DD">
      <w:pPr>
        <w:rPr>
          <w:rFonts w:eastAsia="PMingLiU"/>
          <w:b/>
        </w:rPr>
      </w:pPr>
      <w:r>
        <w:rPr>
          <w:rFonts w:eastAsia="PMingLiU"/>
          <w:b/>
        </w:rPr>
        <w:t xml:space="preserve">External Auditors </w:t>
      </w:r>
    </w:p>
    <w:p w14:paraId="04CBCA1D" w14:textId="77777777" w:rsidR="002667DD" w:rsidRDefault="002667DD" w:rsidP="002667DD">
      <w:pPr>
        <w:rPr>
          <w:rFonts w:eastAsia="PMingLiU"/>
          <w:b/>
        </w:rPr>
      </w:pPr>
    </w:p>
    <w:p w14:paraId="055E89F3" w14:textId="1CB9C323" w:rsidR="00AD377D" w:rsidRDefault="00AD377D" w:rsidP="00AD377D">
      <w:pPr>
        <w:rPr>
          <w:rFonts w:eastAsia="PMingLiU"/>
        </w:rPr>
      </w:pPr>
      <w:r>
        <w:rPr>
          <w:rFonts w:eastAsia="PMingLiU"/>
        </w:rPr>
        <w:t>Representatives from the National Audit Office (NAO) and its framework partner Ernst &amp; Young LLP (EY), acting on behalf of the C&amp;AG, attended all of the Committee’s meetings.  During this reporting period, the Committee had a positive engagement with auditors in respect of the completion report for the 202</w:t>
      </w:r>
      <w:r w:rsidR="00A11F8A">
        <w:rPr>
          <w:rFonts w:eastAsia="PMingLiU"/>
        </w:rPr>
        <w:t>3</w:t>
      </w:r>
      <w:r>
        <w:rPr>
          <w:rFonts w:eastAsia="PMingLiU"/>
        </w:rPr>
        <w:t>-2</w:t>
      </w:r>
      <w:r w:rsidR="00A11F8A">
        <w:rPr>
          <w:rFonts w:eastAsia="PMingLiU"/>
        </w:rPr>
        <w:t>4</w:t>
      </w:r>
      <w:r>
        <w:rPr>
          <w:rFonts w:eastAsia="PMingLiU"/>
        </w:rPr>
        <w:t xml:space="preserve"> accounts and the preparation of the 202</w:t>
      </w:r>
      <w:r w:rsidR="00A11F8A">
        <w:rPr>
          <w:rFonts w:eastAsia="PMingLiU"/>
        </w:rPr>
        <w:t>4</w:t>
      </w:r>
      <w:r>
        <w:rPr>
          <w:rFonts w:eastAsia="PMingLiU"/>
        </w:rPr>
        <w:t>-2</w:t>
      </w:r>
      <w:r w:rsidR="00A11F8A">
        <w:rPr>
          <w:rFonts w:eastAsia="PMingLiU"/>
        </w:rPr>
        <w:t>5</w:t>
      </w:r>
      <w:r>
        <w:rPr>
          <w:rFonts w:eastAsia="PMingLiU"/>
        </w:rPr>
        <w:t xml:space="preserve"> accounts.</w:t>
      </w:r>
    </w:p>
    <w:p w14:paraId="662D1AA1" w14:textId="77777777" w:rsidR="002667DD" w:rsidRDefault="002667DD" w:rsidP="002667DD">
      <w:pPr>
        <w:rPr>
          <w:rFonts w:eastAsia="PMingLiU"/>
        </w:rPr>
      </w:pPr>
    </w:p>
    <w:p w14:paraId="6B638E1E" w14:textId="77777777" w:rsidR="002667DD" w:rsidRPr="00213CA3" w:rsidRDefault="002667DD" w:rsidP="002667DD">
      <w:pPr>
        <w:rPr>
          <w:rFonts w:eastAsia="PMingLiU"/>
        </w:rPr>
      </w:pPr>
      <w:r>
        <w:rPr>
          <w:rFonts w:eastAsia="PMingLiU"/>
        </w:rPr>
        <w:t>The Committee has continued to work closely with the external auditors in this reporting period and will continue to do.</w:t>
      </w:r>
    </w:p>
    <w:p w14:paraId="1A9BC984" w14:textId="77777777" w:rsidR="000150A8" w:rsidRDefault="000150A8" w:rsidP="002667DD">
      <w:pPr>
        <w:widowControl w:val="0"/>
        <w:autoSpaceDE w:val="0"/>
        <w:autoSpaceDN w:val="0"/>
        <w:adjustRightInd w:val="0"/>
        <w:rPr>
          <w:b/>
          <w:noProof/>
          <w:lang w:eastAsia="en-GB"/>
        </w:rPr>
      </w:pPr>
    </w:p>
    <w:p w14:paraId="302C5DB4" w14:textId="77777777" w:rsidR="00637CA2" w:rsidRDefault="00637CA2" w:rsidP="002667DD">
      <w:pPr>
        <w:widowControl w:val="0"/>
        <w:autoSpaceDE w:val="0"/>
        <w:autoSpaceDN w:val="0"/>
        <w:adjustRightInd w:val="0"/>
        <w:rPr>
          <w:b/>
          <w:noProof/>
          <w:lang w:eastAsia="en-GB"/>
        </w:rPr>
      </w:pPr>
    </w:p>
    <w:p w14:paraId="548C0113" w14:textId="77777777" w:rsidR="00637CA2" w:rsidRDefault="00637CA2" w:rsidP="002667DD">
      <w:pPr>
        <w:widowControl w:val="0"/>
        <w:autoSpaceDE w:val="0"/>
        <w:autoSpaceDN w:val="0"/>
        <w:adjustRightInd w:val="0"/>
        <w:rPr>
          <w:b/>
          <w:noProof/>
          <w:lang w:eastAsia="en-GB"/>
        </w:rPr>
      </w:pPr>
    </w:p>
    <w:p w14:paraId="44E3DBD0" w14:textId="77777777" w:rsidR="00637CA2" w:rsidRDefault="00637CA2" w:rsidP="002667DD">
      <w:pPr>
        <w:widowControl w:val="0"/>
        <w:autoSpaceDE w:val="0"/>
        <w:autoSpaceDN w:val="0"/>
        <w:adjustRightInd w:val="0"/>
        <w:rPr>
          <w:b/>
          <w:noProof/>
          <w:lang w:eastAsia="en-GB"/>
        </w:rPr>
      </w:pPr>
    </w:p>
    <w:p w14:paraId="4A972B97" w14:textId="1A122360" w:rsidR="002667DD" w:rsidRDefault="002667DD" w:rsidP="002667DD">
      <w:pPr>
        <w:widowControl w:val="0"/>
        <w:autoSpaceDE w:val="0"/>
        <w:autoSpaceDN w:val="0"/>
        <w:adjustRightInd w:val="0"/>
        <w:rPr>
          <w:b/>
          <w:noProof/>
          <w:lang w:eastAsia="en-GB"/>
        </w:rPr>
      </w:pPr>
      <w:r>
        <w:rPr>
          <w:b/>
          <w:noProof/>
          <w:lang w:eastAsia="en-GB"/>
        </w:rPr>
        <w:lastRenderedPageBreak/>
        <w:t>Corporate Governance</w:t>
      </w:r>
    </w:p>
    <w:p w14:paraId="24702490" w14:textId="77777777" w:rsidR="002667DD" w:rsidRDefault="002667DD" w:rsidP="002667DD">
      <w:pPr>
        <w:widowControl w:val="0"/>
        <w:autoSpaceDE w:val="0"/>
        <w:autoSpaceDN w:val="0"/>
        <w:adjustRightInd w:val="0"/>
        <w:rPr>
          <w:b/>
          <w:noProof/>
          <w:lang w:eastAsia="en-GB"/>
        </w:rPr>
      </w:pPr>
    </w:p>
    <w:p w14:paraId="7D376095" w14:textId="4E35612F" w:rsidR="002667DD" w:rsidRDefault="002667DD" w:rsidP="002667DD">
      <w:pPr>
        <w:widowControl w:val="0"/>
        <w:autoSpaceDE w:val="0"/>
        <w:autoSpaceDN w:val="0"/>
        <w:adjustRightInd w:val="0"/>
        <w:rPr>
          <w:noProof/>
          <w:lang w:eastAsia="en-GB"/>
        </w:rPr>
      </w:pPr>
      <w:r w:rsidRPr="6B3529A9">
        <w:rPr>
          <w:noProof/>
          <w:lang w:eastAsia="en-GB"/>
        </w:rPr>
        <w:t>The Commission conducts its affairs in accordance with a Code of Governance prepared in line with the Cabinet Office ‘Code of Conduct for Board Members of Public Bodies June 2019’.  It also reflects the principles set out in the Corporate Governance in central government departments</w:t>
      </w:r>
      <w:r w:rsidR="1C6C7B9E" w:rsidRPr="6B3529A9">
        <w:rPr>
          <w:noProof/>
          <w:lang w:eastAsia="en-GB"/>
        </w:rPr>
        <w:t xml:space="preserve"> to the extent relevant to the status of the Commission</w:t>
      </w:r>
      <w:r w:rsidRPr="6B3529A9">
        <w:rPr>
          <w:noProof/>
          <w:lang w:eastAsia="en-GB"/>
        </w:rPr>
        <w:t>: Code of Good Practice; the outcome of internal governance reviews; good governance principles developed by the Independent Commission on Good Governance and current best practice principles in co</w:t>
      </w:r>
      <w:r w:rsidR="001B50D0">
        <w:rPr>
          <w:noProof/>
          <w:lang w:eastAsia="en-GB"/>
        </w:rPr>
        <w:t>r</w:t>
      </w:r>
      <w:r w:rsidRPr="6B3529A9">
        <w:rPr>
          <w:noProof/>
          <w:lang w:eastAsia="en-GB"/>
        </w:rPr>
        <w:t xml:space="preserve">porate governance.  The Commission’s Code of Governance, including Standing Orders was reviewed in </w:t>
      </w:r>
      <w:r w:rsidR="00A54138" w:rsidRPr="6B3529A9">
        <w:rPr>
          <w:noProof/>
          <w:lang w:eastAsia="en-GB"/>
        </w:rPr>
        <w:t>May 2023 with the next review due to take place in October 2025</w:t>
      </w:r>
      <w:r w:rsidRPr="6B3529A9">
        <w:rPr>
          <w:noProof/>
          <w:lang w:eastAsia="en-GB"/>
        </w:rPr>
        <w:t>.</w:t>
      </w:r>
    </w:p>
    <w:p w14:paraId="50811DC7" w14:textId="77777777" w:rsidR="002667DD" w:rsidRDefault="002667DD" w:rsidP="002667DD">
      <w:pPr>
        <w:widowControl w:val="0"/>
        <w:autoSpaceDE w:val="0"/>
        <w:autoSpaceDN w:val="0"/>
        <w:adjustRightInd w:val="0"/>
        <w:rPr>
          <w:noProof/>
          <w:lang w:eastAsia="en-GB"/>
        </w:rPr>
      </w:pPr>
    </w:p>
    <w:p w14:paraId="046039A2" w14:textId="77777777" w:rsidR="002667DD" w:rsidRDefault="002667DD" w:rsidP="002667DD">
      <w:pPr>
        <w:widowControl w:val="0"/>
        <w:autoSpaceDE w:val="0"/>
        <w:autoSpaceDN w:val="0"/>
        <w:adjustRightInd w:val="0"/>
        <w:rPr>
          <w:noProof/>
          <w:lang w:eastAsia="en-GB"/>
        </w:rPr>
      </w:pPr>
      <w:r>
        <w:rPr>
          <w:noProof/>
          <w:lang w:eastAsia="en-GB"/>
        </w:rPr>
        <w:t>The Commission has a comprehensive Framework document with the NIO which sets down its value and principles and lines of accountability.</w:t>
      </w:r>
    </w:p>
    <w:p w14:paraId="7A8FA343" w14:textId="77777777" w:rsidR="002667DD" w:rsidRDefault="002667DD" w:rsidP="002667DD">
      <w:pPr>
        <w:widowControl w:val="0"/>
        <w:autoSpaceDE w:val="0"/>
        <w:autoSpaceDN w:val="0"/>
        <w:adjustRightInd w:val="0"/>
        <w:rPr>
          <w:noProof/>
          <w:lang w:eastAsia="en-GB"/>
        </w:rPr>
      </w:pPr>
    </w:p>
    <w:p w14:paraId="73773002" w14:textId="07EF1F1B" w:rsidR="002667DD" w:rsidRDefault="002667DD" w:rsidP="002667DD">
      <w:pPr>
        <w:widowControl w:val="0"/>
        <w:autoSpaceDE w:val="0"/>
        <w:autoSpaceDN w:val="0"/>
        <w:adjustRightInd w:val="0"/>
        <w:rPr>
          <w:noProof/>
          <w:lang w:eastAsia="en-GB"/>
        </w:rPr>
      </w:pPr>
      <w:r w:rsidRPr="62F844E5">
        <w:rPr>
          <w:noProof/>
          <w:lang w:eastAsia="en-GB"/>
        </w:rPr>
        <w:t xml:space="preserve">Stewardship Statements are completed bi-annually and submitted to the NIO. </w:t>
      </w:r>
      <w:r>
        <w:rPr>
          <w:noProof/>
          <w:lang w:eastAsia="en-GB"/>
        </w:rPr>
        <w:t>The 20</w:t>
      </w:r>
      <w:r w:rsidRPr="62F844E5">
        <w:rPr>
          <w:noProof/>
          <w:lang w:eastAsia="en-GB"/>
        </w:rPr>
        <w:t>2</w:t>
      </w:r>
      <w:r w:rsidR="0063004D">
        <w:rPr>
          <w:noProof/>
          <w:lang w:eastAsia="en-GB"/>
        </w:rPr>
        <w:t>4</w:t>
      </w:r>
      <w:r>
        <w:rPr>
          <w:noProof/>
          <w:lang w:eastAsia="en-GB"/>
        </w:rPr>
        <w:t>-2</w:t>
      </w:r>
      <w:r w:rsidR="0063004D">
        <w:rPr>
          <w:noProof/>
          <w:lang w:eastAsia="en-GB"/>
        </w:rPr>
        <w:t>5</w:t>
      </w:r>
      <w:r w:rsidRPr="62F844E5">
        <w:rPr>
          <w:noProof/>
          <w:lang w:eastAsia="en-GB"/>
        </w:rPr>
        <w:t xml:space="preserve"> statement was provided </w:t>
      </w:r>
      <w:r>
        <w:rPr>
          <w:noProof/>
          <w:lang w:eastAsia="en-GB"/>
        </w:rPr>
        <w:t>to the NIO in November 202</w:t>
      </w:r>
      <w:r w:rsidR="00316615">
        <w:rPr>
          <w:noProof/>
          <w:lang w:eastAsia="en-GB"/>
        </w:rPr>
        <w:t>4</w:t>
      </w:r>
      <w:r>
        <w:rPr>
          <w:noProof/>
          <w:lang w:eastAsia="en-GB"/>
        </w:rPr>
        <w:t xml:space="preserve"> and at the end of the financial year.  </w:t>
      </w:r>
      <w:r w:rsidRPr="62F844E5">
        <w:rPr>
          <w:noProof/>
          <w:lang w:eastAsia="en-GB"/>
        </w:rPr>
        <w:t>The purpose of the statements is to provide assurance that the Commission maintains a sound system of internal control within its business area to support the achievement of the NIO’s policies and objectives, whilst safeguarding public funds and assets.  These statements also inform the content of this Governance Statement.</w:t>
      </w:r>
    </w:p>
    <w:p w14:paraId="3E79A181" w14:textId="77777777" w:rsidR="002667DD" w:rsidRDefault="002667DD" w:rsidP="002667DD">
      <w:pPr>
        <w:widowControl w:val="0"/>
        <w:autoSpaceDE w:val="0"/>
        <w:autoSpaceDN w:val="0"/>
        <w:adjustRightInd w:val="0"/>
        <w:rPr>
          <w:noProof/>
          <w:lang w:eastAsia="en-GB"/>
        </w:rPr>
      </w:pPr>
    </w:p>
    <w:p w14:paraId="128F966D" w14:textId="77777777" w:rsidR="00F85814" w:rsidRDefault="002667DD" w:rsidP="54F71CB4">
      <w:pPr>
        <w:widowControl w:val="0"/>
        <w:autoSpaceDE w:val="0"/>
        <w:autoSpaceDN w:val="0"/>
        <w:adjustRightInd w:val="0"/>
        <w:rPr>
          <w:b/>
          <w:bCs/>
          <w:noProof/>
          <w:lang w:eastAsia="en-GB"/>
        </w:rPr>
      </w:pPr>
      <w:r w:rsidRPr="54F71CB4">
        <w:rPr>
          <w:b/>
          <w:bCs/>
          <w:noProof/>
          <w:lang w:eastAsia="en-GB"/>
        </w:rPr>
        <w:t>Going Concern</w:t>
      </w:r>
    </w:p>
    <w:p w14:paraId="75AC7D55" w14:textId="77777777" w:rsidR="00F54D0E" w:rsidRDefault="00F54D0E" w:rsidP="54F71CB4">
      <w:pPr>
        <w:widowControl w:val="0"/>
        <w:autoSpaceDE w:val="0"/>
        <w:autoSpaceDN w:val="0"/>
        <w:adjustRightInd w:val="0"/>
        <w:rPr>
          <w:b/>
          <w:bCs/>
          <w:noProof/>
          <w:lang w:eastAsia="en-GB"/>
        </w:rPr>
      </w:pPr>
    </w:p>
    <w:p w14:paraId="5B35B78A" w14:textId="328E278A" w:rsidR="002667DD" w:rsidRDefault="002667DD" w:rsidP="002667DD">
      <w:pPr>
        <w:widowControl w:val="0"/>
        <w:autoSpaceDE w:val="0"/>
        <w:autoSpaceDN w:val="0"/>
        <w:adjustRightInd w:val="0"/>
        <w:rPr>
          <w:b/>
          <w:noProof/>
          <w:lang w:eastAsia="en-GB"/>
        </w:rPr>
      </w:pPr>
      <w:r w:rsidRPr="00987EA7">
        <w:rPr>
          <w:b/>
          <w:noProof/>
          <w:lang w:eastAsia="en-GB"/>
        </w:rPr>
        <w:t xml:space="preserve"> </w:t>
      </w:r>
    </w:p>
    <w:p w14:paraId="11922DD3" w14:textId="7CBC39B5" w:rsidR="00B84E72" w:rsidRPr="00DF7F39" w:rsidRDefault="00A354F4" w:rsidP="002667DD">
      <w:pPr>
        <w:widowControl w:val="0"/>
        <w:autoSpaceDE w:val="0"/>
        <w:autoSpaceDN w:val="0"/>
        <w:adjustRightInd w:val="0"/>
        <w:rPr>
          <w:rFonts w:cs="Calibri"/>
          <w:lang w:eastAsia="en-GB"/>
        </w:rPr>
      </w:pPr>
      <w:r w:rsidRPr="00DF7F39">
        <w:rPr>
          <w:rFonts w:cs="Calibri"/>
          <w:lang w:eastAsia="en-GB"/>
        </w:rPr>
        <w:t>The Commission’s sponsoring body is the Northern Ireland Office as laid out in the Northern Ireland Act 1998. The Commission’s core budget for 202</w:t>
      </w:r>
      <w:r w:rsidR="0045715D" w:rsidRPr="00DF7F39">
        <w:rPr>
          <w:rFonts w:cs="Calibri"/>
          <w:lang w:eastAsia="en-GB"/>
        </w:rPr>
        <w:t>5</w:t>
      </w:r>
      <w:r w:rsidRPr="00DF7F39">
        <w:rPr>
          <w:rFonts w:cs="Calibri"/>
          <w:lang w:eastAsia="en-GB"/>
        </w:rPr>
        <w:t>-2</w:t>
      </w:r>
      <w:r w:rsidR="0045715D" w:rsidRPr="00DF7F39">
        <w:rPr>
          <w:rFonts w:cs="Calibri"/>
          <w:lang w:eastAsia="en-GB"/>
        </w:rPr>
        <w:t>6</w:t>
      </w:r>
      <w:r w:rsidRPr="00DF7F39">
        <w:rPr>
          <w:rFonts w:cs="Calibri"/>
          <w:lang w:eastAsia="en-GB"/>
        </w:rPr>
        <w:t xml:space="preserve"> has been approved by the Northern Ireland Office</w:t>
      </w:r>
      <w:r w:rsidR="00563127">
        <w:rPr>
          <w:rFonts w:cs="Calibri"/>
          <w:lang w:eastAsia="en-GB"/>
        </w:rPr>
        <w:t xml:space="preserve">. </w:t>
      </w:r>
      <w:r w:rsidR="00B7309E" w:rsidRPr="00DF7F39">
        <w:rPr>
          <w:rFonts w:cs="Calibri"/>
          <w:lang w:eastAsia="en-GB"/>
        </w:rPr>
        <w:t xml:space="preserve"> </w:t>
      </w:r>
      <w:r w:rsidR="00563127">
        <w:rPr>
          <w:rFonts w:cs="Calibri"/>
          <w:lang w:eastAsia="en-GB"/>
        </w:rPr>
        <w:t>T</w:t>
      </w:r>
      <w:r w:rsidR="00D34848" w:rsidRPr="00DF7F39">
        <w:rPr>
          <w:rFonts w:cs="Calibri"/>
          <w:lang w:eastAsia="en-GB"/>
        </w:rPr>
        <w:t xml:space="preserve">he 2025-26 budget reflects </w:t>
      </w:r>
      <w:r w:rsidR="00642A6A" w:rsidRPr="00DF7F39">
        <w:rPr>
          <w:rFonts w:cs="Calibri"/>
          <w:lang w:eastAsia="en-GB"/>
        </w:rPr>
        <w:t xml:space="preserve">the 2025 Spending Review phase 1 settlement, and the Commission has also received a further </w:t>
      </w:r>
      <w:r w:rsidR="00AC099D" w:rsidRPr="00DF7F39">
        <w:rPr>
          <w:rFonts w:cs="Calibri"/>
          <w:lang w:eastAsia="en-GB"/>
        </w:rPr>
        <w:t>three-year</w:t>
      </w:r>
      <w:r w:rsidR="00642A6A" w:rsidRPr="00DF7F39">
        <w:rPr>
          <w:rFonts w:cs="Calibri"/>
          <w:lang w:eastAsia="en-GB"/>
        </w:rPr>
        <w:t xml:space="preserve"> financial settlement as part of the UK Government Spending Review phase 2 covering the period 2026-29. </w:t>
      </w:r>
    </w:p>
    <w:p w14:paraId="597DF557" w14:textId="77777777" w:rsidR="00B84E72" w:rsidRDefault="00B84E72" w:rsidP="002667DD">
      <w:pPr>
        <w:widowControl w:val="0"/>
        <w:autoSpaceDE w:val="0"/>
        <w:autoSpaceDN w:val="0"/>
        <w:adjustRightInd w:val="0"/>
        <w:rPr>
          <w:rFonts w:cs="Calibri"/>
          <w:highlight w:val="yellow"/>
          <w:lang w:eastAsia="en-GB"/>
        </w:rPr>
      </w:pPr>
    </w:p>
    <w:p w14:paraId="3F537705" w14:textId="7BA5CBAB" w:rsidR="00563127" w:rsidRPr="00913F3B" w:rsidRDefault="00563127" w:rsidP="002667DD">
      <w:pPr>
        <w:widowControl w:val="0"/>
        <w:autoSpaceDE w:val="0"/>
        <w:autoSpaceDN w:val="0"/>
        <w:adjustRightInd w:val="0"/>
        <w:rPr>
          <w:rFonts w:cs="Calibri"/>
          <w:lang w:eastAsia="en-GB"/>
        </w:rPr>
      </w:pPr>
      <w:r w:rsidRPr="00913F3B">
        <w:rPr>
          <w:rFonts w:cs="Calibri"/>
          <w:lang w:eastAsia="en-GB"/>
        </w:rPr>
        <w:t>The Commission also receives additional funding for the Dedicated Mechanism</w:t>
      </w:r>
      <w:r w:rsidR="006A4AAC" w:rsidRPr="00913F3B">
        <w:rPr>
          <w:rFonts w:cs="Calibri"/>
          <w:lang w:eastAsia="en-GB"/>
        </w:rPr>
        <w:t xml:space="preserve">, which arise from a statutory requirement under the EU Withdrawal </w:t>
      </w:r>
      <w:r w:rsidR="00953272" w:rsidRPr="00913F3B">
        <w:rPr>
          <w:rFonts w:cs="Calibri"/>
          <w:lang w:eastAsia="en-GB"/>
        </w:rPr>
        <w:t xml:space="preserve">Agreement Act.  This role will continue in the future and </w:t>
      </w:r>
      <w:r w:rsidR="0062645A" w:rsidRPr="00913F3B">
        <w:rPr>
          <w:rFonts w:cs="Calibri"/>
          <w:lang w:eastAsia="en-GB"/>
        </w:rPr>
        <w:t xml:space="preserve">beyond the financial year 2025-26.  The Northern Ireland Office has confirmed </w:t>
      </w:r>
      <w:r w:rsidR="00FE68FF" w:rsidRPr="00913F3B">
        <w:rPr>
          <w:rFonts w:cs="Calibri"/>
          <w:lang w:eastAsia="en-GB"/>
        </w:rPr>
        <w:t xml:space="preserve">the budget for </w:t>
      </w:r>
      <w:r w:rsidR="00880CC7">
        <w:rPr>
          <w:rFonts w:cs="Calibri"/>
          <w:lang w:eastAsia="en-GB"/>
        </w:rPr>
        <w:t xml:space="preserve">the next </w:t>
      </w:r>
      <w:r w:rsidR="00AC099D">
        <w:rPr>
          <w:rFonts w:cs="Calibri"/>
          <w:lang w:eastAsia="en-GB"/>
        </w:rPr>
        <w:t>four years until 31 March 2029.</w:t>
      </w:r>
    </w:p>
    <w:p w14:paraId="3AF68CB2" w14:textId="77777777" w:rsidR="00913F3B" w:rsidRDefault="00913F3B" w:rsidP="002667DD">
      <w:pPr>
        <w:widowControl w:val="0"/>
        <w:autoSpaceDE w:val="0"/>
        <w:autoSpaceDN w:val="0"/>
        <w:adjustRightInd w:val="0"/>
        <w:rPr>
          <w:rFonts w:cs="Calibri"/>
          <w:highlight w:val="yellow"/>
          <w:lang w:eastAsia="en-GB"/>
        </w:rPr>
      </w:pPr>
    </w:p>
    <w:p w14:paraId="734A58AB" w14:textId="0A870AC0" w:rsidR="00F0705B" w:rsidRPr="00F0705B" w:rsidRDefault="00642A6A" w:rsidP="002667DD">
      <w:pPr>
        <w:widowControl w:val="0"/>
        <w:autoSpaceDE w:val="0"/>
        <w:autoSpaceDN w:val="0"/>
        <w:adjustRightInd w:val="0"/>
        <w:rPr>
          <w:rFonts w:cs="Calibri"/>
          <w:lang w:eastAsia="en-GB"/>
        </w:rPr>
      </w:pPr>
      <w:r w:rsidRPr="00F0705B">
        <w:rPr>
          <w:rFonts w:cs="Calibri"/>
          <w:lang w:eastAsia="en-GB"/>
        </w:rPr>
        <w:t xml:space="preserve">As a result of this Spending Review </w:t>
      </w:r>
      <w:r w:rsidR="00B84E72" w:rsidRPr="00F0705B">
        <w:rPr>
          <w:rFonts w:cs="Calibri"/>
          <w:lang w:eastAsia="en-GB"/>
        </w:rPr>
        <w:t xml:space="preserve">settlement the </w:t>
      </w:r>
      <w:r w:rsidR="00AC10B4" w:rsidRPr="00F0705B">
        <w:rPr>
          <w:rFonts w:cs="Calibri"/>
          <w:lang w:eastAsia="en-GB"/>
        </w:rPr>
        <w:t>A</w:t>
      </w:r>
      <w:r w:rsidR="00B84E72" w:rsidRPr="00F0705B">
        <w:rPr>
          <w:rFonts w:cs="Calibri"/>
          <w:lang w:eastAsia="en-GB"/>
        </w:rPr>
        <w:t xml:space="preserve">ccounting </w:t>
      </w:r>
      <w:r w:rsidR="00937A9F" w:rsidRPr="00F0705B">
        <w:rPr>
          <w:rFonts w:cs="Calibri"/>
          <w:lang w:eastAsia="en-GB"/>
        </w:rPr>
        <w:t xml:space="preserve">Officer has </w:t>
      </w:r>
      <w:r w:rsidR="00E42D67">
        <w:rPr>
          <w:rFonts w:cs="Calibri"/>
          <w:lang w:eastAsia="en-GB"/>
        </w:rPr>
        <w:t xml:space="preserve">a </w:t>
      </w:r>
      <w:r w:rsidR="00937A9F" w:rsidRPr="00F0705B">
        <w:rPr>
          <w:rFonts w:cs="Calibri"/>
          <w:lang w:eastAsia="en-GB"/>
        </w:rPr>
        <w:t xml:space="preserve">reasonable expectation that the Commission can continue for a period </w:t>
      </w:r>
      <w:r w:rsidR="00F0705B" w:rsidRPr="00F0705B">
        <w:rPr>
          <w:rFonts w:cs="Calibri"/>
          <w:lang w:eastAsia="en-GB"/>
        </w:rPr>
        <w:t>of 12 months from the date of approval of the annual report an</w:t>
      </w:r>
      <w:r w:rsidR="004A172F">
        <w:rPr>
          <w:rFonts w:cs="Calibri"/>
          <w:lang w:eastAsia="en-GB"/>
        </w:rPr>
        <w:t>d</w:t>
      </w:r>
      <w:r w:rsidR="00F0705B" w:rsidRPr="00F0705B">
        <w:rPr>
          <w:rFonts w:cs="Calibri"/>
          <w:lang w:eastAsia="en-GB"/>
        </w:rPr>
        <w:t xml:space="preserve"> accounts, and has accordingly considered</w:t>
      </w:r>
      <w:r w:rsidR="00EF4A28">
        <w:rPr>
          <w:rFonts w:cs="Calibri"/>
          <w:lang w:eastAsia="en-GB"/>
        </w:rPr>
        <w:t xml:space="preserve"> it</w:t>
      </w:r>
      <w:r w:rsidR="00F0705B" w:rsidRPr="00F0705B">
        <w:rPr>
          <w:rFonts w:cs="Calibri"/>
          <w:lang w:eastAsia="en-GB"/>
        </w:rPr>
        <w:t xml:space="preserve"> </w:t>
      </w:r>
      <w:r w:rsidR="004A172F">
        <w:rPr>
          <w:rFonts w:cs="Calibri"/>
          <w:lang w:eastAsia="en-GB"/>
        </w:rPr>
        <w:t xml:space="preserve">appropriate </w:t>
      </w:r>
      <w:r w:rsidR="00F0705B" w:rsidRPr="00F0705B">
        <w:rPr>
          <w:rFonts w:cs="Calibri"/>
          <w:lang w:eastAsia="en-GB"/>
        </w:rPr>
        <w:t>to adopt a going concern basis for the preparation of the 2024-25 financial statements.</w:t>
      </w:r>
    </w:p>
    <w:p w14:paraId="244D2E66" w14:textId="77777777" w:rsidR="004A172F" w:rsidRDefault="004A172F" w:rsidP="002667DD">
      <w:pPr>
        <w:widowControl w:val="0"/>
        <w:autoSpaceDE w:val="0"/>
        <w:autoSpaceDN w:val="0"/>
        <w:adjustRightInd w:val="0"/>
        <w:rPr>
          <w:b/>
          <w:color w:val="auto"/>
        </w:rPr>
      </w:pPr>
    </w:p>
    <w:p w14:paraId="36880F70" w14:textId="77777777" w:rsidR="00637CA2" w:rsidRDefault="00637CA2" w:rsidP="002667DD">
      <w:pPr>
        <w:widowControl w:val="0"/>
        <w:autoSpaceDE w:val="0"/>
        <w:autoSpaceDN w:val="0"/>
        <w:adjustRightInd w:val="0"/>
        <w:rPr>
          <w:b/>
          <w:color w:val="auto"/>
        </w:rPr>
      </w:pPr>
    </w:p>
    <w:p w14:paraId="4D764922" w14:textId="77777777" w:rsidR="00637CA2" w:rsidRDefault="00637CA2" w:rsidP="002667DD">
      <w:pPr>
        <w:widowControl w:val="0"/>
        <w:autoSpaceDE w:val="0"/>
        <w:autoSpaceDN w:val="0"/>
        <w:adjustRightInd w:val="0"/>
        <w:rPr>
          <w:b/>
          <w:color w:val="auto"/>
        </w:rPr>
      </w:pPr>
    </w:p>
    <w:p w14:paraId="1A9574B0" w14:textId="1CC505A5" w:rsidR="002667DD" w:rsidRPr="009B4441" w:rsidRDefault="002667DD" w:rsidP="002667DD">
      <w:pPr>
        <w:widowControl w:val="0"/>
        <w:autoSpaceDE w:val="0"/>
        <w:autoSpaceDN w:val="0"/>
        <w:adjustRightInd w:val="0"/>
        <w:rPr>
          <w:b/>
          <w:color w:val="auto"/>
        </w:rPr>
      </w:pPr>
      <w:r w:rsidRPr="009B4441">
        <w:rPr>
          <w:b/>
          <w:color w:val="auto"/>
        </w:rPr>
        <w:t>Personal data</w:t>
      </w:r>
      <w:r>
        <w:rPr>
          <w:b/>
          <w:color w:val="auto"/>
        </w:rPr>
        <w:t xml:space="preserve"> related incidents</w:t>
      </w:r>
    </w:p>
    <w:p w14:paraId="72AA3EAE" w14:textId="77777777" w:rsidR="002667DD" w:rsidRPr="009B4441" w:rsidRDefault="002667DD" w:rsidP="002667DD">
      <w:pPr>
        <w:widowControl w:val="0"/>
        <w:autoSpaceDE w:val="0"/>
        <w:autoSpaceDN w:val="0"/>
        <w:adjustRightInd w:val="0"/>
        <w:rPr>
          <w:color w:val="auto"/>
        </w:rPr>
      </w:pPr>
    </w:p>
    <w:p w14:paraId="083382A4" w14:textId="4F2A7A79" w:rsidR="002667DD" w:rsidRDefault="002667DD" w:rsidP="002667DD">
      <w:r>
        <w:t>No personal data related incidents were reported to the Information Commissioner’s Office (ICO) (202</w:t>
      </w:r>
      <w:r w:rsidR="00A42860">
        <w:t>3</w:t>
      </w:r>
      <w:r>
        <w:t>-2</w:t>
      </w:r>
      <w:r w:rsidR="00A42860">
        <w:t>4</w:t>
      </w:r>
      <w:r w:rsidRPr="003F7E43">
        <w:t xml:space="preserve">: </w:t>
      </w:r>
      <w:r w:rsidR="001D67EA">
        <w:t>None</w:t>
      </w:r>
      <w:r w:rsidRPr="003F7E43">
        <w:t>).</w:t>
      </w:r>
    </w:p>
    <w:p w14:paraId="3B277092" w14:textId="77777777" w:rsidR="002667DD" w:rsidRDefault="002667DD" w:rsidP="002667DD">
      <w:pPr>
        <w:widowControl w:val="0"/>
        <w:autoSpaceDE w:val="0"/>
        <w:autoSpaceDN w:val="0"/>
        <w:adjustRightInd w:val="0"/>
        <w:rPr>
          <w:b/>
        </w:rPr>
      </w:pPr>
    </w:p>
    <w:p w14:paraId="41C92BB1" w14:textId="77777777" w:rsidR="00A354F4" w:rsidRDefault="00A354F4" w:rsidP="002667DD">
      <w:pPr>
        <w:widowControl w:val="0"/>
        <w:autoSpaceDE w:val="0"/>
        <w:autoSpaceDN w:val="0"/>
        <w:adjustRightInd w:val="0"/>
        <w:rPr>
          <w:b/>
        </w:rPr>
      </w:pPr>
    </w:p>
    <w:p w14:paraId="73166435" w14:textId="77777777" w:rsidR="002667DD" w:rsidRDefault="002667DD" w:rsidP="002667DD">
      <w:pPr>
        <w:widowControl w:val="0"/>
        <w:autoSpaceDE w:val="0"/>
        <w:autoSpaceDN w:val="0"/>
        <w:adjustRightInd w:val="0"/>
        <w:rPr>
          <w:b/>
        </w:rPr>
      </w:pPr>
      <w:r>
        <w:rPr>
          <w:b/>
        </w:rPr>
        <w:t>Significant internal control weaknesses</w:t>
      </w:r>
    </w:p>
    <w:p w14:paraId="3D0F36EC" w14:textId="77777777" w:rsidR="002667DD" w:rsidRDefault="002667DD" w:rsidP="002667DD">
      <w:pPr>
        <w:widowControl w:val="0"/>
        <w:autoSpaceDE w:val="0"/>
        <w:autoSpaceDN w:val="0"/>
        <w:adjustRightInd w:val="0"/>
        <w:rPr>
          <w:b/>
        </w:rPr>
      </w:pPr>
    </w:p>
    <w:p w14:paraId="0BBAC458" w14:textId="061816DB" w:rsidR="002667DD" w:rsidRDefault="002667DD" w:rsidP="002667DD">
      <w:pPr>
        <w:widowControl w:val="0"/>
        <w:autoSpaceDE w:val="0"/>
        <w:autoSpaceDN w:val="0"/>
        <w:adjustRightInd w:val="0"/>
      </w:pPr>
      <w:r>
        <w:t>There we</w:t>
      </w:r>
      <w:r w:rsidRPr="008711E7">
        <w:t xml:space="preserve">re no significant </w:t>
      </w:r>
      <w:r>
        <w:t xml:space="preserve">weaknesses </w:t>
      </w:r>
      <w:r w:rsidRPr="008711E7">
        <w:t>in the Commission</w:t>
      </w:r>
      <w:r>
        <w:t>’s systems of internal controls in 202</w:t>
      </w:r>
      <w:r w:rsidR="00A42860">
        <w:t>4</w:t>
      </w:r>
      <w:r>
        <w:t>-2</w:t>
      </w:r>
      <w:r w:rsidR="00A42860">
        <w:t>5</w:t>
      </w:r>
      <w:r>
        <w:t xml:space="preserve"> that affected the achievement of the Commission’s key policies, aims and objectives</w:t>
      </w:r>
      <w:r w:rsidRPr="008711E7">
        <w:t xml:space="preserve">.  </w:t>
      </w:r>
    </w:p>
    <w:p w14:paraId="302E8527" w14:textId="77777777" w:rsidR="0021497F" w:rsidRDefault="0021497F" w:rsidP="002667DD">
      <w:pPr>
        <w:widowControl w:val="0"/>
        <w:autoSpaceDE w:val="0"/>
        <w:autoSpaceDN w:val="0"/>
        <w:adjustRightInd w:val="0"/>
      </w:pPr>
    </w:p>
    <w:p w14:paraId="293CDA5F" w14:textId="77777777" w:rsidR="0021497F" w:rsidRDefault="0021497F" w:rsidP="002667DD">
      <w:pPr>
        <w:widowControl w:val="0"/>
        <w:autoSpaceDE w:val="0"/>
        <w:autoSpaceDN w:val="0"/>
        <w:adjustRightInd w:val="0"/>
      </w:pPr>
    </w:p>
    <w:p w14:paraId="67FDAF45" w14:textId="77777777" w:rsidR="0021497F" w:rsidRDefault="0021497F" w:rsidP="002667DD">
      <w:pPr>
        <w:widowControl w:val="0"/>
        <w:autoSpaceDE w:val="0"/>
        <w:autoSpaceDN w:val="0"/>
        <w:adjustRightInd w:val="0"/>
      </w:pPr>
    </w:p>
    <w:p w14:paraId="66931C24" w14:textId="77777777" w:rsidR="0021497F" w:rsidRDefault="0021497F" w:rsidP="002667DD">
      <w:pPr>
        <w:widowControl w:val="0"/>
        <w:autoSpaceDE w:val="0"/>
        <w:autoSpaceDN w:val="0"/>
        <w:adjustRightInd w:val="0"/>
      </w:pPr>
    </w:p>
    <w:p w14:paraId="0C1E8803" w14:textId="77777777" w:rsidR="00357518" w:rsidRPr="008711E7" w:rsidRDefault="00357518" w:rsidP="002667DD">
      <w:pPr>
        <w:widowControl w:val="0"/>
        <w:autoSpaceDE w:val="0"/>
        <w:autoSpaceDN w:val="0"/>
        <w:adjustRightInd w:val="0"/>
      </w:pPr>
    </w:p>
    <w:p w14:paraId="170B17D2" w14:textId="01B583F8" w:rsidR="002667DD" w:rsidRDefault="0021497F" w:rsidP="002667DD">
      <w:pPr>
        <w:widowControl w:val="0"/>
        <w:autoSpaceDE w:val="0"/>
        <w:autoSpaceDN w:val="0"/>
        <w:adjustRightInd w:val="0"/>
        <w:rPr>
          <w:noProof/>
          <w:lang w:eastAsia="en-GB"/>
        </w:rPr>
      </w:pPr>
      <w:r>
        <w:rPr>
          <w:noProof/>
        </w:rPr>
        <w:drawing>
          <wp:inline distT="0" distB="0" distL="0" distR="0" wp14:anchorId="2B945F37" wp14:editId="3F6488AD">
            <wp:extent cx="1627770" cy="452438"/>
            <wp:effectExtent l="0" t="0" r="0" b="5080"/>
            <wp:docPr id="1827726263" name="Picture 1827726263"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26263" name="Picture 1827726263" descr="A blue signature on a white background&#10;&#10;Description automatically generated"/>
                    <pic:cNvPicPr/>
                  </pic:nvPicPr>
                  <pic:blipFill rotWithShape="1">
                    <a:blip r:embed="rId25" cstate="print">
                      <a:extLst>
                        <a:ext uri="{28A0092B-C50C-407E-A947-70E740481C1C}">
                          <a14:useLocalDpi xmlns:a14="http://schemas.microsoft.com/office/drawing/2010/main" val="0"/>
                        </a:ext>
                      </a:extLst>
                    </a:blip>
                    <a:srcRect t="27943" b="23685"/>
                    <a:stretch/>
                  </pic:blipFill>
                  <pic:spPr bwMode="auto">
                    <a:xfrm>
                      <a:off x="0" y="0"/>
                      <a:ext cx="1718836" cy="477750"/>
                    </a:xfrm>
                    <a:prstGeom prst="rect">
                      <a:avLst/>
                    </a:prstGeom>
                    <a:ln>
                      <a:noFill/>
                    </a:ln>
                    <a:extLst>
                      <a:ext uri="{53640926-AAD7-44D8-BBD7-CCE9431645EC}">
                        <a14:shadowObscured xmlns:a14="http://schemas.microsoft.com/office/drawing/2010/main"/>
                      </a:ext>
                    </a:extLst>
                  </pic:spPr>
                </pic:pic>
              </a:graphicData>
            </a:graphic>
          </wp:inline>
        </w:drawing>
      </w:r>
    </w:p>
    <w:p w14:paraId="1F9DA171" w14:textId="77777777" w:rsidR="002667DD" w:rsidRDefault="002667DD" w:rsidP="002667DD">
      <w:pPr>
        <w:autoSpaceDE w:val="0"/>
        <w:autoSpaceDN w:val="0"/>
        <w:adjustRightInd w:val="0"/>
        <w:rPr>
          <w:noProof/>
          <w:lang w:eastAsia="en-GB"/>
        </w:rPr>
      </w:pPr>
    </w:p>
    <w:p w14:paraId="7D4730D5" w14:textId="77777777" w:rsidR="002667DD" w:rsidRPr="00D80497" w:rsidRDefault="002667DD" w:rsidP="002667DD">
      <w:pPr>
        <w:widowControl w:val="0"/>
        <w:autoSpaceDE w:val="0"/>
        <w:autoSpaceDN w:val="0"/>
        <w:adjustRightInd w:val="0"/>
        <w:rPr>
          <w:b/>
        </w:rPr>
      </w:pPr>
      <w:r>
        <w:rPr>
          <w:b/>
        </w:rPr>
        <w:t>Dr David Russell</w:t>
      </w:r>
    </w:p>
    <w:p w14:paraId="2F2951D8" w14:textId="5FC36044" w:rsidR="002667DD" w:rsidRPr="00D80497" w:rsidRDefault="002667DD" w:rsidP="002667DD">
      <w:pPr>
        <w:widowControl w:val="0"/>
        <w:autoSpaceDE w:val="0"/>
        <w:autoSpaceDN w:val="0"/>
        <w:adjustRightInd w:val="0"/>
        <w:rPr>
          <w:b/>
        </w:rPr>
      </w:pPr>
      <w:r w:rsidRPr="00D80497">
        <w:rPr>
          <w:b/>
        </w:rPr>
        <w:t>Accounting Officer</w:t>
      </w:r>
    </w:p>
    <w:p w14:paraId="5F3585B0" w14:textId="77777777" w:rsidR="002667DD" w:rsidRPr="00D80497" w:rsidRDefault="002667DD" w:rsidP="002667DD">
      <w:pPr>
        <w:widowControl w:val="0"/>
        <w:tabs>
          <w:tab w:val="left" w:pos="2802"/>
        </w:tabs>
        <w:autoSpaceDE w:val="0"/>
        <w:autoSpaceDN w:val="0"/>
        <w:adjustRightInd w:val="0"/>
      </w:pPr>
    </w:p>
    <w:p w14:paraId="23568FF3" w14:textId="573B0A81" w:rsidR="002667DD" w:rsidRPr="00D80497" w:rsidRDefault="002667DD" w:rsidP="002667DD">
      <w:pPr>
        <w:widowControl w:val="0"/>
        <w:tabs>
          <w:tab w:val="left" w:pos="851"/>
        </w:tabs>
        <w:autoSpaceDE w:val="0"/>
        <w:autoSpaceDN w:val="0"/>
        <w:adjustRightInd w:val="0"/>
        <w:rPr>
          <w:b/>
        </w:rPr>
      </w:pPr>
      <w:r w:rsidRPr="00410296">
        <w:rPr>
          <w:b/>
        </w:rPr>
        <w:t xml:space="preserve">Date: </w:t>
      </w:r>
      <w:r w:rsidR="00410296">
        <w:rPr>
          <w:b/>
        </w:rPr>
        <w:t>03 July 202</w:t>
      </w:r>
      <w:r w:rsidR="007A6076">
        <w:rPr>
          <w:b/>
        </w:rPr>
        <w:t>5</w:t>
      </w:r>
    </w:p>
    <w:p w14:paraId="5E67A0BE" w14:textId="77777777" w:rsidR="00F04493" w:rsidRDefault="00F04493" w:rsidP="003F4B46">
      <w:pPr>
        <w:rPr>
          <w:rFonts w:cs="Arial"/>
          <w:b/>
          <w:color w:val="77328A"/>
          <w:sz w:val="30"/>
          <w:szCs w:val="30"/>
        </w:rPr>
      </w:pPr>
    </w:p>
    <w:p w14:paraId="35911DA3" w14:textId="77777777" w:rsidR="002667DD" w:rsidRDefault="002667DD" w:rsidP="00AE6221">
      <w:pPr>
        <w:rPr>
          <w:rFonts w:cs="Arial"/>
          <w:b/>
          <w:color w:val="77328A"/>
          <w:sz w:val="30"/>
          <w:szCs w:val="30"/>
        </w:rPr>
      </w:pPr>
    </w:p>
    <w:p w14:paraId="7BB73F59" w14:textId="77777777" w:rsidR="001D67EA" w:rsidRDefault="001D67EA" w:rsidP="00AE6221">
      <w:pPr>
        <w:rPr>
          <w:rFonts w:cs="Arial"/>
          <w:b/>
          <w:color w:val="77328A"/>
          <w:sz w:val="30"/>
          <w:szCs w:val="30"/>
        </w:rPr>
      </w:pPr>
    </w:p>
    <w:p w14:paraId="50D605DA" w14:textId="77777777" w:rsidR="009F6727" w:rsidRDefault="009F6727" w:rsidP="00AE6221">
      <w:pPr>
        <w:rPr>
          <w:rFonts w:cs="Arial"/>
          <w:b/>
          <w:color w:val="77328A"/>
          <w:sz w:val="30"/>
          <w:szCs w:val="30"/>
        </w:rPr>
      </w:pPr>
    </w:p>
    <w:p w14:paraId="4227B4EB" w14:textId="77777777" w:rsidR="009F6727" w:rsidRDefault="009F6727" w:rsidP="00AE6221">
      <w:pPr>
        <w:rPr>
          <w:rFonts w:cs="Arial"/>
          <w:b/>
          <w:color w:val="77328A"/>
          <w:sz w:val="30"/>
          <w:szCs w:val="30"/>
        </w:rPr>
      </w:pPr>
    </w:p>
    <w:p w14:paraId="774E534D" w14:textId="77777777" w:rsidR="00B6383E" w:rsidRDefault="00B6383E" w:rsidP="00AE6221">
      <w:pPr>
        <w:rPr>
          <w:rFonts w:cs="Arial"/>
          <w:b/>
          <w:color w:val="77328A"/>
          <w:sz w:val="30"/>
          <w:szCs w:val="30"/>
        </w:rPr>
      </w:pPr>
    </w:p>
    <w:p w14:paraId="74616D67" w14:textId="77777777" w:rsidR="00B705D5" w:rsidRDefault="00B705D5" w:rsidP="00AE6221">
      <w:pPr>
        <w:rPr>
          <w:rFonts w:cs="Arial"/>
          <w:b/>
          <w:color w:val="77328A"/>
          <w:sz w:val="30"/>
          <w:szCs w:val="30"/>
        </w:rPr>
      </w:pPr>
    </w:p>
    <w:p w14:paraId="4BBA06A7" w14:textId="77777777" w:rsidR="00B705D5" w:rsidRDefault="00B705D5" w:rsidP="00AE6221">
      <w:pPr>
        <w:rPr>
          <w:rFonts w:cs="Arial"/>
          <w:b/>
          <w:color w:val="77328A"/>
          <w:sz w:val="30"/>
          <w:szCs w:val="30"/>
        </w:rPr>
      </w:pPr>
    </w:p>
    <w:p w14:paraId="5C40872A" w14:textId="77777777" w:rsidR="00B705D5" w:rsidRDefault="00B705D5" w:rsidP="00AE6221">
      <w:pPr>
        <w:rPr>
          <w:rFonts w:cs="Arial"/>
          <w:b/>
          <w:color w:val="77328A"/>
          <w:sz w:val="30"/>
          <w:szCs w:val="30"/>
        </w:rPr>
      </w:pPr>
    </w:p>
    <w:p w14:paraId="16E8BD73" w14:textId="77777777" w:rsidR="00B705D5" w:rsidRDefault="00B705D5" w:rsidP="00AE6221">
      <w:pPr>
        <w:rPr>
          <w:rFonts w:cs="Arial"/>
          <w:b/>
          <w:color w:val="77328A"/>
          <w:sz w:val="30"/>
          <w:szCs w:val="30"/>
        </w:rPr>
      </w:pPr>
    </w:p>
    <w:p w14:paraId="3D843B72" w14:textId="77777777" w:rsidR="00B705D5" w:rsidRDefault="00B705D5" w:rsidP="00AE6221">
      <w:pPr>
        <w:rPr>
          <w:rFonts w:cs="Arial"/>
          <w:b/>
          <w:color w:val="77328A"/>
          <w:sz w:val="30"/>
          <w:szCs w:val="30"/>
        </w:rPr>
      </w:pPr>
    </w:p>
    <w:p w14:paraId="03B1449B" w14:textId="77777777" w:rsidR="00EF4A28" w:rsidRDefault="00EF4A28" w:rsidP="00AE6221">
      <w:pPr>
        <w:rPr>
          <w:rFonts w:cs="Arial"/>
          <w:b/>
          <w:color w:val="77328A"/>
          <w:sz w:val="30"/>
          <w:szCs w:val="30"/>
        </w:rPr>
      </w:pPr>
    </w:p>
    <w:p w14:paraId="4D07D65B" w14:textId="77777777" w:rsidR="00EF4A28" w:rsidRDefault="00EF4A28" w:rsidP="00AE6221">
      <w:pPr>
        <w:rPr>
          <w:rFonts w:cs="Arial"/>
          <w:b/>
          <w:color w:val="77328A"/>
          <w:sz w:val="30"/>
          <w:szCs w:val="30"/>
        </w:rPr>
      </w:pPr>
    </w:p>
    <w:p w14:paraId="516C6EF1" w14:textId="77777777" w:rsidR="00EF4A28" w:rsidRDefault="00EF4A28" w:rsidP="00AE6221">
      <w:pPr>
        <w:rPr>
          <w:rFonts w:cs="Arial"/>
          <w:b/>
          <w:color w:val="77328A"/>
          <w:sz w:val="30"/>
          <w:szCs w:val="30"/>
        </w:rPr>
      </w:pPr>
    </w:p>
    <w:p w14:paraId="4CA8D55B" w14:textId="77777777" w:rsidR="00EF4A28" w:rsidRDefault="00EF4A28" w:rsidP="00AE6221">
      <w:pPr>
        <w:rPr>
          <w:rFonts w:cs="Arial"/>
          <w:b/>
          <w:color w:val="77328A"/>
          <w:sz w:val="30"/>
          <w:szCs w:val="30"/>
        </w:rPr>
      </w:pPr>
    </w:p>
    <w:p w14:paraId="2285380C" w14:textId="77777777" w:rsidR="00EF4A28" w:rsidRDefault="00EF4A28" w:rsidP="00AE6221">
      <w:pPr>
        <w:rPr>
          <w:rFonts w:cs="Arial"/>
          <w:b/>
          <w:color w:val="77328A"/>
          <w:sz w:val="30"/>
          <w:szCs w:val="30"/>
        </w:rPr>
      </w:pPr>
    </w:p>
    <w:p w14:paraId="57F627F7" w14:textId="77777777" w:rsidR="00EF4A28" w:rsidRDefault="00EF4A28" w:rsidP="00AE6221">
      <w:pPr>
        <w:rPr>
          <w:rFonts w:cs="Arial"/>
          <w:b/>
          <w:color w:val="77328A"/>
          <w:sz w:val="30"/>
          <w:szCs w:val="30"/>
        </w:rPr>
      </w:pPr>
    </w:p>
    <w:p w14:paraId="4B846804" w14:textId="77777777" w:rsidR="00EF4A28" w:rsidRDefault="00EF4A28" w:rsidP="00AE6221">
      <w:pPr>
        <w:rPr>
          <w:rFonts w:cs="Arial"/>
          <w:b/>
          <w:color w:val="77328A"/>
          <w:sz w:val="30"/>
          <w:szCs w:val="30"/>
        </w:rPr>
      </w:pPr>
    </w:p>
    <w:p w14:paraId="33798FEA" w14:textId="77777777" w:rsidR="007B7D73" w:rsidRDefault="007B7D73" w:rsidP="00AE6221">
      <w:pPr>
        <w:rPr>
          <w:rFonts w:cs="Arial"/>
          <w:b/>
          <w:color w:val="77328A"/>
          <w:sz w:val="30"/>
          <w:szCs w:val="30"/>
        </w:rPr>
      </w:pPr>
    </w:p>
    <w:p w14:paraId="275816CF" w14:textId="77777777" w:rsidR="00A87DA4" w:rsidRDefault="00A87DA4" w:rsidP="00AE6221">
      <w:pPr>
        <w:rPr>
          <w:rFonts w:cs="Arial"/>
          <w:b/>
          <w:color w:val="77328A"/>
          <w:sz w:val="30"/>
          <w:szCs w:val="30"/>
        </w:rPr>
      </w:pPr>
    </w:p>
    <w:p w14:paraId="0ED50A8C" w14:textId="2EBD7729" w:rsidR="000C2A54" w:rsidRPr="005049F6" w:rsidRDefault="0045027A" w:rsidP="000C2A54">
      <w:pPr>
        <w:jc w:val="center"/>
        <w:rPr>
          <w:b/>
          <w:sz w:val="28"/>
          <w:szCs w:val="28"/>
        </w:rPr>
      </w:pPr>
      <w:bookmarkStart w:id="22" w:name="RemunerationAndStaffReport"/>
      <w:r>
        <w:rPr>
          <w:rFonts w:cs="Arial"/>
          <w:b/>
          <w:color w:val="77328A"/>
          <w:sz w:val="30"/>
          <w:szCs w:val="30"/>
        </w:rPr>
        <w:t>Remuneration and Staff Report</w:t>
      </w:r>
    </w:p>
    <w:bookmarkEnd w:id="22"/>
    <w:p w14:paraId="1E02623F" w14:textId="77777777" w:rsidR="000C2A54" w:rsidRPr="008711E7" w:rsidRDefault="000C2A54" w:rsidP="000C2A54">
      <w:pPr>
        <w:jc w:val="center"/>
        <w:rPr>
          <w:b/>
        </w:rPr>
      </w:pPr>
    </w:p>
    <w:p w14:paraId="5C7FC601" w14:textId="77777777" w:rsidR="000C2A54" w:rsidRPr="008711E7" w:rsidRDefault="000C2A54" w:rsidP="000C2A54">
      <w:pPr>
        <w:widowControl w:val="0"/>
        <w:tabs>
          <w:tab w:val="left" w:pos="567"/>
          <w:tab w:val="center" w:pos="8647"/>
        </w:tabs>
        <w:autoSpaceDE w:val="0"/>
        <w:autoSpaceDN w:val="0"/>
        <w:adjustRightInd w:val="0"/>
        <w:rPr>
          <w:b/>
        </w:rPr>
      </w:pPr>
      <w:bookmarkStart w:id="23" w:name="RemunerationPolicy"/>
      <w:r w:rsidRPr="008711E7">
        <w:rPr>
          <w:b/>
        </w:rPr>
        <w:t xml:space="preserve">Remuneration policy </w:t>
      </w:r>
    </w:p>
    <w:bookmarkEnd w:id="23"/>
    <w:p w14:paraId="2CDBFA44" w14:textId="77777777" w:rsidR="000C2A54" w:rsidRPr="008711E7" w:rsidRDefault="000C2A54" w:rsidP="000C2A54">
      <w:pPr>
        <w:widowControl w:val="0"/>
        <w:tabs>
          <w:tab w:val="left" w:pos="567"/>
          <w:tab w:val="center" w:pos="8647"/>
        </w:tabs>
        <w:autoSpaceDE w:val="0"/>
        <w:autoSpaceDN w:val="0"/>
        <w:adjustRightInd w:val="0"/>
      </w:pPr>
    </w:p>
    <w:p w14:paraId="0E1CDDBF" w14:textId="77777777" w:rsidR="000C2A54" w:rsidRPr="008711E7" w:rsidRDefault="000C2A54" w:rsidP="000C2A54">
      <w:pPr>
        <w:widowControl w:val="0"/>
        <w:tabs>
          <w:tab w:val="left" w:pos="567"/>
          <w:tab w:val="center" w:pos="8647"/>
        </w:tabs>
        <w:autoSpaceDE w:val="0"/>
        <w:autoSpaceDN w:val="0"/>
        <w:adjustRightInd w:val="0"/>
      </w:pPr>
      <w:r w:rsidRPr="008711E7">
        <w:t>The remuneration of the Chief Commissioner and Commissioners is determined by the Secretary of State for Northern Ireland.</w:t>
      </w:r>
    </w:p>
    <w:p w14:paraId="0473901A" w14:textId="77777777" w:rsidR="000C2A54" w:rsidRPr="008711E7" w:rsidRDefault="000C2A54" w:rsidP="000C2A54">
      <w:pPr>
        <w:widowControl w:val="0"/>
        <w:tabs>
          <w:tab w:val="left" w:pos="567"/>
          <w:tab w:val="center" w:pos="8647"/>
        </w:tabs>
        <w:autoSpaceDE w:val="0"/>
        <w:autoSpaceDN w:val="0"/>
        <w:adjustRightInd w:val="0"/>
      </w:pPr>
    </w:p>
    <w:p w14:paraId="606BF342" w14:textId="46FD874F" w:rsidR="000C2A54" w:rsidRPr="008711E7" w:rsidRDefault="000C2A54" w:rsidP="000C2A54">
      <w:pPr>
        <w:autoSpaceDE w:val="0"/>
        <w:autoSpaceDN w:val="0"/>
        <w:adjustRightInd w:val="0"/>
        <w:rPr>
          <w:rFonts w:cs="MetaPlusNormal-Roman"/>
          <w:lang w:val="en-US"/>
        </w:rPr>
      </w:pPr>
      <w:r w:rsidRPr="008711E7">
        <w:t xml:space="preserve">The </w:t>
      </w:r>
      <w:r>
        <w:t xml:space="preserve">Chief Commissioner and </w:t>
      </w:r>
      <w:r w:rsidR="00F5464A">
        <w:t>Chief Executive’s</w:t>
      </w:r>
      <w:r>
        <w:t xml:space="preserve"> posts are</w:t>
      </w:r>
      <w:r w:rsidRPr="008711E7">
        <w:t xml:space="preserve"> graded within the </w:t>
      </w:r>
      <w:r w:rsidRPr="008711E7">
        <w:rPr>
          <w:rFonts w:cs="MetaPlusNormal-Roman"/>
          <w:lang w:val="en-US"/>
        </w:rPr>
        <w:t>Senior Civil Service (SCS).  Pay and performance management arrangements for this post are in line with guidance issued by the Cabinet Office</w:t>
      </w:r>
      <w:r w:rsidRPr="008711E7">
        <w:rPr>
          <w:rFonts w:cs="MetaPlusNormal-Roman"/>
          <w:i/>
          <w:lang w:val="en-US"/>
        </w:rPr>
        <w:t xml:space="preserve">: </w:t>
      </w:r>
      <w:r w:rsidRPr="008711E7">
        <w:rPr>
          <w:i/>
          <w:color w:val="auto"/>
          <w:lang w:eastAsia="en-GB"/>
        </w:rPr>
        <w:t>Guidance for Approval of Senior Pay</w:t>
      </w:r>
      <w:r w:rsidRPr="008711E7">
        <w:rPr>
          <w:color w:val="auto"/>
          <w:lang w:eastAsia="en-GB"/>
        </w:rPr>
        <w:t xml:space="preserve"> (</w:t>
      </w:r>
      <w:r w:rsidR="00B75CDA">
        <w:rPr>
          <w:color w:val="auto"/>
          <w:lang w:eastAsia="en-GB"/>
        </w:rPr>
        <w:t>June</w:t>
      </w:r>
      <w:r w:rsidR="00BF62F1">
        <w:rPr>
          <w:color w:val="auto"/>
          <w:lang w:eastAsia="en-GB"/>
        </w:rPr>
        <w:t xml:space="preserve"> 202</w:t>
      </w:r>
      <w:r w:rsidR="00B75CDA">
        <w:rPr>
          <w:color w:val="auto"/>
          <w:lang w:eastAsia="en-GB"/>
        </w:rPr>
        <w:t>3</w:t>
      </w:r>
      <w:r w:rsidRPr="008711E7">
        <w:rPr>
          <w:color w:val="auto"/>
          <w:lang w:eastAsia="en-GB"/>
        </w:rPr>
        <w:t>)</w:t>
      </w:r>
      <w:r w:rsidR="00FF1FA8" w:rsidRPr="008711E7">
        <w:rPr>
          <w:i/>
        </w:rPr>
        <w:t>.</w:t>
      </w:r>
      <w:r w:rsidR="00FF1FA8" w:rsidRPr="008711E7">
        <w:rPr>
          <w:rFonts w:cs="MetaPlusNormal-Roman"/>
          <w:i/>
          <w:lang w:val="en-US"/>
        </w:rPr>
        <w:t xml:space="preserve"> </w:t>
      </w:r>
      <w:r w:rsidRPr="008711E7">
        <w:rPr>
          <w:rFonts w:cs="MetaPlusNormal-Roman"/>
          <w:lang w:val="en-US"/>
        </w:rPr>
        <w:t>Increases in the</w:t>
      </w:r>
      <w:r w:rsidRPr="008711E7">
        <w:t xml:space="preserve"> </w:t>
      </w:r>
      <w:r>
        <w:t>Chief Commissioner and Chief Executive’s</w:t>
      </w:r>
      <w:r w:rsidRPr="008711E7">
        <w:t xml:space="preserve"> pay</w:t>
      </w:r>
      <w:r w:rsidRPr="008711E7">
        <w:rPr>
          <w:i/>
        </w:rPr>
        <w:t xml:space="preserve"> </w:t>
      </w:r>
      <w:r w:rsidRPr="008711E7">
        <w:t>are in line with the parameters of the Senior Salaries Review Board</w:t>
      </w:r>
      <w:r w:rsidRPr="008711E7">
        <w:rPr>
          <w:rFonts w:cs="MetaPlusNormal-Roman"/>
          <w:lang w:val="en-US"/>
        </w:rPr>
        <w:t>.</w:t>
      </w:r>
    </w:p>
    <w:p w14:paraId="28602590" w14:textId="77777777" w:rsidR="000C2A54" w:rsidRPr="008711E7" w:rsidRDefault="000C2A54" w:rsidP="000C2A54">
      <w:pPr>
        <w:autoSpaceDE w:val="0"/>
        <w:autoSpaceDN w:val="0"/>
        <w:adjustRightInd w:val="0"/>
        <w:rPr>
          <w:rFonts w:cs="MetaPlusNormal-Roman"/>
          <w:lang w:val="en-US"/>
        </w:rPr>
      </w:pPr>
    </w:p>
    <w:p w14:paraId="0B8DBF16" w14:textId="6E65616F" w:rsidR="000C2A54" w:rsidRPr="008711E7" w:rsidRDefault="000C2A54" w:rsidP="000C2A54">
      <w:pPr>
        <w:autoSpaceDE w:val="0"/>
        <w:autoSpaceDN w:val="0"/>
        <w:adjustRightInd w:val="0"/>
        <w:rPr>
          <w:rFonts w:cs="MetaPlusNormal-Roman"/>
          <w:lang w:val="en-US"/>
        </w:rPr>
      </w:pPr>
      <w:r w:rsidRPr="008711E7">
        <w:rPr>
          <w:rFonts w:cs="MetaPlusNormal-Roman"/>
          <w:lang w:val="en-US"/>
        </w:rPr>
        <w:t xml:space="preserve">The remuneration of Commission staff aligns with those of the </w:t>
      </w:r>
      <w:r w:rsidRPr="008711E7">
        <w:t>Northern Ireland</w:t>
      </w:r>
      <w:r w:rsidRPr="008711E7">
        <w:rPr>
          <w:rFonts w:cs="MetaPlusNormal-Roman"/>
          <w:lang w:val="en-US"/>
        </w:rPr>
        <w:t xml:space="preserve"> Civil Service, in common with its sister organisations</w:t>
      </w:r>
      <w:r w:rsidR="00FF1FA8" w:rsidRPr="008711E7">
        <w:rPr>
          <w:rFonts w:cs="MetaPlusNormal-Roman"/>
          <w:lang w:val="en-US"/>
        </w:rPr>
        <w:t xml:space="preserve">. </w:t>
      </w:r>
      <w:r w:rsidRPr="008711E7">
        <w:rPr>
          <w:rFonts w:cs="MetaPlusNormal-Roman"/>
          <w:lang w:val="en-US"/>
        </w:rPr>
        <w:t xml:space="preserve">These pay arrangements continue to be </w:t>
      </w:r>
      <w:r w:rsidR="000A30FB" w:rsidRPr="008711E7">
        <w:rPr>
          <w:rFonts w:cs="MetaPlusNormal-Roman"/>
          <w:lang w:val="en-US"/>
        </w:rPr>
        <w:t>performance</w:t>
      </w:r>
      <w:r w:rsidR="000A30FB" w:rsidRPr="008711E7">
        <w:t xml:space="preserve"> related</w:t>
      </w:r>
      <w:r w:rsidR="00FF1FA8" w:rsidRPr="008711E7">
        <w:rPr>
          <w:rFonts w:cs="MetaPlusNormal-Roman"/>
          <w:lang w:val="en-US"/>
        </w:rPr>
        <w:t xml:space="preserve">. </w:t>
      </w:r>
      <w:r w:rsidRPr="008711E7">
        <w:rPr>
          <w:rFonts w:cs="MetaPlusNormal-Roman"/>
          <w:lang w:val="en-US"/>
        </w:rPr>
        <w:t>Performance is appraised by line managers in respect of achievement of agreed objectives</w:t>
      </w:r>
      <w:r w:rsidR="00FF1FA8" w:rsidRPr="008711E7">
        <w:rPr>
          <w:rFonts w:cs="MetaPlusNormal-Roman"/>
          <w:lang w:val="en-US"/>
        </w:rPr>
        <w:t xml:space="preserve">. </w:t>
      </w:r>
    </w:p>
    <w:p w14:paraId="57E86431" w14:textId="77777777" w:rsidR="000C2A54" w:rsidRPr="008711E7" w:rsidRDefault="000C2A54" w:rsidP="000C2A54">
      <w:pPr>
        <w:autoSpaceDE w:val="0"/>
        <w:autoSpaceDN w:val="0"/>
        <w:adjustRightInd w:val="0"/>
        <w:rPr>
          <w:rFonts w:cs="MetaPlusNormal-Roman"/>
          <w:lang w:val="en-US"/>
        </w:rPr>
      </w:pPr>
    </w:p>
    <w:p w14:paraId="0958844B" w14:textId="566EAB08" w:rsidR="000C2A54" w:rsidRPr="008711E7" w:rsidRDefault="000C2A54" w:rsidP="000C2A54">
      <w:pPr>
        <w:autoSpaceDE w:val="0"/>
        <w:autoSpaceDN w:val="0"/>
        <w:adjustRightInd w:val="0"/>
      </w:pPr>
      <w:r w:rsidRPr="008711E7">
        <w:rPr>
          <w:rFonts w:cs="MetaPlusNormal-Roman"/>
          <w:lang w:val="en-US"/>
        </w:rPr>
        <w:t>The Chairperson of the Commission’s Audit and Risk Management Committee was appointed through open competition</w:t>
      </w:r>
      <w:r w:rsidR="00FF1FA8" w:rsidRPr="008711E7">
        <w:rPr>
          <w:rFonts w:cs="MetaPlusNormal-Roman"/>
          <w:lang w:val="en-US"/>
        </w:rPr>
        <w:t xml:space="preserve">. </w:t>
      </w:r>
      <w:r w:rsidRPr="008711E7">
        <w:rPr>
          <w:rFonts w:cs="MetaPlusNormal-Roman"/>
          <w:lang w:val="en-US"/>
        </w:rPr>
        <w:t xml:space="preserve">The Chairperson is remunerated at a rate of £350 per meeting (the Committee usually meets four times per year) and £350 per day (pro rata) for </w:t>
      </w:r>
      <w:r w:rsidRPr="008711E7">
        <w:t>other work undertaken on behalf of, and at the request of, the Commission.</w:t>
      </w:r>
    </w:p>
    <w:p w14:paraId="23D7F894" w14:textId="77777777" w:rsidR="000C2A54" w:rsidRPr="008711E7" w:rsidRDefault="000C2A54" w:rsidP="000C2A54">
      <w:pPr>
        <w:autoSpaceDE w:val="0"/>
        <w:autoSpaceDN w:val="0"/>
        <w:adjustRightInd w:val="0"/>
      </w:pPr>
    </w:p>
    <w:p w14:paraId="2F681C9C" w14:textId="5D2CBD45" w:rsidR="000C2A54" w:rsidRDefault="000C2A54" w:rsidP="000C2A54">
      <w:pPr>
        <w:autoSpaceDE w:val="0"/>
        <w:autoSpaceDN w:val="0"/>
        <w:adjustRightInd w:val="0"/>
      </w:pPr>
      <w:r>
        <w:t>The other members of the Audit</w:t>
      </w:r>
      <w:r w:rsidR="009C387D">
        <w:t xml:space="preserve"> and Risk Management Committee we</w:t>
      </w:r>
      <w:r>
        <w:t>re Commissioners</w:t>
      </w:r>
      <w:r w:rsidR="009C387D">
        <w:t xml:space="preserve"> </w:t>
      </w:r>
      <w:r w:rsidR="00B150C2">
        <w:t xml:space="preserve">Helen Henderson; </w:t>
      </w:r>
      <w:r w:rsidR="009C387D">
        <w:t>David A Lavery CB</w:t>
      </w:r>
      <w:r w:rsidR="008B2B4F">
        <w:t xml:space="preserve">; </w:t>
      </w:r>
      <w:r w:rsidR="00863A14">
        <w:t xml:space="preserve">and </w:t>
      </w:r>
      <w:r w:rsidR="008B2B4F">
        <w:t>Stephen White</w:t>
      </w:r>
      <w:r w:rsidR="00BF62F1">
        <w:t xml:space="preserve"> OBE</w:t>
      </w:r>
      <w:r>
        <w:t>.  They do not receive any additional remuneration for attendance at Committee meetings.</w:t>
      </w:r>
    </w:p>
    <w:p w14:paraId="481E5427" w14:textId="77777777" w:rsidR="000C2A54" w:rsidRPr="007F2DCD" w:rsidRDefault="000C2A54" w:rsidP="000C2A54">
      <w:pPr>
        <w:autoSpaceDE w:val="0"/>
        <w:autoSpaceDN w:val="0"/>
        <w:adjustRightInd w:val="0"/>
        <w:rPr>
          <w:sz w:val="22"/>
          <w:szCs w:val="22"/>
        </w:rPr>
      </w:pPr>
    </w:p>
    <w:p w14:paraId="4E8F40F2" w14:textId="77777777" w:rsidR="000C2A54" w:rsidRPr="008711E7" w:rsidRDefault="000C2A54" w:rsidP="000C2A54">
      <w:pPr>
        <w:autoSpaceDE w:val="0"/>
        <w:autoSpaceDN w:val="0"/>
        <w:adjustRightInd w:val="0"/>
        <w:rPr>
          <w:b/>
        </w:rPr>
      </w:pPr>
      <w:r w:rsidRPr="008711E7">
        <w:rPr>
          <w:b/>
        </w:rPr>
        <w:t>Contracts of employment</w:t>
      </w:r>
    </w:p>
    <w:p w14:paraId="68BB6984" w14:textId="77777777" w:rsidR="000C2A54" w:rsidRPr="008711E7" w:rsidRDefault="000C2A54" w:rsidP="000C2A54">
      <w:pPr>
        <w:jc w:val="both"/>
        <w:rPr>
          <w:b/>
        </w:rPr>
      </w:pPr>
    </w:p>
    <w:p w14:paraId="78CBD27A" w14:textId="77777777" w:rsidR="000C2A54" w:rsidRPr="008711E7" w:rsidRDefault="000C2A54" w:rsidP="000C2A54">
      <w:pPr>
        <w:jc w:val="both"/>
        <w:rPr>
          <w:rFonts w:cs="Arial"/>
        </w:rPr>
      </w:pPr>
      <w:r w:rsidRPr="008711E7">
        <w:rPr>
          <w:rFonts w:cs="Arial"/>
        </w:rPr>
        <w:t xml:space="preserve">The </w:t>
      </w:r>
      <w:bookmarkStart w:id="24" w:name="OLE_LINK1"/>
      <w:r w:rsidRPr="008711E7">
        <w:rPr>
          <w:rFonts w:cs="Arial"/>
        </w:rPr>
        <w:t xml:space="preserve">Chief Commissioner </w:t>
      </w:r>
      <w:bookmarkEnd w:id="24"/>
      <w:r w:rsidRPr="008711E7">
        <w:rPr>
          <w:rFonts w:cs="Arial"/>
        </w:rPr>
        <w:t>and Commission members</w:t>
      </w:r>
      <w:r w:rsidR="00F76370">
        <w:rPr>
          <w:rFonts w:cs="Arial"/>
        </w:rPr>
        <w:t xml:space="preserve"> are appointed for a period of five years and three</w:t>
      </w:r>
      <w:r w:rsidRPr="008711E7">
        <w:rPr>
          <w:rFonts w:cs="Arial"/>
        </w:rPr>
        <w:t xml:space="preserve"> years respectively by the Secretary of State for Northern Ireland.  Appointments comply with the principles of the Code of Practice of the Office of the Commissioner on Public Appointments (OCPA) </w:t>
      </w:r>
      <w:r w:rsidRPr="008711E7">
        <w:rPr>
          <w:rFonts w:cs="Arial"/>
          <w:i/>
        </w:rPr>
        <w:t>(www.ocpa.gov.uk)</w:t>
      </w:r>
      <w:r w:rsidRPr="008711E7">
        <w:rPr>
          <w:rFonts w:cs="Arial"/>
        </w:rPr>
        <w:t xml:space="preserve"> and in line with the Cabinet Code of Practice of Corporate Governance in central government departments.</w:t>
      </w:r>
    </w:p>
    <w:p w14:paraId="3E56973E" w14:textId="77777777" w:rsidR="000C2A54" w:rsidRPr="008711E7" w:rsidRDefault="000C2A54" w:rsidP="000C2A54">
      <w:pPr>
        <w:jc w:val="both"/>
        <w:rPr>
          <w:rFonts w:cs="Arial"/>
        </w:rPr>
      </w:pPr>
    </w:p>
    <w:p w14:paraId="1AF5085B" w14:textId="77777777" w:rsidR="000C2A54" w:rsidRPr="008711E7" w:rsidRDefault="000C2A54" w:rsidP="000C2A54">
      <w:pPr>
        <w:rPr>
          <w:rFonts w:cs="Arial"/>
          <w:b/>
        </w:rPr>
      </w:pPr>
      <w:r w:rsidRPr="008711E7">
        <w:rPr>
          <w:rFonts w:cs="Arial"/>
        </w:rPr>
        <w:t>The Secretary of State may extend the appointment of the Chief Commissioner for a further term or terms.  Such extensions may not exceed a maximum term in office of ten years.  The Secretary of State will normally give three months’ notice if an appointment is terminated.</w:t>
      </w:r>
    </w:p>
    <w:p w14:paraId="454E54F0" w14:textId="77777777" w:rsidR="000C2A54" w:rsidRPr="008711E7" w:rsidRDefault="000C2A54" w:rsidP="000C2A54">
      <w:pPr>
        <w:widowControl w:val="0"/>
        <w:tabs>
          <w:tab w:val="left" w:pos="567"/>
          <w:tab w:val="center" w:pos="8647"/>
        </w:tabs>
        <w:autoSpaceDE w:val="0"/>
        <w:autoSpaceDN w:val="0"/>
        <w:adjustRightInd w:val="0"/>
      </w:pPr>
    </w:p>
    <w:p w14:paraId="691D58C5" w14:textId="16696E2D" w:rsidR="000C2A54" w:rsidRPr="008711E7" w:rsidRDefault="000C2A54" w:rsidP="000C2A54">
      <w:pPr>
        <w:widowControl w:val="0"/>
        <w:tabs>
          <w:tab w:val="left" w:pos="567"/>
          <w:tab w:val="center" w:pos="8647"/>
        </w:tabs>
        <w:autoSpaceDE w:val="0"/>
        <w:autoSpaceDN w:val="0"/>
        <w:adjustRightInd w:val="0"/>
      </w:pPr>
      <w:r w:rsidRPr="008711E7">
        <w:t xml:space="preserve">Staff appointments are made in accordance with the Commission’s recruitment and selection policy, which requires appointments to be made strictly on merit and through fair and open competition.  </w:t>
      </w:r>
      <w:r w:rsidR="00192E19">
        <w:t xml:space="preserve">With the </w:t>
      </w:r>
      <w:r w:rsidR="00192E19">
        <w:lastRenderedPageBreak/>
        <w:t>exception of t</w:t>
      </w:r>
      <w:r w:rsidR="00162A3A">
        <w:t>hree</w:t>
      </w:r>
      <w:r w:rsidR="00192E19">
        <w:t xml:space="preserve"> fixed-term contracts, staff appointments are open-ended.  </w:t>
      </w:r>
      <w:r w:rsidRPr="008711E7">
        <w:t>Early termination, other than for misconduct, would normally result in the individual receiving compensation as set out in the Civil Service Compensation Scheme.</w:t>
      </w:r>
    </w:p>
    <w:p w14:paraId="25E378C0" w14:textId="77777777" w:rsidR="000C2A54" w:rsidRPr="007F2DCD" w:rsidRDefault="000C2A54" w:rsidP="000C2A54">
      <w:pPr>
        <w:rPr>
          <w:sz w:val="22"/>
          <w:szCs w:val="22"/>
        </w:rPr>
      </w:pPr>
    </w:p>
    <w:p w14:paraId="229C28E8" w14:textId="77777777" w:rsidR="000C2A54" w:rsidRPr="008711E7" w:rsidRDefault="000C2A54" w:rsidP="000C2A54">
      <w:r w:rsidRPr="008711E7">
        <w:t>The Commission’s age retirement policy enables members of staff who have reached the age at which they are entitled to draw their Commission pension (which for most staff is their sixtieth birthday) to choose the age at which they will retire.</w:t>
      </w:r>
    </w:p>
    <w:p w14:paraId="5BDA06E0" w14:textId="77777777" w:rsidR="000C2A54" w:rsidRPr="007F2DCD" w:rsidRDefault="000C2A54" w:rsidP="000C2A54">
      <w:pPr>
        <w:rPr>
          <w:sz w:val="22"/>
          <w:szCs w:val="22"/>
        </w:rPr>
      </w:pPr>
    </w:p>
    <w:p w14:paraId="56469ADD" w14:textId="77777777" w:rsidR="000C2A54" w:rsidRPr="008711E7" w:rsidRDefault="000C2A54" w:rsidP="000C2A54">
      <w:bookmarkStart w:id="25" w:name="RemunerationandPensionEntitlements"/>
      <w:r w:rsidRPr="008711E7">
        <w:rPr>
          <w:b/>
        </w:rPr>
        <w:t>Remuneration</w:t>
      </w:r>
      <w:r>
        <w:rPr>
          <w:b/>
        </w:rPr>
        <w:t xml:space="preserve"> (including salary) and pension entitlements</w:t>
      </w:r>
      <w:r w:rsidRPr="008711E7">
        <w:rPr>
          <w:i/>
        </w:rPr>
        <w:t xml:space="preserve"> </w:t>
      </w:r>
      <w:r w:rsidRPr="008711E7">
        <w:rPr>
          <w:b/>
        </w:rPr>
        <w:t>(audited information)</w:t>
      </w:r>
      <w:r w:rsidR="00C34C15">
        <w:rPr>
          <w:b/>
        </w:rPr>
        <w:t xml:space="preserve"> </w:t>
      </w:r>
    </w:p>
    <w:bookmarkEnd w:id="25"/>
    <w:p w14:paraId="6DAFE1CE" w14:textId="77777777" w:rsidR="000C2A54" w:rsidRPr="008711E7" w:rsidRDefault="000C2A54" w:rsidP="000C2A54"/>
    <w:p w14:paraId="0F768DA8" w14:textId="77777777" w:rsidR="000C2A54" w:rsidRDefault="000C2A54" w:rsidP="000C2A54">
      <w:pPr>
        <w:widowControl w:val="0"/>
        <w:tabs>
          <w:tab w:val="center" w:pos="8647"/>
        </w:tabs>
        <w:autoSpaceDE w:val="0"/>
        <w:autoSpaceDN w:val="0"/>
        <w:adjustRightInd w:val="0"/>
      </w:pPr>
      <w:r w:rsidRPr="008711E7">
        <w:t>The following section provides details of the remuneration and pension interests of the Commissioners and the Commission’s Management Team.</w:t>
      </w:r>
      <w:r w:rsidR="009C387D">
        <w:t xml:space="preserve"> </w:t>
      </w:r>
    </w:p>
    <w:p w14:paraId="5C381A59" w14:textId="77777777" w:rsidR="001A5161" w:rsidRDefault="001A5161" w:rsidP="000C2A54">
      <w:pPr>
        <w:widowControl w:val="0"/>
        <w:tabs>
          <w:tab w:val="center" w:pos="8647"/>
        </w:tabs>
        <w:autoSpaceDE w:val="0"/>
        <w:autoSpaceDN w:val="0"/>
        <w:adjustRightInd w:val="0"/>
      </w:pPr>
    </w:p>
    <w:p w14:paraId="25FF2FEB" w14:textId="4A4BA25E" w:rsidR="000B425E" w:rsidRDefault="000B425E">
      <w:pPr>
        <w:rPr>
          <w:color w:val="auto"/>
          <w:lang w:eastAsia="en-GB"/>
        </w:rPr>
      </w:pPr>
    </w:p>
    <w:tbl>
      <w:tblPr>
        <w:tblStyle w:val="TableGrid"/>
        <w:tblW w:w="9952" w:type="dxa"/>
        <w:tblInd w:w="-601" w:type="dxa"/>
        <w:tblLayout w:type="fixed"/>
        <w:tblLook w:val="04A0" w:firstRow="1" w:lastRow="0" w:firstColumn="1" w:lastColumn="0" w:noHBand="0" w:noVBand="1"/>
      </w:tblPr>
      <w:tblGrid>
        <w:gridCol w:w="2581"/>
        <w:gridCol w:w="850"/>
        <w:gridCol w:w="851"/>
        <w:gridCol w:w="850"/>
        <w:gridCol w:w="851"/>
        <w:gridCol w:w="992"/>
        <w:gridCol w:w="992"/>
        <w:gridCol w:w="993"/>
        <w:gridCol w:w="992"/>
      </w:tblGrid>
      <w:tr w:rsidR="009F0840" w:rsidRPr="008C3B25" w14:paraId="79DC824A" w14:textId="77777777" w:rsidTr="54F71CB4">
        <w:tc>
          <w:tcPr>
            <w:tcW w:w="9952" w:type="dxa"/>
            <w:gridSpan w:val="9"/>
          </w:tcPr>
          <w:p w14:paraId="73D1E796" w14:textId="77777777" w:rsidR="009F0840" w:rsidRPr="008C3B25" w:rsidRDefault="009F0840" w:rsidP="000C2A54">
            <w:pPr>
              <w:widowControl w:val="0"/>
              <w:tabs>
                <w:tab w:val="center" w:pos="8647"/>
              </w:tabs>
              <w:autoSpaceDE w:val="0"/>
              <w:autoSpaceDN w:val="0"/>
              <w:adjustRightInd w:val="0"/>
              <w:rPr>
                <w:b/>
                <w:bCs/>
                <w:sz w:val="20"/>
                <w:szCs w:val="20"/>
              </w:rPr>
            </w:pPr>
            <w:r w:rsidRPr="008C3B25">
              <w:rPr>
                <w:b/>
                <w:bCs/>
                <w:sz w:val="20"/>
                <w:szCs w:val="20"/>
              </w:rPr>
              <w:t>Single total figure of remuneration (</w:t>
            </w:r>
            <w:r w:rsidR="00CC02A7" w:rsidRPr="008C3B25">
              <w:rPr>
                <w:b/>
                <w:bCs/>
                <w:sz w:val="20"/>
                <w:szCs w:val="20"/>
              </w:rPr>
              <w:t>audited information)</w:t>
            </w:r>
          </w:p>
          <w:p w14:paraId="56AE5AC1" w14:textId="77777777" w:rsidR="009F0840" w:rsidRPr="008C3B25" w:rsidRDefault="009F0840" w:rsidP="000C2A54">
            <w:pPr>
              <w:widowControl w:val="0"/>
              <w:tabs>
                <w:tab w:val="center" w:pos="8647"/>
              </w:tabs>
              <w:autoSpaceDE w:val="0"/>
              <w:autoSpaceDN w:val="0"/>
              <w:adjustRightInd w:val="0"/>
              <w:rPr>
                <w:b/>
                <w:bCs/>
                <w:sz w:val="20"/>
                <w:szCs w:val="20"/>
              </w:rPr>
            </w:pPr>
          </w:p>
        </w:tc>
      </w:tr>
      <w:tr w:rsidR="009F0840" w14:paraId="0611A3B8" w14:textId="77777777" w:rsidTr="54F71CB4">
        <w:tc>
          <w:tcPr>
            <w:tcW w:w="2581" w:type="dxa"/>
          </w:tcPr>
          <w:p w14:paraId="1B7F4B78" w14:textId="77777777" w:rsidR="009F0840" w:rsidRPr="005B72C1" w:rsidRDefault="009F0840" w:rsidP="000C2A54">
            <w:pPr>
              <w:widowControl w:val="0"/>
              <w:tabs>
                <w:tab w:val="center" w:pos="8647"/>
              </w:tabs>
              <w:autoSpaceDE w:val="0"/>
              <w:autoSpaceDN w:val="0"/>
              <w:adjustRightInd w:val="0"/>
              <w:rPr>
                <w:sz w:val="20"/>
                <w:szCs w:val="20"/>
                <w:highlight w:val="yellow"/>
              </w:rPr>
            </w:pPr>
          </w:p>
        </w:tc>
        <w:tc>
          <w:tcPr>
            <w:tcW w:w="1701" w:type="dxa"/>
            <w:gridSpan w:val="2"/>
          </w:tcPr>
          <w:p w14:paraId="7D7EF45C" w14:textId="77777777"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Salary (£’000)</w:t>
            </w:r>
          </w:p>
        </w:tc>
        <w:tc>
          <w:tcPr>
            <w:tcW w:w="1701" w:type="dxa"/>
            <w:gridSpan w:val="2"/>
          </w:tcPr>
          <w:p w14:paraId="3CC981F9" w14:textId="59FCDE09" w:rsidR="00F61A65" w:rsidRDefault="009F0840" w:rsidP="000C2A54">
            <w:pPr>
              <w:widowControl w:val="0"/>
              <w:tabs>
                <w:tab w:val="center" w:pos="8647"/>
              </w:tabs>
              <w:autoSpaceDE w:val="0"/>
              <w:autoSpaceDN w:val="0"/>
              <w:adjustRightInd w:val="0"/>
              <w:rPr>
                <w:sz w:val="20"/>
                <w:szCs w:val="20"/>
              </w:rPr>
            </w:pPr>
            <w:r w:rsidRPr="00D23890">
              <w:rPr>
                <w:sz w:val="20"/>
                <w:szCs w:val="20"/>
              </w:rPr>
              <w:t>Benefits in kind (to nearest £100)</w:t>
            </w:r>
          </w:p>
          <w:p w14:paraId="198C02BA" w14:textId="77777777" w:rsidR="009F0840" w:rsidRPr="00D23890" w:rsidRDefault="009F0840" w:rsidP="000C2A54">
            <w:pPr>
              <w:widowControl w:val="0"/>
              <w:tabs>
                <w:tab w:val="center" w:pos="8647"/>
              </w:tabs>
              <w:autoSpaceDE w:val="0"/>
              <w:autoSpaceDN w:val="0"/>
              <w:adjustRightInd w:val="0"/>
              <w:rPr>
                <w:sz w:val="20"/>
                <w:szCs w:val="20"/>
              </w:rPr>
            </w:pPr>
          </w:p>
        </w:tc>
        <w:tc>
          <w:tcPr>
            <w:tcW w:w="1984" w:type="dxa"/>
            <w:gridSpan w:val="2"/>
          </w:tcPr>
          <w:p w14:paraId="2B51682C" w14:textId="7DA46259"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Pension benefits (</w:t>
            </w:r>
            <w:r w:rsidR="00F14FA6">
              <w:rPr>
                <w:sz w:val="20"/>
                <w:szCs w:val="20"/>
              </w:rPr>
              <w:t>to nearest £1,</w:t>
            </w:r>
            <w:r w:rsidRPr="00D23890">
              <w:rPr>
                <w:sz w:val="20"/>
                <w:szCs w:val="20"/>
              </w:rPr>
              <w:t>000)</w:t>
            </w:r>
            <w:r w:rsidR="00A014E3" w:rsidRPr="00D23890">
              <w:rPr>
                <w:sz w:val="20"/>
                <w:szCs w:val="20"/>
              </w:rPr>
              <w:t xml:space="preserve"> </w:t>
            </w:r>
          </w:p>
        </w:tc>
        <w:tc>
          <w:tcPr>
            <w:tcW w:w="1985" w:type="dxa"/>
            <w:gridSpan w:val="2"/>
          </w:tcPr>
          <w:p w14:paraId="6D162836" w14:textId="77777777"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Total (£’000)</w:t>
            </w:r>
          </w:p>
        </w:tc>
      </w:tr>
      <w:tr w:rsidR="00013EDA" w14:paraId="42A69D3A" w14:textId="77777777" w:rsidTr="54F71CB4">
        <w:tc>
          <w:tcPr>
            <w:tcW w:w="2581" w:type="dxa"/>
          </w:tcPr>
          <w:p w14:paraId="6DC2864F" w14:textId="77777777" w:rsidR="00013EDA" w:rsidRPr="005B72C1" w:rsidRDefault="00013EDA" w:rsidP="00013EDA">
            <w:pPr>
              <w:widowControl w:val="0"/>
              <w:tabs>
                <w:tab w:val="center" w:pos="8647"/>
              </w:tabs>
              <w:autoSpaceDE w:val="0"/>
              <w:autoSpaceDN w:val="0"/>
              <w:adjustRightInd w:val="0"/>
              <w:rPr>
                <w:sz w:val="20"/>
                <w:szCs w:val="20"/>
                <w:highlight w:val="yellow"/>
              </w:rPr>
            </w:pPr>
          </w:p>
        </w:tc>
        <w:tc>
          <w:tcPr>
            <w:tcW w:w="850" w:type="dxa"/>
          </w:tcPr>
          <w:p w14:paraId="653E1F49" w14:textId="7B684DF2" w:rsidR="00013EDA" w:rsidRPr="00382803" w:rsidRDefault="00013EDA" w:rsidP="00013EDA">
            <w:pPr>
              <w:widowControl w:val="0"/>
              <w:tabs>
                <w:tab w:val="center" w:pos="8647"/>
              </w:tabs>
              <w:autoSpaceDE w:val="0"/>
              <w:autoSpaceDN w:val="0"/>
              <w:adjustRightInd w:val="0"/>
              <w:rPr>
                <w:sz w:val="20"/>
                <w:szCs w:val="20"/>
              </w:rPr>
            </w:pPr>
            <w:r w:rsidRPr="00382803">
              <w:rPr>
                <w:sz w:val="20"/>
                <w:szCs w:val="20"/>
              </w:rPr>
              <w:t>202</w:t>
            </w:r>
            <w:r w:rsidR="00130B8A" w:rsidRPr="00382803">
              <w:rPr>
                <w:sz w:val="20"/>
                <w:szCs w:val="20"/>
              </w:rPr>
              <w:t>4</w:t>
            </w:r>
            <w:r w:rsidRPr="00382803">
              <w:rPr>
                <w:sz w:val="20"/>
                <w:szCs w:val="20"/>
              </w:rPr>
              <w:t xml:space="preserve"> -</w:t>
            </w:r>
            <w:r w:rsidR="00130B8A" w:rsidRPr="00382803">
              <w:rPr>
                <w:sz w:val="20"/>
                <w:szCs w:val="20"/>
              </w:rPr>
              <w:t xml:space="preserve"> </w:t>
            </w:r>
            <w:r w:rsidRPr="00382803">
              <w:rPr>
                <w:sz w:val="20"/>
                <w:szCs w:val="20"/>
              </w:rPr>
              <w:t>2</w:t>
            </w:r>
            <w:r w:rsidR="00130B8A" w:rsidRPr="00382803">
              <w:rPr>
                <w:sz w:val="20"/>
                <w:szCs w:val="20"/>
              </w:rPr>
              <w:t>5</w:t>
            </w:r>
          </w:p>
        </w:tc>
        <w:tc>
          <w:tcPr>
            <w:tcW w:w="851" w:type="dxa"/>
          </w:tcPr>
          <w:p w14:paraId="6A5F8722" w14:textId="5DB81E1E" w:rsidR="00013EDA" w:rsidRPr="00382803" w:rsidRDefault="00013EDA" w:rsidP="00013EDA">
            <w:pPr>
              <w:widowControl w:val="0"/>
              <w:tabs>
                <w:tab w:val="center" w:pos="8647"/>
              </w:tabs>
              <w:autoSpaceDE w:val="0"/>
              <w:autoSpaceDN w:val="0"/>
              <w:adjustRightInd w:val="0"/>
              <w:rPr>
                <w:sz w:val="20"/>
                <w:szCs w:val="20"/>
              </w:rPr>
            </w:pPr>
            <w:r w:rsidRPr="00382803">
              <w:rPr>
                <w:sz w:val="20"/>
                <w:szCs w:val="20"/>
              </w:rPr>
              <w:t>202</w:t>
            </w:r>
            <w:r w:rsidR="00AD3E24" w:rsidRPr="00382803">
              <w:rPr>
                <w:sz w:val="20"/>
                <w:szCs w:val="20"/>
              </w:rPr>
              <w:t>3</w:t>
            </w:r>
            <w:r w:rsidR="00130B8A" w:rsidRPr="00382803">
              <w:rPr>
                <w:sz w:val="20"/>
                <w:szCs w:val="20"/>
              </w:rPr>
              <w:t xml:space="preserve"> </w:t>
            </w:r>
            <w:r w:rsidRPr="00382803">
              <w:rPr>
                <w:sz w:val="20"/>
                <w:szCs w:val="20"/>
              </w:rPr>
              <w:t>-</w:t>
            </w:r>
            <w:r w:rsidR="00130B8A" w:rsidRPr="00382803">
              <w:rPr>
                <w:sz w:val="20"/>
                <w:szCs w:val="20"/>
              </w:rPr>
              <w:t xml:space="preserve"> </w:t>
            </w:r>
            <w:r w:rsidRPr="00382803">
              <w:rPr>
                <w:sz w:val="20"/>
                <w:szCs w:val="20"/>
              </w:rPr>
              <w:t>2</w:t>
            </w:r>
            <w:r w:rsidR="00AD3E24" w:rsidRPr="00382803">
              <w:rPr>
                <w:sz w:val="20"/>
                <w:szCs w:val="20"/>
              </w:rPr>
              <w:t>4</w:t>
            </w:r>
          </w:p>
          <w:p w14:paraId="77BA64B3" w14:textId="77777777" w:rsidR="00013EDA" w:rsidRPr="00382803" w:rsidRDefault="00013EDA" w:rsidP="00013EDA">
            <w:pPr>
              <w:widowControl w:val="0"/>
              <w:tabs>
                <w:tab w:val="center" w:pos="8647"/>
              </w:tabs>
              <w:autoSpaceDE w:val="0"/>
              <w:autoSpaceDN w:val="0"/>
              <w:adjustRightInd w:val="0"/>
              <w:rPr>
                <w:sz w:val="20"/>
                <w:szCs w:val="20"/>
              </w:rPr>
            </w:pPr>
          </w:p>
        </w:tc>
        <w:tc>
          <w:tcPr>
            <w:tcW w:w="850" w:type="dxa"/>
          </w:tcPr>
          <w:p w14:paraId="44B62F19" w14:textId="11F8A1A7" w:rsidR="00013EDA" w:rsidRPr="00382803" w:rsidRDefault="00013EDA" w:rsidP="00013EDA">
            <w:pPr>
              <w:widowControl w:val="0"/>
              <w:tabs>
                <w:tab w:val="center" w:pos="8647"/>
              </w:tabs>
              <w:autoSpaceDE w:val="0"/>
              <w:autoSpaceDN w:val="0"/>
              <w:adjustRightInd w:val="0"/>
              <w:rPr>
                <w:sz w:val="20"/>
                <w:szCs w:val="20"/>
              </w:rPr>
            </w:pPr>
            <w:r w:rsidRPr="00382803">
              <w:rPr>
                <w:sz w:val="20"/>
                <w:szCs w:val="20"/>
              </w:rPr>
              <w:t>202</w:t>
            </w:r>
            <w:r w:rsidR="00130B8A" w:rsidRPr="00382803">
              <w:rPr>
                <w:sz w:val="20"/>
                <w:szCs w:val="20"/>
              </w:rPr>
              <w:t>4</w:t>
            </w:r>
            <w:r w:rsidRPr="00382803">
              <w:rPr>
                <w:sz w:val="20"/>
                <w:szCs w:val="20"/>
              </w:rPr>
              <w:t xml:space="preserve"> - 2</w:t>
            </w:r>
            <w:r w:rsidR="00130B8A" w:rsidRPr="00382803">
              <w:rPr>
                <w:sz w:val="20"/>
                <w:szCs w:val="20"/>
              </w:rPr>
              <w:t>5</w:t>
            </w:r>
          </w:p>
        </w:tc>
        <w:tc>
          <w:tcPr>
            <w:tcW w:w="851" w:type="dxa"/>
          </w:tcPr>
          <w:p w14:paraId="1C39A687" w14:textId="2D91231F" w:rsidR="00013EDA" w:rsidRPr="00382803" w:rsidRDefault="00013EDA" w:rsidP="00013EDA">
            <w:pPr>
              <w:widowControl w:val="0"/>
              <w:tabs>
                <w:tab w:val="center" w:pos="8647"/>
              </w:tabs>
              <w:autoSpaceDE w:val="0"/>
              <w:autoSpaceDN w:val="0"/>
              <w:adjustRightInd w:val="0"/>
              <w:rPr>
                <w:sz w:val="20"/>
                <w:szCs w:val="20"/>
              </w:rPr>
            </w:pPr>
            <w:r w:rsidRPr="00382803">
              <w:rPr>
                <w:sz w:val="20"/>
                <w:szCs w:val="20"/>
              </w:rPr>
              <w:t>202</w:t>
            </w:r>
            <w:r w:rsidR="00130B8A" w:rsidRPr="00382803">
              <w:rPr>
                <w:sz w:val="20"/>
                <w:szCs w:val="20"/>
              </w:rPr>
              <w:t xml:space="preserve">3 </w:t>
            </w:r>
            <w:r w:rsidRPr="00382803">
              <w:rPr>
                <w:sz w:val="20"/>
                <w:szCs w:val="20"/>
              </w:rPr>
              <w:t>-</w:t>
            </w:r>
            <w:r w:rsidR="00130B8A" w:rsidRPr="00382803">
              <w:rPr>
                <w:sz w:val="20"/>
                <w:szCs w:val="20"/>
              </w:rPr>
              <w:t xml:space="preserve"> </w:t>
            </w:r>
            <w:r w:rsidRPr="00382803">
              <w:rPr>
                <w:sz w:val="20"/>
                <w:szCs w:val="20"/>
              </w:rPr>
              <w:t>2</w:t>
            </w:r>
            <w:r w:rsidR="00130B8A" w:rsidRPr="00382803">
              <w:rPr>
                <w:sz w:val="20"/>
                <w:szCs w:val="20"/>
              </w:rPr>
              <w:t>4</w:t>
            </w:r>
          </w:p>
        </w:tc>
        <w:tc>
          <w:tcPr>
            <w:tcW w:w="992" w:type="dxa"/>
          </w:tcPr>
          <w:p w14:paraId="6AB657B7" w14:textId="7467ACE6" w:rsidR="00013EDA" w:rsidRPr="00AA327A" w:rsidRDefault="00013EDA" w:rsidP="00013EDA">
            <w:pPr>
              <w:widowControl w:val="0"/>
              <w:tabs>
                <w:tab w:val="center" w:pos="8647"/>
              </w:tabs>
              <w:autoSpaceDE w:val="0"/>
              <w:autoSpaceDN w:val="0"/>
              <w:adjustRightInd w:val="0"/>
              <w:rPr>
                <w:sz w:val="20"/>
                <w:szCs w:val="20"/>
              </w:rPr>
            </w:pPr>
            <w:r w:rsidRPr="00AA327A">
              <w:rPr>
                <w:sz w:val="20"/>
                <w:szCs w:val="20"/>
              </w:rPr>
              <w:t>202</w:t>
            </w:r>
            <w:r w:rsidR="00130B8A" w:rsidRPr="00AA327A">
              <w:rPr>
                <w:sz w:val="20"/>
                <w:szCs w:val="20"/>
              </w:rPr>
              <w:t>4</w:t>
            </w:r>
            <w:r w:rsidRPr="00AA327A">
              <w:rPr>
                <w:sz w:val="20"/>
                <w:szCs w:val="20"/>
              </w:rPr>
              <w:t xml:space="preserve"> - 2</w:t>
            </w:r>
            <w:r w:rsidR="00130B8A" w:rsidRPr="00AA327A">
              <w:rPr>
                <w:sz w:val="20"/>
                <w:szCs w:val="20"/>
              </w:rPr>
              <w:t>5</w:t>
            </w:r>
          </w:p>
        </w:tc>
        <w:tc>
          <w:tcPr>
            <w:tcW w:w="992" w:type="dxa"/>
          </w:tcPr>
          <w:p w14:paraId="704FFD0A" w14:textId="3CF90786" w:rsidR="00013EDA" w:rsidRPr="00AA327A" w:rsidRDefault="00013EDA" w:rsidP="00013EDA">
            <w:pPr>
              <w:widowControl w:val="0"/>
              <w:tabs>
                <w:tab w:val="center" w:pos="8647"/>
              </w:tabs>
              <w:autoSpaceDE w:val="0"/>
              <w:autoSpaceDN w:val="0"/>
              <w:adjustRightInd w:val="0"/>
              <w:rPr>
                <w:sz w:val="20"/>
                <w:szCs w:val="20"/>
              </w:rPr>
            </w:pPr>
            <w:r w:rsidRPr="00AA327A">
              <w:rPr>
                <w:sz w:val="20"/>
                <w:szCs w:val="20"/>
              </w:rPr>
              <w:t>202</w:t>
            </w:r>
            <w:r w:rsidR="00130B8A" w:rsidRPr="00AA327A">
              <w:rPr>
                <w:sz w:val="20"/>
                <w:szCs w:val="20"/>
              </w:rPr>
              <w:t xml:space="preserve">3 </w:t>
            </w:r>
            <w:r w:rsidRPr="00AA327A">
              <w:rPr>
                <w:sz w:val="20"/>
                <w:szCs w:val="20"/>
              </w:rPr>
              <w:t>-2</w:t>
            </w:r>
            <w:r w:rsidR="00130B8A" w:rsidRPr="00AA327A">
              <w:rPr>
                <w:sz w:val="20"/>
                <w:szCs w:val="20"/>
              </w:rPr>
              <w:t>4</w:t>
            </w:r>
          </w:p>
        </w:tc>
        <w:tc>
          <w:tcPr>
            <w:tcW w:w="993" w:type="dxa"/>
          </w:tcPr>
          <w:p w14:paraId="47AB689C" w14:textId="0619218A" w:rsidR="00013EDA" w:rsidRPr="00AA327A" w:rsidRDefault="00013EDA" w:rsidP="00013EDA">
            <w:pPr>
              <w:widowControl w:val="0"/>
              <w:tabs>
                <w:tab w:val="center" w:pos="8647"/>
              </w:tabs>
              <w:autoSpaceDE w:val="0"/>
              <w:autoSpaceDN w:val="0"/>
              <w:adjustRightInd w:val="0"/>
              <w:rPr>
                <w:sz w:val="20"/>
                <w:szCs w:val="20"/>
              </w:rPr>
            </w:pPr>
            <w:r w:rsidRPr="00AA327A">
              <w:rPr>
                <w:sz w:val="20"/>
                <w:szCs w:val="20"/>
              </w:rPr>
              <w:t>202</w:t>
            </w:r>
            <w:r w:rsidR="00130B8A" w:rsidRPr="00AA327A">
              <w:rPr>
                <w:sz w:val="20"/>
                <w:szCs w:val="20"/>
              </w:rPr>
              <w:t>4</w:t>
            </w:r>
            <w:r w:rsidRPr="00AA327A">
              <w:rPr>
                <w:sz w:val="20"/>
                <w:szCs w:val="20"/>
              </w:rPr>
              <w:t xml:space="preserve"> </w:t>
            </w:r>
            <w:r w:rsidR="000D130C" w:rsidRPr="00AA327A">
              <w:rPr>
                <w:sz w:val="20"/>
                <w:szCs w:val="20"/>
              </w:rPr>
              <w:t>–</w:t>
            </w:r>
            <w:r w:rsidRPr="00AA327A">
              <w:rPr>
                <w:sz w:val="20"/>
                <w:szCs w:val="20"/>
              </w:rPr>
              <w:t xml:space="preserve"> </w:t>
            </w:r>
            <w:r w:rsidR="00130B8A" w:rsidRPr="00AA327A">
              <w:rPr>
                <w:sz w:val="20"/>
                <w:szCs w:val="20"/>
              </w:rPr>
              <w:t xml:space="preserve"> </w:t>
            </w:r>
            <w:r w:rsidRPr="00AA327A">
              <w:rPr>
                <w:sz w:val="20"/>
                <w:szCs w:val="20"/>
              </w:rPr>
              <w:t>2</w:t>
            </w:r>
            <w:r w:rsidR="00130B8A" w:rsidRPr="00AA327A">
              <w:rPr>
                <w:sz w:val="20"/>
                <w:szCs w:val="20"/>
              </w:rPr>
              <w:t>5</w:t>
            </w:r>
          </w:p>
        </w:tc>
        <w:tc>
          <w:tcPr>
            <w:tcW w:w="992" w:type="dxa"/>
          </w:tcPr>
          <w:p w14:paraId="15D90BCE" w14:textId="3D73BCFF" w:rsidR="00013EDA" w:rsidRPr="00D23890" w:rsidRDefault="00013EDA" w:rsidP="00013EDA">
            <w:pPr>
              <w:widowControl w:val="0"/>
              <w:tabs>
                <w:tab w:val="center" w:pos="8647"/>
              </w:tabs>
              <w:autoSpaceDE w:val="0"/>
              <w:autoSpaceDN w:val="0"/>
              <w:adjustRightInd w:val="0"/>
              <w:rPr>
                <w:sz w:val="20"/>
                <w:szCs w:val="20"/>
              </w:rPr>
            </w:pPr>
            <w:r w:rsidRPr="00382803">
              <w:rPr>
                <w:sz w:val="20"/>
                <w:szCs w:val="20"/>
              </w:rPr>
              <w:t>202</w:t>
            </w:r>
            <w:r w:rsidR="00130B8A" w:rsidRPr="00382803">
              <w:rPr>
                <w:sz w:val="20"/>
                <w:szCs w:val="20"/>
              </w:rPr>
              <w:t xml:space="preserve">3 </w:t>
            </w:r>
            <w:r w:rsidRPr="00382803">
              <w:rPr>
                <w:sz w:val="20"/>
                <w:szCs w:val="20"/>
              </w:rPr>
              <w:t>-2</w:t>
            </w:r>
            <w:r w:rsidR="00130B8A" w:rsidRPr="00382803">
              <w:rPr>
                <w:sz w:val="20"/>
                <w:szCs w:val="20"/>
              </w:rPr>
              <w:t>4</w:t>
            </w:r>
          </w:p>
        </w:tc>
      </w:tr>
      <w:tr w:rsidR="00013EDA" w14:paraId="09B1E541" w14:textId="77777777" w:rsidTr="54F71CB4">
        <w:tc>
          <w:tcPr>
            <w:tcW w:w="2581" w:type="dxa"/>
            <w:vAlign w:val="center"/>
          </w:tcPr>
          <w:p w14:paraId="2328DD2B" w14:textId="77777777" w:rsidR="00013EDA" w:rsidRDefault="00013EDA" w:rsidP="00013EDA">
            <w:pPr>
              <w:rPr>
                <w:b/>
                <w:sz w:val="18"/>
                <w:szCs w:val="18"/>
              </w:rPr>
            </w:pPr>
            <w:r>
              <w:rPr>
                <w:b/>
                <w:sz w:val="18"/>
                <w:szCs w:val="18"/>
              </w:rPr>
              <w:t>Ms Alyson Kilpatrick</w:t>
            </w:r>
          </w:p>
          <w:p w14:paraId="71B97C41" w14:textId="77777777" w:rsidR="00013EDA" w:rsidRDefault="00013EDA" w:rsidP="00013EDA">
            <w:pPr>
              <w:rPr>
                <w:sz w:val="18"/>
                <w:szCs w:val="18"/>
              </w:rPr>
            </w:pPr>
            <w:r>
              <w:rPr>
                <w:sz w:val="18"/>
                <w:szCs w:val="18"/>
              </w:rPr>
              <w:t>Chief Commissioner</w:t>
            </w:r>
          </w:p>
          <w:p w14:paraId="1257A0EB" w14:textId="22E2AE28" w:rsidR="00013EDA" w:rsidRPr="00EA4AB9" w:rsidRDefault="00013EDA" w:rsidP="54F71CB4">
            <w:pPr>
              <w:rPr>
                <w:sz w:val="18"/>
                <w:szCs w:val="18"/>
              </w:rPr>
            </w:pPr>
          </w:p>
        </w:tc>
        <w:tc>
          <w:tcPr>
            <w:tcW w:w="850" w:type="dxa"/>
          </w:tcPr>
          <w:p w14:paraId="46C5005B" w14:textId="77777777" w:rsidR="00013EDA" w:rsidRDefault="00013EDA" w:rsidP="0046013C">
            <w:pPr>
              <w:widowControl w:val="0"/>
              <w:tabs>
                <w:tab w:val="center" w:pos="8647"/>
              </w:tabs>
              <w:autoSpaceDE w:val="0"/>
              <w:autoSpaceDN w:val="0"/>
              <w:adjustRightInd w:val="0"/>
              <w:jc w:val="center"/>
              <w:rPr>
                <w:sz w:val="18"/>
                <w:szCs w:val="18"/>
              </w:rPr>
            </w:pPr>
          </w:p>
          <w:p w14:paraId="284CEABF" w14:textId="0149172F" w:rsidR="00760EB1" w:rsidRDefault="00130B8A" w:rsidP="0046013C">
            <w:pPr>
              <w:widowControl w:val="0"/>
              <w:tabs>
                <w:tab w:val="center" w:pos="8647"/>
              </w:tabs>
              <w:autoSpaceDE w:val="0"/>
              <w:autoSpaceDN w:val="0"/>
              <w:adjustRightInd w:val="0"/>
              <w:jc w:val="center"/>
              <w:rPr>
                <w:sz w:val="18"/>
                <w:szCs w:val="18"/>
              </w:rPr>
            </w:pPr>
            <w:r>
              <w:rPr>
                <w:sz w:val="18"/>
                <w:szCs w:val="18"/>
              </w:rPr>
              <w:t>85-90</w:t>
            </w:r>
          </w:p>
          <w:p w14:paraId="0EAB8A9D" w14:textId="6CB56690"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623EEF4B" w14:textId="77777777" w:rsidR="00013EDA" w:rsidRDefault="00013EDA" w:rsidP="0046013C">
            <w:pPr>
              <w:widowControl w:val="0"/>
              <w:tabs>
                <w:tab w:val="center" w:pos="8647"/>
              </w:tabs>
              <w:autoSpaceDE w:val="0"/>
              <w:autoSpaceDN w:val="0"/>
              <w:adjustRightInd w:val="0"/>
              <w:jc w:val="center"/>
              <w:rPr>
                <w:sz w:val="18"/>
                <w:szCs w:val="18"/>
              </w:rPr>
            </w:pPr>
          </w:p>
          <w:p w14:paraId="779F1D73" w14:textId="7461D693" w:rsidR="00013EDA" w:rsidRDefault="00602A07" w:rsidP="0046013C">
            <w:pPr>
              <w:widowControl w:val="0"/>
              <w:tabs>
                <w:tab w:val="center" w:pos="8647"/>
              </w:tabs>
              <w:autoSpaceDE w:val="0"/>
              <w:autoSpaceDN w:val="0"/>
              <w:adjustRightInd w:val="0"/>
              <w:jc w:val="center"/>
              <w:rPr>
                <w:sz w:val="18"/>
                <w:szCs w:val="18"/>
              </w:rPr>
            </w:pPr>
            <w:r>
              <w:rPr>
                <w:sz w:val="18"/>
                <w:szCs w:val="18"/>
              </w:rPr>
              <w:t>80</w:t>
            </w:r>
            <w:r w:rsidR="00AD3E24">
              <w:rPr>
                <w:sz w:val="18"/>
                <w:szCs w:val="18"/>
              </w:rPr>
              <w:t>-85</w:t>
            </w:r>
          </w:p>
        </w:tc>
        <w:tc>
          <w:tcPr>
            <w:tcW w:w="850" w:type="dxa"/>
          </w:tcPr>
          <w:p w14:paraId="2E39B133" w14:textId="77777777" w:rsidR="00013EDA" w:rsidRDefault="00013EDA" w:rsidP="0046013C">
            <w:pPr>
              <w:widowControl w:val="0"/>
              <w:tabs>
                <w:tab w:val="center" w:pos="8647"/>
              </w:tabs>
              <w:autoSpaceDE w:val="0"/>
              <w:autoSpaceDN w:val="0"/>
              <w:adjustRightInd w:val="0"/>
              <w:jc w:val="center"/>
              <w:rPr>
                <w:sz w:val="18"/>
                <w:szCs w:val="18"/>
              </w:rPr>
            </w:pPr>
          </w:p>
          <w:p w14:paraId="764FC512" w14:textId="0C102882"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5F5CAC62" w14:textId="77777777" w:rsidR="00013EDA" w:rsidRDefault="00013EDA" w:rsidP="0046013C">
            <w:pPr>
              <w:widowControl w:val="0"/>
              <w:tabs>
                <w:tab w:val="center" w:pos="8647"/>
              </w:tabs>
              <w:autoSpaceDE w:val="0"/>
              <w:autoSpaceDN w:val="0"/>
              <w:adjustRightInd w:val="0"/>
              <w:jc w:val="center"/>
              <w:rPr>
                <w:sz w:val="18"/>
                <w:szCs w:val="18"/>
              </w:rPr>
            </w:pPr>
          </w:p>
          <w:p w14:paraId="05A6E104" w14:textId="014E048C"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A01013D" w14:textId="77777777" w:rsidR="00013EDA" w:rsidRDefault="00013EDA" w:rsidP="0046013C">
            <w:pPr>
              <w:widowControl w:val="0"/>
              <w:tabs>
                <w:tab w:val="center" w:pos="8647"/>
              </w:tabs>
              <w:autoSpaceDE w:val="0"/>
              <w:autoSpaceDN w:val="0"/>
              <w:adjustRightInd w:val="0"/>
              <w:jc w:val="center"/>
              <w:rPr>
                <w:sz w:val="18"/>
                <w:szCs w:val="18"/>
              </w:rPr>
            </w:pPr>
          </w:p>
          <w:p w14:paraId="6CD53118" w14:textId="60C6E68B" w:rsidR="003D1DAB" w:rsidRDefault="00AA327A" w:rsidP="0046013C">
            <w:pPr>
              <w:widowControl w:val="0"/>
              <w:tabs>
                <w:tab w:val="center" w:pos="8647"/>
              </w:tabs>
              <w:autoSpaceDE w:val="0"/>
              <w:autoSpaceDN w:val="0"/>
              <w:adjustRightInd w:val="0"/>
              <w:jc w:val="center"/>
              <w:rPr>
                <w:sz w:val="18"/>
                <w:szCs w:val="18"/>
              </w:rPr>
            </w:pPr>
            <w:r>
              <w:rPr>
                <w:sz w:val="18"/>
                <w:szCs w:val="18"/>
              </w:rPr>
              <w:t>33,000</w:t>
            </w:r>
          </w:p>
        </w:tc>
        <w:tc>
          <w:tcPr>
            <w:tcW w:w="992" w:type="dxa"/>
          </w:tcPr>
          <w:p w14:paraId="389AF1B8" w14:textId="77777777" w:rsidR="00013EDA" w:rsidRDefault="00013EDA" w:rsidP="0046013C">
            <w:pPr>
              <w:widowControl w:val="0"/>
              <w:tabs>
                <w:tab w:val="center" w:pos="8647"/>
              </w:tabs>
              <w:autoSpaceDE w:val="0"/>
              <w:autoSpaceDN w:val="0"/>
              <w:adjustRightInd w:val="0"/>
              <w:jc w:val="center"/>
              <w:rPr>
                <w:sz w:val="18"/>
                <w:szCs w:val="18"/>
              </w:rPr>
            </w:pPr>
          </w:p>
          <w:p w14:paraId="4C74F635" w14:textId="651DEF0F" w:rsidR="00013EDA" w:rsidRDefault="00130B8A" w:rsidP="0046013C">
            <w:pPr>
              <w:widowControl w:val="0"/>
              <w:tabs>
                <w:tab w:val="center" w:pos="8647"/>
              </w:tabs>
              <w:autoSpaceDE w:val="0"/>
              <w:autoSpaceDN w:val="0"/>
              <w:adjustRightInd w:val="0"/>
              <w:jc w:val="center"/>
              <w:rPr>
                <w:sz w:val="18"/>
                <w:szCs w:val="18"/>
              </w:rPr>
            </w:pPr>
            <w:r>
              <w:rPr>
                <w:sz w:val="18"/>
                <w:szCs w:val="18"/>
              </w:rPr>
              <w:t>30</w:t>
            </w:r>
            <w:r w:rsidR="00013EDA">
              <w:rPr>
                <w:sz w:val="18"/>
                <w:szCs w:val="18"/>
              </w:rPr>
              <w:t>,000</w:t>
            </w:r>
          </w:p>
        </w:tc>
        <w:tc>
          <w:tcPr>
            <w:tcW w:w="993" w:type="dxa"/>
          </w:tcPr>
          <w:p w14:paraId="03039E1F" w14:textId="77777777" w:rsidR="00013EDA" w:rsidRDefault="00013EDA" w:rsidP="0046013C">
            <w:pPr>
              <w:widowControl w:val="0"/>
              <w:tabs>
                <w:tab w:val="center" w:pos="8647"/>
              </w:tabs>
              <w:autoSpaceDE w:val="0"/>
              <w:autoSpaceDN w:val="0"/>
              <w:adjustRightInd w:val="0"/>
              <w:jc w:val="center"/>
              <w:rPr>
                <w:sz w:val="18"/>
                <w:szCs w:val="18"/>
                <w:vertAlign w:val="superscript"/>
              </w:rPr>
            </w:pPr>
          </w:p>
          <w:p w14:paraId="74726108" w14:textId="5CF83AD3" w:rsidR="0046013C" w:rsidRPr="0046013C" w:rsidRDefault="00AA327A" w:rsidP="0046013C">
            <w:pPr>
              <w:widowControl w:val="0"/>
              <w:tabs>
                <w:tab w:val="center" w:pos="8647"/>
              </w:tabs>
              <w:autoSpaceDE w:val="0"/>
              <w:autoSpaceDN w:val="0"/>
              <w:adjustRightInd w:val="0"/>
              <w:jc w:val="center"/>
              <w:rPr>
                <w:sz w:val="18"/>
                <w:szCs w:val="18"/>
              </w:rPr>
            </w:pPr>
            <w:r>
              <w:rPr>
                <w:sz w:val="18"/>
                <w:szCs w:val="18"/>
              </w:rPr>
              <w:t>120-125</w:t>
            </w:r>
          </w:p>
        </w:tc>
        <w:tc>
          <w:tcPr>
            <w:tcW w:w="992" w:type="dxa"/>
          </w:tcPr>
          <w:p w14:paraId="724FEB6B" w14:textId="77777777" w:rsidR="00013EDA" w:rsidRDefault="00013EDA" w:rsidP="0046013C">
            <w:pPr>
              <w:widowControl w:val="0"/>
              <w:tabs>
                <w:tab w:val="center" w:pos="8647"/>
              </w:tabs>
              <w:autoSpaceDE w:val="0"/>
              <w:autoSpaceDN w:val="0"/>
              <w:adjustRightInd w:val="0"/>
              <w:jc w:val="center"/>
              <w:rPr>
                <w:sz w:val="18"/>
                <w:szCs w:val="18"/>
              </w:rPr>
            </w:pPr>
          </w:p>
          <w:p w14:paraId="49958F93" w14:textId="198EA757" w:rsidR="00013EDA" w:rsidRDefault="000D130C" w:rsidP="0046013C">
            <w:pPr>
              <w:widowControl w:val="0"/>
              <w:tabs>
                <w:tab w:val="center" w:pos="8647"/>
              </w:tabs>
              <w:autoSpaceDE w:val="0"/>
              <w:autoSpaceDN w:val="0"/>
              <w:adjustRightInd w:val="0"/>
              <w:jc w:val="center"/>
              <w:rPr>
                <w:sz w:val="18"/>
                <w:szCs w:val="18"/>
              </w:rPr>
            </w:pPr>
            <w:r>
              <w:rPr>
                <w:sz w:val="18"/>
                <w:szCs w:val="18"/>
              </w:rPr>
              <w:t>1</w:t>
            </w:r>
            <w:r w:rsidR="00226500">
              <w:rPr>
                <w:sz w:val="18"/>
                <w:szCs w:val="18"/>
              </w:rPr>
              <w:t>10</w:t>
            </w:r>
            <w:r w:rsidR="00013EDA">
              <w:rPr>
                <w:sz w:val="18"/>
                <w:szCs w:val="18"/>
              </w:rPr>
              <w:t>-</w:t>
            </w:r>
            <w:r>
              <w:rPr>
                <w:sz w:val="18"/>
                <w:szCs w:val="18"/>
              </w:rPr>
              <w:t>11</w:t>
            </w:r>
            <w:r w:rsidR="00226500">
              <w:rPr>
                <w:sz w:val="18"/>
                <w:szCs w:val="18"/>
              </w:rPr>
              <w:t>5</w:t>
            </w:r>
          </w:p>
        </w:tc>
      </w:tr>
      <w:tr w:rsidR="00013EDA" w14:paraId="616843E7" w14:textId="77777777" w:rsidTr="54F71CB4">
        <w:tc>
          <w:tcPr>
            <w:tcW w:w="2581" w:type="dxa"/>
            <w:vAlign w:val="center"/>
          </w:tcPr>
          <w:p w14:paraId="20A79283" w14:textId="77777777" w:rsidR="00013EDA" w:rsidRDefault="00013EDA" w:rsidP="00013EDA">
            <w:pPr>
              <w:rPr>
                <w:b/>
                <w:sz w:val="18"/>
                <w:szCs w:val="18"/>
              </w:rPr>
            </w:pPr>
            <w:r>
              <w:rPr>
                <w:b/>
                <w:sz w:val="18"/>
                <w:szCs w:val="18"/>
              </w:rPr>
              <w:t>Ms Helen Henderson</w:t>
            </w:r>
          </w:p>
          <w:p w14:paraId="57AC7FA9" w14:textId="77777777" w:rsidR="00013EDA" w:rsidRDefault="00013EDA" w:rsidP="00013EDA">
            <w:pPr>
              <w:rPr>
                <w:sz w:val="18"/>
                <w:szCs w:val="18"/>
              </w:rPr>
            </w:pPr>
            <w:r>
              <w:rPr>
                <w:sz w:val="18"/>
                <w:szCs w:val="18"/>
              </w:rPr>
              <w:t xml:space="preserve">Commissioner </w:t>
            </w:r>
          </w:p>
          <w:p w14:paraId="0FAA4898" w14:textId="77777777" w:rsidR="00013EDA" w:rsidRPr="001D785A" w:rsidRDefault="00013EDA" w:rsidP="00013EDA">
            <w:pPr>
              <w:rPr>
                <w:sz w:val="18"/>
                <w:szCs w:val="18"/>
              </w:rPr>
            </w:pPr>
          </w:p>
        </w:tc>
        <w:tc>
          <w:tcPr>
            <w:tcW w:w="850" w:type="dxa"/>
          </w:tcPr>
          <w:p w14:paraId="12AFACAA" w14:textId="77777777" w:rsidR="00013EDA" w:rsidRDefault="00013EDA" w:rsidP="0046013C">
            <w:pPr>
              <w:widowControl w:val="0"/>
              <w:tabs>
                <w:tab w:val="center" w:pos="8647"/>
              </w:tabs>
              <w:autoSpaceDE w:val="0"/>
              <w:autoSpaceDN w:val="0"/>
              <w:adjustRightInd w:val="0"/>
              <w:jc w:val="center"/>
              <w:rPr>
                <w:sz w:val="18"/>
                <w:szCs w:val="18"/>
              </w:rPr>
            </w:pPr>
          </w:p>
          <w:p w14:paraId="53AF74CA" w14:textId="59703AF1" w:rsidR="00760EB1" w:rsidRDefault="00AD3E24" w:rsidP="0046013C">
            <w:pPr>
              <w:widowControl w:val="0"/>
              <w:tabs>
                <w:tab w:val="center" w:pos="8647"/>
              </w:tabs>
              <w:autoSpaceDE w:val="0"/>
              <w:autoSpaceDN w:val="0"/>
              <w:adjustRightInd w:val="0"/>
              <w:jc w:val="center"/>
              <w:rPr>
                <w:sz w:val="18"/>
                <w:szCs w:val="18"/>
              </w:rPr>
            </w:pPr>
            <w:r>
              <w:rPr>
                <w:sz w:val="18"/>
                <w:szCs w:val="18"/>
              </w:rPr>
              <w:t>5-10</w:t>
            </w:r>
          </w:p>
          <w:p w14:paraId="787FA722" w14:textId="7607FA4A"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4CAD51C3" w14:textId="77777777" w:rsidR="00013EDA" w:rsidRDefault="00013EDA" w:rsidP="0046013C">
            <w:pPr>
              <w:widowControl w:val="0"/>
              <w:tabs>
                <w:tab w:val="center" w:pos="8647"/>
              </w:tabs>
              <w:autoSpaceDE w:val="0"/>
              <w:autoSpaceDN w:val="0"/>
              <w:adjustRightInd w:val="0"/>
              <w:jc w:val="center"/>
              <w:rPr>
                <w:sz w:val="18"/>
                <w:szCs w:val="18"/>
              </w:rPr>
            </w:pPr>
          </w:p>
          <w:p w14:paraId="12122433" w14:textId="30268021"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5D0363D6" w14:textId="77777777" w:rsidR="00013EDA" w:rsidRDefault="00013EDA" w:rsidP="0046013C">
            <w:pPr>
              <w:widowControl w:val="0"/>
              <w:tabs>
                <w:tab w:val="center" w:pos="8647"/>
              </w:tabs>
              <w:autoSpaceDE w:val="0"/>
              <w:autoSpaceDN w:val="0"/>
              <w:adjustRightInd w:val="0"/>
              <w:jc w:val="center"/>
              <w:rPr>
                <w:sz w:val="18"/>
                <w:szCs w:val="18"/>
              </w:rPr>
            </w:pPr>
          </w:p>
          <w:p w14:paraId="6619E221" w14:textId="01D5E99C" w:rsidR="00013EDA" w:rsidRDefault="0023605F" w:rsidP="0046013C">
            <w:pPr>
              <w:widowControl w:val="0"/>
              <w:tabs>
                <w:tab w:val="center" w:pos="8647"/>
              </w:tabs>
              <w:autoSpaceDE w:val="0"/>
              <w:autoSpaceDN w:val="0"/>
              <w:adjustRightInd w:val="0"/>
              <w:jc w:val="center"/>
              <w:rPr>
                <w:sz w:val="18"/>
                <w:szCs w:val="18"/>
              </w:rPr>
            </w:pPr>
            <w:r>
              <w:rPr>
                <w:sz w:val="18"/>
                <w:szCs w:val="18"/>
              </w:rPr>
              <w:t>100</w:t>
            </w:r>
          </w:p>
        </w:tc>
        <w:tc>
          <w:tcPr>
            <w:tcW w:w="851" w:type="dxa"/>
          </w:tcPr>
          <w:p w14:paraId="7CD15611" w14:textId="77777777" w:rsidR="00013EDA" w:rsidRDefault="00013EDA" w:rsidP="0046013C">
            <w:pPr>
              <w:widowControl w:val="0"/>
              <w:tabs>
                <w:tab w:val="center" w:pos="8647"/>
              </w:tabs>
              <w:autoSpaceDE w:val="0"/>
              <w:autoSpaceDN w:val="0"/>
              <w:adjustRightInd w:val="0"/>
              <w:jc w:val="center"/>
              <w:rPr>
                <w:sz w:val="18"/>
                <w:szCs w:val="18"/>
              </w:rPr>
            </w:pPr>
          </w:p>
          <w:p w14:paraId="7CF3F984" w14:textId="05DFC55D"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4B5903C" w14:textId="77777777" w:rsidR="00013EDA" w:rsidRDefault="00013EDA" w:rsidP="0046013C">
            <w:pPr>
              <w:widowControl w:val="0"/>
              <w:tabs>
                <w:tab w:val="center" w:pos="8647"/>
              </w:tabs>
              <w:autoSpaceDE w:val="0"/>
              <w:autoSpaceDN w:val="0"/>
              <w:adjustRightInd w:val="0"/>
              <w:jc w:val="center"/>
              <w:rPr>
                <w:sz w:val="18"/>
                <w:szCs w:val="18"/>
              </w:rPr>
            </w:pPr>
          </w:p>
          <w:p w14:paraId="52FB3147" w14:textId="246B2C5C"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10C85D94" w14:textId="77777777" w:rsidR="00013EDA" w:rsidRDefault="00013EDA" w:rsidP="0046013C">
            <w:pPr>
              <w:widowControl w:val="0"/>
              <w:tabs>
                <w:tab w:val="center" w:pos="8647"/>
              </w:tabs>
              <w:autoSpaceDE w:val="0"/>
              <w:autoSpaceDN w:val="0"/>
              <w:adjustRightInd w:val="0"/>
              <w:jc w:val="center"/>
              <w:rPr>
                <w:sz w:val="18"/>
                <w:szCs w:val="18"/>
              </w:rPr>
            </w:pPr>
          </w:p>
          <w:p w14:paraId="19EC8BA7" w14:textId="71BABEFE"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0502B594" w14:textId="77777777" w:rsidR="00013EDA" w:rsidRDefault="00013EDA" w:rsidP="0046013C">
            <w:pPr>
              <w:widowControl w:val="0"/>
              <w:tabs>
                <w:tab w:val="center" w:pos="8647"/>
              </w:tabs>
              <w:autoSpaceDE w:val="0"/>
              <w:autoSpaceDN w:val="0"/>
              <w:adjustRightInd w:val="0"/>
              <w:jc w:val="center"/>
              <w:rPr>
                <w:sz w:val="18"/>
                <w:szCs w:val="18"/>
              </w:rPr>
            </w:pPr>
          </w:p>
          <w:p w14:paraId="47614815" w14:textId="4B6355EB" w:rsidR="0046013C" w:rsidRDefault="00691471"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40AF6F64" w14:textId="77777777" w:rsidR="00013EDA" w:rsidRDefault="00013EDA" w:rsidP="0046013C">
            <w:pPr>
              <w:widowControl w:val="0"/>
              <w:tabs>
                <w:tab w:val="center" w:pos="8647"/>
              </w:tabs>
              <w:autoSpaceDE w:val="0"/>
              <w:autoSpaceDN w:val="0"/>
              <w:adjustRightInd w:val="0"/>
              <w:jc w:val="center"/>
              <w:rPr>
                <w:sz w:val="18"/>
                <w:szCs w:val="18"/>
              </w:rPr>
            </w:pPr>
          </w:p>
          <w:p w14:paraId="65C21338" w14:textId="25512E6A"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AD3E24" w14:paraId="79D20451" w14:textId="77777777" w:rsidTr="54F71CB4">
        <w:tc>
          <w:tcPr>
            <w:tcW w:w="2581" w:type="dxa"/>
            <w:vAlign w:val="center"/>
          </w:tcPr>
          <w:p w14:paraId="0750BDFA" w14:textId="77777777" w:rsidR="00AD3E24" w:rsidRDefault="00AD3E24" w:rsidP="00013EDA">
            <w:pPr>
              <w:rPr>
                <w:b/>
                <w:sz w:val="18"/>
                <w:szCs w:val="18"/>
              </w:rPr>
            </w:pPr>
            <w:r>
              <w:rPr>
                <w:b/>
                <w:sz w:val="18"/>
                <w:szCs w:val="18"/>
              </w:rPr>
              <w:t>Ms Mairead Holder</w:t>
            </w:r>
          </w:p>
          <w:p w14:paraId="079A88CD" w14:textId="77777777" w:rsidR="00AD3E24" w:rsidRDefault="00AD3E24" w:rsidP="00013EDA">
            <w:pPr>
              <w:rPr>
                <w:bCs/>
                <w:sz w:val="18"/>
                <w:szCs w:val="18"/>
              </w:rPr>
            </w:pPr>
            <w:r>
              <w:rPr>
                <w:bCs/>
                <w:sz w:val="18"/>
                <w:szCs w:val="18"/>
              </w:rPr>
              <w:t>Commissioner</w:t>
            </w:r>
          </w:p>
          <w:p w14:paraId="2A6888E4" w14:textId="4B184D08" w:rsidR="00AD3E24" w:rsidRPr="00AD3E24" w:rsidRDefault="00AD3E24" w:rsidP="00013EDA">
            <w:pPr>
              <w:rPr>
                <w:bCs/>
                <w:sz w:val="18"/>
                <w:szCs w:val="18"/>
              </w:rPr>
            </w:pPr>
            <w:r>
              <w:rPr>
                <w:bCs/>
                <w:sz w:val="18"/>
                <w:szCs w:val="18"/>
              </w:rPr>
              <w:t>(from 01 September 2024)</w:t>
            </w:r>
          </w:p>
        </w:tc>
        <w:tc>
          <w:tcPr>
            <w:tcW w:w="850" w:type="dxa"/>
          </w:tcPr>
          <w:p w14:paraId="610F2C8A" w14:textId="77777777" w:rsidR="00AD3E24" w:rsidRDefault="00AD3E24" w:rsidP="0046013C">
            <w:pPr>
              <w:widowControl w:val="0"/>
              <w:tabs>
                <w:tab w:val="center" w:pos="8647"/>
              </w:tabs>
              <w:autoSpaceDE w:val="0"/>
              <w:autoSpaceDN w:val="0"/>
              <w:adjustRightInd w:val="0"/>
              <w:jc w:val="center"/>
              <w:rPr>
                <w:sz w:val="18"/>
                <w:szCs w:val="18"/>
              </w:rPr>
            </w:pPr>
          </w:p>
          <w:p w14:paraId="075856DE" w14:textId="022C0E96" w:rsidR="00AD3E24" w:rsidRDefault="00AD3E24" w:rsidP="0046013C">
            <w:pPr>
              <w:widowControl w:val="0"/>
              <w:tabs>
                <w:tab w:val="center" w:pos="8647"/>
              </w:tabs>
              <w:autoSpaceDE w:val="0"/>
              <w:autoSpaceDN w:val="0"/>
              <w:adjustRightInd w:val="0"/>
              <w:jc w:val="center"/>
              <w:rPr>
                <w:sz w:val="18"/>
                <w:szCs w:val="18"/>
              </w:rPr>
            </w:pPr>
            <w:r>
              <w:rPr>
                <w:sz w:val="18"/>
                <w:szCs w:val="18"/>
              </w:rPr>
              <w:t>0-5</w:t>
            </w:r>
            <w:r>
              <w:rPr>
                <w:rStyle w:val="FootnoteReference"/>
                <w:sz w:val="18"/>
                <w:szCs w:val="18"/>
              </w:rPr>
              <w:footnoteReference w:id="6"/>
            </w:r>
          </w:p>
        </w:tc>
        <w:tc>
          <w:tcPr>
            <w:tcW w:w="851" w:type="dxa"/>
          </w:tcPr>
          <w:p w14:paraId="2B56295B" w14:textId="77777777" w:rsidR="00AD3E24" w:rsidRDefault="00AD3E24" w:rsidP="00AD3E24">
            <w:pPr>
              <w:widowControl w:val="0"/>
              <w:tabs>
                <w:tab w:val="center" w:pos="8647"/>
              </w:tabs>
              <w:autoSpaceDE w:val="0"/>
              <w:autoSpaceDN w:val="0"/>
              <w:adjustRightInd w:val="0"/>
              <w:rPr>
                <w:sz w:val="18"/>
                <w:szCs w:val="18"/>
              </w:rPr>
            </w:pPr>
          </w:p>
          <w:p w14:paraId="6309336D" w14:textId="061EEEE5" w:rsidR="00AD3E24" w:rsidRDefault="00AD3E24" w:rsidP="0046013C">
            <w:pPr>
              <w:widowControl w:val="0"/>
              <w:tabs>
                <w:tab w:val="center" w:pos="8647"/>
              </w:tabs>
              <w:autoSpaceDE w:val="0"/>
              <w:autoSpaceDN w:val="0"/>
              <w:adjustRightInd w:val="0"/>
              <w:jc w:val="center"/>
              <w:rPr>
                <w:sz w:val="18"/>
                <w:szCs w:val="18"/>
              </w:rPr>
            </w:pPr>
            <w:r>
              <w:rPr>
                <w:sz w:val="18"/>
                <w:szCs w:val="18"/>
              </w:rPr>
              <w:t>-</w:t>
            </w:r>
          </w:p>
        </w:tc>
        <w:tc>
          <w:tcPr>
            <w:tcW w:w="850" w:type="dxa"/>
          </w:tcPr>
          <w:p w14:paraId="6FA1A3AA" w14:textId="77777777" w:rsidR="00AD3E24" w:rsidRDefault="00AD3E24" w:rsidP="0046013C">
            <w:pPr>
              <w:widowControl w:val="0"/>
              <w:tabs>
                <w:tab w:val="center" w:pos="8647"/>
              </w:tabs>
              <w:autoSpaceDE w:val="0"/>
              <w:autoSpaceDN w:val="0"/>
              <w:adjustRightInd w:val="0"/>
              <w:jc w:val="center"/>
              <w:rPr>
                <w:sz w:val="18"/>
                <w:szCs w:val="18"/>
              </w:rPr>
            </w:pPr>
          </w:p>
          <w:p w14:paraId="7306BFF3" w14:textId="27109E14" w:rsidR="00130B8A" w:rsidRDefault="00130B8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1CD1BF73" w14:textId="77777777" w:rsidR="00AD3E24" w:rsidRDefault="00AD3E24" w:rsidP="0046013C">
            <w:pPr>
              <w:widowControl w:val="0"/>
              <w:tabs>
                <w:tab w:val="center" w:pos="8647"/>
              </w:tabs>
              <w:autoSpaceDE w:val="0"/>
              <w:autoSpaceDN w:val="0"/>
              <w:adjustRightInd w:val="0"/>
              <w:jc w:val="center"/>
              <w:rPr>
                <w:sz w:val="18"/>
                <w:szCs w:val="18"/>
              </w:rPr>
            </w:pPr>
          </w:p>
          <w:p w14:paraId="64FEC7EF" w14:textId="35AA5733" w:rsidR="00130B8A" w:rsidRDefault="00130B8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1F66AC10" w14:textId="77777777" w:rsidR="00AD3E24" w:rsidRDefault="00AD3E24" w:rsidP="0046013C">
            <w:pPr>
              <w:widowControl w:val="0"/>
              <w:tabs>
                <w:tab w:val="center" w:pos="8647"/>
              </w:tabs>
              <w:autoSpaceDE w:val="0"/>
              <w:autoSpaceDN w:val="0"/>
              <w:adjustRightInd w:val="0"/>
              <w:jc w:val="center"/>
              <w:rPr>
                <w:sz w:val="18"/>
                <w:szCs w:val="18"/>
              </w:rPr>
            </w:pPr>
          </w:p>
          <w:p w14:paraId="1D490301" w14:textId="40E3ACD1" w:rsidR="00AA327A" w:rsidRDefault="00AA327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45047A4" w14:textId="77777777" w:rsidR="00AD3E24" w:rsidRDefault="00AD3E24" w:rsidP="0046013C">
            <w:pPr>
              <w:widowControl w:val="0"/>
              <w:tabs>
                <w:tab w:val="center" w:pos="8647"/>
              </w:tabs>
              <w:autoSpaceDE w:val="0"/>
              <w:autoSpaceDN w:val="0"/>
              <w:adjustRightInd w:val="0"/>
              <w:jc w:val="center"/>
              <w:rPr>
                <w:sz w:val="18"/>
                <w:szCs w:val="18"/>
              </w:rPr>
            </w:pPr>
          </w:p>
          <w:p w14:paraId="1504F56A" w14:textId="76D955C9" w:rsidR="00AA327A" w:rsidRDefault="00AA327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0130665E" w14:textId="77777777" w:rsidR="00AD3E24" w:rsidRDefault="00AD3E24" w:rsidP="0046013C">
            <w:pPr>
              <w:widowControl w:val="0"/>
              <w:tabs>
                <w:tab w:val="center" w:pos="8647"/>
              </w:tabs>
              <w:autoSpaceDE w:val="0"/>
              <w:autoSpaceDN w:val="0"/>
              <w:adjustRightInd w:val="0"/>
              <w:jc w:val="center"/>
              <w:rPr>
                <w:sz w:val="18"/>
                <w:szCs w:val="18"/>
              </w:rPr>
            </w:pPr>
          </w:p>
          <w:p w14:paraId="7A4791E3" w14:textId="5F235EA0" w:rsidR="00B4689F" w:rsidRDefault="00B4689F" w:rsidP="0046013C">
            <w:pPr>
              <w:widowControl w:val="0"/>
              <w:tabs>
                <w:tab w:val="center" w:pos="8647"/>
              </w:tabs>
              <w:autoSpaceDE w:val="0"/>
              <w:autoSpaceDN w:val="0"/>
              <w:adjustRightInd w:val="0"/>
              <w:jc w:val="center"/>
              <w:rPr>
                <w:sz w:val="18"/>
                <w:szCs w:val="18"/>
              </w:rPr>
            </w:pPr>
            <w:r>
              <w:rPr>
                <w:sz w:val="18"/>
                <w:szCs w:val="18"/>
              </w:rPr>
              <w:t>0-5</w:t>
            </w:r>
          </w:p>
        </w:tc>
        <w:tc>
          <w:tcPr>
            <w:tcW w:w="992" w:type="dxa"/>
          </w:tcPr>
          <w:p w14:paraId="6029293D" w14:textId="77777777" w:rsidR="00AD3E24" w:rsidRDefault="00AD3E24" w:rsidP="0046013C">
            <w:pPr>
              <w:widowControl w:val="0"/>
              <w:tabs>
                <w:tab w:val="center" w:pos="8647"/>
              </w:tabs>
              <w:autoSpaceDE w:val="0"/>
              <w:autoSpaceDN w:val="0"/>
              <w:adjustRightInd w:val="0"/>
              <w:jc w:val="center"/>
              <w:rPr>
                <w:sz w:val="18"/>
                <w:szCs w:val="18"/>
              </w:rPr>
            </w:pPr>
          </w:p>
          <w:p w14:paraId="26B49C04" w14:textId="261FE3E6" w:rsidR="00B4689F" w:rsidRDefault="00B4689F" w:rsidP="0046013C">
            <w:pPr>
              <w:widowControl w:val="0"/>
              <w:tabs>
                <w:tab w:val="center" w:pos="8647"/>
              </w:tabs>
              <w:autoSpaceDE w:val="0"/>
              <w:autoSpaceDN w:val="0"/>
              <w:adjustRightInd w:val="0"/>
              <w:jc w:val="center"/>
              <w:rPr>
                <w:sz w:val="18"/>
                <w:szCs w:val="18"/>
              </w:rPr>
            </w:pPr>
            <w:r>
              <w:rPr>
                <w:sz w:val="18"/>
                <w:szCs w:val="18"/>
              </w:rPr>
              <w:t>-</w:t>
            </w:r>
          </w:p>
        </w:tc>
      </w:tr>
      <w:tr w:rsidR="00013EDA" w14:paraId="3E79CDDE" w14:textId="77777777" w:rsidTr="54F71CB4">
        <w:tc>
          <w:tcPr>
            <w:tcW w:w="2581" w:type="dxa"/>
            <w:vAlign w:val="center"/>
          </w:tcPr>
          <w:p w14:paraId="7801D8B8" w14:textId="77777777" w:rsidR="00013EDA" w:rsidRDefault="00013EDA" w:rsidP="00013EDA">
            <w:pPr>
              <w:rPr>
                <w:sz w:val="18"/>
                <w:szCs w:val="18"/>
              </w:rPr>
            </w:pPr>
            <w:r>
              <w:rPr>
                <w:b/>
                <w:sz w:val="18"/>
                <w:szCs w:val="18"/>
              </w:rPr>
              <w:t>Mr Jonathan Kearney</w:t>
            </w:r>
            <w:r>
              <w:rPr>
                <w:sz w:val="18"/>
                <w:szCs w:val="18"/>
              </w:rPr>
              <w:t xml:space="preserve"> Commissioner </w:t>
            </w:r>
          </w:p>
          <w:p w14:paraId="79E408F2" w14:textId="77777777" w:rsidR="00013EDA" w:rsidRPr="001D785A" w:rsidRDefault="00013EDA" w:rsidP="00013EDA">
            <w:pPr>
              <w:rPr>
                <w:sz w:val="18"/>
                <w:szCs w:val="18"/>
              </w:rPr>
            </w:pPr>
          </w:p>
        </w:tc>
        <w:tc>
          <w:tcPr>
            <w:tcW w:w="850" w:type="dxa"/>
          </w:tcPr>
          <w:p w14:paraId="3C3820BA" w14:textId="77777777" w:rsidR="00013EDA" w:rsidRDefault="00013EDA" w:rsidP="0046013C">
            <w:pPr>
              <w:widowControl w:val="0"/>
              <w:tabs>
                <w:tab w:val="center" w:pos="8647"/>
              </w:tabs>
              <w:autoSpaceDE w:val="0"/>
              <w:autoSpaceDN w:val="0"/>
              <w:adjustRightInd w:val="0"/>
              <w:jc w:val="center"/>
              <w:rPr>
                <w:sz w:val="18"/>
                <w:szCs w:val="18"/>
              </w:rPr>
            </w:pPr>
          </w:p>
          <w:p w14:paraId="252FEC32" w14:textId="67218C11" w:rsidR="00760EB1" w:rsidRDefault="00AD3E24" w:rsidP="0046013C">
            <w:pPr>
              <w:widowControl w:val="0"/>
              <w:tabs>
                <w:tab w:val="center" w:pos="8647"/>
              </w:tabs>
              <w:autoSpaceDE w:val="0"/>
              <w:autoSpaceDN w:val="0"/>
              <w:adjustRightInd w:val="0"/>
              <w:jc w:val="center"/>
              <w:rPr>
                <w:sz w:val="18"/>
                <w:szCs w:val="18"/>
              </w:rPr>
            </w:pPr>
            <w:r>
              <w:rPr>
                <w:sz w:val="18"/>
                <w:szCs w:val="18"/>
              </w:rPr>
              <w:t>5-10</w:t>
            </w:r>
          </w:p>
          <w:p w14:paraId="504C604D" w14:textId="2B19ED35"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4ECABDD6" w14:textId="77777777" w:rsidR="00013EDA" w:rsidRDefault="00013EDA" w:rsidP="0046013C">
            <w:pPr>
              <w:widowControl w:val="0"/>
              <w:tabs>
                <w:tab w:val="center" w:pos="8647"/>
              </w:tabs>
              <w:autoSpaceDE w:val="0"/>
              <w:autoSpaceDN w:val="0"/>
              <w:adjustRightInd w:val="0"/>
              <w:jc w:val="center"/>
              <w:rPr>
                <w:sz w:val="18"/>
                <w:szCs w:val="18"/>
              </w:rPr>
            </w:pPr>
          </w:p>
          <w:p w14:paraId="236E5342" w14:textId="52E18B37"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5A7CD54E" w14:textId="77777777" w:rsidR="00013EDA" w:rsidRDefault="00013EDA" w:rsidP="0046013C">
            <w:pPr>
              <w:widowControl w:val="0"/>
              <w:tabs>
                <w:tab w:val="center" w:pos="8647"/>
              </w:tabs>
              <w:autoSpaceDE w:val="0"/>
              <w:autoSpaceDN w:val="0"/>
              <w:adjustRightInd w:val="0"/>
              <w:jc w:val="center"/>
              <w:rPr>
                <w:sz w:val="18"/>
                <w:szCs w:val="18"/>
              </w:rPr>
            </w:pPr>
          </w:p>
          <w:p w14:paraId="020FF25F" w14:textId="6E2E2F28"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31E5595C" w14:textId="77777777" w:rsidR="00013EDA" w:rsidRDefault="00013EDA" w:rsidP="0046013C">
            <w:pPr>
              <w:widowControl w:val="0"/>
              <w:tabs>
                <w:tab w:val="center" w:pos="8647"/>
              </w:tabs>
              <w:autoSpaceDE w:val="0"/>
              <w:autoSpaceDN w:val="0"/>
              <w:adjustRightInd w:val="0"/>
              <w:jc w:val="center"/>
              <w:rPr>
                <w:sz w:val="18"/>
                <w:szCs w:val="18"/>
              </w:rPr>
            </w:pPr>
          </w:p>
          <w:p w14:paraId="66EF21B6" w14:textId="29C2C531" w:rsidR="00013EDA" w:rsidRDefault="000D130C"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F2B11F7" w14:textId="77777777" w:rsidR="00013EDA" w:rsidRDefault="00013EDA" w:rsidP="0046013C">
            <w:pPr>
              <w:widowControl w:val="0"/>
              <w:tabs>
                <w:tab w:val="center" w:pos="8647"/>
              </w:tabs>
              <w:autoSpaceDE w:val="0"/>
              <w:autoSpaceDN w:val="0"/>
              <w:adjustRightInd w:val="0"/>
              <w:jc w:val="center"/>
              <w:rPr>
                <w:sz w:val="18"/>
                <w:szCs w:val="18"/>
              </w:rPr>
            </w:pPr>
          </w:p>
          <w:p w14:paraId="6AD5A528" w14:textId="625D168E"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7D869157" w14:textId="77777777" w:rsidR="00013EDA" w:rsidRDefault="00013EDA" w:rsidP="0046013C">
            <w:pPr>
              <w:widowControl w:val="0"/>
              <w:tabs>
                <w:tab w:val="center" w:pos="8647"/>
              </w:tabs>
              <w:autoSpaceDE w:val="0"/>
              <w:autoSpaceDN w:val="0"/>
              <w:adjustRightInd w:val="0"/>
              <w:jc w:val="center"/>
              <w:rPr>
                <w:sz w:val="18"/>
                <w:szCs w:val="18"/>
              </w:rPr>
            </w:pPr>
          </w:p>
          <w:p w14:paraId="75288C88" w14:textId="2E82A6D9"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04D2BC80" w14:textId="77777777" w:rsidR="00013EDA" w:rsidRDefault="00013EDA" w:rsidP="0046013C">
            <w:pPr>
              <w:widowControl w:val="0"/>
              <w:tabs>
                <w:tab w:val="center" w:pos="8647"/>
              </w:tabs>
              <w:autoSpaceDE w:val="0"/>
              <w:autoSpaceDN w:val="0"/>
              <w:adjustRightInd w:val="0"/>
              <w:jc w:val="center"/>
              <w:rPr>
                <w:sz w:val="18"/>
                <w:szCs w:val="18"/>
              </w:rPr>
            </w:pPr>
          </w:p>
          <w:p w14:paraId="4878170A" w14:textId="57E51823" w:rsidR="0046013C" w:rsidRDefault="0084122D"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434892FB" w14:textId="77777777" w:rsidR="00013EDA" w:rsidRDefault="00013EDA" w:rsidP="0046013C">
            <w:pPr>
              <w:widowControl w:val="0"/>
              <w:tabs>
                <w:tab w:val="center" w:pos="8647"/>
              </w:tabs>
              <w:autoSpaceDE w:val="0"/>
              <w:autoSpaceDN w:val="0"/>
              <w:adjustRightInd w:val="0"/>
              <w:jc w:val="center"/>
              <w:rPr>
                <w:sz w:val="18"/>
                <w:szCs w:val="18"/>
              </w:rPr>
            </w:pPr>
          </w:p>
          <w:p w14:paraId="4A26683D" w14:textId="523B8FA2"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013EDA" w14:paraId="10CF367D" w14:textId="77777777" w:rsidTr="54F71CB4">
        <w:tc>
          <w:tcPr>
            <w:tcW w:w="2581" w:type="dxa"/>
            <w:vAlign w:val="center"/>
          </w:tcPr>
          <w:p w14:paraId="1CB0B922" w14:textId="77777777" w:rsidR="00013EDA" w:rsidRDefault="00013EDA" w:rsidP="00013EDA">
            <w:pPr>
              <w:rPr>
                <w:b/>
                <w:sz w:val="18"/>
                <w:szCs w:val="18"/>
              </w:rPr>
            </w:pPr>
            <w:r>
              <w:rPr>
                <w:b/>
                <w:sz w:val="18"/>
                <w:szCs w:val="18"/>
              </w:rPr>
              <w:t>Mr Justin Kouame</w:t>
            </w:r>
          </w:p>
          <w:p w14:paraId="1CD08308" w14:textId="5EFBA10D" w:rsidR="00013EDA" w:rsidRDefault="00013EDA" w:rsidP="00013EDA">
            <w:pPr>
              <w:rPr>
                <w:bCs/>
                <w:sz w:val="18"/>
                <w:szCs w:val="18"/>
              </w:rPr>
            </w:pPr>
            <w:r w:rsidRPr="00863A14">
              <w:rPr>
                <w:bCs/>
                <w:sz w:val="18"/>
                <w:szCs w:val="18"/>
              </w:rPr>
              <w:t>Commissioner</w:t>
            </w:r>
          </w:p>
          <w:p w14:paraId="22C7DF4B" w14:textId="1E706D98" w:rsidR="00013EDA" w:rsidRDefault="00013EDA" w:rsidP="54F71CB4">
            <w:pPr>
              <w:rPr>
                <w:sz w:val="18"/>
                <w:szCs w:val="18"/>
              </w:rPr>
            </w:pPr>
          </w:p>
        </w:tc>
        <w:tc>
          <w:tcPr>
            <w:tcW w:w="850" w:type="dxa"/>
          </w:tcPr>
          <w:p w14:paraId="71BCD025" w14:textId="77777777" w:rsidR="00013EDA" w:rsidRDefault="00013EDA" w:rsidP="0046013C">
            <w:pPr>
              <w:widowControl w:val="0"/>
              <w:tabs>
                <w:tab w:val="center" w:pos="8647"/>
              </w:tabs>
              <w:autoSpaceDE w:val="0"/>
              <w:autoSpaceDN w:val="0"/>
              <w:adjustRightInd w:val="0"/>
              <w:jc w:val="center"/>
              <w:rPr>
                <w:sz w:val="18"/>
                <w:szCs w:val="18"/>
              </w:rPr>
            </w:pPr>
          </w:p>
          <w:p w14:paraId="68CE0481" w14:textId="3C1F8237" w:rsidR="00760EB1" w:rsidRDefault="00AD3E24" w:rsidP="0046013C">
            <w:pPr>
              <w:widowControl w:val="0"/>
              <w:tabs>
                <w:tab w:val="center" w:pos="8647"/>
              </w:tabs>
              <w:autoSpaceDE w:val="0"/>
              <w:autoSpaceDN w:val="0"/>
              <w:adjustRightInd w:val="0"/>
              <w:jc w:val="center"/>
              <w:rPr>
                <w:sz w:val="18"/>
                <w:szCs w:val="18"/>
              </w:rPr>
            </w:pPr>
            <w:r>
              <w:rPr>
                <w:sz w:val="18"/>
                <w:szCs w:val="18"/>
              </w:rPr>
              <w:t>5-10</w:t>
            </w:r>
          </w:p>
        </w:tc>
        <w:tc>
          <w:tcPr>
            <w:tcW w:w="851" w:type="dxa"/>
          </w:tcPr>
          <w:p w14:paraId="6C82B4ED" w14:textId="77777777" w:rsidR="00013EDA" w:rsidRDefault="00013EDA" w:rsidP="0046013C">
            <w:pPr>
              <w:widowControl w:val="0"/>
              <w:tabs>
                <w:tab w:val="center" w:pos="8647"/>
              </w:tabs>
              <w:autoSpaceDE w:val="0"/>
              <w:autoSpaceDN w:val="0"/>
              <w:adjustRightInd w:val="0"/>
              <w:jc w:val="center"/>
              <w:rPr>
                <w:sz w:val="18"/>
                <w:szCs w:val="18"/>
              </w:rPr>
            </w:pPr>
          </w:p>
          <w:p w14:paraId="428FB4E9" w14:textId="658754D9" w:rsidR="00602A07" w:rsidRDefault="00A014E3" w:rsidP="00A014E3">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34E9A34D" w14:textId="77777777" w:rsidR="00013EDA" w:rsidRDefault="00013EDA" w:rsidP="0046013C">
            <w:pPr>
              <w:widowControl w:val="0"/>
              <w:tabs>
                <w:tab w:val="center" w:pos="8647"/>
              </w:tabs>
              <w:autoSpaceDE w:val="0"/>
              <w:autoSpaceDN w:val="0"/>
              <w:adjustRightInd w:val="0"/>
              <w:jc w:val="center"/>
              <w:rPr>
                <w:sz w:val="18"/>
                <w:szCs w:val="18"/>
              </w:rPr>
            </w:pPr>
          </w:p>
          <w:p w14:paraId="1E1C25A4" w14:textId="1717268A"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43D14F69" w14:textId="77777777" w:rsidR="00013EDA" w:rsidRDefault="00013EDA" w:rsidP="0046013C">
            <w:pPr>
              <w:widowControl w:val="0"/>
              <w:tabs>
                <w:tab w:val="center" w:pos="8647"/>
              </w:tabs>
              <w:autoSpaceDE w:val="0"/>
              <w:autoSpaceDN w:val="0"/>
              <w:adjustRightInd w:val="0"/>
              <w:jc w:val="center"/>
              <w:rPr>
                <w:sz w:val="18"/>
                <w:szCs w:val="18"/>
              </w:rPr>
            </w:pPr>
          </w:p>
          <w:p w14:paraId="38DCB3A2" w14:textId="4FE0453D"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49089E91" w14:textId="77777777" w:rsidR="00013EDA" w:rsidRDefault="00013EDA" w:rsidP="0046013C">
            <w:pPr>
              <w:widowControl w:val="0"/>
              <w:tabs>
                <w:tab w:val="center" w:pos="8647"/>
              </w:tabs>
              <w:autoSpaceDE w:val="0"/>
              <w:autoSpaceDN w:val="0"/>
              <w:adjustRightInd w:val="0"/>
              <w:jc w:val="center"/>
              <w:rPr>
                <w:sz w:val="18"/>
                <w:szCs w:val="18"/>
              </w:rPr>
            </w:pPr>
          </w:p>
          <w:p w14:paraId="05E42A64" w14:textId="6AB80C1F"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AA2B1E2" w14:textId="77777777" w:rsidR="00013EDA" w:rsidRDefault="00013EDA" w:rsidP="0046013C">
            <w:pPr>
              <w:widowControl w:val="0"/>
              <w:tabs>
                <w:tab w:val="center" w:pos="8647"/>
              </w:tabs>
              <w:autoSpaceDE w:val="0"/>
              <w:autoSpaceDN w:val="0"/>
              <w:adjustRightInd w:val="0"/>
              <w:jc w:val="center"/>
              <w:rPr>
                <w:sz w:val="18"/>
                <w:szCs w:val="18"/>
              </w:rPr>
            </w:pPr>
          </w:p>
          <w:p w14:paraId="1D3AFE52" w14:textId="7E8F0AC8"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37291D7C" w14:textId="77777777" w:rsidR="00013EDA" w:rsidRDefault="00013EDA" w:rsidP="0046013C">
            <w:pPr>
              <w:widowControl w:val="0"/>
              <w:tabs>
                <w:tab w:val="center" w:pos="8647"/>
              </w:tabs>
              <w:autoSpaceDE w:val="0"/>
              <w:autoSpaceDN w:val="0"/>
              <w:adjustRightInd w:val="0"/>
              <w:jc w:val="center"/>
              <w:rPr>
                <w:sz w:val="18"/>
                <w:szCs w:val="18"/>
              </w:rPr>
            </w:pPr>
          </w:p>
          <w:p w14:paraId="7B3B47E8" w14:textId="2C870A9E" w:rsidR="0046013C" w:rsidRDefault="0084122D"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30AB64C0" w14:textId="77777777" w:rsidR="00013EDA" w:rsidRDefault="00013EDA" w:rsidP="0046013C">
            <w:pPr>
              <w:widowControl w:val="0"/>
              <w:tabs>
                <w:tab w:val="center" w:pos="8647"/>
              </w:tabs>
              <w:autoSpaceDE w:val="0"/>
              <w:autoSpaceDN w:val="0"/>
              <w:adjustRightInd w:val="0"/>
              <w:jc w:val="center"/>
              <w:rPr>
                <w:sz w:val="18"/>
                <w:szCs w:val="18"/>
              </w:rPr>
            </w:pPr>
          </w:p>
          <w:p w14:paraId="2C42915C" w14:textId="18823F99" w:rsidR="0046013C" w:rsidRDefault="002503D1" w:rsidP="0046013C">
            <w:pPr>
              <w:widowControl w:val="0"/>
              <w:tabs>
                <w:tab w:val="center" w:pos="8647"/>
              </w:tabs>
              <w:autoSpaceDE w:val="0"/>
              <w:autoSpaceDN w:val="0"/>
              <w:adjustRightInd w:val="0"/>
              <w:jc w:val="center"/>
              <w:rPr>
                <w:sz w:val="18"/>
                <w:szCs w:val="18"/>
              </w:rPr>
            </w:pPr>
            <w:r>
              <w:rPr>
                <w:sz w:val="18"/>
                <w:szCs w:val="18"/>
              </w:rPr>
              <w:t>5</w:t>
            </w:r>
            <w:r w:rsidR="00840DE0">
              <w:rPr>
                <w:sz w:val="18"/>
                <w:szCs w:val="18"/>
              </w:rPr>
              <w:t>-</w:t>
            </w:r>
            <w:r>
              <w:rPr>
                <w:sz w:val="18"/>
                <w:szCs w:val="18"/>
              </w:rPr>
              <w:t>10</w:t>
            </w:r>
          </w:p>
        </w:tc>
      </w:tr>
      <w:tr w:rsidR="00013EDA" w14:paraId="30921300" w14:textId="77777777" w:rsidTr="54F71CB4">
        <w:tc>
          <w:tcPr>
            <w:tcW w:w="2581" w:type="dxa"/>
            <w:vAlign w:val="center"/>
          </w:tcPr>
          <w:p w14:paraId="61DB9217" w14:textId="77777777" w:rsidR="00013EDA" w:rsidRDefault="00013EDA" w:rsidP="00013EDA">
            <w:pPr>
              <w:rPr>
                <w:b/>
                <w:sz w:val="18"/>
                <w:szCs w:val="18"/>
              </w:rPr>
            </w:pPr>
            <w:r>
              <w:rPr>
                <w:b/>
                <w:sz w:val="18"/>
                <w:szCs w:val="18"/>
              </w:rPr>
              <w:t>Mr David A Lavery CB</w:t>
            </w:r>
          </w:p>
          <w:p w14:paraId="3F807165" w14:textId="77777777" w:rsidR="00013EDA" w:rsidRDefault="00013EDA" w:rsidP="00013EDA">
            <w:pPr>
              <w:rPr>
                <w:sz w:val="18"/>
                <w:szCs w:val="18"/>
              </w:rPr>
            </w:pPr>
            <w:r>
              <w:rPr>
                <w:sz w:val="18"/>
                <w:szCs w:val="18"/>
              </w:rPr>
              <w:t xml:space="preserve">Commissioner </w:t>
            </w:r>
          </w:p>
          <w:p w14:paraId="3D8AFEE4" w14:textId="77777777" w:rsidR="00013EDA" w:rsidRPr="001D785A" w:rsidRDefault="00013EDA" w:rsidP="00013EDA">
            <w:pPr>
              <w:rPr>
                <w:sz w:val="18"/>
                <w:szCs w:val="18"/>
              </w:rPr>
            </w:pPr>
          </w:p>
        </w:tc>
        <w:tc>
          <w:tcPr>
            <w:tcW w:w="850" w:type="dxa"/>
          </w:tcPr>
          <w:p w14:paraId="18614A72" w14:textId="77777777" w:rsidR="00013EDA" w:rsidRDefault="00013EDA" w:rsidP="0046013C">
            <w:pPr>
              <w:widowControl w:val="0"/>
              <w:tabs>
                <w:tab w:val="center" w:pos="8647"/>
              </w:tabs>
              <w:autoSpaceDE w:val="0"/>
              <w:autoSpaceDN w:val="0"/>
              <w:adjustRightInd w:val="0"/>
              <w:jc w:val="center"/>
              <w:rPr>
                <w:sz w:val="18"/>
                <w:szCs w:val="18"/>
              </w:rPr>
            </w:pPr>
          </w:p>
          <w:p w14:paraId="6771B42E" w14:textId="0974B00B" w:rsidR="00013EDA" w:rsidRDefault="00AD3E24" w:rsidP="0046013C">
            <w:pPr>
              <w:widowControl w:val="0"/>
              <w:tabs>
                <w:tab w:val="center" w:pos="8647"/>
              </w:tabs>
              <w:autoSpaceDE w:val="0"/>
              <w:autoSpaceDN w:val="0"/>
              <w:adjustRightInd w:val="0"/>
              <w:jc w:val="center"/>
              <w:rPr>
                <w:sz w:val="18"/>
                <w:szCs w:val="18"/>
              </w:rPr>
            </w:pPr>
            <w:r>
              <w:rPr>
                <w:sz w:val="18"/>
                <w:szCs w:val="18"/>
              </w:rPr>
              <w:t>5-10</w:t>
            </w:r>
          </w:p>
        </w:tc>
        <w:tc>
          <w:tcPr>
            <w:tcW w:w="851" w:type="dxa"/>
          </w:tcPr>
          <w:p w14:paraId="5F6D8287" w14:textId="77777777" w:rsidR="00013EDA" w:rsidRDefault="00013EDA" w:rsidP="0046013C">
            <w:pPr>
              <w:widowControl w:val="0"/>
              <w:tabs>
                <w:tab w:val="center" w:pos="8647"/>
              </w:tabs>
              <w:autoSpaceDE w:val="0"/>
              <w:autoSpaceDN w:val="0"/>
              <w:adjustRightInd w:val="0"/>
              <w:jc w:val="center"/>
              <w:rPr>
                <w:sz w:val="18"/>
                <w:szCs w:val="18"/>
              </w:rPr>
            </w:pPr>
          </w:p>
          <w:p w14:paraId="57755855" w14:textId="0735612B"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4BCA8B32" w14:textId="77777777" w:rsidR="00013EDA" w:rsidRDefault="00013EDA" w:rsidP="0046013C">
            <w:pPr>
              <w:widowControl w:val="0"/>
              <w:tabs>
                <w:tab w:val="center" w:pos="8647"/>
              </w:tabs>
              <w:autoSpaceDE w:val="0"/>
              <w:autoSpaceDN w:val="0"/>
              <w:adjustRightInd w:val="0"/>
              <w:jc w:val="center"/>
              <w:rPr>
                <w:sz w:val="18"/>
                <w:szCs w:val="18"/>
              </w:rPr>
            </w:pPr>
          </w:p>
          <w:p w14:paraId="344AE098" w14:textId="5E630080"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3EE0DDDB" w14:textId="77777777" w:rsidR="00013EDA" w:rsidRDefault="00013EDA" w:rsidP="0046013C">
            <w:pPr>
              <w:widowControl w:val="0"/>
              <w:tabs>
                <w:tab w:val="center" w:pos="8647"/>
              </w:tabs>
              <w:autoSpaceDE w:val="0"/>
              <w:autoSpaceDN w:val="0"/>
              <w:adjustRightInd w:val="0"/>
              <w:jc w:val="center"/>
              <w:rPr>
                <w:sz w:val="18"/>
                <w:szCs w:val="18"/>
              </w:rPr>
            </w:pPr>
          </w:p>
          <w:p w14:paraId="37470BAA" w14:textId="53ABF1C6"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2B5AE6D2" w14:textId="77777777" w:rsidR="00013EDA" w:rsidRDefault="00013EDA" w:rsidP="0046013C">
            <w:pPr>
              <w:widowControl w:val="0"/>
              <w:tabs>
                <w:tab w:val="center" w:pos="8647"/>
              </w:tabs>
              <w:autoSpaceDE w:val="0"/>
              <w:autoSpaceDN w:val="0"/>
              <w:adjustRightInd w:val="0"/>
              <w:jc w:val="center"/>
              <w:rPr>
                <w:sz w:val="18"/>
                <w:szCs w:val="18"/>
              </w:rPr>
            </w:pPr>
          </w:p>
          <w:p w14:paraId="36FAECBF" w14:textId="5955DFD4"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A4D8D6F" w14:textId="77777777" w:rsidR="00013EDA" w:rsidRDefault="00013EDA" w:rsidP="0046013C">
            <w:pPr>
              <w:widowControl w:val="0"/>
              <w:tabs>
                <w:tab w:val="center" w:pos="8647"/>
              </w:tabs>
              <w:autoSpaceDE w:val="0"/>
              <w:autoSpaceDN w:val="0"/>
              <w:adjustRightInd w:val="0"/>
              <w:jc w:val="center"/>
              <w:rPr>
                <w:sz w:val="18"/>
                <w:szCs w:val="18"/>
              </w:rPr>
            </w:pPr>
          </w:p>
          <w:p w14:paraId="1FB7EB1E" w14:textId="5C379E3C"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3911C3B7" w14:textId="77777777" w:rsidR="00013EDA" w:rsidRDefault="00013EDA" w:rsidP="0046013C">
            <w:pPr>
              <w:widowControl w:val="0"/>
              <w:tabs>
                <w:tab w:val="center" w:pos="8647"/>
              </w:tabs>
              <w:autoSpaceDE w:val="0"/>
              <w:autoSpaceDN w:val="0"/>
              <w:adjustRightInd w:val="0"/>
              <w:jc w:val="center"/>
              <w:rPr>
                <w:sz w:val="18"/>
                <w:szCs w:val="18"/>
              </w:rPr>
            </w:pPr>
          </w:p>
          <w:p w14:paraId="0350BA2E" w14:textId="575A1637" w:rsidR="0046013C" w:rsidRDefault="0084122D"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35EAF144" w14:textId="77777777" w:rsidR="00013EDA" w:rsidRDefault="00013EDA" w:rsidP="0046013C">
            <w:pPr>
              <w:widowControl w:val="0"/>
              <w:tabs>
                <w:tab w:val="center" w:pos="8647"/>
              </w:tabs>
              <w:autoSpaceDE w:val="0"/>
              <w:autoSpaceDN w:val="0"/>
              <w:adjustRightInd w:val="0"/>
              <w:jc w:val="center"/>
              <w:rPr>
                <w:sz w:val="18"/>
                <w:szCs w:val="18"/>
              </w:rPr>
            </w:pPr>
          </w:p>
          <w:p w14:paraId="52B2CDE8" w14:textId="11368843"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013EDA" w14:paraId="62552E36" w14:textId="77777777" w:rsidTr="54F71CB4">
        <w:tc>
          <w:tcPr>
            <w:tcW w:w="2581" w:type="dxa"/>
            <w:vAlign w:val="center"/>
          </w:tcPr>
          <w:p w14:paraId="39AAB4C7" w14:textId="77777777" w:rsidR="00013EDA" w:rsidRDefault="00013EDA" w:rsidP="00013EDA">
            <w:pPr>
              <w:rPr>
                <w:b/>
                <w:sz w:val="18"/>
                <w:szCs w:val="18"/>
              </w:rPr>
            </w:pPr>
            <w:r>
              <w:rPr>
                <w:b/>
                <w:sz w:val="18"/>
                <w:szCs w:val="18"/>
              </w:rPr>
              <w:t>Mr Stephen White OBE</w:t>
            </w:r>
          </w:p>
          <w:p w14:paraId="31E116A4" w14:textId="77777777" w:rsidR="00013EDA" w:rsidRDefault="00013EDA" w:rsidP="00013EDA">
            <w:pPr>
              <w:rPr>
                <w:sz w:val="18"/>
                <w:szCs w:val="18"/>
              </w:rPr>
            </w:pPr>
            <w:r>
              <w:rPr>
                <w:sz w:val="18"/>
                <w:szCs w:val="18"/>
              </w:rPr>
              <w:t xml:space="preserve">Commissioner </w:t>
            </w:r>
          </w:p>
          <w:p w14:paraId="696D355E" w14:textId="54DEE03A" w:rsidR="0046013C" w:rsidRPr="001D785A" w:rsidRDefault="0046013C" w:rsidP="00013EDA">
            <w:pPr>
              <w:rPr>
                <w:sz w:val="18"/>
                <w:szCs w:val="18"/>
              </w:rPr>
            </w:pPr>
          </w:p>
        </w:tc>
        <w:tc>
          <w:tcPr>
            <w:tcW w:w="850" w:type="dxa"/>
          </w:tcPr>
          <w:p w14:paraId="1DA535A3" w14:textId="77777777" w:rsidR="00013EDA" w:rsidRDefault="00013EDA" w:rsidP="0046013C">
            <w:pPr>
              <w:widowControl w:val="0"/>
              <w:tabs>
                <w:tab w:val="center" w:pos="8647"/>
              </w:tabs>
              <w:autoSpaceDE w:val="0"/>
              <w:autoSpaceDN w:val="0"/>
              <w:adjustRightInd w:val="0"/>
              <w:jc w:val="center"/>
              <w:rPr>
                <w:sz w:val="18"/>
                <w:szCs w:val="18"/>
              </w:rPr>
            </w:pPr>
          </w:p>
          <w:p w14:paraId="55366B2F" w14:textId="791D288C" w:rsidR="00760EB1" w:rsidRDefault="00AD3E24" w:rsidP="0046013C">
            <w:pPr>
              <w:widowControl w:val="0"/>
              <w:tabs>
                <w:tab w:val="center" w:pos="8647"/>
              </w:tabs>
              <w:autoSpaceDE w:val="0"/>
              <w:autoSpaceDN w:val="0"/>
              <w:adjustRightInd w:val="0"/>
              <w:jc w:val="center"/>
              <w:rPr>
                <w:sz w:val="18"/>
                <w:szCs w:val="18"/>
              </w:rPr>
            </w:pPr>
            <w:r>
              <w:rPr>
                <w:sz w:val="18"/>
                <w:szCs w:val="18"/>
              </w:rPr>
              <w:t>5-10</w:t>
            </w:r>
          </w:p>
          <w:p w14:paraId="66076390" w14:textId="54D24CE0"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39A743A4" w14:textId="77777777" w:rsidR="00013EDA" w:rsidRDefault="00013EDA" w:rsidP="0046013C">
            <w:pPr>
              <w:widowControl w:val="0"/>
              <w:tabs>
                <w:tab w:val="center" w:pos="8647"/>
              </w:tabs>
              <w:autoSpaceDE w:val="0"/>
              <w:autoSpaceDN w:val="0"/>
              <w:adjustRightInd w:val="0"/>
              <w:jc w:val="center"/>
              <w:rPr>
                <w:sz w:val="18"/>
                <w:szCs w:val="18"/>
              </w:rPr>
            </w:pPr>
          </w:p>
          <w:p w14:paraId="01AF451E" w14:textId="60DAC77D"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30FE4F6E" w14:textId="23B63DCE" w:rsidR="00013EDA" w:rsidRDefault="00013EDA" w:rsidP="00130B8A">
            <w:pPr>
              <w:widowControl w:val="0"/>
              <w:tabs>
                <w:tab w:val="center" w:pos="8647"/>
              </w:tabs>
              <w:autoSpaceDE w:val="0"/>
              <w:autoSpaceDN w:val="0"/>
              <w:adjustRightInd w:val="0"/>
              <w:jc w:val="center"/>
              <w:rPr>
                <w:sz w:val="18"/>
                <w:szCs w:val="18"/>
              </w:rPr>
            </w:pPr>
          </w:p>
        </w:tc>
        <w:tc>
          <w:tcPr>
            <w:tcW w:w="851" w:type="dxa"/>
          </w:tcPr>
          <w:p w14:paraId="3DC044C9" w14:textId="77777777" w:rsidR="00013EDA" w:rsidRDefault="00013EDA" w:rsidP="0046013C">
            <w:pPr>
              <w:widowControl w:val="0"/>
              <w:tabs>
                <w:tab w:val="center" w:pos="8647"/>
              </w:tabs>
              <w:autoSpaceDE w:val="0"/>
              <w:autoSpaceDN w:val="0"/>
              <w:adjustRightInd w:val="0"/>
              <w:jc w:val="center"/>
              <w:rPr>
                <w:sz w:val="18"/>
                <w:szCs w:val="18"/>
              </w:rPr>
            </w:pPr>
          </w:p>
          <w:p w14:paraId="77599EB0" w14:textId="2EB91872" w:rsidR="00013EDA" w:rsidRDefault="00130B8A" w:rsidP="0046013C">
            <w:pPr>
              <w:widowControl w:val="0"/>
              <w:tabs>
                <w:tab w:val="center" w:pos="8647"/>
              </w:tabs>
              <w:autoSpaceDE w:val="0"/>
              <w:autoSpaceDN w:val="0"/>
              <w:adjustRightInd w:val="0"/>
              <w:jc w:val="center"/>
              <w:rPr>
                <w:sz w:val="18"/>
                <w:szCs w:val="18"/>
              </w:rPr>
            </w:pPr>
            <w:r>
              <w:rPr>
                <w:sz w:val="18"/>
                <w:szCs w:val="18"/>
              </w:rPr>
              <w:t>100</w:t>
            </w:r>
          </w:p>
        </w:tc>
        <w:tc>
          <w:tcPr>
            <w:tcW w:w="992" w:type="dxa"/>
          </w:tcPr>
          <w:p w14:paraId="053F3C3A" w14:textId="77777777" w:rsidR="00013EDA" w:rsidRDefault="00013EDA" w:rsidP="0046013C">
            <w:pPr>
              <w:widowControl w:val="0"/>
              <w:tabs>
                <w:tab w:val="center" w:pos="8647"/>
              </w:tabs>
              <w:autoSpaceDE w:val="0"/>
              <w:autoSpaceDN w:val="0"/>
              <w:adjustRightInd w:val="0"/>
              <w:jc w:val="center"/>
              <w:rPr>
                <w:sz w:val="18"/>
                <w:szCs w:val="18"/>
              </w:rPr>
            </w:pPr>
          </w:p>
          <w:p w14:paraId="0E3C2BF0" w14:textId="65F6236E"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A7D3A50" w14:textId="77777777" w:rsidR="00013EDA" w:rsidRDefault="00013EDA" w:rsidP="0046013C">
            <w:pPr>
              <w:widowControl w:val="0"/>
              <w:tabs>
                <w:tab w:val="center" w:pos="8647"/>
              </w:tabs>
              <w:autoSpaceDE w:val="0"/>
              <w:autoSpaceDN w:val="0"/>
              <w:adjustRightInd w:val="0"/>
              <w:jc w:val="center"/>
              <w:rPr>
                <w:sz w:val="18"/>
                <w:szCs w:val="18"/>
              </w:rPr>
            </w:pPr>
          </w:p>
          <w:p w14:paraId="66234CDD" w14:textId="0132B761"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350F72AD" w14:textId="77777777" w:rsidR="00013EDA" w:rsidRDefault="00013EDA" w:rsidP="0046013C">
            <w:pPr>
              <w:widowControl w:val="0"/>
              <w:tabs>
                <w:tab w:val="center" w:pos="8647"/>
              </w:tabs>
              <w:autoSpaceDE w:val="0"/>
              <w:autoSpaceDN w:val="0"/>
              <w:adjustRightInd w:val="0"/>
              <w:jc w:val="center"/>
              <w:rPr>
                <w:sz w:val="18"/>
                <w:szCs w:val="18"/>
              </w:rPr>
            </w:pPr>
          </w:p>
          <w:p w14:paraId="44F9A3AE" w14:textId="277BE88A" w:rsidR="0046013C" w:rsidRDefault="0084122D"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0F2BC652" w14:textId="77777777" w:rsidR="00013EDA" w:rsidRDefault="00013EDA" w:rsidP="0046013C">
            <w:pPr>
              <w:widowControl w:val="0"/>
              <w:tabs>
                <w:tab w:val="center" w:pos="8647"/>
              </w:tabs>
              <w:autoSpaceDE w:val="0"/>
              <w:autoSpaceDN w:val="0"/>
              <w:adjustRightInd w:val="0"/>
              <w:jc w:val="center"/>
              <w:rPr>
                <w:sz w:val="18"/>
                <w:szCs w:val="18"/>
              </w:rPr>
            </w:pPr>
          </w:p>
          <w:p w14:paraId="53F7BE87" w14:textId="1D63E007"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130B8A" w14:paraId="2A99E6EA" w14:textId="77777777" w:rsidTr="0089678E">
        <w:tc>
          <w:tcPr>
            <w:tcW w:w="2581" w:type="dxa"/>
            <w:vAlign w:val="center"/>
          </w:tcPr>
          <w:p w14:paraId="52A3EEA3" w14:textId="77777777" w:rsidR="00130B8A" w:rsidRDefault="00130B8A" w:rsidP="001D51C1">
            <w:pPr>
              <w:rPr>
                <w:b/>
                <w:sz w:val="18"/>
                <w:szCs w:val="18"/>
              </w:rPr>
            </w:pPr>
            <w:r>
              <w:rPr>
                <w:b/>
                <w:sz w:val="18"/>
                <w:szCs w:val="18"/>
              </w:rPr>
              <w:t>Mr Eddie Rooney</w:t>
            </w:r>
          </w:p>
          <w:p w14:paraId="7606BBA1" w14:textId="77777777" w:rsidR="00130B8A" w:rsidRDefault="00130B8A" w:rsidP="001D51C1">
            <w:pPr>
              <w:rPr>
                <w:sz w:val="18"/>
                <w:szCs w:val="18"/>
              </w:rPr>
            </w:pPr>
            <w:r>
              <w:rPr>
                <w:sz w:val="18"/>
                <w:szCs w:val="18"/>
              </w:rPr>
              <w:t>Commissioner</w:t>
            </w:r>
          </w:p>
          <w:p w14:paraId="7B58F636" w14:textId="77777777" w:rsidR="00130B8A" w:rsidRDefault="00130B8A" w:rsidP="001D51C1">
            <w:pPr>
              <w:rPr>
                <w:sz w:val="18"/>
                <w:szCs w:val="18"/>
              </w:rPr>
            </w:pPr>
            <w:r>
              <w:rPr>
                <w:sz w:val="18"/>
                <w:szCs w:val="18"/>
              </w:rPr>
              <w:t>(until 31 August 2023)</w:t>
            </w:r>
          </w:p>
          <w:p w14:paraId="1EEA7705" w14:textId="77777777" w:rsidR="00130B8A" w:rsidRDefault="00130B8A" w:rsidP="001D51C1">
            <w:pPr>
              <w:rPr>
                <w:b/>
                <w:sz w:val="18"/>
                <w:szCs w:val="18"/>
              </w:rPr>
            </w:pPr>
          </w:p>
        </w:tc>
        <w:tc>
          <w:tcPr>
            <w:tcW w:w="850" w:type="dxa"/>
          </w:tcPr>
          <w:p w14:paraId="23E4C8F8" w14:textId="77777777" w:rsidR="00130B8A" w:rsidRDefault="00130B8A" w:rsidP="001D51C1">
            <w:pPr>
              <w:widowControl w:val="0"/>
              <w:tabs>
                <w:tab w:val="center" w:pos="8647"/>
              </w:tabs>
              <w:autoSpaceDE w:val="0"/>
              <w:autoSpaceDN w:val="0"/>
              <w:adjustRightInd w:val="0"/>
              <w:jc w:val="center"/>
              <w:rPr>
                <w:sz w:val="18"/>
                <w:szCs w:val="18"/>
              </w:rPr>
            </w:pPr>
          </w:p>
          <w:p w14:paraId="1AFE96E1" w14:textId="77777777" w:rsidR="00130B8A" w:rsidRPr="0023451F" w:rsidRDefault="00130B8A" w:rsidP="001D51C1">
            <w:pPr>
              <w:widowControl w:val="0"/>
              <w:tabs>
                <w:tab w:val="center" w:pos="8647"/>
              </w:tabs>
              <w:autoSpaceDE w:val="0"/>
              <w:autoSpaceDN w:val="0"/>
              <w:adjustRightInd w:val="0"/>
              <w:jc w:val="center"/>
              <w:rPr>
                <w:sz w:val="18"/>
                <w:szCs w:val="18"/>
              </w:rPr>
            </w:pPr>
            <w:r>
              <w:rPr>
                <w:sz w:val="18"/>
                <w:szCs w:val="18"/>
              </w:rPr>
              <w:t>-</w:t>
            </w:r>
          </w:p>
          <w:p w14:paraId="33EF05D6" w14:textId="77777777" w:rsidR="00130B8A" w:rsidRPr="0023451F" w:rsidRDefault="00130B8A" w:rsidP="001D51C1">
            <w:pPr>
              <w:widowControl w:val="0"/>
              <w:tabs>
                <w:tab w:val="center" w:pos="8647"/>
              </w:tabs>
              <w:autoSpaceDE w:val="0"/>
              <w:autoSpaceDN w:val="0"/>
              <w:adjustRightInd w:val="0"/>
              <w:jc w:val="center"/>
              <w:rPr>
                <w:sz w:val="18"/>
                <w:szCs w:val="18"/>
                <w:vertAlign w:val="superscript"/>
              </w:rPr>
            </w:pPr>
          </w:p>
          <w:p w14:paraId="73BFC33F" w14:textId="77777777" w:rsidR="00130B8A" w:rsidRDefault="00130B8A" w:rsidP="001D51C1">
            <w:pPr>
              <w:widowControl w:val="0"/>
              <w:tabs>
                <w:tab w:val="center" w:pos="8647"/>
              </w:tabs>
              <w:autoSpaceDE w:val="0"/>
              <w:autoSpaceDN w:val="0"/>
              <w:adjustRightInd w:val="0"/>
              <w:jc w:val="center"/>
              <w:rPr>
                <w:sz w:val="18"/>
                <w:szCs w:val="18"/>
              </w:rPr>
            </w:pPr>
          </w:p>
        </w:tc>
        <w:tc>
          <w:tcPr>
            <w:tcW w:w="851" w:type="dxa"/>
          </w:tcPr>
          <w:p w14:paraId="1EB2464B" w14:textId="77777777" w:rsidR="00130B8A" w:rsidRDefault="00130B8A" w:rsidP="001D51C1">
            <w:pPr>
              <w:widowControl w:val="0"/>
              <w:tabs>
                <w:tab w:val="center" w:pos="8647"/>
              </w:tabs>
              <w:autoSpaceDE w:val="0"/>
              <w:autoSpaceDN w:val="0"/>
              <w:adjustRightInd w:val="0"/>
              <w:jc w:val="center"/>
              <w:rPr>
                <w:sz w:val="18"/>
                <w:szCs w:val="18"/>
              </w:rPr>
            </w:pPr>
          </w:p>
          <w:p w14:paraId="383F6F35" w14:textId="77777777" w:rsidR="00130B8A" w:rsidRPr="0023451F" w:rsidRDefault="00130B8A" w:rsidP="001D51C1">
            <w:pPr>
              <w:widowControl w:val="0"/>
              <w:tabs>
                <w:tab w:val="center" w:pos="8647"/>
              </w:tabs>
              <w:autoSpaceDE w:val="0"/>
              <w:autoSpaceDN w:val="0"/>
              <w:adjustRightInd w:val="0"/>
              <w:jc w:val="center"/>
              <w:rPr>
                <w:sz w:val="18"/>
                <w:szCs w:val="18"/>
              </w:rPr>
            </w:pPr>
            <w:r>
              <w:rPr>
                <w:sz w:val="18"/>
                <w:szCs w:val="18"/>
              </w:rPr>
              <w:t>0-5</w:t>
            </w:r>
            <w:r>
              <w:rPr>
                <w:rStyle w:val="FootnoteReference"/>
                <w:sz w:val="18"/>
                <w:szCs w:val="18"/>
              </w:rPr>
              <w:footnoteReference w:id="7"/>
            </w:r>
          </w:p>
          <w:p w14:paraId="749A146D" w14:textId="77777777" w:rsidR="00130B8A" w:rsidRDefault="00130B8A" w:rsidP="001D51C1">
            <w:pPr>
              <w:widowControl w:val="0"/>
              <w:tabs>
                <w:tab w:val="center" w:pos="8647"/>
              </w:tabs>
              <w:autoSpaceDE w:val="0"/>
              <w:autoSpaceDN w:val="0"/>
              <w:adjustRightInd w:val="0"/>
              <w:jc w:val="center"/>
              <w:rPr>
                <w:sz w:val="18"/>
                <w:szCs w:val="18"/>
              </w:rPr>
            </w:pPr>
          </w:p>
        </w:tc>
        <w:tc>
          <w:tcPr>
            <w:tcW w:w="850" w:type="dxa"/>
          </w:tcPr>
          <w:p w14:paraId="560E8113" w14:textId="77777777" w:rsidR="00130B8A" w:rsidRDefault="00130B8A" w:rsidP="001D51C1">
            <w:pPr>
              <w:widowControl w:val="0"/>
              <w:tabs>
                <w:tab w:val="center" w:pos="8647"/>
              </w:tabs>
              <w:autoSpaceDE w:val="0"/>
              <w:autoSpaceDN w:val="0"/>
              <w:adjustRightInd w:val="0"/>
              <w:jc w:val="center"/>
              <w:rPr>
                <w:sz w:val="18"/>
                <w:szCs w:val="18"/>
              </w:rPr>
            </w:pPr>
          </w:p>
          <w:p w14:paraId="057A89E7" w14:textId="77777777" w:rsidR="00130B8A" w:rsidRDefault="00130B8A" w:rsidP="001D51C1">
            <w:pPr>
              <w:widowControl w:val="0"/>
              <w:tabs>
                <w:tab w:val="center" w:pos="8647"/>
              </w:tabs>
              <w:autoSpaceDE w:val="0"/>
              <w:autoSpaceDN w:val="0"/>
              <w:adjustRightInd w:val="0"/>
              <w:jc w:val="center"/>
              <w:rPr>
                <w:sz w:val="18"/>
                <w:szCs w:val="18"/>
              </w:rPr>
            </w:pPr>
            <w:r>
              <w:rPr>
                <w:sz w:val="18"/>
                <w:szCs w:val="18"/>
              </w:rPr>
              <w:t>-</w:t>
            </w:r>
          </w:p>
        </w:tc>
        <w:tc>
          <w:tcPr>
            <w:tcW w:w="851" w:type="dxa"/>
          </w:tcPr>
          <w:p w14:paraId="490907C8" w14:textId="77777777" w:rsidR="00130B8A" w:rsidRDefault="00130B8A" w:rsidP="001D51C1">
            <w:pPr>
              <w:widowControl w:val="0"/>
              <w:tabs>
                <w:tab w:val="center" w:pos="8647"/>
              </w:tabs>
              <w:autoSpaceDE w:val="0"/>
              <w:autoSpaceDN w:val="0"/>
              <w:adjustRightInd w:val="0"/>
              <w:jc w:val="center"/>
              <w:rPr>
                <w:sz w:val="18"/>
                <w:szCs w:val="18"/>
              </w:rPr>
            </w:pPr>
          </w:p>
          <w:p w14:paraId="7A7C6B94" w14:textId="77777777" w:rsidR="00130B8A" w:rsidRDefault="00130B8A" w:rsidP="001D51C1">
            <w:pPr>
              <w:widowControl w:val="0"/>
              <w:tabs>
                <w:tab w:val="center" w:pos="8647"/>
              </w:tabs>
              <w:autoSpaceDE w:val="0"/>
              <w:autoSpaceDN w:val="0"/>
              <w:adjustRightInd w:val="0"/>
              <w:jc w:val="center"/>
              <w:rPr>
                <w:sz w:val="18"/>
                <w:szCs w:val="18"/>
              </w:rPr>
            </w:pPr>
            <w:r>
              <w:rPr>
                <w:sz w:val="18"/>
                <w:szCs w:val="18"/>
              </w:rPr>
              <w:t>-</w:t>
            </w:r>
          </w:p>
        </w:tc>
        <w:tc>
          <w:tcPr>
            <w:tcW w:w="992" w:type="dxa"/>
          </w:tcPr>
          <w:p w14:paraId="12380A80" w14:textId="77777777" w:rsidR="00130B8A" w:rsidRDefault="00130B8A" w:rsidP="001D51C1">
            <w:pPr>
              <w:widowControl w:val="0"/>
              <w:tabs>
                <w:tab w:val="center" w:pos="8647"/>
              </w:tabs>
              <w:autoSpaceDE w:val="0"/>
              <w:autoSpaceDN w:val="0"/>
              <w:adjustRightInd w:val="0"/>
              <w:jc w:val="center"/>
              <w:rPr>
                <w:sz w:val="18"/>
                <w:szCs w:val="18"/>
              </w:rPr>
            </w:pPr>
          </w:p>
          <w:p w14:paraId="0AF77C30" w14:textId="77777777" w:rsidR="00130B8A" w:rsidRDefault="00130B8A" w:rsidP="001D51C1">
            <w:pPr>
              <w:widowControl w:val="0"/>
              <w:tabs>
                <w:tab w:val="center" w:pos="8647"/>
              </w:tabs>
              <w:autoSpaceDE w:val="0"/>
              <w:autoSpaceDN w:val="0"/>
              <w:adjustRightInd w:val="0"/>
              <w:jc w:val="center"/>
              <w:rPr>
                <w:sz w:val="18"/>
                <w:szCs w:val="18"/>
              </w:rPr>
            </w:pPr>
            <w:r>
              <w:rPr>
                <w:sz w:val="18"/>
                <w:szCs w:val="18"/>
              </w:rPr>
              <w:t>-</w:t>
            </w:r>
          </w:p>
        </w:tc>
        <w:tc>
          <w:tcPr>
            <w:tcW w:w="992" w:type="dxa"/>
          </w:tcPr>
          <w:p w14:paraId="5363ECF1" w14:textId="77777777" w:rsidR="00130B8A" w:rsidRDefault="00130B8A" w:rsidP="001D51C1">
            <w:pPr>
              <w:widowControl w:val="0"/>
              <w:tabs>
                <w:tab w:val="center" w:pos="8647"/>
              </w:tabs>
              <w:autoSpaceDE w:val="0"/>
              <w:autoSpaceDN w:val="0"/>
              <w:adjustRightInd w:val="0"/>
              <w:jc w:val="center"/>
              <w:rPr>
                <w:sz w:val="18"/>
                <w:szCs w:val="18"/>
              </w:rPr>
            </w:pPr>
          </w:p>
          <w:p w14:paraId="3B85B989" w14:textId="77777777" w:rsidR="00130B8A" w:rsidRDefault="00130B8A" w:rsidP="001D51C1">
            <w:pPr>
              <w:widowControl w:val="0"/>
              <w:tabs>
                <w:tab w:val="center" w:pos="8647"/>
              </w:tabs>
              <w:autoSpaceDE w:val="0"/>
              <w:autoSpaceDN w:val="0"/>
              <w:adjustRightInd w:val="0"/>
              <w:jc w:val="center"/>
              <w:rPr>
                <w:sz w:val="18"/>
                <w:szCs w:val="18"/>
              </w:rPr>
            </w:pPr>
            <w:r>
              <w:rPr>
                <w:sz w:val="18"/>
                <w:szCs w:val="18"/>
              </w:rPr>
              <w:t>-</w:t>
            </w:r>
          </w:p>
        </w:tc>
        <w:tc>
          <w:tcPr>
            <w:tcW w:w="993" w:type="dxa"/>
          </w:tcPr>
          <w:p w14:paraId="5656E77B" w14:textId="77777777" w:rsidR="00130B8A" w:rsidRDefault="00130B8A" w:rsidP="001D51C1">
            <w:pPr>
              <w:widowControl w:val="0"/>
              <w:tabs>
                <w:tab w:val="center" w:pos="8647"/>
              </w:tabs>
              <w:autoSpaceDE w:val="0"/>
              <w:autoSpaceDN w:val="0"/>
              <w:adjustRightInd w:val="0"/>
              <w:jc w:val="center"/>
              <w:rPr>
                <w:sz w:val="18"/>
                <w:szCs w:val="18"/>
              </w:rPr>
            </w:pPr>
          </w:p>
          <w:p w14:paraId="6569256C" w14:textId="5EFB4CFF" w:rsidR="00B4689F" w:rsidRDefault="00B4689F" w:rsidP="001D51C1">
            <w:pPr>
              <w:widowControl w:val="0"/>
              <w:tabs>
                <w:tab w:val="center" w:pos="8647"/>
              </w:tabs>
              <w:autoSpaceDE w:val="0"/>
              <w:autoSpaceDN w:val="0"/>
              <w:adjustRightInd w:val="0"/>
              <w:jc w:val="center"/>
              <w:rPr>
                <w:sz w:val="18"/>
                <w:szCs w:val="18"/>
              </w:rPr>
            </w:pPr>
            <w:r>
              <w:rPr>
                <w:sz w:val="18"/>
                <w:szCs w:val="18"/>
              </w:rPr>
              <w:t>-</w:t>
            </w:r>
          </w:p>
        </w:tc>
        <w:tc>
          <w:tcPr>
            <w:tcW w:w="992" w:type="dxa"/>
          </w:tcPr>
          <w:p w14:paraId="0DCD8D2F" w14:textId="77777777" w:rsidR="00130B8A" w:rsidRDefault="00130B8A" w:rsidP="001D51C1">
            <w:pPr>
              <w:widowControl w:val="0"/>
              <w:tabs>
                <w:tab w:val="center" w:pos="8647"/>
              </w:tabs>
              <w:autoSpaceDE w:val="0"/>
              <w:autoSpaceDN w:val="0"/>
              <w:adjustRightInd w:val="0"/>
              <w:jc w:val="center"/>
              <w:rPr>
                <w:sz w:val="18"/>
                <w:szCs w:val="18"/>
              </w:rPr>
            </w:pPr>
          </w:p>
          <w:p w14:paraId="64505E1F" w14:textId="729DC997" w:rsidR="00130B8A" w:rsidRDefault="00B4689F" w:rsidP="001D51C1">
            <w:pPr>
              <w:widowControl w:val="0"/>
              <w:tabs>
                <w:tab w:val="center" w:pos="8647"/>
              </w:tabs>
              <w:autoSpaceDE w:val="0"/>
              <w:autoSpaceDN w:val="0"/>
              <w:adjustRightInd w:val="0"/>
              <w:jc w:val="center"/>
              <w:rPr>
                <w:sz w:val="18"/>
                <w:szCs w:val="18"/>
              </w:rPr>
            </w:pPr>
            <w:r>
              <w:rPr>
                <w:sz w:val="18"/>
                <w:szCs w:val="18"/>
              </w:rPr>
              <w:t>0-5</w:t>
            </w:r>
          </w:p>
          <w:p w14:paraId="21ADFB99" w14:textId="77777777" w:rsidR="00B4689F" w:rsidRDefault="00B4689F" w:rsidP="001D51C1">
            <w:pPr>
              <w:widowControl w:val="0"/>
              <w:tabs>
                <w:tab w:val="center" w:pos="8647"/>
              </w:tabs>
              <w:autoSpaceDE w:val="0"/>
              <w:autoSpaceDN w:val="0"/>
              <w:adjustRightInd w:val="0"/>
              <w:jc w:val="center"/>
              <w:rPr>
                <w:sz w:val="18"/>
                <w:szCs w:val="18"/>
              </w:rPr>
            </w:pPr>
          </w:p>
        </w:tc>
      </w:tr>
      <w:tr w:rsidR="00013EDA" w:rsidRPr="00D23890" w14:paraId="5EC49A9E" w14:textId="77777777" w:rsidTr="54F71CB4">
        <w:tc>
          <w:tcPr>
            <w:tcW w:w="2581" w:type="dxa"/>
            <w:vAlign w:val="center"/>
          </w:tcPr>
          <w:p w14:paraId="73CA43F8" w14:textId="77777777" w:rsidR="00013EDA" w:rsidRDefault="00013EDA" w:rsidP="00013EDA">
            <w:pPr>
              <w:rPr>
                <w:b/>
                <w:sz w:val="18"/>
                <w:szCs w:val="18"/>
              </w:rPr>
            </w:pPr>
            <w:r>
              <w:rPr>
                <w:b/>
                <w:sz w:val="18"/>
                <w:szCs w:val="18"/>
              </w:rPr>
              <w:t>Mr Sean Donaghy</w:t>
            </w:r>
          </w:p>
          <w:p w14:paraId="319E6C3E" w14:textId="2DF3ABAC" w:rsidR="00013EDA" w:rsidRDefault="00013EDA" w:rsidP="00013EDA">
            <w:pPr>
              <w:rPr>
                <w:sz w:val="18"/>
                <w:szCs w:val="18"/>
              </w:rPr>
            </w:pPr>
            <w:r>
              <w:rPr>
                <w:sz w:val="18"/>
                <w:szCs w:val="18"/>
              </w:rPr>
              <w:lastRenderedPageBreak/>
              <w:t>Chair of the Audit and Risk Management Committee</w:t>
            </w:r>
          </w:p>
          <w:p w14:paraId="25AB56C6" w14:textId="77777777" w:rsidR="00013EDA" w:rsidRPr="00EA4AB9" w:rsidRDefault="00013EDA" w:rsidP="00013EDA">
            <w:pPr>
              <w:rPr>
                <w:sz w:val="18"/>
                <w:szCs w:val="18"/>
              </w:rPr>
            </w:pPr>
          </w:p>
        </w:tc>
        <w:tc>
          <w:tcPr>
            <w:tcW w:w="850" w:type="dxa"/>
          </w:tcPr>
          <w:p w14:paraId="392CB203" w14:textId="77777777" w:rsidR="00013EDA" w:rsidRDefault="00013EDA" w:rsidP="0046013C">
            <w:pPr>
              <w:widowControl w:val="0"/>
              <w:tabs>
                <w:tab w:val="center" w:pos="8647"/>
              </w:tabs>
              <w:autoSpaceDE w:val="0"/>
              <w:autoSpaceDN w:val="0"/>
              <w:adjustRightInd w:val="0"/>
              <w:jc w:val="center"/>
              <w:rPr>
                <w:sz w:val="18"/>
                <w:szCs w:val="18"/>
              </w:rPr>
            </w:pPr>
          </w:p>
          <w:p w14:paraId="51AA7453" w14:textId="08B7EC63" w:rsidR="00760EB1" w:rsidRDefault="000E0884" w:rsidP="0046013C">
            <w:pPr>
              <w:widowControl w:val="0"/>
              <w:tabs>
                <w:tab w:val="center" w:pos="8647"/>
              </w:tabs>
              <w:autoSpaceDE w:val="0"/>
              <w:autoSpaceDN w:val="0"/>
              <w:adjustRightInd w:val="0"/>
              <w:jc w:val="center"/>
              <w:rPr>
                <w:sz w:val="18"/>
                <w:szCs w:val="18"/>
              </w:rPr>
            </w:pPr>
            <w:r>
              <w:rPr>
                <w:sz w:val="18"/>
                <w:szCs w:val="18"/>
              </w:rPr>
              <w:t>0-5</w:t>
            </w:r>
            <w:r>
              <w:rPr>
                <w:rStyle w:val="FootnoteReference"/>
                <w:sz w:val="18"/>
                <w:szCs w:val="18"/>
              </w:rPr>
              <w:footnoteReference w:id="8"/>
            </w:r>
          </w:p>
          <w:p w14:paraId="02B5ECE4" w14:textId="54A3DA74" w:rsidR="00013EDA" w:rsidRPr="00051C2A" w:rsidRDefault="00013EDA" w:rsidP="0046013C">
            <w:pPr>
              <w:widowControl w:val="0"/>
              <w:tabs>
                <w:tab w:val="center" w:pos="8647"/>
              </w:tabs>
              <w:autoSpaceDE w:val="0"/>
              <w:autoSpaceDN w:val="0"/>
              <w:adjustRightInd w:val="0"/>
              <w:jc w:val="center"/>
              <w:rPr>
                <w:sz w:val="18"/>
                <w:szCs w:val="18"/>
              </w:rPr>
            </w:pPr>
          </w:p>
        </w:tc>
        <w:tc>
          <w:tcPr>
            <w:tcW w:w="851" w:type="dxa"/>
          </w:tcPr>
          <w:p w14:paraId="73E09C85" w14:textId="77777777" w:rsidR="00013EDA" w:rsidRDefault="00013EDA" w:rsidP="0046013C">
            <w:pPr>
              <w:widowControl w:val="0"/>
              <w:tabs>
                <w:tab w:val="center" w:pos="8647"/>
              </w:tabs>
              <w:autoSpaceDE w:val="0"/>
              <w:autoSpaceDN w:val="0"/>
              <w:adjustRightInd w:val="0"/>
              <w:jc w:val="center"/>
              <w:rPr>
                <w:sz w:val="18"/>
                <w:szCs w:val="18"/>
              </w:rPr>
            </w:pPr>
          </w:p>
          <w:p w14:paraId="30F5D76E" w14:textId="2251EF1D" w:rsidR="00D34FCE" w:rsidRDefault="766FB526" w:rsidP="00D34FCE">
            <w:pPr>
              <w:widowControl w:val="0"/>
              <w:tabs>
                <w:tab w:val="center" w:pos="8647"/>
              </w:tabs>
              <w:autoSpaceDE w:val="0"/>
              <w:autoSpaceDN w:val="0"/>
              <w:adjustRightInd w:val="0"/>
              <w:jc w:val="center"/>
              <w:rPr>
                <w:sz w:val="18"/>
                <w:szCs w:val="18"/>
              </w:rPr>
            </w:pPr>
            <w:r>
              <w:rPr>
                <w:sz w:val="18"/>
                <w:szCs w:val="18"/>
              </w:rPr>
              <w:lastRenderedPageBreak/>
              <w:t>0-</w:t>
            </w:r>
            <w:r w:rsidR="00582E77">
              <w:rPr>
                <w:sz w:val="18"/>
                <w:szCs w:val="18"/>
              </w:rPr>
              <w:t>5</w:t>
            </w:r>
            <w:r w:rsidR="00582E77">
              <w:rPr>
                <w:rStyle w:val="FootnoteReference"/>
                <w:sz w:val="18"/>
                <w:szCs w:val="18"/>
              </w:rPr>
              <w:footnoteReference w:id="9"/>
            </w:r>
          </w:p>
          <w:p w14:paraId="4BACF8C7" w14:textId="0CA4FFCB" w:rsidR="00903341" w:rsidRDefault="00903341" w:rsidP="00903341">
            <w:pPr>
              <w:widowControl w:val="0"/>
              <w:tabs>
                <w:tab w:val="center" w:pos="8647"/>
              </w:tabs>
              <w:autoSpaceDE w:val="0"/>
              <w:autoSpaceDN w:val="0"/>
              <w:adjustRightInd w:val="0"/>
              <w:jc w:val="center"/>
              <w:rPr>
                <w:sz w:val="18"/>
                <w:szCs w:val="18"/>
              </w:rPr>
            </w:pPr>
          </w:p>
          <w:p w14:paraId="76B7B664" w14:textId="4FBAC88F" w:rsidR="00013EDA" w:rsidRPr="00903341" w:rsidRDefault="00013EDA" w:rsidP="0046013C">
            <w:pPr>
              <w:widowControl w:val="0"/>
              <w:tabs>
                <w:tab w:val="center" w:pos="8647"/>
              </w:tabs>
              <w:autoSpaceDE w:val="0"/>
              <w:autoSpaceDN w:val="0"/>
              <w:adjustRightInd w:val="0"/>
              <w:jc w:val="center"/>
              <w:rPr>
                <w:b/>
                <w:bCs/>
                <w:sz w:val="18"/>
                <w:szCs w:val="18"/>
              </w:rPr>
            </w:pPr>
          </w:p>
        </w:tc>
        <w:tc>
          <w:tcPr>
            <w:tcW w:w="850" w:type="dxa"/>
          </w:tcPr>
          <w:p w14:paraId="00DD1A16" w14:textId="77777777" w:rsidR="00013EDA" w:rsidRDefault="00013EDA" w:rsidP="0046013C">
            <w:pPr>
              <w:widowControl w:val="0"/>
              <w:tabs>
                <w:tab w:val="center" w:pos="8647"/>
              </w:tabs>
              <w:autoSpaceDE w:val="0"/>
              <w:autoSpaceDN w:val="0"/>
              <w:adjustRightInd w:val="0"/>
              <w:jc w:val="center"/>
              <w:rPr>
                <w:sz w:val="18"/>
                <w:szCs w:val="18"/>
              </w:rPr>
            </w:pPr>
          </w:p>
          <w:p w14:paraId="3D3E65EE" w14:textId="62EEC4C9"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7FF89958" w14:textId="77777777" w:rsidR="00013EDA" w:rsidRDefault="00013EDA" w:rsidP="0046013C">
            <w:pPr>
              <w:widowControl w:val="0"/>
              <w:tabs>
                <w:tab w:val="center" w:pos="8647"/>
              </w:tabs>
              <w:autoSpaceDE w:val="0"/>
              <w:autoSpaceDN w:val="0"/>
              <w:adjustRightInd w:val="0"/>
              <w:jc w:val="center"/>
              <w:rPr>
                <w:sz w:val="18"/>
                <w:szCs w:val="18"/>
              </w:rPr>
            </w:pPr>
          </w:p>
          <w:p w14:paraId="2FCD9465" w14:textId="7F1FCA30"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740055D9" w14:textId="77777777" w:rsidR="00013EDA" w:rsidRDefault="00013EDA" w:rsidP="0046013C">
            <w:pPr>
              <w:widowControl w:val="0"/>
              <w:tabs>
                <w:tab w:val="center" w:pos="8647"/>
              </w:tabs>
              <w:autoSpaceDE w:val="0"/>
              <w:autoSpaceDN w:val="0"/>
              <w:adjustRightInd w:val="0"/>
              <w:jc w:val="center"/>
              <w:rPr>
                <w:sz w:val="18"/>
                <w:szCs w:val="18"/>
              </w:rPr>
            </w:pPr>
          </w:p>
          <w:p w14:paraId="5649F41D" w14:textId="4BEA61D7"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19A5572A" w14:textId="77777777" w:rsidR="00013EDA" w:rsidRDefault="00013EDA" w:rsidP="0046013C">
            <w:pPr>
              <w:widowControl w:val="0"/>
              <w:tabs>
                <w:tab w:val="center" w:pos="8647"/>
              </w:tabs>
              <w:autoSpaceDE w:val="0"/>
              <w:autoSpaceDN w:val="0"/>
              <w:adjustRightInd w:val="0"/>
              <w:jc w:val="center"/>
              <w:rPr>
                <w:sz w:val="18"/>
                <w:szCs w:val="18"/>
              </w:rPr>
            </w:pPr>
          </w:p>
          <w:p w14:paraId="62207C60" w14:textId="770D9862"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44D3B3F4" w14:textId="77777777" w:rsidR="00013EDA" w:rsidRDefault="00013EDA" w:rsidP="0046013C">
            <w:pPr>
              <w:widowControl w:val="0"/>
              <w:tabs>
                <w:tab w:val="center" w:pos="8647"/>
              </w:tabs>
              <w:autoSpaceDE w:val="0"/>
              <w:autoSpaceDN w:val="0"/>
              <w:adjustRightInd w:val="0"/>
              <w:jc w:val="center"/>
              <w:rPr>
                <w:sz w:val="18"/>
                <w:szCs w:val="18"/>
                <w:vertAlign w:val="superscript"/>
              </w:rPr>
            </w:pPr>
          </w:p>
          <w:p w14:paraId="0AE85BCF" w14:textId="1F3EA201" w:rsidR="0046013C" w:rsidRPr="0046013C" w:rsidRDefault="0084122D" w:rsidP="0046013C">
            <w:pPr>
              <w:widowControl w:val="0"/>
              <w:tabs>
                <w:tab w:val="center" w:pos="8647"/>
              </w:tabs>
              <w:autoSpaceDE w:val="0"/>
              <w:autoSpaceDN w:val="0"/>
              <w:adjustRightInd w:val="0"/>
              <w:jc w:val="center"/>
              <w:rPr>
                <w:sz w:val="18"/>
                <w:szCs w:val="18"/>
              </w:rPr>
            </w:pPr>
            <w:r>
              <w:rPr>
                <w:sz w:val="18"/>
                <w:szCs w:val="18"/>
              </w:rPr>
              <w:t>0-5</w:t>
            </w:r>
          </w:p>
        </w:tc>
        <w:tc>
          <w:tcPr>
            <w:tcW w:w="992" w:type="dxa"/>
          </w:tcPr>
          <w:p w14:paraId="05DA2342" w14:textId="77777777" w:rsidR="00013EDA" w:rsidRDefault="00013EDA" w:rsidP="0046013C">
            <w:pPr>
              <w:widowControl w:val="0"/>
              <w:tabs>
                <w:tab w:val="center" w:pos="8647"/>
              </w:tabs>
              <w:autoSpaceDE w:val="0"/>
              <w:autoSpaceDN w:val="0"/>
              <w:adjustRightInd w:val="0"/>
              <w:jc w:val="center"/>
              <w:rPr>
                <w:sz w:val="18"/>
                <w:szCs w:val="18"/>
              </w:rPr>
            </w:pPr>
          </w:p>
          <w:p w14:paraId="7A3BAF64" w14:textId="1C874B62" w:rsidR="00013EDA" w:rsidRPr="00D23890" w:rsidRDefault="00013EDA" w:rsidP="0046013C">
            <w:pPr>
              <w:widowControl w:val="0"/>
              <w:tabs>
                <w:tab w:val="center" w:pos="8647"/>
              </w:tabs>
              <w:autoSpaceDE w:val="0"/>
              <w:autoSpaceDN w:val="0"/>
              <w:adjustRightInd w:val="0"/>
              <w:jc w:val="center"/>
              <w:rPr>
                <w:sz w:val="18"/>
                <w:szCs w:val="18"/>
              </w:rPr>
            </w:pPr>
            <w:r>
              <w:rPr>
                <w:sz w:val="18"/>
                <w:szCs w:val="18"/>
              </w:rPr>
              <w:t>0-5</w:t>
            </w:r>
          </w:p>
        </w:tc>
      </w:tr>
      <w:tr w:rsidR="00013EDA" w:rsidRPr="00280EA2" w14:paraId="34821AF2" w14:textId="77777777" w:rsidTr="54F71CB4">
        <w:tc>
          <w:tcPr>
            <w:tcW w:w="2581" w:type="dxa"/>
            <w:vAlign w:val="center"/>
          </w:tcPr>
          <w:p w14:paraId="376C9303" w14:textId="77777777" w:rsidR="00013EDA" w:rsidRPr="00C54DF1" w:rsidRDefault="00013EDA" w:rsidP="00013EDA">
            <w:pPr>
              <w:rPr>
                <w:rFonts w:cs="Verdana"/>
                <w:b/>
                <w:sz w:val="18"/>
                <w:szCs w:val="18"/>
                <w:lang w:eastAsia="en-GB"/>
              </w:rPr>
            </w:pPr>
            <w:r w:rsidRPr="00C54DF1">
              <w:rPr>
                <w:b/>
                <w:sz w:val="18"/>
                <w:szCs w:val="18"/>
              </w:rPr>
              <w:t xml:space="preserve">Dr </w:t>
            </w:r>
            <w:r w:rsidRPr="00C54DF1">
              <w:rPr>
                <w:rFonts w:cs="Verdana"/>
                <w:b/>
                <w:sz w:val="18"/>
                <w:szCs w:val="18"/>
                <w:lang w:eastAsia="en-GB"/>
              </w:rPr>
              <w:t>David Russell</w:t>
            </w:r>
          </w:p>
          <w:p w14:paraId="5B50BE58" w14:textId="77777777" w:rsidR="00013EDA" w:rsidRDefault="00013EDA" w:rsidP="00013EDA">
            <w:pPr>
              <w:rPr>
                <w:rFonts w:cs="Verdana"/>
                <w:sz w:val="18"/>
                <w:szCs w:val="18"/>
                <w:lang w:eastAsia="en-GB"/>
              </w:rPr>
            </w:pPr>
            <w:r w:rsidRPr="00C54DF1">
              <w:rPr>
                <w:rFonts w:cs="Verdana"/>
                <w:sz w:val="18"/>
                <w:szCs w:val="18"/>
                <w:lang w:eastAsia="en-GB"/>
              </w:rPr>
              <w:t xml:space="preserve">Chief Executive </w:t>
            </w:r>
          </w:p>
          <w:p w14:paraId="43A31128" w14:textId="77777777" w:rsidR="00013EDA" w:rsidRDefault="00013EDA" w:rsidP="00013EDA">
            <w:pPr>
              <w:rPr>
                <w:rFonts w:cs="Verdana"/>
                <w:sz w:val="18"/>
                <w:szCs w:val="18"/>
                <w:lang w:eastAsia="en-GB"/>
              </w:rPr>
            </w:pPr>
          </w:p>
          <w:p w14:paraId="61D6078B" w14:textId="77777777" w:rsidR="00013EDA" w:rsidRPr="00C54DF1" w:rsidRDefault="00013EDA" w:rsidP="00013EDA">
            <w:pPr>
              <w:rPr>
                <w:rFonts w:cs="Verdana"/>
                <w:sz w:val="18"/>
                <w:szCs w:val="18"/>
                <w:lang w:eastAsia="en-GB"/>
              </w:rPr>
            </w:pPr>
          </w:p>
        </w:tc>
        <w:tc>
          <w:tcPr>
            <w:tcW w:w="850" w:type="dxa"/>
          </w:tcPr>
          <w:p w14:paraId="6968F549" w14:textId="77777777" w:rsidR="00013EDA" w:rsidRDefault="00013EDA" w:rsidP="0046013C">
            <w:pPr>
              <w:widowControl w:val="0"/>
              <w:tabs>
                <w:tab w:val="center" w:pos="8647"/>
              </w:tabs>
              <w:autoSpaceDE w:val="0"/>
              <w:autoSpaceDN w:val="0"/>
              <w:adjustRightInd w:val="0"/>
              <w:jc w:val="center"/>
              <w:rPr>
                <w:sz w:val="18"/>
                <w:szCs w:val="18"/>
              </w:rPr>
            </w:pPr>
          </w:p>
          <w:p w14:paraId="03B0E64C" w14:textId="1A28AC0C" w:rsidR="00130B8A" w:rsidRPr="00C54DF1" w:rsidRDefault="00130B8A" w:rsidP="0046013C">
            <w:pPr>
              <w:widowControl w:val="0"/>
              <w:tabs>
                <w:tab w:val="center" w:pos="8647"/>
              </w:tabs>
              <w:autoSpaceDE w:val="0"/>
              <w:autoSpaceDN w:val="0"/>
              <w:adjustRightInd w:val="0"/>
              <w:jc w:val="center"/>
              <w:rPr>
                <w:sz w:val="18"/>
                <w:szCs w:val="18"/>
              </w:rPr>
            </w:pPr>
            <w:r>
              <w:rPr>
                <w:sz w:val="18"/>
                <w:szCs w:val="18"/>
              </w:rPr>
              <w:t>90-95</w:t>
            </w:r>
          </w:p>
        </w:tc>
        <w:tc>
          <w:tcPr>
            <w:tcW w:w="851" w:type="dxa"/>
          </w:tcPr>
          <w:p w14:paraId="4A8B62F0" w14:textId="77777777" w:rsidR="00013EDA" w:rsidRDefault="00013EDA" w:rsidP="0046013C">
            <w:pPr>
              <w:widowControl w:val="0"/>
              <w:tabs>
                <w:tab w:val="center" w:pos="8647"/>
              </w:tabs>
              <w:autoSpaceDE w:val="0"/>
              <w:autoSpaceDN w:val="0"/>
              <w:adjustRightInd w:val="0"/>
              <w:jc w:val="center"/>
              <w:rPr>
                <w:sz w:val="18"/>
                <w:szCs w:val="18"/>
              </w:rPr>
            </w:pPr>
          </w:p>
          <w:p w14:paraId="1FD60FB3" w14:textId="4C38BE8B" w:rsidR="00013EDA" w:rsidRPr="00C54DF1" w:rsidRDefault="00AD3E24" w:rsidP="0046013C">
            <w:pPr>
              <w:widowControl w:val="0"/>
              <w:tabs>
                <w:tab w:val="center" w:pos="8647"/>
              </w:tabs>
              <w:autoSpaceDE w:val="0"/>
              <w:autoSpaceDN w:val="0"/>
              <w:adjustRightInd w:val="0"/>
              <w:jc w:val="center"/>
              <w:rPr>
                <w:sz w:val="18"/>
                <w:szCs w:val="18"/>
              </w:rPr>
            </w:pPr>
            <w:r>
              <w:rPr>
                <w:sz w:val="18"/>
                <w:szCs w:val="18"/>
              </w:rPr>
              <w:t>85-90</w:t>
            </w:r>
          </w:p>
        </w:tc>
        <w:tc>
          <w:tcPr>
            <w:tcW w:w="850" w:type="dxa"/>
          </w:tcPr>
          <w:p w14:paraId="72251A05" w14:textId="77777777" w:rsidR="00013EDA" w:rsidRDefault="00013EDA" w:rsidP="0046013C">
            <w:pPr>
              <w:widowControl w:val="0"/>
              <w:tabs>
                <w:tab w:val="center" w:pos="8647"/>
              </w:tabs>
              <w:autoSpaceDE w:val="0"/>
              <w:autoSpaceDN w:val="0"/>
              <w:adjustRightInd w:val="0"/>
              <w:jc w:val="center"/>
              <w:rPr>
                <w:sz w:val="18"/>
                <w:szCs w:val="18"/>
              </w:rPr>
            </w:pPr>
          </w:p>
          <w:p w14:paraId="14642369" w14:textId="780DA1A6" w:rsidR="00013EDA" w:rsidRPr="00C54DF1"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6E9F4EE9" w14:textId="77777777" w:rsidR="00013EDA" w:rsidRDefault="00013EDA" w:rsidP="0046013C">
            <w:pPr>
              <w:widowControl w:val="0"/>
              <w:tabs>
                <w:tab w:val="center" w:pos="8647"/>
              </w:tabs>
              <w:autoSpaceDE w:val="0"/>
              <w:autoSpaceDN w:val="0"/>
              <w:adjustRightInd w:val="0"/>
              <w:jc w:val="center"/>
              <w:rPr>
                <w:sz w:val="18"/>
                <w:szCs w:val="18"/>
              </w:rPr>
            </w:pPr>
          </w:p>
          <w:p w14:paraId="3C85DB1F" w14:textId="70A326B2" w:rsidR="00013EDA" w:rsidRPr="00C54DF1"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2C8604EF" w14:textId="77777777" w:rsidR="00013EDA" w:rsidRDefault="00013EDA" w:rsidP="0046013C">
            <w:pPr>
              <w:widowControl w:val="0"/>
              <w:tabs>
                <w:tab w:val="center" w:pos="8647"/>
              </w:tabs>
              <w:autoSpaceDE w:val="0"/>
              <w:autoSpaceDN w:val="0"/>
              <w:adjustRightInd w:val="0"/>
              <w:jc w:val="center"/>
              <w:rPr>
                <w:sz w:val="18"/>
                <w:szCs w:val="18"/>
              </w:rPr>
            </w:pPr>
          </w:p>
          <w:p w14:paraId="44DD1AD3" w14:textId="10087965" w:rsidR="003D1DAB" w:rsidRPr="00C54DF1" w:rsidRDefault="00AA327A" w:rsidP="0046013C">
            <w:pPr>
              <w:widowControl w:val="0"/>
              <w:tabs>
                <w:tab w:val="center" w:pos="8647"/>
              </w:tabs>
              <w:autoSpaceDE w:val="0"/>
              <w:autoSpaceDN w:val="0"/>
              <w:adjustRightInd w:val="0"/>
              <w:jc w:val="center"/>
              <w:rPr>
                <w:sz w:val="18"/>
                <w:szCs w:val="18"/>
              </w:rPr>
            </w:pPr>
            <w:r>
              <w:rPr>
                <w:sz w:val="18"/>
                <w:szCs w:val="18"/>
              </w:rPr>
              <w:t>42,000</w:t>
            </w:r>
          </w:p>
        </w:tc>
        <w:tc>
          <w:tcPr>
            <w:tcW w:w="992" w:type="dxa"/>
          </w:tcPr>
          <w:p w14:paraId="78529B73" w14:textId="77777777" w:rsidR="00013EDA" w:rsidRDefault="00013EDA" w:rsidP="0046013C">
            <w:pPr>
              <w:widowControl w:val="0"/>
              <w:tabs>
                <w:tab w:val="center" w:pos="8647"/>
              </w:tabs>
              <w:autoSpaceDE w:val="0"/>
              <w:autoSpaceDN w:val="0"/>
              <w:adjustRightInd w:val="0"/>
              <w:jc w:val="center"/>
              <w:rPr>
                <w:sz w:val="18"/>
                <w:szCs w:val="18"/>
              </w:rPr>
            </w:pPr>
          </w:p>
          <w:p w14:paraId="4A0A9C9D" w14:textId="481F5509" w:rsidR="00013EDA" w:rsidRPr="00C54DF1" w:rsidRDefault="00B4689F" w:rsidP="0046013C">
            <w:pPr>
              <w:widowControl w:val="0"/>
              <w:tabs>
                <w:tab w:val="center" w:pos="8647"/>
              </w:tabs>
              <w:autoSpaceDE w:val="0"/>
              <w:autoSpaceDN w:val="0"/>
              <w:adjustRightInd w:val="0"/>
              <w:jc w:val="center"/>
              <w:rPr>
                <w:sz w:val="18"/>
                <w:szCs w:val="18"/>
              </w:rPr>
            </w:pPr>
            <w:r>
              <w:rPr>
                <w:sz w:val="18"/>
                <w:szCs w:val="18"/>
              </w:rPr>
              <w:t>33</w:t>
            </w:r>
            <w:r w:rsidR="00013EDA">
              <w:rPr>
                <w:sz w:val="18"/>
                <w:szCs w:val="18"/>
              </w:rPr>
              <w:t>,000</w:t>
            </w:r>
          </w:p>
        </w:tc>
        <w:tc>
          <w:tcPr>
            <w:tcW w:w="993" w:type="dxa"/>
          </w:tcPr>
          <w:p w14:paraId="33AE10C7" w14:textId="77777777" w:rsidR="0046013C" w:rsidRDefault="0046013C" w:rsidP="0046013C">
            <w:pPr>
              <w:widowControl w:val="0"/>
              <w:tabs>
                <w:tab w:val="center" w:pos="8647"/>
              </w:tabs>
              <w:autoSpaceDE w:val="0"/>
              <w:autoSpaceDN w:val="0"/>
              <w:adjustRightInd w:val="0"/>
              <w:jc w:val="center"/>
              <w:rPr>
                <w:sz w:val="18"/>
                <w:szCs w:val="18"/>
              </w:rPr>
            </w:pPr>
          </w:p>
          <w:p w14:paraId="3B4226BC" w14:textId="2F11F4D8" w:rsidR="00AA327A" w:rsidRPr="00C54DF1" w:rsidRDefault="00AA327A" w:rsidP="0046013C">
            <w:pPr>
              <w:widowControl w:val="0"/>
              <w:tabs>
                <w:tab w:val="center" w:pos="8647"/>
              </w:tabs>
              <w:autoSpaceDE w:val="0"/>
              <w:autoSpaceDN w:val="0"/>
              <w:adjustRightInd w:val="0"/>
              <w:jc w:val="center"/>
              <w:rPr>
                <w:sz w:val="18"/>
                <w:szCs w:val="18"/>
              </w:rPr>
            </w:pPr>
            <w:r>
              <w:rPr>
                <w:sz w:val="18"/>
                <w:szCs w:val="18"/>
              </w:rPr>
              <w:t>130-135</w:t>
            </w:r>
          </w:p>
        </w:tc>
        <w:tc>
          <w:tcPr>
            <w:tcW w:w="992" w:type="dxa"/>
          </w:tcPr>
          <w:p w14:paraId="4441D46F" w14:textId="77777777" w:rsidR="00013EDA" w:rsidRDefault="00013EDA" w:rsidP="0046013C">
            <w:pPr>
              <w:widowControl w:val="0"/>
              <w:tabs>
                <w:tab w:val="center" w:pos="8647"/>
              </w:tabs>
              <w:autoSpaceDE w:val="0"/>
              <w:autoSpaceDN w:val="0"/>
              <w:adjustRightInd w:val="0"/>
              <w:jc w:val="center"/>
              <w:rPr>
                <w:sz w:val="18"/>
                <w:szCs w:val="18"/>
              </w:rPr>
            </w:pPr>
          </w:p>
          <w:p w14:paraId="45AA6218" w14:textId="43029983" w:rsidR="00013EDA" w:rsidRPr="00D8281D" w:rsidRDefault="00013EDA" w:rsidP="0046013C">
            <w:pPr>
              <w:widowControl w:val="0"/>
              <w:tabs>
                <w:tab w:val="center" w:pos="8647"/>
              </w:tabs>
              <w:autoSpaceDE w:val="0"/>
              <w:autoSpaceDN w:val="0"/>
              <w:adjustRightInd w:val="0"/>
              <w:jc w:val="center"/>
              <w:rPr>
                <w:sz w:val="18"/>
                <w:szCs w:val="18"/>
              </w:rPr>
            </w:pPr>
            <w:r>
              <w:rPr>
                <w:sz w:val="18"/>
                <w:szCs w:val="18"/>
              </w:rPr>
              <w:t>1</w:t>
            </w:r>
            <w:r w:rsidR="00226500">
              <w:rPr>
                <w:sz w:val="18"/>
                <w:szCs w:val="18"/>
              </w:rPr>
              <w:t>20</w:t>
            </w:r>
            <w:r>
              <w:rPr>
                <w:sz w:val="18"/>
                <w:szCs w:val="18"/>
              </w:rPr>
              <w:t>-1</w:t>
            </w:r>
            <w:r w:rsidR="00226500">
              <w:rPr>
                <w:sz w:val="18"/>
                <w:szCs w:val="18"/>
              </w:rPr>
              <w:t>25</w:t>
            </w:r>
          </w:p>
        </w:tc>
      </w:tr>
      <w:tr w:rsidR="00013EDA" w:rsidRPr="00280EA2" w14:paraId="4998433F" w14:textId="77777777" w:rsidTr="54F71CB4">
        <w:tc>
          <w:tcPr>
            <w:tcW w:w="2581" w:type="dxa"/>
            <w:vAlign w:val="center"/>
          </w:tcPr>
          <w:p w14:paraId="7E5082C9" w14:textId="77777777" w:rsidR="00013EDA" w:rsidRPr="001F61FA" w:rsidRDefault="00013EDA" w:rsidP="00013EDA">
            <w:pPr>
              <w:rPr>
                <w:b/>
                <w:sz w:val="18"/>
                <w:szCs w:val="18"/>
              </w:rPr>
            </w:pPr>
            <w:r w:rsidRPr="001F61FA">
              <w:rPr>
                <w:b/>
                <w:sz w:val="18"/>
                <w:szCs w:val="18"/>
              </w:rPr>
              <w:t>Mrs Lorraine Hamill</w:t>
            </w:r>
          </w:p>
          <w:p w14:paraId="71B66728" w14:textId="77777777" w:rsidR="00013EDA" w:rsidRDefault="00013EDA" w:rsidP="00013EDA">
            <w:pPr>
              <w:rPr>
                <w:sz w:val="18"/>
                <w:szCs w:val="18"/>
              </w:rPr>
            </w:pPr>
            <w:r w:rsidRPr="001F61FA">
              <w:rPr>
                <w:sz w:val="18"/>
                <w:szCs w:val="18"/>
              </w:rPr>
              <w:t xml:space="preserve">Director </w:t>
            </w:r>
          </w:p>
          <w:p w14:paraId="7DA05965" w14:textId="77777777" w:rsidR="00013EDA" w:rsidRPr="001F61FA" w:rsidRDefault="00013EDA" w:rsidP="00013EDA">
            <w:pPr>
              <w:rPr>
                <w:sz w:val="18"/>
                <w:szCs w:val="18"/>
              </w:rPr>
            </w:pPr>
          </w:p>
        </w:tc>
        <w:tc>
          <w:tcPr>
            <w:tcW w:w="850" w:type="dxa"/>
          </w:tcPr>
          <w:p w14:paraId="7B4751A3" w14:textId="77777777" w:rsidR="00013EDA" w:rsidRDefault="00013EDA" w:rsidP="00AD3E24">
            <w:pPr>
              <w:widowControl w:val="0"/>
              <w:tabs>
                <w:tab w:val="center" w:pos="8647"/>
              </w:tabs>
              <w:autoSpaceDE w:val="0"/>
              <w:autoSpaceDN w:val="0"/>
              <w:adjustRightInd w:val="0"/>
              <w:jc w:val="center"/>
              <w:rPr>
                <w:sz w:val="18"/>
                <w:szCs w:val="18"/>
              </w:rPr>
            </w:pPr>
          </w:p>
          <w:p w14:paraId="0E281145" w14:textId="10C2BB2B" w:rsidR="00130B8A" w:rsidRPr="001F61FA" w:rsidRDefault="00130B8A" w:rsidP="00AD3E24">
            <w:pPr>
              <w:widowControl w:val="0"/>
              <w:tabs>
                <w:tab w:val="center" w:pos="8647"/>
              </w:tabs>
              <w:autoSpaceDE w:val="0"/>
              <w:autoSpaceDN w:val="0"/>
              <w:adjustRightInd w:val="0"/>
              <w:jc w:val="center"/>
              <w:rPr>
                <w:sz w:val="18"/>
                <w:szCs w:val="18"/>
              </w:rPr>
            </w:pPr>
            <w:r>
              <w:rPr>
                <w:sz w:val="18"/>
                <w:szCs w:val="18"/>
              </w:rPr>
              <w:t>70-75</w:t>
            </w:r>
          </w:p>
        </w:tc>
        <w:tc>
          <w:tcPr>
            <w:tcW w:w="851" w:type="dxa"/>
          </w:tcPr>
          <w:p w14:paraId="11890887" w14:textId="77777777" w:rsidR="00013EDA" w:rsidRDefault="00013EDA" w:rsidP="0046013C">
            <w:pPr>
              <w:widowControl w:val="0"/>
              <w:tabs>
                <w:tab w:val="center" w:pos="8647"/>
              </w:tabs>
              <w:autoSpaceDE w:val="0"/>
              <w:autoSpaceDN w:val="0"/>
              <w:adjustRightInd w:val="0"/>
              <w:jc w:val="center"/>
              <w:rPr>
                <w:sz w:val="18"/>
                <w:szCs w:val="18"/>
              </w:rPr>
            </w:pPr>
          </w:p>
          <w:p w14:paraId="3CF098D6" w14:textId="29DAFBC0" w:rsidR="00013EDA" w:rsidRPr="001F61FA" w:rsidRDefault="00AD3E24" w:rsidP="0046013C">
            <w:pPr>
              <w:widowControl w:val="0"/>
              <w:tabs>
                <w:tab w:val="center" w:pos="8647"/>
              </w:tabs>
              <w:autoSpaceDE w:val="0"/>
              <w:autoSpaceDN w:val="0"/>
              <w:adjustRightInd w:val="0"/>
              <w:jc w:val="center"/>
              <w:rPr>
                <w:sz w:val="18"/>
                <w:szCs w:val="18"/>
              </w:rPr>
            </w:pPr>
            <w:r>
              <w:rPr>
                <w:sz w:val="18"/>
                <w:szCs w:val="18"/>
              </w:rPr>
              <w:t>65-70</w:t>
            </w:r>
          </w:p>
        </w:tc>
        <w:tc>
          <w:tcPr>
            <w:tcW w:w="850" w:type="dxa"/>
          </w:tcPr>
          <w:p w14:paraId="75241604" w14:textId="77777777" w:rsidR="00013EDA" w:rsidRDefault="00013EDA" w:rsidP="0046013C">
            <w:pPr>
              <w:widowControl w:val="0"/>
              <w:tabs>
                <w:tab w:val="center" w:pos="8647"/>
              </w:tabs>
              <w:autoSpaceDE w:val="0"/>
              <w:autoSpaceDN w:val="0"/>
              <w:adjustRightInd w:val="0"/>
              <w:jc w:val="center"/>
              <w:rPr>
                <w:sz w:val="18"/>
                <w:szCs w:val="18"/>
              </w:rPr>
            </w:pPr>
          </w:p>
          <w:p w14:paraId="046D9436" w14:textId="3DFF580A" w:rsidR="00013EDA" w:rsidRPr="001F61FA"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1785FC93" w14:textId="77777777" w:rsidR="00013EDA" w:rsidRDefault="00013EDA" w:rsidP="0046013C">
            <w:pPr>
              <w:widowControl w:val="0"/>
              <w:tabs>
                <w:tab w:val="center" w:pos="8647"/>
              </w:tabs>
              <w:autoSpaceDE w:val="0"/>
              <w:autoSpaceDN w:val="0"/>
              <w:adjustRightInd w:val="0"/>
              <w:jc w:val="center"/>
              <w:rPr>
                <w:sz w:val="18"/>
                <w:szCs w:val="18"/>
              </w:rPr>
            </w:pPr>
          </w:p>
          <w:p w14:paraId="568B80AE" w14:textId="0A37441C"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29BF1D40" w14:textId="77777777" w:rsidR="00013EDA" w:rsidRDefault="00013EDA" w:rsidP="0046013C">
            <w:pPr>
              <w:widowControl w:val="0"/>
              <w:tabs>
                <w:tab w:val="center" w:pos="8647"/>
              </w:tabs>
              <w:autoSpaceDE w:val="0"/>
              <w:autoSpaceDN w:val="0"/>
              <w:adjustRightInd w:val="0"/>
              <w:jc w:val="center"/>
              <w:rPr>
                <w:sz w:val="18"/>
                <w:szCs w:val="18"/>
              </w:rPr>
            </w:pPr>
          </w:p>
          <w:p w14:paraId="55FB4B9D" w14:textId="501B4019" w:rsidR="00AA327A" w:rsidRDefault="00AA327A" w:rsidP="0046013C">
            <w:pPr>
              <w:widowControl w:val="0"/>
              <w:tabs>
                <w:tab w:val="center" w:pos="8647"/>
              </w:tabs>
              <w:autoSpaceDE w:val="0"/>
              <w:autoSpaceDN w:val="0"/>
              <w:adjustRightInd w:val="0"/>
              <w:jc w:val="center"/>
              <w:rPr>
                <w:sz w:val="18"/>
                <w:szCs w:val="18"/>
              </w:rPr>
            </w:pPr>
            <w:r>
              <w:rPr>
                <w:sz w:val="18"/>
                <w:szCs w:val="18"/>
              </w:rPr>
              <w:t>46,000</w:t>
            </w:r>
          </w:p>
          <w:p w14:paraId="31375416" w14:textId="589D89E8" w:rsidR="003D1DAB" w:rsidRPr="001F61FA" w:rsidRDefault="003D1DAB" w:rsidP="0046013C">
            <w:pPr>
              <w:widowControl w:val="0"/>
              <w:tabs>
                <w:tab w:val="center" w:pos="8647"/>
              </w:tabs>
              <w:autoSpaceDE w:val="0"/>
              <w:autoSpaceDN w:val="0"/>
              <w:adjustRightInd w:val="0"/>
              <w:jc w:val="center"/>
              <w:rPr>
                <w:sz w:val="18"/>
                <w:szCs w:val="18"/>
              </w:rPr>
            </w:pPr>
          </w:p>
        </w:tc>
        <w:tc>
          <w:tcPr>
            <w:tcW w:w="992" w:type="dxa"/>
          </w:tcPr>
          <w:p w14:paraId="3476637A" w14:textId="77777777" w:rsidR="00013EDA" w:rsidRDefault="00013EDA" w:rsidP="0046013C">
            <w:pPr>
              <w:widowControl w:val="0"/>
              <w:tabs>
                <w:tab w:val="center" w:pos="8647"/>
              </w:tabs>
              <w:autoSpaceDE w:val="0"/>
              <w:autoSpaceDN w:val="0"/>
              <w:adjustRightInd w:val="0"/>
              <w:jc w:val="center"/>
              <w:rPr>
                <w:sz w:val="18"/>
                <w:szCs w:val="18"/>
              </w:rPr>
            </w:pPr>
          </w:p>
          <w:p w14:paraId="7AB31373" w14:textId="1E29431C" w:rsidR="00013EDA" w:rsidRPr="001F61FA" w:rsidRDefault="00B4689F" w:rsidP="0046013C">
            <w:pPr>
              <w:widowControl w:val="0"/>
              <w:tabs>
                <w:tab w:val="center" w:pos="8647"/>
              </w:tabs>
              <w:autoSpaceDE w:val="0"/>
              <w:autoSpaceDN w:val="0"/>
              <w:adjustRightInd w:val="0"/>
              <w:jc w:val="center"/>
              <w:rPr>
                <w:sz w:val="18"/>
                <w:szCs w:val="18"/>
              </w:rPr>
            </w:pPr>
            <w:r>
              <w:rPr>
                <w:sz w:val="18"/>
                <w:szCs w:val="18"/>
              </w:rPr>
              <w:t>51</w:t>
            </w:r>
            <w:r w:rsidR="00013EDA">
              <w:rPr>
                <w:sz w:val="18"/>
                <w:szCs w:val="18"/>
              </w:rPr>
              <w:t>,000</w:t>
            </w:r>
          </w:p>
        </w:tc>
        <w:tc>
          <w:tcPr>
            <w:tcW w:w="993" w:type="dxa"/>
          </w:tcPr>
          <w:p w14:paraId="2C52718D" w14:textId="77777777" w:rsidR="0046013C" w:rsidRDefault="0046013C" w:rsidP="0046013C">
            <w:pPr>
              <w:widowControl w:val="0"/>
              <w:tabs>
                <w:tab w:val="center" w:pos="8647"/>
              </w:tabs>
              <w:autoSpaceDE w:val="0"/>
              <w:autoSpaceDN w:val="0"/>
              <w:adjustRightInd w:val="0"/>
              <w:jc w:val="center"/>
              <w:rPr>
                <w:sz w:val="18"/>
                <w:szCs w:val="18"/>
              </w:rPr>
            </w:pPr>
          </w:p>
          <w:p w14:paraId="2AB34761" w14:textId="5D1D2C53" w:rsidR="00AA327A" w:rsidRPr="001F61FA" w:rsidRDefault="00AA327A" w:rsidP="0046013C">
            <w:pPr>
              <w:widowControl w:val="0"/>
              <w:tabs>
                <w:tab w:val="center" w:pos="8647"/>
              </w:tabs>
              <w:autoSpaceDE w:val="0"/>
              <w:autoSpaceDN w:val="0"/>
              <w:adjustRightInd w:val="0"/>
              <w:jc w:val="center"/>
              <w:rPr>
                <w:sz w:val="18"/>
                <w:szCs w:val="18"/>
              </w:rPr>
            </w:pPr>
            <w:r>
              <w:rPr>
                <w:sz w:val="18"/>
                <w:szCs w:val="18"/>
              </w:rPr>
              <w:t>115-120</w:t>
            </w:r>
          </w:p>
        </w:tc>
        <w:tc>
          <w:tcPr>
            <w:tcW w:w="992" w:type="dxa"/>
          </w:tcPr>
          <w:p w14:paraId="52B40F3B" w14:textId="77777777" w:rsidR="00013EDA" w:rsidRDefault="00013EDA" w:rsidP="0046013C">
            <w:pPr>
              <w:widowControl w:val="0"/>
              <w:tabs>
                <w:tab w:val="center" w:pos="8647"/>
              </w:tabs>
              <w:autoSpaceDE w:val="0"/>
              <w:autoSpaceDN w:val="0"/>
              <w:adjustRightInd w:val="0"/>
              <w:jc w:val="center"/>
              <w:rPr>
                <w:sz w:val="18"/>
                <w:szCs w:val="18"/>
              </w:rPr>
            </w:pPr>
          </w:p>
          <w:p w14:paraId="5F332ED3" w14:textId="7D748D6C" w:rsidR="00013EDA" w:rsidRPr="00AF5373" w:rsidRDefault="00226500" w:rsidP="0046013C">
            <w:pPr>
              <w:widowControl w:val="0"/>
              <w:tabs>
                <w:tab w:val="center" w:pos="8647"/>
              </w:tabs>
              <w:autoSpaceDE w:val="0"/>
              <w:autoSpaceDN w:val="0"/>
              <w:adjustRightInd w:val="0"/>
              <w:jc w:val="center"/>
              <w:rPr>
                <w:sz w:val="18"/>
                <w:szCs w:val="18"/>
              </w:rPr>
            </w:pPr>
            <w:r>
              <w:rPr>
                <w:sz w:val="18"/>
                <w:szCs w:val="18"/>
              </w:rPr>
              <w:t>115</w:t>
            </w:r>
            <w:r w:rsidR="00013EDA">
              <w:rPr>
                <w:sz w:val="18"/>
                <w:szCs w:val="18"/>
              </w:rPr>
              <w:t>-</w:t>
            </w:r>
            <w:r>
              <w:rPr>
                <w:sz w:val="18"/>
                <w:szCs w:val="18"/>
              </w:rPr>
              <w:t>120</w:t>
            </w:r>
          </w:p>
        </w:tc>
      </w:tr>
      <w:tr w:rsidR="00013EDA" w:rsidRPr="00280EA2" w14:paraId="330E0BD4" w14:textId="77777777" w:rsidTr="54F71CB4">
        <w:tc>
          <w:tcPr>
            <w:tcW w:w="2581" w:type="dxa"/>
            <w:vAlign w:val="center"/>
          </w:tcPr>
          <w:p w14:paraId="7158A59F" w14:textId="77777777" w:rsidR="00013EDA" w:rsidRPr="001F61FA" w:rsidRDefault="00013EDA" w:rsidP="00013EDA">
            <w:pPr>
              <w:rPr>
                <w:b/>
                <w:sz w:val="18"/>
                <w:szCs w:val="18"/>
              </w:rPr>
            </w:pPr>
            <w:r w:rsidRPr="001F61FA">
              <w:rPr>
                <w:b/>
                <w:sz w:val="18"/>
                <w:szCs w:val="18"/>
              </w:rPr>
              <w:t>Ms Claire Martin</w:t>
            </w:r>
          </w:p>
          <w:p w14:paraId="28708AC3" w14:textId="77777777" w:rsidR="00013EDA" w:rsidRDefault="00013EDA" w:rsidP="00013EDA">
            <w:pPr>
              <w:rPr>
                <w:sz w:val="18"/>
                <w:szCs w:val="18"/>
              </w:rPr>
            </w:pPr>
            <w:r w:rsidRPr="001F61FA">
              <w:rPr>
                <w:sz w:val="18"/>
                <w:szCs w:val="18"/>
              </w:rPr>
              <w:t xml:space="preserve">Director </w:t>
            </w:r>
          </w:p>
          <w:p w14:paraId="70D6A784" w14:textId="77777777" w:rsidR="0046013C" w:rsidRPr="001F61FA" w:rsidRDefault="0046013C" w:rsidP="00013EDA">
            <w:pPr>
              <w:rPr>
                <w:sz w:val="18"/>
                <w:szCs w:val="18"/>
              </w:rPr>
            </w:pPr>
          </w:p>
        </w:tc>
        <w:tc>
          <w:tcPr>
            <w:tcW w:w="850" w:type="dxa"/>
          </w:tcPr>
          <w:p w14:paraId="3A9C3313" w14:textId="77777777" w:rsidR="00013EDA" w:rsidRDefault="00013EDA" w:rsidP="0046013C">
            <w:pPr>
              <w:widowControl w:val="0"/>
              <w:tabs>
                <w:tab w:val="center" w:pos="8647"/>
              </w:tabs>
              <w:autoSpaceDE w:val="0"/>
              <w:autoSpaceDN w:val="0"/>
              <w:adjustRightInd w:val="0"/>
              <w:jc w:val="center"/>
              <w:rPr>
                <w:sz w:val="18"/>
                <w:szCs w:val="18"/>
              </w:rPr>
            </w:pPr>
          </w:p>
          <w:p w14:paraId="7B15BE97" w14:textId="488F10C5" w:rsidR="00130B8A" w:rsidRPr="001F61FA" w:rsidRDefault="00130B8A" w:rsidP="0046013C">
            <w:pPr>
              <w:widowControl w:val="0"/>
              <w:tabs>
                <w:tab w:val="center" w:pos="8647"/>
              </w:tabs>
              <w:autoSpaceDE w:val="0"/>
              <w:autoSpaceDN w:val="0"/>
              <w:adjustRightInd w:val="0"/>
              <w:jc w:val="center"/>
              <w:rPr>
                <w:sz w:val="18"/>
                <w:szCs w:val="18"/>
              </w:rPr>
            </w:pPr>
            <w:r>
              <w:rPr>
                <w:sz w:val="18"/>
                <w:szCs w:val="18"/>
              </w:rPr>
              <w:t>70-75</w:t>
            </w:r>
          </w:p>
        </w:tc>
        <w:tc>
          <w:tcPr>
            <w:tcW w:w="851" w:type="dxa"/>
          </w:tcPr>
          <w:p w14:paraId="6EDF400A" w14:textId="77777777" w:rsidR="00013EDA" w:rsidRDefault="00013EDA" w:rsidP="0046013C">
            <w:pPr>
              <w:widowControl w:val="0"/>
              <w:tabs>
                <w:tab w:val="center" w:pos="8647"/>
              </w:tabs>
              <w:autoSpaceDE w:val="0"/>
              <w:autoSpaceDN w:val="0"/>
              <w:adjustRightInd w:val="0"/>
              <w:jc w:val="center"/>
              <w:rPr>
                <w:sz w:val="18"/>
                <w:szCs w:val="18"/>
              </w:rPr>
            </w:pPr>
          </w:p>
          <w:p w14:paraId="2EEE63D7" w14:textId="5729C335" w:rsidR="00013EDA" w:rsidRDefault="00013EDA" w:rsidP="0046013C">
            <w:pPr>
              <w:widowControl w:val="0"/>
              <w:tabs>
                <w:tab w:val="center" w:pos="8647"/>
              </w:tabs>
              <w:autoSpaceDE w:val="0"/>
              <w:autoSpaceDN w:val="0"/>
              <w:adjustRightInd w:val="0"/>
              <w:jc w:val="center"/>
              <w:rPr>
                <w:sz w:val="18"/>
                <w:szCs w:val="18"/>
              </w:rPr>
            </w:pPr>
            <w:r>
              <w:rPr>
                <w:sz w:val="18"/>
                <w:szCs w:val="18"/>
              </w:rPr>
              <w:t>70</w:t>
            </w:r>
            <w:r w:rsidR="00AD3E24">
              <w:rPr>
                <w:sz w:val="18"/>
                <w:szCs w:val="18"/>
              </w:rPr>
              <w:t>-75</w:t>
            </w:r>
          </w:p>
          <w:p w14:paraId="3341C794" w14:textId="05A8A610" w:rsidR="00AD3E24" w:rsidRPr="001F61FA" w:rsidRDefault="00AD3E24" w:rsidP="0046013C">
            <w:pPr>
              <w:widowControl w:val="0"/>
              <w:tabs>
                <w:tab w:val="center" w:pos="8647"/>
              </w:tabs>
              <w:autoSpaceDE w:val="0"/>
              <w:autoSpaceDN w:val="0"/>
              <w:adjustRightInd w:val="0"/>
              <w:jc w:val="center"/>
              <w:rPr>
                <w:sz w:val="18"/>
                <w:szCs w:val="18"/>
              </w:rPr>
            </w:pPr>
          </w:p>
        </w:tc>
        <w:tc>
          <w:tcPr>
            <w:tcW w:w="850" w:type="dxa"/>
          </w:tcPr>
          <w:p w14:paraId="7D924424" w14:textId="77777777" w:rsidR="00013EDA" w:rsidRDefault="00013EDA" w:rsidP="0046013C">
            <w:pPr>
              <w:widowControl w:val="0"/>
              <w:tabs>
                <w:tab w:val="center" w:pos="8647"/>
              </w:tabs>
              <w:autoSpaceDE w:val="0"/>
              <w:autoSpaceDN w:val="0"/>
              <w:adjustRightInd w:val="0"/>
              <w:jc w:val="center"/>
              <w:rPr>
                <w:sz w:val="18"/>
                <w:szCs w:val="18"/>
              </w:rPr>
            </w:pPr>
          </w:p>
          <w:p w14:paraId="6F4D0EF0" w14:textId="07E13F7E" w:rsidR="00013EDA" w:rsidRPr="001F61FA"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01410295" w14:textId="77777777" w:rsidR="00013EDA" w:rsidRDefault="00013EDA" w:rsidP="0046013C">
            <w:pPr>
              <w:widowControl w:val="0"/>
              <w:tabs>
                <w:tab w:val="center" w:pos="8647"/>
              </w:tabs>
              <w:autoSpaceDE w:val="0"/>
              <w:autoSpaceDN w:val="0"/>
              <w:adjustRightInd w:val="0"/>
              <w:jc w:val="center"/>
              <w:rPr>
                <w:sz w:val="18"/>
                <w:szCs w:val="18"/>
              </w:rPr>
            </w:pPr>
          </w:p>
          <w:p w14:paraId="77CD5970" w14:textId="360CCE7E"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9BB2938" w14:textId="77777777" w:rsidR="00013EDA" w:rsidRDefault="00013EDA" w:rsidP="0046013C">
            <w:pPr>
              <w:widowControl w:val="0"/>
              <w:tabs>
                <w:tab w:val="center" w:pos="8647"/>
              </w:tabs>
              <w:autoSpaceDE w:val="0"/>
              <w:autoSpaceDN w:val="0"/>
              <w:adjustRightInd w:val="0"/>
              <w:jc w:val="center"/>
              <w:rPr>
                <w:sz w:val="18"/>
                <w:szCs w:val="18"/>
              </w:rPr>
            </w:pPr>
          </w:p>
          <w:p w14:paraId="6F536B98" w14:textId="5D8245D9" w:rsidR="00760EB1" w:rsidRPr="001F61FA" w:rsidRDefault="00AA327A" w:rsidP="0046013C">
            <w:pPr>
              <w:widowControl w:val="0"/>
              <w:tabs>
                <w:tab w:val="center" w:pos="8647"/>
              </w:tabs>
              <w:autoSpaceDE w:val="0"/>
              <w:autoSpaceDN w:val="0"/>
              <w:adjustRightInd w:val="0"/>
              <w:jc w:val="center"/>
              <w:rPr>
                <w:sz w:val="18"/>
                <w:szCs w:val="18"/>
              </w:rPr>
            </w:pPr>
            <w:r>
              <w:rPr>
                <w:sz w:val="18"/>
                <w:szCs w:val="18"/>
              </w:rPr>
              <w:t>46,000</w:t>
            </w:r>
          </w:p>
        </w:tc>
        <w:tc>
          <w:tcPr>
            <w:tcW w:w="992" w:type="dxa"/>
          </w:tcPr>
          <w:p w14:paraId="54649A09" w14:textId="77777777" w:rsidR="00013EDA" w:rsidRDefault="00013EDA" w:rsidP="0046013C">
            <w:pPr>
              <w:widowControl w:val="0"/>
              <w:tabs>
                <w:tab w:val="center" w:pos="8647"/>
              </w:tabs>
              <w:autoSpaceDE w:val="0"/>
              <w:autoSpaceDN w:val="0"/>
              <w:adjustRightInd w:val="0"/>
              <w:jc w:val="center"/>
              <w:rPr>
                <w:sz w:val="18"/>
                <w:szCs w:val="18"/>
              </w:rPr>
            </w:pPr>
          </w:p>
          <w:p w14:paraId="18B73F55" w14:textId="1BF7BC13" w:rsidR="00013EDA" w:rsidRPr="001F61FA" w:rsidRDefault="00B4689F" w:rsidP="0046013C">
            <w:pPr>
              <w:widowControl w:val="0"/>
              <w:tabs>
                <w:tab w:val="center" w:pos="8647"/>
              </w:tabs>
              <w:autoSpaceDE w:val="0"/>
              <w:autoSpaceDN w:val="0"/>
              <w:adjustRightInd w:val="0"/>
              <w:jc w:val="center"/>
              <w:rPr>
                <w:sz w:val="18"/>
                <w:szCs w:val="18"/>
              </w:rPr>
            </w:pPr>
            <w:r>
              <w:rPr>
                <w:sz w:val="18"/>
                <w:szCs w:val="18"/>
              </w:rPr>
              <w:t>27</w:t>
            </w:r>
            <w:r w:rsidR="00013EDA">
              <w:rPr>
                <w:sz w:val="18"/>
                <w:szCs w:val="18"/>
              </w:rPr>
              <w:t>,000</w:t>
            </w:r>
          </w:p>
        </w:tc>
        <w:tc>
          <w:tcPr>
            <w:tcW w:w="993" w:type="dxa"/>
          </w:tcPr>
          <w:p w14:paraId="4E2A38FA" w14:textId="77777777" w:rsidR="0046013C" w:rsidRDefault="0046013C" w:rsidP="0046013C">
            <w:pPr>
              <w:widowControl w:val="0"/>
              <w:tabs>
                <w:tab w:val="center" w:pos="8647"/>
              </w:tabs>
              <w:autoSpaceDE w:val="0"/>
              <w:autoSpaceDN w:val="0"/>
              <w:adjustRightInd w:val="0"/>
              <w:jc w:val="center"/>
              <w:rPr>
                <w:sz w:val="18"/>
                <w:szCs w:val="18"/>
              </w:rPr>
            </w:pPr>
          </w:p>
          <w:p w14:paraId="6FFEF1D4" w14:textId="30A06928" w:rsidR="00AA327A" w:rsidRPr="001F61FA" w:rsidRDefault="00AA327A" w:rsidP="0046013C">
            <w:pPr>
              <w:widowControl w:val="0"/>
              <w:tabs>
                <w:tab w:val="center" w:pos="8647"/>
              </w:tabs>
              <w:autoSpaceDE w:val="0"/>
              <w:autoSpaceDN w:val="0"/>
              <w:adjustRightInd w:val="0"/>
              <w:jc w:val="center"/>
              <w:rPr>
                <w:sz w:val="18"/>
                <w:szCs w:val="18"/>
              </w:rPr>
            </w:pPr>
            <w:r>
              <w:rPr>
                <w:sz w:val="18"/>
                <w:szCs w:val="18"/>
              </w:rPr>
              <w:t>115-120</w:t>
            </w:r>
          </w:p>
        </w:tc>
        <w:tc>
          <w:tcPr>
            <w:tcW w:w="992" w:type="dxa"/>
          </w:tcPr>
          <w:p w14:paraId="3ABCB713" w14:textId="77777777" w:rsidR="00013EDA" w:rsidRDefault="00013EDA" w:rsidP="0046013C">
            <w:pPr>
              <w:widowControl w:val="0"/>
              <w:tabs>
                <w:tab w:val="center" w:pos="8647"/>
              </w:tabs>
              <w:autoSpaceDE w:val="0"/>
              <w:autoSpaceDN w:val="0"/>
              <w:adjustRightInd w:val="0"/>
              <w:jc w:val="center"/>
              <w:rPr>
                <w:sz w:val="18"/>
                <w:szCs w:val="18"/>
              </w:rPr>
            </w:pPr>
          </w:p>
          <w:p w14:paraId="66AA6C6A" w14:textId="4C9461E9" w:rsidR="00013EDA" w:rsidRPr="001F61FA" w:rsidRDefault="00226500" w:rsidP="0046013C">
            <w:pPr>
              <w:widowControl w:val="0"/>
              <w:tabs>
                <w:tab w:val="center" w:pos="8647"/>
              </w:tabs>
              <w:autoSpaceDE w:val="0"/>
              <w:autoSpaceDN w:val="0"/>
              <w:adjustRightInd w:val="0"/>
              <w:jc w:val="center"/>
              <w:rPr>
                <w:sz w:val="18"/>
                <w:szCs w:val="18"/>
              </w:rPr>
            </w:pPr>
            <w:r>
              <w:rPr>
                <w:sz w:val="18"/>
                <w:szCs w:val="18"/>
              </w:rPr>
              <w:t>95</w:t>
            </w:r>
            <w:r w:rsidR="00840DE0">
              <w:rPr>
                <w:sz w:val="18"/>
                <w:szCs w:val="18"/>
              </w:rPr>
              <w:t>-</w:t>
            </w:r>
            <w:r>
              <w:rPr>
                <w:sz w:val="18"/>
                <w:szCs w:val="18"/>
              </w:rPr>
              <w:t>100</w:t>
            </w:r>
          </w:p>
        </w:tc>
      </w:tr>
      <w:tr w:rsidR="00013EDA" w:rsidRPr="00280EA2" w14:paraId="6A6C9444" w14:textId="77777777" w:rsidTr="54F71CB4">
        <w:tc>
          <w:tcPr>
            <w:tcW w:w="2581" w:type="dxa"/>
            <w:vAlign w:val="center"/>
          </w:tcPr>
          <w:p w14:paraId="3CE89E61" w14:textId="77777777" w:rsidR="00013EDA" w:rsidRDefault="00013EDA" w:rsidP="00013EDA">
            <w:pPr>
              <w:rPr>
                <w:b/>
                <w:sz w:val="18"/>
                <w:szCs w:val="18"/>
              </w:rPr>
            </w:pPr>
            <w:r>
              <w:rPr>
                <w:b/>
                <w:sz w:val="18"/>
                <w:szCs w:val="18"/>
              </w:rPr>
              <w:t>Ms Rhyannon Blythe</w:t>
            </w:r>
          </w:p>
          <w:p w14:paraId="4310CB53" w14:textId="77777777" w:rsidR="00013EDA" w:rsidRDefault="00013EDA" w:rsidP="00013EDA">
            <w:pPr>
              <w:rPr>
                <w:sz w:val="18"/>
                <w:szCs w:val="18"/>
              </w:rPr>
            </w:pPr>
            <w:r>
              <w:rPr>
                <w:sz w:val="18"/>
                <w:szCs w:val="18"/>
              </w:rPr>
              <w:t>Director</w:t>
            </w:r>
          </w:p>
          <w:p w14:paraId="7655120E" w14:textId="77777777" w:rsidR="00013EDA" w:rsidRPr="00C34C15" w:rsidRDefault="00013EDA" w:rsidP="00013EDA">
            <w:pPr>
              <w:rPr>
                <w:i/>
                <w:sz w:val="18"/>
                <w:szCs w:val="18"/>
              </w:rPr>
            </w:pPr>
          </w:p>
        </w:tc>
        <w:tc>
          <w:tcPr>
            <w:tcW w:w="850" w:type="dxa"/>
          </w:tcPr>
          <w:p w14:paraId="27B08BAC" w14:textId="77777777" w:rsidR="00013EDA" w:rsidRDefault="00013EDA" w:rsidP="00AD3E24">
            <w:pPr>
              <w:widowControl w:val="0"/>
              <w:tabs>
                <w:tab w:val="center" w:pos="8647"/>
              </w:tabs>
              <w:autoSpaceDE w:val="0"/>
              <w:autoSpaceDN w:val="0"/>
              <w:adjustRightInd w:val="0"/>
              <w:jc w:val="center"/>
              <w:rPr>
                <w:sz w:val="18"/>
                <w:szCs w:val="18"/>
              </w:rPr>
            </w:pPr>
          </w:p>
          <w:p w14:paraId="51062F26" w14:textId="517E0054" w:rsidR="00AD3E24" w:rsidRPr="001F61FA" w:rsidRDefault="00AD3E24" w:rsidP="00AD3E24">
            <w:pPr>
              <w:widowControl w:val="0"/>
              <w:tabs>
                <w:tab w:val="center" w:pos="8647"/>
              </w:tabs>
              <w:autoSpaceDE w:val="0"/>
              <w:autoSpaceDN w:val="0"/>
              <w:adjustRightInd w:val="0"/>
              <w:jc w:val="center"/>
              <w:rPr>
                <w:sz w:val="18"/>
                <w:szCs w:val="18"/>
              </w:rPr>
            </w:pPr>
            <w:r>
              <w:rPr>
                <w:sz w:val="18"/>
                <w:szCs w:val="18"/>
              </w:rPr>
              <w:t>50-55</w:t>
            </w:r>
            <w:r>
              <w:rPr>
                <w:rStyle w:val="FootnoteReference"/>
                <w:sz w:val="18"/>
                <w:szCs w:val="18"/>
              </w:rPr>
              <w:footnoteReference w:id="10"/>
            </w:r>
          </w:p>
        </w:tc>
        <w:tc>
          <w:tcPr>
            <w:tcW w:w="851" w:type="dxa"/>
          </w:tcPr>
          <w:p w14:paraId="7D02BF60" w14:textId="77777777" w:rsidR="00013EDA" w:rsidRDefault="00013EDA" w:rsidP="0046013C">
            <w:pPr>
              <w:widowControl w:val="0"/>
              <w:tabs>
                <w:tab w:val="center" w:pos="8647"/>
              </w:tabs>
              <w:autoSpaceDE w:val="0"/>
              <w:autoSpaceDN w:val="0"/>
              <w:adjustRightInd w:val="0"/>
              <w:jc w:val="center"/>
              <w:rPr>
                <w:sz w:val="18"/>
                <w:szCs w:val="18"/>
              </w:rPr>
            </w:pPr>
          </w:p>
          <w:p w14:paraId="716B0D9A" w14:textId="04F89E5D" w:rsidR="00013EDA" w:rsidRPr="001F61FA" w:rsidRDefault="00D34FCE" w:rsidP="0046013C">
            <w:pPr>
              <w:widowControl w:val="0"/>
              <w:tabs>
                <w:tab w:val="center" w:pos="8647"/>
              </w:tabs>
              <w:autoSpaceDE w:val="0"/>
              <w:autoSpaceDN w:val="0"/>
              <w:adjustRightInd w:val="0"/>
              <w:jc w:val="center"/>
              <w:rPr>
                <w:sz w:val="18"/>
                <w:szCs w:val="18"/>
              </w:rPr>
            </w:pPr>
            <w:r>
              <w:rPr>
                <w:sz w:val="18"/>
                <w:szCs w:val="18"/>
              </w:rPr>
              <w:t>70</w:t>
            </w:r>
            <w:r w:rsidR="00AD3E24">
              <w:rPr>
                <w:sz w:val="18"/>
                <w:szCs w:val="18"/>
              </w:rPr>
              <w:t>-75</w:t>
            </w:r>
          </w:p>
        </w:tc>
        <w:tc>
          <w:tcPr>
            <w:tcW w:w="850" w:type="dxa"/>
          </w:tcPr>
          <w:p w14:paraId="32F5C01C" w14:textId="77777777" w:rsidR="00013EDA" w:rsidRDefault="00013EDA" w:rsidP="0046013C">
            <w:pPr>
              <w:widowControl w:val="0"/>
              <w:tabs>
                <w:tab w:val="center" w:pos="8647"/>
              </w:tabs>
              <w:autoSpaceDE w:val="0"/>
              <w:autoSpaceDN w:val="0"/>
              <w:adjustRightInd w:val="0"/>
              <w:jc w:val="center"/>
              <w:rPr>
                <w:sz w:val="18"/>
                <w:szCs w:val="18"/>
              </w:rPr>
            </w:pPr>
          </w:p>
          <w:p w14:paraId="18D7D30F" w14:textId="674D7FAA" w:rsidR="00013EDA"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41BC2F3B" w14:textId="77777777" w:rsidR="00013EDA" w:rsidRDefault="00013EDA" w:rsidP="0046013C">
            <w:pPr>
              <w:widowControl w:val="0"/>
              <w:tabs>
                <w:tab w:val="center" w:pos="8647"/>
              </w:tabs>
              <w:autoSpaceDE w:val="0"/>
              <w:autoSpaceDN w:val="0"/>
              <w:adjustRightInd w:val="0"/>
              <w:jc w:val="center"/>
              <w:rPr>
                <w:sz w:val="18"/>
                <w:szCs w:val="18"/>
              </w:rPr>
            </w:pPr>
          </w:p>
          <w:p w14:paraId="6BF9D3F3" w14:textId="6B6CCAB7"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3EC6F24C" w14:textId="77777777" w:rsidR="00013EDA" w:rsidRDefault="00013EDA" w:rsidP="0046013C">
            <w:pPr>
              <w:widowControl w:val="0"/>
              <w:tabs>
                <w:tab w:val="center" w:pos="8647"/>
              </w:tabs>
              <w:autoSpaceDE w:val="0"/>
              <w:autoSpaceDN w:val="0"/>
              <w:adjustRightInd w:val="0"/>
              <w:jc w:val="center"/>
              <w:rPr>
                <w:sz w:val="18"/>
                <w:szCs w:val="18"/>
              </w:rPr>
            </w:pPr>
          </w:p>
          <w:p w14:paraId="748626FB" w14:textId="489302EE" w:rsidR="00760EB1" w:rsidRPr="001F61FA" w:rsidRDefault="00AA327A" w:rsidP="0046013C">
            <w:pPr>
              <w:widowControl w:val="0"/>
              <w:tabs>
                <w:tab w:val="center" w:pos="8647"/>
              </w:tabs>
              <w:autoSpaceDE w:val="0"/>
              <w:autoSpaceDN w:val="0"/>
              <w:adjustRightInd w:val="0"/>
              <w:jc w:val="center"/>
              <w:rPr>
                <w:sz w:val="18"/>
                <w:szCs w:val="18"/>
              </w:rPr>
            </w:pPr>
            <w:r>
              <w:rPr>
                <w:sz w:val="18"/>
                <w:szCs w:val="18"/>
              </w:rPr>
              <w:t>21,000</w:t>
            </w:r>
          </w:p>
        </w:tc>
        <w:tc>
          <w:tcPr>
            <w:tcW w:w="992" w:type="dxa"/>
          </w:tcPr>
          <w:p w14:paraId="388261A9" w14:textId="77777777" w:rsidR="00013EDA" w:rsidRDefault="00013EDA" w:rsidP="0046013C">
            <w:pPr>
              <w:widowControl w:val="0"/>
              <w:tabs>
                <w:tab w:val="center" w:pos="8647"/>
              </w:tabs>
              <w:autoSpaceDE w:val="0"/>
              <w:autoSpaceDN w:val="0"/>
              <w:adjustRightInd w:val="0"/>
              <w:jc w:val="center"/>
              <w:rPr>
                <w:sz w:val="18"/>
                <w:szCs w:val="18"/>
              </w:rPr>
            </w:pPr>
          </w:p>
          <w:p w14:paraId="5E62C6FD" w14:textId="00D26FCB"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2</w:t>
            </w:r>
            <w:r w:rsidR="00130B8A">
              <w:rPr>
                <w:sz w:val="18"/>
                <w:szCs w:val="18"/>
              </w:rPr>
              <w:t>6</w:t>
            </w:r>
            <w:r>
              <w:rPr>
                <w:sz w:val="18"/>
                <w:szCs w:val="18"/>
              </w:rPr>
              <w:t>,000</w:t>
            </w:r>
          </w:p>
        </w:tc>
        <w:tc>
          <w:tcPr>
            <w:tcW w:w="993" w:type="dxa"/>
          </w:tcPr>
          <w:p w14:paraId="2F009B20" w14:textId="77777777" w:rsidR="0046013C" w:rsidRDefault="0046013C" w:rsidP="0046013C">
            <w:pPr>
              <w:widowControl w:val="0"/>
              <w:tabs>
                <w:tab w:val="center" w:pos="8647"/>
              </w:tabs>
              <w:autoSpaceDE w:val="0"/>
              <w:autoSpaceDN w:val="0"/>
              <w:adjustRightInd w:val="0"/>
              <w:jc w:val="center"/>
              <w:rPr>
                <w:sz w:val="18"/>
                <w:szCs w:val="18"/>
              </w:rPr>
            </w:pPr>
          </w:p>
          <w:p w14:paraId="47DA7DD3" w14:textId="71C4CF56" w:rsidR="00AA327A" w:rsidRPr="001F61FA" w:rsidRDefault="00AA327A" w:rsidP="0046013C">
            <w:pPr>
              <w:widowControl w:val="0"/>
              <w:tabs>
                <w:tab w:val="center" w:pos="8647"/>
              </w:tabs>
              <w:autoSpaceDE w:val="0"/>
              <w:autoSpaceDN w:val="0"/>
              <w:adjustRightInd w:val="0"/>
              <w:jc w:val="center"/>
              <w:rPr>
                <w:sz w:val="18"/>
                <w:szCs w:val="18"/>
              </w:rPr>
            </w:pPr>
            <w:r>
              <w:rPr>
                <w:sz w:val="18"/>
                <w:szCs w:val="18"/>
              </w:rPr>
              <w:t>70-75</w:t>
            </w:r>
          </w:p>
        </w:tc>
        <w:tc>
          <w:tcPr>
            <w:tcW w:w="992" w:type="dxa"/>
          </w:tcPr>
          <w:p w14:paraId="3941533D" w14:textId="77777777" w:rsidR="00013EDA" w:rsidRDefault="00013EDA" w:rsidP="0046013C">
            <w:pPr>
              <w:widowControl w:val="0"/>
              <w:tabs>
                <w:tab w:val="center" w:pos="8647"/>
              </w:tabs>
              <w:autoSpaceDE w:val="0"/>
              <w:autoSpaceDN w:val="0"/>
              <w:adjustRightInd w:val="0"/>
              <w:jc w:val="center"/>
              <w:rPr>
                <w:sz w:val="18"/>
                <w:szCs w:val="18"/>
              </w:rPr>
            </w:pPr>
          </w:p>
          <w:p w14:paraId="12DAAEB2" w14:textId="56920494" w:rsidR="00013EDA" w:rsidRPr="001F61FA" w:rsidRDefault="00840DE0" w:rsidP="0046013C">
            <w:pPr>
              <w:widowControl w:val="0"/>
              <w:tabs>
                <w:tab w:val="center" w:pos="8647"/>
              </w:tabs>
              <w:autoSpaceDE w:val="0"/>
              <w:autoSpaceDN w:val="0"/>
              <w:adjustRightInd w:val="0"/>
              <w:jc w:val="center"/>
              <w:rPr>
                <w:sz w:val="18"/>
                <w:szCs w:val="18"/>
              </w:rPr>
            </w:pPr>
            <w:r>
              <w:rPr>
                <w:sz w:val="18"/>
                <w:szCs w:val="18"/>
              </w:rPr>
              <w:t>9</w:t>
            </w:r>
            <w:r w:rsidR="00756299">
              <w:rPr>
                <w:sz w:val="18"/>
                <w:szCs w:val="18"/>
              </w:rPr>
              <w:t>5</w:t>
            </w:r>
            <w:r>
              <w:rPr>
                <w:sz w:val="18"/>
                <w:szCs w:val="18"/>
              </w:rPr>
              <w:t>-</w:t>
            </w:r>
            <w:r w:rsidR="00756299">
              <w:rPr>
                <w:sz w:val="18"/>
                <w:szCs w:val="18"/>
              </w:rPr>
              <w:t>100</w:t>
            </w:r>
          </w:p>
        </w:tc>
      </w:tr>
      <w:tr w:rsidR="00013EDA" w:rsidRPr="00280EA2" w14:paraId="79600FFD" w14:textId="77777777" w:rsidTr="54F71CB4">
        <w:tc>
          <w:tcPr>
            <w:tcW w:w="2581" w:type="dxa"/>
            <w:vAlign w:val="center"/>
          </w:tcPr>
          <w:p w14:paraId="6280D7FB" w14:textId="77777777" w:rsidR="00013EDA" w:rsidRDefault="00013EDA" w:rsidP="00013EDA">
            <w:pPr>
              <w:rPr>
                <w:b/>
                <w:sz w:val="18"/>
                <w:szCs w:val="18"/>
              </w:rPr>
            </w:pPr>
            <w:r>
              <w:rPr>
                <w:b/>
                <w:sz w:val="18"/>
                <w:szCs w:val="18"/>
              </w:rPr>
              <w:t>Ms Eilis Haughey</w:t>
            </w:r>
          </w:p>
          <w:p w14:paraId="03EAABE0" w14:textId="77777777" w:rsidR="00013EDA" w:rsidRDefault="00013EDA" w:rsidP="00013EDA">
            <w:pPr>
              <w:rPr>
                <w:sz w:val="18"/>
                <w:szCs w:val="18"/>
              </w:rPr>
            </w:pPr>
            <w:r>
              <w:rPr>
                <w:sz w:val="18"/>
                <w:szCs w:val="18"/>
              </w:rPr>
              <w:t>Director</w:t>
            </w:r>
          </w:p>
          <w:p w14:paraId="5CD0753C" w14:textId="77777777" w:rsidR="00013EDA" w:rsidRDefault="00013EDA" w:rsidP="00013EDA">
            <w:pPr>
              <w:rPr>
                <w:b/>
                <w:sz w:val="18"/>
                <w:szCs w:val="18"/>
              </w:rPr>
            </w:pPr>
          </w:p>
        </w:tc>
        <w:tc>
          <w:tcPr>
            <w:tcW w:w="850" w:type="dxa"/>
          </w:tcPr>
          <w:p w14:paraId="4B2E9569" w14:textId="77777777" w:rsidR="00013EDA" w:rsidRDefault="00013EDA" w:rsidP="0046013C">
            <w:pPr>
              <w:widowControl w:val="0"/>
              <w:tabs>
                <w:tab w:val="center" w:pos="8647"/>
              </w:tabs>
              <w:autoSpaceDE w:val="0"/>
              <w:autoSpaceDN w:val="0"/>
              <w:adjustRightInd w:val="0"/>
              <w:jc w:val="center"/>
              <w:rPr>
                <w:sz w:val="18"/>
                <w:szCs w:val="18"/>
              </w:rPr>
            </w:pPr>
          </w:p>
          <w:p w14:paraId="40A0DBAC" w14:textId="0B586F6E" w:rsidR="00130B8A" w:rsidRDefault="00130B8A" w:rsidP="0046013C">
            <w:pPr>
              <w:widowControl w:val="0"/>
              <w:tabs>
                <w:tab w:val="center" w:pos="8647"/>
              </w:tabs>
              <w:autoSpaceDE w:val="0"/>
              <w:autoSpaceDN w:val="0"/>
              <w:adjustRightInd w:val="0"/>
              <w:jc w:val="center"/>
              <w:rPr>
                <w:sz w:val="18"/>
                <w:szCs w:val="18"/>
              </w:rPr>
            </w:pPr>
            <w:r>
              <w:rPr>
                <w:sz w:val="18"/>
                <w:szCs w:val="18"/>
              </w:rPr>
              <w:t>70-75</w:t>
            </w:r>
          </w:p>
        </w:tc>
        <w:tc>
          <w:tcPr>
            <w:tcW w:w="851" w:type="dxa"/>
          </w:tcPr>
          <w:p w14:paraId="7E24859E" w14:textId="77777777" w:rsidR="00013EDA" w:rsidRDefault="00013EDA" w:rsidP="0046013C">
            <w:pPr>
              <w:widowControl w:val="0"/>
              <w:tabs>
                <w:tab w:val="center" w:pos="8647"/>
              </w:tabs>
              <w:autoSpaceDE w:val="0"/>
              <w:autoSpaceDN w:val="0"/>
              <w:adjustRightInd w:val="0"/>
              <w:jc w:val="center"/>
              <w:rPr>
                <w:sz w:val="18"/>
                <w:szCs w:val="18"/>
              </w:rPr>
            </w:pPr>
          </w:p>
          <w:p w14:paraId="18A5B749" w14:textId="2ED45003" w:rsidR="00013EDA" w:rsidRDefault="00013EDA" w:rsidP="0046013C">
            <w:pPr>
              <w:widowControl w:val="0"/>
              <w:tabs>
                <w:tab w:val="center" w:pos="8647"/>
              </w:tabs>
              <w:autoSpaceDE w:val="0"/>
              <w:autoSpaceDN w:val="0"/>
              <w:adjustRightInd w:val="0"/>
              <w:jc w:val="center"/>
              <w:rPr>
                <w:sz w:val="18"/>
                <w:szCs w:val="18"/>
              </w:rPr>
            </w:pPr>
            <w:r>
              <w:rPr>
                <w:sz w:val="18"/>
                <w:szCs w:val="18"/>
              </w:rPr>
              <w:t>70</w:t>
            </w:r>
            <w:r w:rsidR="00AD3E24">
              <w:rPr>
                <w:sz w:val="18"/>
                <w:szCs w:val="18"/>
              </w:rPr>
              <w:t>-75</w:t>
            </w:r>
          </w:p>
        </w:tc>
        <w:tc>
          <w:tcPr>
            <w:tcW w:w="850" w:type="dxa"/>
          </w:tcPr>
          <w:p w14:paraId="28752032" w14:textId="77777777" w:rsidR="00013EDA" w:rsidRDefault="00013EDA" w:rsidP="0046013C">
            <w:pPr>
              <w:widowControl w:val="0"/>
              <w:tabs>
                <w:tab w:val="center" w:pos="8647"/>
              </w:tabs>
              <w:autoSpaceDE w:val="0"/>
              <w:autoSpaceDN w:val="0"/>
              <w:adjustRightInd w:val="0"/>
              <w:jc w:val="center"/>
              <w:rPr>
                <w:sz w:val="18"/>
                <w:szCs w:val="18"/>
              </w:rPr>
            </w:pPr>
          </w:p>
          <w:p w14:paraId="3060EC3E" w14:textId="2327941F" w:rsidR="00013EDA"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5503E86E" w14:textId="77777777" w:rsidR="00013EDA" w:rsidRDefault="00013EDA" w:rsidP="0046013C">
            <w:pPr>
              <w:widowControl w:val="0"/>
              <w:tabs>
                <w:tab w:val="center" w:pos="8647"/>
              </w:tabs>
              <w:autoSpaceDE w:val="0"/>
              <w:autoSpaceDN w:val="0"/>
              <w:adjustRightInd w:val="0"/>
              <w:jc w:val="center"/>
              <w:rPr>
                <w:sz w:val="18"/>
                <w:szCs w:val="18"/>
              </w:rPr>
            </w:pPr>
          </w:p>
          <w:p w14:paraId="55A011D3" w14:textId="11F8B269"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5CCA2F47" w14:textId="77777777" w:rsidR="00013EDA" w:rsidRDefault="00013EDA" w:rsidP="0046013C">
            <w:pPr>
              <w:widowControl w:val="0"/>
              <w:tabs>
                <w:tab w:val="center" w:pos="8647"/>
              </w:tabs>
              <w:autoSpaceDE w:val="0"/>
              <w:autoSpaceDN w:val="0"/>
              <w:adjustRightInd w:val="0"/>
              <w:jc w:val="center"/>
              <w:rPr>
                <w:sz w:val="18"/>
                <w:szCs w:val="18"/>
              </w:rPr>
            </w:pPr>
          </w:p>
          <w:p w14:paraId="2B431995" w14:textId="65D485A9" w:rsidR="00760EB1" w:rsidRDefault="00AA327A" w:rsidP="0046013C">
            <w:pPr>
              <w:widowControl w:val="0"/>
              <w:tabs>
                <w:tab w:val="center" w:pos="8647"/>
              </w:tabs>
              <w:autoSpaceDE w:val="0"/>
              <w:autoSpaceDN w:val="0"/>
              <w:adjustRightInd w:val="0"/>
              <w:jc w:val="center"/>
              <w:rPr>
                <w:sz w:val="18"/>
                <w:szCs w:val="18"/>
              </w:rPr>
            </w:pPr>
            <w:r>
              <w:rPr>
                <w:sz w:val="18"/>
                <w:szCs w:val="18"/>
              </w:rPr>
              <w:t>28,000</w:t>
            </w:r>
          </w:p>
        </w:tc>
        <w:tc>
          <w:tcPr>
            <w:tcW w:w="992" w:type="dxa"/>
          </w:tcPr>
          <w:p w14:paraId="62FA7A0F" w14:textId="77777777" w:rsidR="00013EDA" w:rsidRDefault="00013EDA" w:rsidP="0046013C">
            <w:pPr>
              <w:widowControl w:val="0"/>
              <w:tabs>
                <w:tab w:val="center" w:pos="8647"/>
              </w:tabs>
              <w:autoSpaceDE w:val="0"/>
              <w:autoSpaceDN w:val="0"/>
              <w:adjustRightInd w:val="0"/>
              <w:jc w:val="center"/>
              <w:rPr>
                <w:sz w:val="18"/>
                <w:szCs w:val="18"/>
              </w:rPr>
            </w:pPr>
          </w:p>
          <w:p w14:paraId="579CF7D5" w14:textId="17D2538F" w:rsidR="00013EDA" w:rsidRDefault="00013EDA" w:rsidP="0046013C">
            <w:pPr>
              <w:widowControl w:val="0"/>
              <w:tabs>
                <w:tab w:val="center" w:pos="8647"/>
              </w:tabs>
              <w:autoSpaceDE w:val="0"/>
              <w:autoSpaceDN w:val="0"/>
              <w:adjustRightInd w:val="0"/>
              <w:jc w:val="center"/>
              <w:rPr>
                <w:sz w:val="18"/>
                <w:szCs w:val="18"/>
              </w:rPr>
            </w:pPr>
            <w:r>
              <w:rPr>
                <w:sz w:val="18"/>
                <w:szCs w:val="18"/>
              </w:rPr>
              <w:t>2</w:t>
            </w:r>
            <w:r w:rsidR="00B4689F">
              <w:rPr>
                <w:sz w:val="18"/>
                <w:szCs w:val="18"/>
              </w:rPr>
              <w:t>7</w:t>
            </w:r>
            <w:r>
              <w:rPr>
                <w:sz w:val="18"/>
                <w:szCs w:val="18"/>
              </w:rPr>
              <w:t>,000</w:t>
            </w:r>
          </w:p>
        </w:tc>
        <w:tc>
          <w:tcPr>
            <w:tcW w:w="993" w:type="dxa"/>
          </w:tcPr>
          <w:p w14:paraId="3CBA3B67" w14:textId="77777777" w:rsidR="0046013C" w:rsidRDefault="0046013C" w:rsidP="0046013C">
            <w:pPr>
              <w:widowControl w:val="0"/>
              <w:tabs>
                <w:tab w:val="center" w:pos="8647"/>
              </w:tabs>
              <w:autoSpaceDE w:val="0"/>
              <w:autoSpaceDN w:val="0"/>
              <w:adjustRightInd w:val="0"/>
              <w:jc w:val="center"/>
              <w:rPr>
                <w:sz w:val="18"/>
                <w:szCs w:val="18"/>
              </w:rPr>
            </w:pPr>
          </w:p>
          <w:p w14:paraId="19404734" w14:textId="4EBFD375" w:rsidR="00AA327A" w:rsidRDefault="00AA327A" w:rsidP="0046013C">
            <w:pPr>
              <w:widowControl w:val="0"/>
              <w:tabs>
                <w:tab w:val="center" w:pos="8647"/>
              </w:tabs>
              <w:autoSpaceDE w:val="0"/>
              <w:autoSpaceDN w:val="0"/>
              <w:adjustRightInd w:val="0"/>
              <w:jc w:val="center"/>
              <w:rPr>
                <w:sz w:val="18"/>
                <w:szCs w:val="18"/>
              </w:rPr>
            </w:pPr>
            <w:r>
              <w:rPr>
                <w:sz w:val="18"/>
                <w:szCs w:val="18"/>
              </w:rPr>
              <w:t>100-105</w:t>
            </w:r>
          </w:p>
        </w:tc>
        <w:tc>
          <w:tcPr>
            <w:tcW w:w="992" w:type="dxa"/>
          </w:tcPr>
          <w:p w14:paraId="0C4FE334" w14:textId="77777777" w:rsidR="00013EDA" w:rsidRDefault="00013EDA" w:rsidP="0046013C">
            <w:pPr>
              <w:widowControl w:val="0"/>
              <w:tabs>
                <w:tab w:val="center" w:pos="8647"/>
              </w:tabs>
              <w:autoSpaceDE w:val="0"/>
              <w:autoSpaceDN w:val="0"/>
              <w:adjustRightInd w:val="0"/>
              <w:jc w:val="center"/>
              <w:rPr>
                <w:sz w:val="18"/>
                <w:szCs w:val="18"/>
              </w:rPr>
            </w:pPr>
          </w:p>
          <w:p w14:paraId="3DB8E619" w14:textId="44350844" w:rsidR="00013EDA" w:rsidRDefault="00840DE0" w:rsidP="0046013C">
            <w:pPr>
              <w:widowControl w:val="0"/>
              <w:tabs>
                <w:tab w:val="center" w:pos="8647"/>
              </w:tabs>
              <w:autoSpaceDE w:val="0"/>
              <w:autoSpaceDN w:val="0"/>
              <w:adjustRightInd w:val="0"/>
              <w:jc w:val="center"/>
              <w:rPr>
                <w:sz w:val="18"/>
                <w:szCs w:val="18"/>
              </w:rPr>
            </w:pPr>
            <w:r>
              <w:rPr>
                <w:sz w:val="18"/>
                <w:szCs w:val="18"/>
              </w:rPr>
              <w:t>95-100</w:t>
            </w:r>
          </w:p>
        </w:tc>
      </w:tr>
      <w:tr w:rsidR="00013EDA" w:rsidRPr="00280EA2" w14:paraId="030F1F16" w14:textId="77777777" w:rsidTr="54F71CB4">
        <w:tc>
          <w:tcPr>
            <w:tcW w:w="2581" w:type="dxa"/>
            <w:vAlign w:val="center"/>
          </w:tcPr>
          <w:p w14:paraId="6B762770" w14:textId="77777777" w:rsidR="00013EDA" w:rsidRDefault="00013EDA" w:rsidP="00013EDA">
            <w:pPr>
              <w:rPr>
                <w:b/>
                <w:sz w:val="18"/>
                <w:szCs w:val="18"/>
              </w:rPr>
            </w:pPr>
            <w:r>
              <w:rPr>
                <w:b/>
                <w:sz w:val="18"/>
                <w:szCs w:val="18"/>
              </w:rPr>
              <w:t>Colin Caughey</w:t>
            </w:r>
          </w:p>
          <w:p w14:paraId="1BD6A65F" w14:textId="77777777" w:rsidR="00013EDA" w:rsidRDefault="00013EDA" w:rsidP="00013EDA">
            <w:pPr>
              <w:rPr>
                <w:bCs/>
                <w:sz w:val="18"/>
                <w:szCs w:val="18"/>
              </w:rPr>
            </w:pPr>
            <w:r>
              <w:rPr>
                <w:bCs/>
                <w:sz w:val="18"/>
                <w:szCs w:val="18"/>
              </w:rPr>
              <w:t>Director</w:t>
            </w:r>
          </w:p>
          <w:p w14:paraId="690DD638" w14:textId="5007F85E" w:rsidR="00DC0FA7" w:rsidRPr="00863A14" w:rsidRDefault="00DC0FA7" w:rsidP="54F71CB4">
            <w:pPr>
              <w:rPr>
                <w:sz w:val="18"/>
                <w:szCs w:val="18"/>
              </w:rPr>
            </w:pPr>
          </w:p>
        </w:tc>
        <w:tc>
          <w:tcPr>
            <w:tcW w:w="850" w:type="dxa"/>
          </w:tcPr>
          <w:p w14:paraId="4CDA56F2" w14:textId="77777777" w:rsidR="0046013C" w:rsidRDefault="0046013C" w:rsidP="0046013C">
            <w:pPr>
              <w:widowControl w:val="0"/>
              <w:tabs>
                <w:tab w:val="center" w:pos="8647"/>
              </w:tabs>
              <w:autoSpaceDE w:val="0"/>
              <w:autoSpaceDN w:val="0"/>
              <w:adjustRightInd w:val="0"/>
              <w:jc w:val="center"/>
              <w:rPr>
                <w:sz w:val="18"/>
                <w:szCs w:val="18"/>
              </w:rPr>
            </w:pPr>
          </w:p>
          <w:p w14:paraId="52E00027" w14:textId="567CA91B" w:rsidR="00130B8A" w:rsidRDefault="00130B8A" w:rsidP="0046013C">
            <w:pPr>
              <w:widowControl w:val="0"/>
              <w:tabs>
                <w:tab w:val="center" w:pos="8647"/>
              </w:tabs>
              <w:autoSpaceDE w:val="0"/>
              <w:autoSpaceDN w:val="0"/>
              <w:adjustRightInd w:val="0"/>
              <w:jc w:val="center"/>
              <w:rPr>
                <w:sz w:val="18"/>
                <w:szCs w:val="18"/>
              </w:rPr>
            </w:pPr>
            <w:r>
              <w:rPr>
                <w:sz w:val="18"/>
                <w:szCs w:val="18"/>
              </w:rPr>
              <w:t>70-75</w:t>
            </w:r>
          </w:p>
        </w:tc>
        <w:tc>
          <w:tcPr>
            <w:tcW w:w="851" w:type="dxa"/>
          </w:tcPr>
          <w:p w14:paraId="07F1A41C" w14:textId="77777777" w:rsidR="00013EDA" w:rsidRDefault="00013EDA" w:rsidP="0046013C">
            <w:pPr>
              <w:widowControl w:val="0"/>
              <w:tabs>
                <w:tab w:val="center" w:pos="8647"/>
              </w:tabs>
              <w:autoSpaceDE w:val="0"/>
              <w:autoSpaceDN w:val="0"/>
              <w:adjustRightInd w:val="0"/>
              <w:jc w:val="center"/>
              <w:rPr>
                <w:sz w:val="18"/>
                <w:szCs w:val="18"/>
              </w:rPr>
            </w:pPr>
          </w:p>
          <w:p w14:paraId="7672C1E4" w14:textId="3288E3A9" w:rsidR="00013EDA" w:rsidRDefault="00AD3E24" w:rsidP="0046013C">
            <w:pPr>
              <w:widowControl w:val="0"/>
              <w:tabs>
                <w:tab w:val="center" w:pos="8647"/>
              </w:tabs>
              <w:autoSpaceDE w:val="0"/>
              <w:autoSpaceDN w:val="0"/>
              <w:adjustRightInd w:val="0"/>
              <w:jc w:val="center"/>
              <w:rPr>
                <w:sz w:val="18"/>
                <w:szCs w:val="18"/>
              </w:rPr>
            </w:pPr>
            <w:r>
              <w:rPr>
                <w:sz w:val="18"/>
                <w:szCs w:val="18"/>
              </w:rPr>
              <w:t>70-75</w:t>
            </w:r>
          </w:p>
        </w:tc>
        <w:tc>
          <w:tcPr>
            <w:tcW w:w="850" w:type="dxa"/>
          </w:tcPr>
          <w:p w14:paraId="43AB325E" w14:textId="77777777" w:rsidR="00013EDA" w:rsidRDefault="00013EDA" w:rsidP="0046013C">
            <w:pPr>
              <w:widowControl w:val="0"/>
              <w:tabs>
                <w:tab w:val="center" w:pos="8647"/>
              </w:tabs>
              <w:autoSpaceDE w:val="0"/>
              <w:autoSpaceDN w:val="0"/>
              <w:adjustRightInd w:val="0"/>
              <w:jc w:val="center"/>
              <w:rPr>
                <w:sz w:val="18"/>
                <w:szCs w:val="18"/>
              </w:rPr>
            </w:pPr>
          </w:p>
          <w:p w14:paraId="2B852CFC" w14:textId="406A2A4D" w:rsidR="00013EDA"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1BA96F83" w14:textId="77777777" w:rsidR="00013EDA" w:rsidRDefault="00013EDA" w:rsidP="0046013C">
            <w:pPr>
              <w:widowControl w:val="0"/>
              <w:tabs>
                <w:tab w:val="center" w:pos="8647"/>
              </w:tabs>
              <w:autoSpaceDE w:val="0"/>
              <w:autoSpaceDN w:val="0"/>
              <w:adjustRightInd w:val="0"/>
              <w:jc w:val="center"/>
              <w:rPr>
                <w:sz w:val="18"/>
                <w:szCs w:val="18"/>
              </w:rPr>
            </w:pPr>
          </w:p>
          <w:p w14:paraId="2F1B7B6A" w14:textId="4E27BAA6"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38B60700" w14:textId="77777777" w:rsidR="00013EDA" w:rsidRDefault="00013EDA" w:rsidP="0046013C">
            <w:pPr>
              <w:widowControl w:val="0"/>
              <w:tabs>
                <w:tab w:val="center" w:pos="8647"/>
              </w:tabs>
              <w:autoSpaceDE w:val="0"/>
              <w:autoSpaceDN w:val="0"/>
              <w:adjustRightInd w:val="0"/>
              <w:jc w:val="center"/>
              <w:rPr>
                <w:sz w:val="18"/>
                <w:szCs w:val="18"/>
              </w:rPr>
            </w:pPr>
          </w:p>
          <w:p w14:paraId="4C5A705E" w14:textId="03E01E59" w:rsidR="00760EB1" w:rsidRDefault="00AA327A" w:rsidP="0046013C">
            <w:pPr>
              <w:widowControl w:val="0"/>
              <w:tabs>
                <w:tab w:val="center" w:pos="8647"/>
              </w:tabs>
              <w:autoSpaceDE w:val="0"/>
              <w:autoSpaceDN w:val="0"/>
              <w:adjustRightInd w:val="0"/>
              <w:jc w:val="center"/>
              <w:rPr>
                <w:sz w:val="18"/>
                <w:szCs w:val="18"/>
              </w:rPr>
            </w:pPr>
            <w:r>
              <w:rPr>
                <w:sz w:val="18"/>
                <w:szCs w:val="18"/>
              </w:rPr>
              <w:t>28,000</w:t>
            </w:r>
          </w:p>
        </w:tc>
        <w:tc>
          <w:tcPr>
            <w:tcW w:w="992" w:type="dxa"/>
          </w:tcPr>
          <w:p w14:paraId="5C9C4B6D" w14:textId="77777777" w:rsidR="00013EDA" w:rsidRDefault="00013EDA" w:rsidP="0046013C">
            <w:pPr>
              <w:widowControl w:val="0"/>
              <w:tabs>
                <w:tab w:val="center" w:pos="8647"/>
              </w:tabs>
              <w:autoSpaceDE w:val="0"/>
              <w:autoSpaceDN w:val="0"/>
              <w:adjustRightInd w:val="0"/>
              <w:jc w:val="center"/>
              <w:rPr>
                <w:sz w:val="18"/>
                <w:szCs w:val="18"/>
              </w:rPr>
            </w:pPr>
          </w:p>
          <w:p w14:paraId="44959E57" w14:textId="3F64E036" w:rsidR="00760EB1" w:rsidRDefault="00B4689F" w:rsidP="0046013C">
            <w:pPr>
              <w:widowControl w:val="0"/>
              <w:tabs>
                <w:tab w:val="center" w:pos="8647"/>
              </w:tabs>
              <w:autoSpaceDE w:val="0"/>
              <w:autoSpaceDN w:val="0"/>
              <w:adjustRightInd w:val="0"/>
              <w:jc w:val="center"/>
              <w:rPr>
                <w:sz w:val="18"/>
                <w:szCs w:val="18"/>
              </w:rPr>
            </w:pPr>
            <w:r>
              <w:rPr>
                <w:sz w:val="18"/>
                <w:szCs w:val="18"/>
              </w:rPr>
              <w:t>26</w:t>
            </w:r>
            <w:r w:rsidR="000D130C">
              <w:rPr>
                <w:sz w:val="18"/>
                <w:szCs w:val="18"/>
              </w:rPr>
              <w:t>,000</w:t>
            </w:r>
          </w:p>
        </w:tc>
        <w:tc>
          <w:tcPr>
            <w:tcW w:w="993" w:type="dxa"/>
          </w:tcPr>
          <w:p w14:paraId="323A5F36" w14:textId="77777777" w:rsidR="0046013C" w:rsidRDefault="0046013C" w:rsidP="0046013C">
            <w:pPr>
              <w:widowControl w:val="0"/>
              <w:tabs>
                <w:tab w:val="center" w:pos="8647"/>
              </w:tabs>
              <w:autoSpaceDE w:val="0"/>
              <w:autoSpaceDN w:val="0"/>
              <w:adjustRightInd w:val="0"/>
              <w:jc w:val="center"/>
              <w:rPr>
                <w:sz w:val="18"/>
                <w:szCs w:val="18"/>
              </w:rPr>
            </w:pPr>
          </w:p>
          <w:p w14:paraId="3AE8416E" w14:textId="7E9FC15E" w:rsidR="00AA327A" w:rsidRDefault="00AA327A" w:rsidP="0046013C">
            <w:pPr>
              <w:widowControl w:val="0"/>
              <w:tabs>
                <w:tab w:val="center" w:pos="8647"/>
              </w:tabs>
              <w:autoSpaceDE w:val="0"/>
              <w:autoSpaceDN w:val="0"/>
              <w:adjustRightInd w:val="0"/>
              <w:jc w:val="center"/>
              <w:rPr>
                <w:sz w:val="18"/>
                <w:szCs w:val="18"/>
              </w:rPr>
            </w:pPr>
            <w:r>
              <w:rPr>
                <w:sz w:val="18"/>
                <w:szCs w:val="18"/>
              </w:rPr>
              <w:t>100-105</w:t>
            </w:r>
          </w:p>
        </w:tc>
        <w:tc>
          <w:tcPr>
            <w:tcW w:w="992" w:type="dxa"/>
          </w:tcPr>
          <w:p w14:paraId="1A9E6104" w14:textId="77777777" w:rsidR="00013EDA" w:rsidRDefault="00013EDA" w:rsidP="0046013C">
            <w:pPr>
              <w:widowControl w:val="0"/>
              <w:tabs>
                <w:tab w:val="center" w:pos="8647"/>
              </w:tabs>
              <w:autoSpaceDE w:val="0"/>
              <w:autoSpaceDN w:val="0"/>
              <w:adjustRightInd w:val="0"/>
              <w:jc w:val="center"/>
              <w:rPr>
                <w:sz w:val="18"/>
                <w:szCs w:val="18"/>
              </w:rPr>
            </w:pPr>
          </w:p>
          <w:p w14:paraId="7B22D9EC" w14:textId="3481843F" w:rsidR="0046013C" w:rsidRDefault="00226500" w:rsidP="0046013C">
            <w:pPr>
              <w:widowControl w:val="0"/>
              <w:tabs>
                <w:tab w:val="center" w:pos="8647"/>
              </w:tabs>
              <w:autoSpaceDE w:val="0"/>
              <w:autoSpaceDN w:val="0"/>
              <w:adjustRightInd w:val="0"/>
              <w:jc w:val="center"/>
              <w:rPr>
                <w:sz w:val="18"/>
                <w:szCs w:val="18"/>
              </w:rPr>
            </w:pPr>
            <w:r>
              <w:rPr>
                <w:sz w:val="18"/>
                <w:szCs w:val="18"/>
              </w:rPr>
              <w:t>95</w:t>
            </w:r>
            <w:r w:rsidR="00840DE0">
              <w:rPr>
                <w:sz w:val="18"/>
                <w:szCs w:val="18"/>
              </w:rPr>
              <w:t>-</w:t>
            </w:r>
            <w:r>
              <w:rPr>
                <w:sz w:val="18"/>
                <w:szCs w:val="18"/>
              </w:rPr>
              <w:t>100</w:t>
            </w:r>
          </w:p>
        </w:tc>
      </w:tr>
    </w:tbl>
    <w:p w14:paraId="25142AFC" w14:textId="77777777" w:rsidR="00CF03F1" w:rsidRDefault="00CF03F1" w:rsidP="000C2A54">
      <w:pPr>
        <w:widowControl w:val="0"/>
        <w:tabs>
          <w:tab w:val="center" w:pos="8647"/>
        </w:tabs>
        <w:autoSpaceDE w:val="0"/>
        <w:autoSpaceDN w:val="0"/>
        <w:adjustRightInd w:val="0"/>
        <w:rPr>
          <w:color w:val="auto"/>
        </w:rPr>
      </w:pPr>
    </w:p>
    <w:p w14:paraId="4D9F4E2E" w14:textId="5B1BC2BB" w:rsidR="00CC6D3C" w:rsidRDefault="00CC6D3C" w:rsidP="000C2A54">
      <w:pPr>
        <w:widowControl w:val="0"/>
        <w:tabs>
          <w:tab w:val="center" w:pos="8647"/>
        </w:tabs>
        <w:autoSpaceDE w:val="0"/>
        <w:autoSpaceDN w:val="0"/>
        <w:adjustRightInd w:val="0"/>
        <w:rPr>
          <w:color w:val="auto"/>
        </w:rPr>
      </w:pPr>
      <w:r w:rsidRPr="00CC6D3C">
        <w:rPr>
          <w:color w:val="auto"/>
        </w:rPr>
        <w:t>Accrued pension benefits included in this table for any individual affected by the Public Service Pensions Remedy have been calculated based on their inclusion in the legacy scheme for the period between 1 April 2015 and 31 March 2022, following the McCloud judgment. The Public Service Pensions Remedy applies to individuals that were members, or eligible to be members, of a public service pension scheme on 31 March 2012 and were members of a public service pension scheme between 1 April 2015 and 31 March 2022. The basis for the calculation reflects the legal position that impacted members have been rolled back into the relevant legacy scheme for the remedy period and that this will apply unless the member actively exercises their entitlement on retirement to decide instead to receive benefits calculated under the terms of the Alpha scheme for the period from 1 April 2015 to 31 March 2022.</w:t>
      </w:r>
    </w:p>
    <w:p w14:paraId="1EFE647A" w14:textId="77777777" w:rsidR="00CC6D3C" w:rsidRDefault="00CC6D3C" w:rsidP="000C2A54">
      <w:pPr>
        <w:widowControl w:val="0"/>
        <w:tabs>
          <w:tab w:val="center" w:pos="8647"/>
        </w:tabs>
        <w:autoSpaceDE w:val="0"/>
        <w:autoSpaceDN w:val="0"/>
        <w:adjustRightInd w:val="0"/>
        <w:rPr>
          <w:color w:val="auto"/>
        </w:rPr>
      </w:pPr>
    </w:p>
    <w:p w14:paraId="11C1D5A6" w14:textId="73870CAE" w:rsidR="000C2A54" w:rsidRDefault="004C65CF" w:rsidP="000C2A54">
      <w:pPr>
        <w:widowControl w:val="0"/>
        <w:tabs>
          <w:tab w:val="center" w:pos="8647"/>
        </w:tabs>
        <w:autoSpaceDE w:val="0"/>
        <w:autoSpaceDN w:val="0"/>
        <w:adjustRightInd w:val="0"/>
        <w:rPr>
          <w:color w:val="auto"/>
        </w:rPr>
      </w:pPr>
      <w:r w:rsidRPr="009F0840">
        <w:rPr>
          <w:color w:val="auto"/>
        </w:rPr>
        <w:t>No pe</w:t>
      </w:r>
      <w:r w:rsidR="00855C80">
        <w:rPr>
          <w:color w:val="auto"/>
        </w:rPr>
        <w:t>rformance related pay or bonus payments</w:t>
      </w:r>
      <w:r w:rsidRPr="009F0840">
        <w:rPr>
          <w:color w:val="auto"/>
        </w:rPr>
        <w:t xml:space="preserve"> have been </w:t>
      </w:r>
      <w:r w:rsidR="00855C80">
        <w:rPr>
          <w:color w:val="auto"/>
        </w:rPr>
        <w:t>made</w:t>
      </w:r>
      <w:r w:rsidR="005C717D">
        <w:rPr>
          <w:color w:val="auto"/>
        </w:rPr>
        <w:t xml:space="preserve"> in 202</w:t>
      </w:r>
      <w:r w:rsidR="008D617B">
        <w:rPr>
          <w:color w:val="auto"/>
        </w:rPr>
        <w:t>4</w:t>
      </w:r>
      <w:r w:rsidR="005C717D">
        <w:rPr>
          <w:color w:val="auto"/>
        </w:rPr>
        <w:t>-2</w:t>
      </w:r>
      <w:r w:rsidR="008D617B">
        <w:rPr>
          <w:color w:val="auto"/>
        </w:rPr>
        <w:t>5</w:t>
      </w:r>
      <w:r w:rsidR="008765D5">
        <w:rPr>
          <w:color w:val="auto"/>
        </w:rPr>
        <w:t xml:space="preserve"> (202</w:t>
      </w:r>
      <w:r w:rsidR="008D617B">
        <w:rPr>
          <w:color w:val="auto"/>
        </w:rPr>
        <w:t>3</w:t>
      </w:r>
      <w:r w:rsidR="005C717D">
        <w:rPr>
          <w:color w:val="auto"/>
        </w:rPr>
        <w:t>-2</w:t>
      </w:r>
      <w:r w:rsidR="008D617B">
        <w:rPr>
          <w:color w:val="auto"/>
        </w:rPr>
        <w:t>4</w:t>
      </w:r>
      <w:r w:rsidRPr="009F0840">
        <w:rPr>
          <w:color w:val="auto"/>
        </w:rPr>
        <w:t xml:space="preserve">: </w:t>
      </w:r>
      <w:r w:rsidR="00856545">
        <w:rPr>
          <w:color w:val="auto"/>
        </w:rPr>
        <w:t>£</w:t>
      </w:r>
      <w:r w:rsidRPr="009F0840">
        <w:rPr>
          <w:color w:val="auto"/>
        </w:rPr>
        <w:t>nil).</w:t>
      </w:r>
    </w:p>
    <w:p w14:paraId="031442D2" w14:textId="77777777" w:rsidR="001E5939" w:rsidRDefault="001E5939" w:rsidP="000C2A54">
      <w:pPr>
        <w:rPr>
          <w:b/>
          <w:sz w:val="22"/>
          <w:szCs w:val="22"/>
        </w:rPr>
      </w:pPr>
    </w:p>
    <w:p w14:paraId="3AC5F5FA" w14:textId="045F33F2" w:rsidR="00283547" w:rsidRPr="00C87C4B" w:rsidRDefault="00283547" w:rsidP="00283547">
      <w:pPr>
        <w:pStyle w:val="Heading4"/>
        <w:spacing w:before="0" w:after="0"/>
        <w:rPr>
          <w:rFonts w:ascii="Verdana" w:hAnsi="Verdana"/>
          <w:b w:val="0"/>
          <w:bCs w:val="0"/>
          <w:snapToGrid w:val="0"/>
          <w:sz w:val="24"/>
          <w:szCs w:val="24"/>
        </w:rPr>
      </w:pPr>
      <w:r w:rsidRPr="005B72C1">
        <w:rPr>
          <w:rFonts w:ascii="Verdana" w:hAnsi="Verdana"/>
          <w:snapToGrid w:val="0"/>
          <w:sz w:val="24"/>
          <w:szCs w:val="24"/>
        </w:rPr>
        <w:t>Salary</w:t>
      </w:r>
      <w:r>
        <w:rPr>
          <w:rFonts w:ascii="Verdana" w:hAnsi="Verdana"/>
          <w:snapToGrid w:val="0"/>
          <w:sz w:val="24"/>
          <w:szCs w:val="24"/>
        </w:rPr>
        <w:t xml:space="preserve"> </w:t>
      </w:r>
    </w:p>
    <w:p w14:paraId="577A48BE" w14:textId="77777777" w:rsidR="00283547" w:rsidRPr="005B72C1" w:rsidRDefault="00283547" w:rsidP="00283547"/>
    <w:p w14:paraId="09458176" w14:textId="0948836D" w:rsidR="00283547" w:rsidRDefault="00283547" w:rsidP="00283547">
      <w:pPr>
        <w:pStyle w:val="BodyTextIndent"/>
        <w:spacing w:after="0"/>
        <w:ind w:left="0"/>
      </w:pPr>
      <w:r w:rsidRPr="005B72C1">
        <w:t>‘Salary’ includes gross salary</w:t>
      </w:r>
      <w:r>
        <w:t>;</w:t>
      </w:r>
      <w:r w:rsidRPr="005B72C1">
        <w:t xml:space="preserve"> overtime; and any other allowance </w:t>
      </w:r>
      <w:r>
        <w:t xml:space="preserve">to the extent that is </w:t>
      </w:r>
      <w:r w:rsidRPr="005B72C1">
        <w:t>subject to UK taxation.</w:t>
      </w:r>
      <w:r>
        <w:t xml:space="preserve">  No </w:t>
      </w:r>
      <w:r w:rsidRPr="005B72C1">
        <w:t xml:space="preserve">performance </w:t>
      </w:r>
      <w:r>
        <w:t xml:space="preserve">related </w:t>
      </w:r>
      <w:r w:rsidRPr="005B72C1">
        <w:t xml:space="preserve">pay </w:t>
      </w:r>
      <w:r>
        <w:t>or bonus payments were made in year (202</w:t>
      </w:r>
      <w:r w:rsidR="008D617B">
        <w:t>3</w:t>
      </w:r>
      <w:r>
        <w:t>-2</w:t>
      </w:r>
      <w:r w:rsidR="008D617B">
        <w:t>4</w:t>
      </w:r>
      <w:r>
        <w:t xml:space="preserve">: £nil).  </w:t>
      </w:r>
      <w:r w:rsidRPr="005B72C1">
        <w:t>This report is based on accrued payments made by the Commission and thus recorded in these accounts.</w:t>
      </w:r>
    </w:p>
    <w:p w14:paraId="7BF66DD3" w14:textId="77777777" w:rsidR="00C37D46" w:rsidRPr="005B72C1" w:rsidRDefault="00C37D46" w:rsidP="00283547">
      <w:pPr>
        <w:pStyle w:val="BodyTextIndent"/>
        <w:spacing w:after="0"/>
        <w:ind w:left="0"/>
      </w:pPr>
    </w:p>
    <w:p w14:paraId="4D2E93C5" w14:textId="29ED8596" w:rsidR="00283547" w:rsidRPr="00C87C4B" w:rsidRDefault="00283547" w:rsidP="00283547">
      <w:pPr>
        <w:pStyle w:val="Heading4"/>
        <w:spacing w:before="0" w:after="0"/>
        <w:rPr>
          <w:rFonts w:ascii="Verdana" w:hAnsi="Verdana"/>
          <w:b w:val="0"/>
          <w:bCs w:val="0"/>
          <w:snapToGrid w:val="0"/>
          <w:sz w:val="24"/>
          <w:szCs w:val="24"/>
        </w:rPr>
      </w:pPr>
      <w:r w:rsidRPr="005B72C1">
        <w:rPr>
          <w:rFonts w:ascii="Verdana" w:hAnsi="Verdana"/>
          <w:snapToGrid w:val="0"/>
          <w:sz w:val="24"/>
          <w:szCs w:val="24"/>
        </w:rPr>
        <w:t>Benefits in kind</w:t>
      </w:r>
      <w:r>
        <w:rPr>
          <w:rFonts w:ascii="Verdana" w:hAnsi="Verdana"/>
          <w:snapToGrid w:val="0"/>
          <w:sz w:val="24"/>
          <w:szCs w:val="24"/>
        </w:rPr>
        <w:t xml:space="preserve"> </w:t>
      </w:r>
    </w:p>
    <w:p w14:paraId="0EE7DBC3" w14:textId="77777777" w:rsidR="00283547" w:rsidRPr="005B72C1" w:rsidRDefault="00283547" w:rsidP="00283547">
      <w:pPr>
        <w:rPr>
          <w:lang w:val="en-US"/>
        </w:rPr>
      </w:pPr>
    </w:p>
    <w:p w14:paraId="6FE69098" w14:textId="77777777" w:rsidR="00283547" w:rsidRPr="00D80497" w:rsidRDefault="00283547" w:rsidP="00283547">
      <w:pPr>
        <w:widowControl w:val="0"/>
        <w:tabs>
          <w:tab w:val="left" w:pos="567"/>
          <w:tab w:val="left" w:pos="3075"/>
        </w:tabs>
        <w:autoSpaceDE w:val="0"/>
        <w:autoSpaceDN w:val="0"/>
        <w:adjustRightInd w:val="0"/>
        <w:rPr>
          <w:rFonts w:cs="Arial"/>
        </w:rPr>
      </w:pPr>
      <w:r w:rsidRPr="005B72C1">
        <w:rPr>
          <w:snapToGrid w:val="0"/>
        </w:rPr>
        <w:t xml:space="preserve">The monetary value of benefits in kind covers any benefits provided by </w:t>
      </w:r>
      <w:r w:rsidRPr="005B72C1">
        <w:rPr>
          <w:snapToGrid w:val="0"/>
        </w:rPr>
        <w:lastRenderedPageBreak/>
        <w:t xml:space="preserve">the employer and treated by HM Revenue and Customs as a taxable emolument (salary).   </w:t>
      </w:r>
      <w:r w:rsidRPr="005B72C1">
        <w:rPr>
          <w:rFonts w:cs="Arial"/>
        </w:rPr>
        <w:t>Mileage Allowance Payments for Commissioners are classed as a benefit in kind and relate to the use of their own vehicles for travel to the Commission’s office for meetings.</w:t>
      </w:r>
      <w:r w:rsidRPr="00D80497">
        <w:rPr>
          <w:rFonts w:cs="Arial"/>
        </w:rPr>
        <w:t xml:space="preserve">   </w:t>
      </w:r>
    </w:p>
    <w:p w14:paraId="7B45FF5E" w14:textId="77777777" w:rsidR="00283547" w:rsidRPr="00D80497" w:rsidRDefault="00283547" w:rsidP="00283547">
      <w:pPr>
        <w:widowControl w:val="0"/>
        <w:tabs>
          <w:tab w:val="left" w:pos="567"/>
          <w:tab w:val="left" w:pos="3075"/>
        </w:tabs>
        <w:autoSpaceDE w:val="0"/>
        <w:autoSpaceDN w:val="0"/>
        <w:adjustRightInd w:val="0"/>
        <w:rPr>
          <w:snapToGrid w:val="0"/>
        </w:rPr>
      </w:pPr>
    </w:p>
    <w:p w14:paraId="4762A592" w14:textId="2234316F" w:rsidR="00283547" w:rsidRDefault="00283547" w:rsidP="00283547">
      <w:pPr>
        <w:widowControl w:val="0"/>
        <w:tabs>
          <w:tab w:val="left" w:pos="567"/>
          <w:tab w:val="left" w:pos="3075"/>
        </w:tabs>
        <w:autoSpaceDE w:val="0"/>
        <w:autoSpaceDN w:val="0"/>
        <w:adjustRightInd w:val="0"/>
      </w:pPr>
      <w:r w:rsidRPr="006269AD">
        <w:t>Benefits in kind paid</w:t>
      </w:r>
      <w:r>
        <w:t xml:space="preserve"> during the 202</w:t>
      </w:r>
      <w:r w:rsidR="008D617B">
        <w:t>4</w:t>
      </w:r>
      <w:r>
        <w:t>-2</w:t>
      </w:r>
      <w:r w:rsidR="008D617B">
        <w:t>5</w:t>
      </w:r>
      <w:r w:rsidRPr="006269AD">
        <w:t xml:space="preserve"> financial year were </w:t>
      </w:r>
      <w:r>
        <w:t>£</w:t>
      </w:r>
      <w:r w:rsidR="008D617B">
        <w:t>76</w:t>
      </w:r>
      <w:r>
        <w:t xml:space="preserve"> (202</w:t>
      </w:r>
      <w:r w:rsidR="008D617B">
        <w:t>3</w:t>
      </w:r>
      <w:r>
        <w:t>-2</w:t>
      </w:r>
      <w:r w:rsidR="008D617B">
        <w:t>4</w:t>
      </w:r>
      <w:r w:rsidRPr="006269AD">
        <w:t>: £</w:t>
      </w:r>
      <w:r>
        <w:t>1</w:t>
      </w:r>
      <w:r w:rsidR="008D617B">
        <w:t>67</w:t>
      </w:r>
      <w:r w:rsidRPr="006269AD">
        <w:t>).</w:t>
      </w:r>
    </w:p>
    <w:p w14:paraId="2E76A596" w14:textId="77777777" w:rsidR="00283547" w:rsidRDefault="00283547" w:rsidP="00283547">
      <w:pPr>
        <w:widowControl w:val="0"/>
        <w:tabs>
          <w:tab w:val="left" w:pos="567"/>
          <w:tab w:val="left" w:pos="3075"/>
        </w:tabs>
        <w:autoSpaceDE w:val="0"/>
        <w:autoSpaceDN w:val="0"/>
        <w:adjustRightInd w:val="0"/>
      </w:pPr>
    </w:p>
    <w:p w14:paraId="18BB3347" w14:textId="7B3A5293" w:rsidR="00283547" w:rsidRDefault="00283547" w:rsidP="00283547">
      <w:pPr>
        <w:widowControl w:val="0"/>
        <w:tabs>
          <w:tab w:val="left" w:pos="567"/>
          <w:tab w:val="left" w:pos="3075"/>
        </w:tabs>
        <w:autoSpaceDE w:val="0"/>
        <w:autoSpaceDN w:val="0"/>
        <w:adjustRightInd w:val="0"/>
      </w:pPr>
      <w:r>
        <w:t>There were no non-cash benefits made during the 202</w:t>
      </w:r>
      <w:r w:rsidR="008D617B">
        <w:t>4</w:t>
      </w:r>
      <w:r>
        <w:t>-2</w:t>
      </w:r>
      <w:r w:rsidR="008D617B">
        <w:t>5</w:t>
      </w:r>
      <w:r>
        <w:t xml:space="preserve"> financial year (202</w:t>
      </w:r>
      <w:r w:rsidR="008D617B">
        <w:t>3</w:t>
      </w:r>
      <w:r>
        <w:t>-2</w:t>
      </w:r>
      <w:r w:rsidR="008D617B">
        <w:t>4</w:t>
      </w:r>
      <w:r>
        <w:t>: None).</w:t>
      </w:r>
    </w:p>
    <w:p w14:paraId="77F935F8" w14:textId="77777777" w:rsidR="008D617B" w:rsidRDefault="008D617B" w:rsidP="00283547">
      <w:pPr>
        <w:widowControl w:val="0"/>
        <w:tabs>
          <w:tab w:val="left" w:pos="567"/>
          <w:tab w:val="left" w:pos="3075"/>
        </w:tabs>
        <w:autoSpaceDE w:val="0"/>
        <w:autoSpaceDN w:val="0"/>
        <w:adjustRightInd w:val="0"/>
      </w:pPr>
    </w:p>
    <w:p w14:paraId="6BD6E9FF" w14:textId="528B0DA1" w:rsidR="00AE29C3" w:rsidRDefault="00AE29C3" w:rsidP="00283547">
      <w:pPr>
        <w:widowControl w:val="0"/>
        <w:tabs>
          <w:tab w:val="left" w:pos="567"/>
          <w:tab w:val="left" w:pos="3075"/>
        </w:tabs>
        <w:autoSpaceDE w:val="0"/>
        <w:autoSpaceDN w:val="0"/>
        <w:adjustRightInd w:val="0"/>
      </w:pPr>
      <w:r>
        <w:rPr>
          <w:b/>
          <w:bCs/>
        </w:rPr>
        <w:t>Bonuses</w:t>
      </w:r>
    </w:p>
    <w:p w14:paraId="4F6D67D9" w14:textId="77777777" w:rsidR="00AE29C3" w:rsidRDefault="00AE29C3" w:rsidP="00283547">
      <w:pPr>
        <w:widowControl w:val="0"/>
        <w:tabs>
          <w:tab w:val="left" w:pos="567"/>
          <w:tab w:val="left" w:pos="3075"/>
        </w:tabs>
        <w:autoSpaceDE w:val="0"/>
        <w:autoSpaceDN w:val="0"/>
        <w:adjustRightInd w:val="0"/>
      </w:pPr>
    </w:p>
    <w:p w14:paraId="14EE4C12" w14:textId="6F412432" w:rsidR="00431AE4" w:rsidRDefault="00AE29C3" w:rsidP="000C2A54">
      <w:pPr>
        <w:rPr>
          <w:b/>
          <w:sz w:val="22"/>
          <w:szCs w:val="22"/>
        </w:rPr>
      </w:pPr>
      <w:r>
        <w:t>The Commission does not make bonus payments in respect of staff performance.  No bonuses were payable to staff or to senior managers in respect of the year ended 31 March 202</w:t>
      </w:r>
      <w:r w:rsidR="008D617B">
        <w:t>5</w:t>
      </w:r>
      <w:r>
        <w:t xml:space="preserve"> (nil for the year ended 31 March 202</w:t>
      </w:r>
      <w:r w:rsidR="008D617B">
        <w:t>4</w:t>
      </w:r>
      <w:r>
        <w:t>).</w:t>
      </w:r>
    </w:p>
    <w:p w14:paraId="41EDAC33" w14:textId="77777777" w:rsidR="00431AE4" w:rsidRDefault="00431AE4" w:rsidP="000C2A54">
      <w:pPr>
        <w:rPr>
          <w:b/>
          <w:sz w:val="22"/>
          <w:szCs w:val="22"/>
        </w:rPr>
      </w:pPr>
    </w:p>
    <w:p w14:paraId="195DAD79" w14:textId="77777777" w:rsidR="00977083" w:rsidRPr="00010504" w:rsidRDefault="00977083">
      <w:pPr>
        <w:rPr>
          <w:b/>
        </w:rPr>
      </w:pPr>
      <w:r w:rsidRPr="00010504">
        <w:rPr>
          <w:b/>
        </w:rPr>
        <w:t>Accrued Pension Benefits</w:t>
      </w:r>
    </w:p>
    <w:p w14:paraId="30F7F5B1" w14:textId="77777777" w:rsidR="00977083" w:rsidRPr="00010504" w:rsidRDefault="00977083">
      <w:pPr>
        <w:rPr>
          <w:b/>
        </w:rPr>
      </w:pPr>
    </w:p>
    <w:p w14:paraId="7B87C65E" w14:textId="61D1C8F1" w:rsidR="00022DC6" w:rsidRPr="00010504" w:rsidRDefault="00977083">
      <w:pPr>
        <w:rPr>
          <w:bCs/>
        </w:rPr>
      </w:pPr>
      <w:r w:rsidRPr="00010504">
        <w:rPr>
          <w:bCs/>
        </w:rPr>
        <w:t>The value of pension benefits accrued during the year is calculated as (the real increase in pension multiplied by 20) plus (the real increase in any lump sum) less (the contributions made by the individual). The real increases exclude increases due to inflation or any increase or decreases due to a transfer of pension rights.</w:t>
      </w:r>
      <w:r w:rsidR="00022DC6" w:rsidRPr="00010504">
        <w:rPr>
          <w:bCs/>
        </w:rPr>
        <w:br w:type="page"/>
      </w:r>
    </w:p>
    <w:p w14:paraId="3B54362D" w14:textId="5329895E" w:rsidR="000C2A54" w:rsidRDefault="00E80A5B" w:rsidP="000C2A54">
      <w:pPr>
        <w:rPr>
          <w:b/>
          <w:sz w:val="22"/>
          <w:szCs w:val="22"/>
        </w:rPr>
      </w:pPr>
      <w:r w:rsidRPr="00FA690F">
        <w:rPr>
          <w:b/>
          <w:sz w:val="22"/>
          <w:szCs w:val="22"/>
        </w:rPr>
        <w:lastRenderedPageBreak/>
        <w:t>Fair Pay Disclosure – (audited information)</w:t>
      </w:r>
    </w:p>
    <w:p w14:paraId="728C3DA5" w14:textId="7CEBA691" w:rsidR="00DC7D8F" w:rsidRDefault="00DC7D8F" w:rsidP="000C2A54">
      <w:pPr>
        <w:rPr>
          <w:color w:val="auto"/>
          <w:lang w:val="en-US"/>
        </w:rPr>
      </w:pPr>
    </w:p>
    <w:tbl>
      <w:tblPr>
        <w:tblStyle w:val="TableGrid"/>
        <w:tblW w:w="0" w:type="auto"/>
        <w:tblLook w:val="04A0" w:firstRow="1" w:lastRow="0" w:firstColumn="1" w:lastColumn="0" w:noHBand="0" w:noVBand="1"/>
      </w:tblPr>
      <w:tblGrid>
        <w:gridCol w:w="3020"/>
        <w:gridCol w:w="3020"/>
        <w:gridCol w:w="3021"/>
      </w:tblGrid>
      <w:tr w:rsidR="00A14CED" w14:paraId="58F70778" w14:textId="77777777" w:rsidTr="00ED406F">
        <w:tc>
          <w:tcPr>
            <w:tcW w:w="3020" w:type="dxa"/>
          </w:tcPr>
          <w:p w14:paraId="07640700" w14:textId="77777777" w:rsidR="00ED406F" w:rsidRDefault="00ED406F" w:rsidP="000C2A54">
            <w:pPr>
              <w:rPr>
                <w:color w:val="auto"/>
              </w:rPr>
            </w:pPr>
          </w:p>
        </w:tc>
        <w:tc>
          <w:tcPr>
            <w:tcW w:w="3020" w:type="dxa"/>
          </w:tcPr>
          <w:p w14:paraId="1D25970A" w14:textId="54B7E6CC" w:rsidR="00ED406F" w:rsidRDefault="00ED406F" w:rsidP="000C2A54">
            <w:pPr>
              <w:rPr>
                <w:color w:val="auto"/>
              </w:rPr>
            </w:pPr>
            <w:r>
              <w:rPr>
                <w:color w:val="auto"/>
              </w:rPr>
              <w:t>202</w:t>
            </w:r>
            <w:r w:rsidR="00FA690F">
              <w:rPr>
                <w:color w:val="auto"/>
              </w:rPr>
              <w:t>4</w:t>
            </w:r>
            <w:r>
              <w:rPr>
                <w:color w:val="auto"/>
              </w:rPr>
              <w:t>-2</w:t>
            </w:r>
            <w:r w:rsidR="00FA690F">
              <w:rPr>
                <w:color w:val="auto"/>
              </w:rPr>
              <w:t>5</w:t>
            </w:r>
          </w:p>
          <w:p w14:paraId="236D47FE" w14:textId="1ADCA152" w:rsidR="00D75ECC" w:rsidRDefault="00D75ECC" w:rsidP="000C2A54">
            <w:pPr>
              <w:rPr>
                <w:color w:val="auto"/>
              </w:rPr>
            </w:pPr>
          </w:p>
        </w:tc>
        <w:tc>
          <w:tcPr>
            <w:tcW w:w="3021" w:type="dxa"/>
          </w:tcPr>
          <w:p w14:paraId="326FAF92" w14:textId="40F93FFF" w:rsidR="00ED406F" w:rsidRDefault="00FA690F" w:rsidP="000C2A54">
            <w:pPr>
              <w:rPr>
                <w:color w:val="auto"/>
              </w:rPr>
            </w:pPr>
            <w:r>
              <w:rPr>
                <w:color w:val="auto"/>
              </w:rPr>
              <w:t>2023-24</w:t>
            </w:r>
          </w:p>
        </w:tc>
      </w:tr>
      <w:tr w:rsidR="00A14CED" w14:paraId="027A28FF" w14:textId="77777777" w:rsidTr="00ED406F">
        <w:tc>
          <w:tcPr>
            <w:tcW w:w="3020" w:type="dxa"/>
          </w:tcPr>
          <w:p w14:paraId="2B624CF5" w14:textId="77777777" w:rsidR="00ED406F" w:rsidRDefault="00ED406F" w:rsidP="000C2A54">
            <w:pPr>
              <w:rPr>
                <w:color w:val="auto"/>
              </w:rPr>
            </w:pPr>
            <w:r>
              <w:rPr>
                <w:color w:val="auto"/>
              </w:rPr>
              <w:t>Band of Highest Paid Director FTE Total Remuneration</w:t>
            </w:r>
          </w:p>
          <w:p w14:paraId="7729A972" w14:textId="42394D96" w:rsidR="00D75ECC" w:rsidRDefault="00D75ECC" w:rsidP="000C2A54">
            <w:pPr>
              <w:rPr>
                <w:color w:val="auto"/>
              </w:rPr>
            </w:pPr>
          </w:p>
        </w:tc>
        <w:tc>
          <w:tcPr>
            <w:tcW w:w="3020" w:type="dxa"/>
          </w:tcPr>
          <w:p w14:paraId="14568110" w14:textId="41A8FCC9" w:rsidR="00ED406F" w:rsidRDefault="0046013C" w:rsidP="000C2A54">
            <w:pPr>
              <w:rPr>
                <w:color w:val="auto"/>
              </w:rPr>
            </w:pPr>
            <w:r>
              <w:rPr>
                <w:color w:val="auto"/>
              </w:rPr>
              <w:t>£</w:t>
            </w:r>
            <w:r w:rsidR="00FA690F">
              <w:rPr>
                <w:color w:val="auto"/>
              </w:rPr>
              <w:t>90</w:t>
            </w:r>
            <w:r>
              <w:rPr>
                <w:color w:val="auto"/>
              </w:rPr>
              <w:t>,000-£</w:t>
            </w:r>
            <w:r w:rsidR="00096E7B">
              <w:rPr>
                <w:color w:val="auto"/>
              </w:rPr>
              <w:t>9</w:t>
            </w:r>
            <w:r w:rsidR="00FA690F">
              <w:rPr>
                <w:color w:val="auto"/>
              </w:rPr>
              <w:t>5</w:t>
            </w:r>
            <w:r>
              <w:rPr>
                <w:color w:val="auto"/>
              </w:rPr>
              <w:t>,000</w:t>
            </w:r>
          </w:p>
        </w:tc>
        <w:tc>
          <w:tcPr>
            <w:tcW w:w="3021" w:type="dxa"/>
          </w:tcPr>
          <w:p w14:paraId="55A20606" w14:textId="567B620F" w:rsidR="00ED406F" w:rsidRDefault="00FA690F" w:rsidP="000C2A54">
            <w:pPr>
              <w:rPr>
                <w:color w:val="auto"/>
              </w:rPr>
            </w:pPr>
            <w:r>
              <w:rPr>
                <w:color w:val="auto"/>
              </w:rPr>
              <w:t>£85,000-£90,000</w:t>
            </w:r>
          </w:p>
        </w:tc>
      </w:tr>
      <w:tr w:rsidR="00A14CED" w14:paraId="4B00B6AF" w14:textId="77777777" w:rsidTr="00ED406F">
        <w:tc>
          <w:tcPr>
            <w:tcW w:w="3020" w:type="dxa"/>
          </w:tcPr>
          <w:p w14:paraId="787AE5CD" w14:textId="144E5A8A" w:rsidR="00D75ECC" w:rsidRDefault="00950FF1" w:rsidP="000C2A54">
            <w:pPr>
              <w:rPr>
                <w:color w:val="auto"/>
              </w:rPr>
            </w:pPr>
            <w:r>
              <w:rPr>
                <w:color w:val="auto"/>
              </w:rPr>
              <w:t>Me</w:t>
            </w:r>
            <w:r w:rsidR="00A054D0">
              <w:rPr>
                <w:color w:val="auto"/>
              </w:rPr>
              <w:t>di</w:t>
            </w:r>
            <w:r>
              <w:rPr>
                <w:color w:val="auto"/>
              </w:rPr>
              <w:t xml:space="preserve">an </w:t>
            </w:r>
            <w:r w:rsidR="002A2679">
              <w:rPr>
                <w:color w:val="auto"/>
              </w:rPr>
              <w:t>total pay and benefits</w:t>
            </w:r>
            <w:r w:rsidR="008E5580">
              <w:rPr>
                <w:color w:val="auto"/>
              </w:rPr>
              <w:t xml:space="preserve"> </w:t>
            </w:r>
            <w:r w:rsidR="002A2679">
              <w:rPr>
                <w:color w:val="auto"/>
              </w:rPr>
              <w:t>r</w:t>
            </w:r>
            <w:r w:rsidR="008E5580">
              <w:rPr>
                <w:color w:val="auto"/>
              </w:rPr>
              <w:t>atio</w:t>
            </w:r>
          </w:p>
        </w:tc>
        <w:tc>
          <w:tcPr>
            <w:tcW w:w="3020" w:type="dxa"/>
          </w:tcPr>
          <w:p w14:paraId="413CDA46" w14:textId="5A4F89CB" w:rsidR="00A054D0" w:rsidRDefault="0046013C" w:rsidP="000C2A54">
            <w:pPr>
              <w:rPr>
                <w:color w:val="auto"/>
              </w:rPr>
            </w:pPr>
            <w:r>
              <w:rPr>
                <w:color w:val="auto"/>
              </w:rPr>
              <w:t>1.</w:t>
            </w:r>
            <w:r w:rsidR="00FA690F">
              <w:rPr>
                <w:color w:val="auto"/>
              </w:rPr>
              <w:t>98</w:t>
            </w:r>
          </w:p>
          <w:p w14:paraId="329A0BBE" w14:textId="77777777" w:rsidR="0046013C" w:rsidRDefault="0046013C" w:rsidP="000C2A54">
            <w:pPr>
              <w:rPr>
                <w:color w:val="auto"/>
              </w:rPr>
            </w:pPr>
          </w:p>
          <w:p w14:paraId="1DCEF478" w14:textId="6CD5D0AB" w:rsidR="0046013C" w:rsidRDefault="0046013C" w:rsidP="000C2A54">
            <w:pPr>
              <w:rPr>
                <w:color w:val="auto"/>
              </w:rPr>
            </w:pPr>
          </w:p>
        </w:tc>
        <w:tc>
          <w:tcPr>
            <w:tcW w:w="3021" w:type="dxa"/>
          </w:tcPr>
          <w:p w14:paraId="40B6EFDD" w14:textId="77777777" w:rsidR="00FA690F" w:rsidRDefault="00FA690F" w:rsidP="00FA690F">
            <w:pPr>
              <w:rPr>
                <w:color w:val="auto"/>
              </w:rPr>
            </w:pPr>
            <w:r>
              <w:rPr>
                <w:color w:val="auto"/>
              </w:rPr>
              <w:t>1.58</w:t>
            </w:r>
          </w:p>
          <w:p w14:paraId="451CD610" w14:textId="77777777" w:rsidR="00FA690F" w:rsidRDefault="00FA690F" w:rsidP="00FA690F">
            <w:pPr>
              <w:rPr>
                <w:color w:val="auto"/>
              </w:rPr>
            </w:pPr>
          </w:p>
          <w:p w14:paraId="278550F9" w14:textId="2FEA8D93" w:rsidR="00950FF1" w:rsidRDefault="00950FF1" w:rsidP="000C2A54">
            <w:pPr>
              <w:rPr>
                <w:color w:val="auto"/>
              </w:rPr>
            </w:pPr>
          </w:p>
        </w:tc>
      </w:tr>
      <w:tr w:rsidR="008E5580" w14:paraId="77E880BD" w14:textId="77777777" w:rsidTr="00ED406F">
        <w:tc>
          <w:tcPr>
            <w:tcW w:w="3020" w:type="dxa"/>
          </w:tcPr>
          <w:p w14:paraId="668B50B0" w14:textId="7AC3D057" w:rsidR="008E5580" w:rsidRDefault="008E5580" w:rsidP="000C2A54">
            <w:pPr>
              <w:rPr>
                <w:color w:val="auto"/>
              </w:rPr>
            </w:pPr>
            <w:r>
              <w:rPr>
                <w:color w:val="auto"/>
              </w:rPr>
              <w:t xml:space="preserve">Median </w:t>
            </w:r>
            <w:r w:rsidR="002A2679">
              <w:rPr>
                <w:color w:val="auto"/>
              </w:rPr>
              <w:t>total pay and benefits</w:t>
            </w:r>
          </w:p>
          <w:p w14:paraId="5FE1C30E" w14:textId="0F9D8199" w:rsidR="008E5580" w:rsidRDefault="008E5580" w:rsidP="000C2A54">
            <w:pPr>
              <w:rPr>
                <w:color w:val="auto"/>
              </w:rPr>
            </w:pPr>
          </w:p>
        </w:tc>
        <w:tc>
          <w:tcPr>
            <w:tcW w:w="3020" w:type="dxa"/>
          </w:tcPr>
          <w:p w14:paraId="7304E01A" w14:textId="2BBB1F47" w:rsidR="008E5580" w:rsidRDefault="008E5580" w:rsidP="000C2A54">
            <w:pPr>
              <w:rPr>
                <w:color w:val="auto"/>
              </w:rPr>
            </w:pPr>
            <w:r>
              <w:rPr>
                <w:color w:val="auto"/>
              </w:rPr>
              <w:t>£</w:t>
            </w:r>
            <w:r w:rsidR="00FA690F">
              <w:rPr>
                <w:color w:val="auto"/>
              </w:rPr>
              <w:t>46</w:t>
            </w:r>
            <w:r>
              <w:rPr>
                <w:color w:val="auto"/>
              </w:rPr>
              <w:t>,</w:t>
            </w:r>
            <w:r w:rsidR="00FA690F">
              <w:rPr>
                <w:color w:val="auto"/>
              </w:rPr>
              <w:t>712</w:t>
            </w:r>
          </w:p>
        </w:tc>
        <w:tc>
          <w:tcPr>
            <w:tcW w:w="3021" w:type="dxa"/>
          </w:tcPr>
          <w:p w14:paraId="1D16347E" w14:textId="7B53F0E7" w:rsidR="008E5580" w:rsidRDefault="00FA690F" w:rsidP="000C2A54">
            <w:pPr>
              <w:rPr>
                <w:color w:val="auto"/>
              </w:rPr>
            </w:pPr>
            <w:r>
              <w:rPr>
                <w:color w:val="auto"/>
              </w:rPr>
              <w:t>£55,207</w:t>
            </w:r>
          </w:p>
        </w:tc>
      </w:tr>
      <w:tr w:rsidR="00A14CED" w14:paraId="7D21D80A" w14:textId="77777777" w:rsidTr="00ED406F">
        <w:tc>
          <w:tcPr>
            <w:tcW w:w="3020" w:type="dxa"/>
          </w:tcPr>
          <w:p w14:paraId="70CB206F" w14:textId="28DC42EE" w:rsidR="00A50DA8" w:rsidRDefault="00566B25" w:rsidP="000C2A54">
            <w:pPr>
              <w:rPr>
                <w:color w:val="auto"/>
              </w:rPr>
            </w:pPr>
            <w:r>
              <w:rPr>
                <w:color w:val="auto"/>
              </w:rPr>
              <w:t>Median total pay and benefits range</w:t>
            </w:r>
          </w:p>
          <w:p w14:paraId="00028E8E" w14:textId="42EBF2B7" w:rsidR="00D75ECC" w:rsidRDefault="00D75ECC" w:rsidP="000C2A54">
            <w:pPr>
              <w:rPr>
                <w:color w:val="auto"/>
              </w:rPr>
            </w:pPr>
          </w:p>
        </w:tc>
        <w:tc>
          <w:tcPr>
            <w:tcW w:w="3020" w:type="dxa"/>
          </w:tcPr>
          <w:p w14:paraId="7D23940E" w14:textId="090A84F6" w:rsidR="00A50DA8" w:rsidRDefault="0046013C" w:rsidP="000C2A54">
            <w:pPr>
              <w:rPr>
                <w:color w:val="auto"/>
              </w:rPr>
            </w:pPr>
            <w:r>
              <w:rPr>
                <w:color w:val="auto"/>
              </w:rPr>
              <w:t>£2</w:t>
            </w:r>
            <w:r w:rsidR="00096E7B">
              <w:rPr>
                <w:color w:val="auto"/>
              </w:rPr>
              <w:t>4</w:t>
            </w:r>
            <w:r>
              <w:rPr>
                <w:color w:val="auto"/>
              </w:rPr>
              <w:t>,000-£</w:t>
            </w:r>
            <w:r w:rsidR="00FA690F">
              <w:rPr>
                <w:color w:val="auto"/>
              </w:rPr>
              <w:t>92</w:t>
            </w:r>
            <w:r>
              <w:rPr>
                <w:color w:val="auto"/>
              </w:rPr>
              <w:t>,000</w:t>
            </w:r>
          </w:p>
        </w:tc>
        <w:tc>
          <w:tcPr>
            <w:tcW w:w="3021" w:type="dxa"/>
          </w:tcPr>
          <w:p w14:paraId="58F3DF50" w14:textId="5F1FE744" w:rsidR="00A50DA8" w:rsidRDefault="00FA690F" w:rsidP="000C2A54">
            <w:pPr>
              <w:rPr>
                <w:color w:val="auto"/>
              </w:rPr>
            </w:pPr>
            <w:r>
              <w:rPr>
                <w:color w:val="auto"/>
              </w:rPr>
              <w:t>£24,000-£88,000</w:t>
            </w:r>
          </w:p>
        </w:tc>
      </w:tr>
      <w:tr w:rsidR="00A14CED" w14:paraId="4319F37D" w14:textId="77777777" w:rsidTr="00ED406F">
        <w:tc>
          <w:tcPr>
            <w:tcW w:w="3020" w:type="dxa"/>
          </w:tcPr>
          <w:p w14:paraId="427EAF05" w14:textId="6738D6B2" w:rsidR="00CA3328" w:rsidRDefault="00950FF1" w:rsidP="000C2A54">
            <w:pPr>
              <w:rPr>
                <w:color w:val="auto"/>
              </w:rPr>
            </w:pPr>
            <w:r>
              <w:rPr>
                <w:color w:val="auto"/>
              </w:rPr>
              <w:t xml:space="preserve">Percentage change in Director </w:t>
            </w:r>
            <w:r w:rsidR="00F734F0">
              <w:rPr>
                <w:color w:val="auto"/>
              </w:rPr>
              <w:t>total pay and benefits</w:t>
            </w:r>
          </w:p>
          <w:p w14:paraId="0B2F3537" w14:textId="128CE6CB" w:rsidR="00D75ECC" w:rsidRDefault="00D75ECC" w:rsidP="000C2A54">
            <w:pPr>
              <w:rPr>
                <w:color w:val="auto"/>
              </w:rPr>
            </w:pPr>
          </w:p>
        </w:tc>
        <w:tc>
          <w:tcPr>
            <w:tcW w:w="3020" w:type="dxa"/>
          </w:tcPr>
          <w:p w14:paraId="2D1934A1" w14:textId="0534D86E" w:rsidR="00CA3328" w:rsidRDefault="00FA690F" w:rsidP="000C2A54">
            <w:pPr>
              <w:rPr>
                <w:color w:val="auto"/>
              </w:rPr>
            </w:pPr>
            <w:r>
              <w:rPr>
                <w:color w:val="auto"/>
              </w:rPr>
              <w:t>4</w:t>
            </w:r>
            <w:r w:rsidR="0046013C">
              <w:rPr>
                <w:color w:val="auto"/>
              </w:rPr>
              <w:t>.</w:t>
            </w:r>
            <w:r w:rsidR="00096E7B">
              <w:rPr>
                <w:color w:val="auto"/>
              </w:rPr>
              <w:t>9</w:t>
            </w:r>
            <w:r>
              <w:rPr>
                <w:color w:val="auto"/>
              </w:rPr>
              <w:t>0</w:t>
            </w:r>
            <w:r w:rsidR="0046013C">
              <w:rPr>
                <w:color w:val="auto"/>
              </w:rPr>
              <w:t>%</w:t>
            </w:r>
          </w:p>
        </w:tc>
        <w:tc>
          <w:tcPr>
            <w:tcW w:w="3021" w:type="dxa"/>
          </w:tcPr>
          <w:p w14:paraId="3B04E06D" w14:textId="7FFE9663" w:rsidR="00CA3328" w:rsidRDefault="00FA690F" w:rsidP="000C2A54">
            <w:pPr>
              <w:rPr>
                <w:color w:val="auto"/>
              </w:rPr>
            </w:pPr>
            <w:r>
              <w:rPr>
                <w:color w:val="auto"/>
              </w:rPr>
              <w:t>6.97%</w:t>
            </w:r>
          </w:p>
        </w:tc>
      </w:tr>
      <w:tr w:rsidR="00A14CED" w14:paraId="71DED2BB" w14:textId="77777777" w:rsidTr="00ED406F">
        <w:tc>
          <w:tcPr>
            <w:tcW w:w="3020" w:type="dxa"/>
          </w:tcPr>
          <w:p w14:paraId="5B81D2FF" w14:textId="7880F3BD" w:rsidR="00CA3328" w:rsidRDefault="00950FF1" w:rsidP="000C2A54">
            <w:pPr>
              <w:rPr>
                <w:color w:val="auto"/>
              </w:rPr>
            </w:pPr>
            <w:r>
              <w:rPr>
                <w:color w:val="auto"/>
              </w:rPr>
              <w:t>Ratio between highest paid director and 25</w:t>
            </w:r>
            <w:r w:rsidRPr="00950FF1">
              <w:rPr>
                <w:color w:val="auto"/>
                <w:vertAlign w:val="superscript"/>
              </w:rPr>
              <w:t>th</w:t>
            </w:r>
            <w:r>
              <w:rPr>
                <w:color w:val="auto"/>
              </w:rPr>
              <w:t xml:space="preserve"> Percentile</w:t>
            </w:r>
          </w:p>
          <w:p w14:paraId="142D7FD6" w14:textId="279A0A17" w:rsidR="00D75ECC" w:rsidRDefault="00D75ECC" w:rsidP="000C2A54">
            <w:pPr>
              <w:rPr>
                <w:color w:val="auto"/>
              </w:rPr>
            </w:pPr>
          </w:p>
        </w:tc>
        <w:tc>
          <w:tcPr>
            <w:tcW w:w="3020" w:type="dxa"/>
          </w:tcPr>
          <w:p w14:paraId="308DF76E" w14:textId="71F57717" w:rsidR="00CA3328" w:rsidRDefault="0046013C" w:rsidP="000C2A54">
            <w:pPr>
              <w:rPr>
                <w:color w:val="auto"/>
              </w:rPr>
            </w:pPr>
            <w:r>
              <w:rPr>
                <w:color w:val="auto"/>
              </w:rPr>
              <w:t>2.</w:t>
            </w:r>
            <w:r w:rsidR="00FA690F">
              <w:rPr>
                <w:color w:val="auto"/>
              </w:rPr>
              <w:t>60</w:t>
            </w:r>
          </w:p>
        </w:tc>
        <w:tc>
          <w:tcPr>
            <w:tcW w:w="3021" w:type="dxa"/>
          </w:tcPr>
          <w:p w14:paraId="515A03C3" w14:textId="278CF624" w:rsidR="00CA3328" w:rsidRDefault="00FA690F" w:rsidP="000C2A54">
            <w:pPr>
              <w:rPr>
                <w:color w:val="auto"/>
              </w:rPr>
            </w:pPr>
            <w:r>
              <w:rPr>
                <w:color w:val="auto"/>
              </w:rPr>
              <w:t>2.53</w:t>
            </w:r>
          </w:p>
        </w:tc>
      </w:tr>
      <w:tr w:rsidR="00A14CED" w14:paraId="5F0F1512" w14:textId="77777777" w:rsidTr="00ED406F">
        <w:tc>
          <w:tcPr>
            <w:tcW w:w="3020" w:type="dxa"/>
          </w:tcPr>
          <w:p w14:paraId="1571E876" w14:textId="11F6F3DB" w:rsidR="00CA3328" w:rsidRDefault="00950FF1" w:rsidP="000C2A54">
            <w:pPr>
              <w:rPr>
                <w:color w:val="auto"/>
              </w:rPr>
            </w:pPr>
            <w:r>
              <w:rPr>
                <w:color w:val="auto"/>
              </w:rPr>
              <w:t>25</w:t>
            </w:r>
            <w:r w:rsidRPr="00950FF1">
              <w:rPr>
                <w:color w:val="auto"/>
                <w:vertAlign w:val="superscript"/>
              </w:rPr>
              <w:t>th</w:t>
            </w:r>
            <w:r>
              <w:rPr>
                <w:color w:val="auto"/>
              </w:rPr>
              <w:t xml:space="preserve"> Percentile </w:t>
            </w:r>
            <w:r w:rsidR="00F734F0">
              <w:rPr>
                <w:color w:val="auto"/>
              </w:rPr>
              <w:t>total pay and benefits</w:t>
            </w:r>
          </w:p>
          <w:p w14:paraId="3B008A32" w14:textId="257505F2" w:rsidR="00D75ECC" w:rsidRDefault="00D75ECC" w:rsidP="000C2A54">
            <w:pPr>
              <w:rPr>
                <w:color w:val="auto"/>
              </w:rPr>
            </w:pPr>
          </w:p>
        </w:tc>
        <w:tc>
          <w:tcPr>
            <w:tcW w:w="3020" w:type="dxa"/>
          </w:tcPr>
          <w:p w14:paraId="1EC26CD1" w14:textId="4B6C9A3B" w:rsidR="00CA3328" w:rsidRDefault="0046013C" w:rsidP="000C2A54">
            <w:pPr>
              <w:rPr>
                <w:color w:val="auto"/>
              </w:rPr>
            </w:pPr>
            <w:r>
              <w:rPr>
                <w:color w:val="auto"/>
              </w:rPr>
              <w:t>£3</w:t>
            </w:r>
            <w:r w:rsidR="00FA690F">
              <w:rPr>
                <w:color w:val="auto"/>
              </w:rPr>
              <w:t>5</w:t>
            </w:r>
            <w:r>
              <w:rPr>
                <w:color w:val="auto"/>
              </w:rPr>
              <w:t>,</w:t>
            </w:r>
            <w:r w:rsidR="001F3B52">
              <w:rPr>
                <w:color w:val="auto"/>
              </w:rPr>
              <w:t>5</w:t>
            </w:r>
            <w:r w:rsidR="00FA690F">
              <w:rPr>
                <w:color w:val="auto"/>
              </w:rPr>
              <w:t>60</w:t>
            </w:r>
          </w:p>
        </w:tc>
        <w:tc>
          <w:tcPr>
            <w:tcW w:w="3021" w:type="dxa"/>
          </w:tcPr>
          <w:p w14:paraId="23D560CC" w14:textId="752B90AA" w:rsidR="00CA3328" w:rsidRDefault="00FA690F" w:rsidP="000C2A54">
            <w:pPr>
              <w:rPr>
                <w:color w:val="auto"/>
              </w:rPr>
            </w:pPr>
            <w:r>
              <w:rPr>
                <w:color w:val="auto"/>
              </w:rPr>
              <w:t>£34,524</w:t>
            </w:r>
          </w:p>
        </w:tc>
      </w:tr>
      <w:tr w:rsidR="00A14CED" w14:paraId="69508802" w14:textId="77777777" w:rsidTr="00ED406F">
        <w:tc>
          <w:tcPr>
            <w:tcW w:w="3020" w:type="dxa"/>
          </w:tcPr>
          <w:p w14:paraId="29D1B0A7" w14:textId="10A53C1E" w:rsidR="00664580" w:rsidRDefault="00950FF1" w:rsidP="000C2A54">
            <w:pPr>
              <w:rPr>
                <w:color w:val="auto"/>
              </w:rPr>
            </w:pPr>
            <w:r>
              <w:rPr>
                <w:color w:val="auto"/>
              </w:rPr>
              <w:t>Ratio between highest paid director and 75</w:t>
            </w:r>
            <w:r w:rsidRPr="00950FF1">
              <w:rPr>
                <w:color w:val="auto"/>
                <w:vertAlign w:val="superscript"/>
              </w:rPr>
              <w:t>th</w:t>
            </w:r>
            <w:r>
              <w:rPr>
                <w:color w:val="auto"/>
              </w:rPr>
              <w:t xml:space="preserve"> Percentile </w:t>
            </w:r>
          </w:p>
          <w:p w14:paraId="529E6C44" w14:textId="338253B2" w:rsidR="00D75ECC" w:rsidRDefault="00D75ECC" w:rsidP="000C2A54">
            <w:pPr>
              <w:rPr>
                <w:color w:val="auto"/>
              </w:rPr>
            </w:pPr>
          </w:p>
        </w:tc>
        <w:tc>
          <w:tcPr>
            <w:tcW w:w="3020" w:type="dxa"/>
          </w:tcPr>
          <w:p w14:paraId="22AC6172" w14:textId="75D3CA7F" w:rsidR="00664580" w:rsidRDefault="0046013C" w:rsidP="000C2A54">
            <w:pPr>
              <w:rPr>
                <w:color w:val="auto"/>
              </w:rPr>
            </w:pPr>
            <w:r>
              <w:rPr>
                <w:color w:val="auto"/>
              </w:rPr>
              <w:t>1.5</w:t>
            </w:r>
            <w:r w:rsidR="00FA690F">
              <w:rPr>
                <w:color w:val="auto"/>
              </w:rPr>
              <w:t>2</w:t>
            </w:r>
          </w:p>
        </w:tc>
        <w:tc>
          <w:tcPr>
            <w:tcW w:w="3021" w:type="dxa"/>
          </w:tcPr>
          <w:p w14:paraId="4A2305BD" w14:textId="5AB97612" w:rsidR="00664580" w:rsidRDefault="00FA690F" w:rsidP="000C2A54">
            <w:pPr>
              <w:rPr>
                <w:color w:val="auto"/>
              </w:rPr>
            </w:pPr>
            <w:r>
              <w:rPr>
                <w:color w:val="auto"/>
              </w:rPr>
              <w:t>1.51</w:t>
            </w:r>
          </w:p>
        </w:tc>
      </w:tr>
      <w:tr w:rsidR="00950FF1" w14:paraId="5FF661E9" w14:textId="77777777" w:rsidTr="00ED406F">
        <w:tc>
          <w:tcPr>
            <w:tcW w:w="3020" w:type="dxa"/>
          </w:tcPr>
          <w:p w14:paraId="1B644822" w14:textId="447A70F7" w:rsidR="00950FF1" w:rsidRDefault="00950FF1" w:rsidP="000C2A54">
            <w:pPr>
              <w:rPr>
                <w:color w:val="auto"/>
              </w:rPr>
            </w:pPr>
            <w:r>
              <w:rPr>
                <w:color w:val="auto"/>
              </w:rPr>
              <w:t>75</w:t>
            </w:r>
            <w:r w:rsidRPr="00950FF1">
              <w:rPr>
                <w:color w:val="auto"/>
                <w:vertAlign w:val="superscript"/>
              </w:rPr>
              <w:t>th</w:t>
            </w:r>
            <w:r>
              <w:rPr>
                <w:color w:val="auto"/>
              </w:rPr>
              <w:t xml:space="preserve"> Percentile </w:t>
            </w:r>
            <w:r w:rsidR="0028726E">
              <w:rPr>
                <w:color w:val="auto"/>
              </w:rPr>
              <w:t>total pay and benefits</w:t>
            </w:r>
          </w:p>
        </w:tc>
        <w:tc>
          <w:tcPr>
            <w:tcW w:w="3020" w:type="dxa"/>
          </w:tcPr>
          <w:p w14:paraId="712FEEBB" w14:textId="0CB0D77B" w:rsidR="00950FF1" w:rsidRDefault="0046013C" w:rsidP="000C2A54">
            <w:pPr>
              <w:rPr>
                <w:color w:val="auto"/>
              </w:rPr>
            </w:pPr>
            <w:r>
              <w:rPr>
                <w:color w:val="auto"/>
              </w:rPr>
              <w:t>£</w:t>
            </w:r>
            <w:r w:rsidR="00FA690F">
              <w:rPr>
                <w:color w:val="auto"/>
              </w:rPr>
              <w:t>60</w:t>
            </w:r>
            <w:r>
              <w:rPr>
                <w:color w:val="auto"/>
              </w:rPr>
              <w:t>,</w:t>
            </w:r>
            <w:r w:rsidR="00FA690F">
              <w:rPr>
                <w:color w:val="auto"/>
              </w:rPr>
              <w:t>820</w:t>
            </w:r>
          </w:p>
        </w:tc>
        <w:tc>
          <w:tcPr>
            <w:tcW w:w="3021" w:type="dxa"/>
          </w:tcPr>
          <w:p w14:paraId="56E6667B" w14:textId="0018BC21" w:rsidR="00950FF1" w:rsidRDefault="00FA690F" w:rsidP="000C2A54">
            <w:pPr>
              <w:rPr>
                <w:color w:val="auto"/>
              </w:rPr>
            </w:pPr>
            <w:r>
              <w:rPr>
                <w:color w:val="auto"/>
              </w:rPr>
              <w:t>£58,089</w:t>
            </w:r>
          </w:p>
        </w:tc>
      </w:tr>
    </w:tbl>
    <w:p w14:paraId="7761F206" w14:textId="77777777" w:rsidR="00592635" w:rsidRPr="002265A4" w:rsidRDefault="00592635" w:rsidP="000C2A54">
      <w:pPr>
        <w:rPr>
          <w:color w:val="auto"/>
          <w:lang w:val="en-US"/>
        </w:rPr>
      </w:pPr>
    </w:p>
    <w:p w14:paraId="35311519" w14:textId="443F65D4" w:rsidR="005109F1" w:rsidRDefault="005109F1" w:rsidP="005109F1">
      <w:pPr>
        <w:rPr>
          <w:color w:val="auto"/>
          <w:lang w:val="en-US"/>
        </w:rPr>
      </w:pPr>
      <w:r>
        <w:rPr>
          <w:color w:val="auto"/>
          <w:lang w:val="en-US"/>
        </w:rPr>
        <w:t>For the Northern Ireland Human Rights Commission there is no difference between total pay and benefits and the salary component of total pay and benefits</w:t>
      </w:r>
      <w:r w:rsidR="007D38B3">
        <w:rPr>
          <w:color w:val="auto"/>
          <w:lang w:val="en-US"/>
        </w:rPr>
        <w:t>.</w:t>
      </w:r>
    </w:p>
    <w:p w14:paraId="108567EC" w14:textId="77777777" w:rsidR="009003D9" w:rsidRDefault="009003D9" w:rsidP="005109F1">
      <w:pPr>
        <w:rPr>
          <w:color w:val="auto"/>
          <w:lang w:val="en-US"/>
        </w:rPr>
      </w:pPr>
    </w:p>
    <w:p w14:paraId="09AE6354" w14:textId="2FEA1CC3" w:rsidR="00150E9A" w:rsidRDefault="000C2A54" w:rsidP="000C2A54">
      <w:pPr>
        <w:rPr>
          <w:color w:val="auto"/>
          <w:lang w:val="en-US"/>
        </w:rPr>
      </w:pPr>
      <w:r w:rsidRPr="005B72C1">
        <w:rPr>
          <w:color w:val="auto"/>
          <w:lang w:val="en-US"/>
        </w:rPr>
        <w:t xml:space="preserve">Reporting bodies are required to disclose the relationship between the remuneration of the highest-paid </w:t>
      </w:r>
      <w:r w:rsidR="005D25E3">
        <w:rPr>
          <w:color w:val="auto"/>
          <w:lang w:val="en-US"/>
        </w:rPr>
        <w:t>director</w:t>
      </w:r>
      <w:r w:rsidR="005D25E3" w:rsidRPr="005B72C1">
        <w:rPr>
          <w:color w:val="auto"/>
          <w:lang w:val="en-US"/>
        </w:rPr>
        <w:t xml:space="preserve"> </w:t>
      </w:r>
      <w:r w:rsidRPr="005B72C1">
        <w:rPr>
          <w:color w:val="auto"/>
          <w:lang w:val="en-US"/>
        </w:rPr>
        <w:t>in their organisation and the median remuneration of the organisation’s workforce.</w:t>
      </w:r>
    </w:p>
    <w:p w14:paraId="05F61D8F" w14:textId="77777777" w:rsidR="00FA690F" w:rsidRDefault="00FA690F" w:rsidP="000C2A54">
      <w:pPr>
        <w:rPr>
          <w:color w:val="auto"/>
          <w:lang w:val="en-US"/>
        </w:rPr>
      </w:pPr>
    </w:p>
    <w:p w14:paraId="0225548D" w14:textId="1073EE99" w:rsidR="00150E9A" w:rsidRDefault="00150E9A" w:rsidP="000C2A54">
      <w:pPr>
        <w:rPr>
          <w:color w:val="auto"/>
          <w:lang w:val="en-US"/>
        </w:rPr>
      </w:pPr>
      <w:r>
        <w:rPr>
          <w:color w:val="auto"/>
          <w:lang w:val="en-US"/>
        </w:rPr>
        <w:t xml:space="preserve">The calculations exclude the remuneration to the part-time Commissioners as their employment terms and conditions, including rates of remuneration are determined by the United Kingdom </w:t>
      </w:r>
      <w:r w:rsidR="00D33D70">
        <w:rPr>
          <w:color w:val="auto"/>
          <w:lang w:val="en-US"/>
        </w:rPr>
        <w:t>Government</w:t>
      </w:r>
      <w:r>
        <w:rPr>
          <w:color w:val="auto"/>
          <w:lang w:val="en-US"/>
        </w:rPr>
        <w:t xml:space="preserve"> and the </w:t>
      </w:r>
      <w:r w:rsidR="0097191B">
        <w:rPr>
          <w:color w:val="auto"/>
          <w:lang w:val="en-US"/>
        </w:rPr>
        <w:t>Northern Ireland Human Rights</w:t>
      </w:r>
      <w:r>
        <w:rPr>
          <w:color w:val="auto"/>
          <w:lang w:val="en-US"/>
        </w:rPr>
        <w:t xml:space="preserve"> Commission is unable to influence those rates</w:t>
      </w:r>
      <w:r w:rsidR="00FF1FA8">
        <w:rPr>
          <w:color w:val="auto"/>
          <w:lang w:val="en-US"/>
        </w:rPr>
        <w:t xml:space="preserve">. </w:t>
      </w:r>
      <w:r>
        <w:rPr>
          <w:color w:val="auto"/>
          <w:lang w:val="en-US"/>
        </w:rPr>
        <w:t>Details of their remuneration are provided above.</w:t>
      </w:r>
    </w:p>
    <w:p w14:paraId="6D296030" w14:textId="77777777" w:rsidR="005D25E3" w:rsidRDefault="005D25E3" w:rsidP="000C2A54">
      <w:pPr>
        <w:rPr>
          <w:color w:val="auto"/>
          <w:lang w:val="en-US"/>
        </w:rPr>
      </w:pPr>
    </w:p>
    <w:p w14:paraId="675C0FC4" w14:textId="7F16DBEF" w:rsidR="005D25E3" w:rsidRDefault="005D25E3" w:rsidP="000C2A54">
      <w:pPr>
        <w:rPr>
          <w:color w:val="auto"/>
          <w:lang w:val="en-US"/>
        </w:rPr>
      </w:pPr>
      <w:r>
        <w:rPr>
          <w:color w:val="auto"/>
          <w:lang w:val="en-US"/>
        </w:rPr>
        <w:lastRenderedPageBreak/>
        <w:t xml:space="preserve">The banded remuneration of the highest-paid director in the organisation in the financial year </w:t>
      </w:r>
      <w:r w:rsidR="005C717D">
        <w:rPr>
          <w:color w:val="auto"/>
          <w:lang w:val="en-US"/>
        </w:rPr>
        <w:t>202</w:t>
      </w:r>
      <w:r w:rsidR="00FA690F">
        <w:rPr>
          <w:color w:val="auto"/>
          <w:lang w:val="en-US"/>
        </w:rPr>
        <w:t>4</w:t>
      </w:r>
      <w:r w:rsidR="005C717D">
        <w:rPr>
          <w:color w:val="auto"/>
          <w:lang w:val="en-US"/>
        </w:rPr>
        <w:t>-2</w:t>
      </w:r>
      <w:r w:rsidR="00FA690F">
        <w:rPr>
          <w:color w:val="auto"/>
          <w:lang w:val="en-US"/>
        </w:rPr>
        <w:t>5</w:t>
      </w:r>
      <w:r w:rsidR="005C717D">
        <w:rPr>
          <w:color w:val="auto"/>
          <w:lang w:val="en-US"/>
        </w:rPr>
        <w:t xml:space="preserve"> was £</w:t>
      </w:r>
      <w:r w:rsidR="00FA690F">
        <w:rPr>
          <w:color w:val="auto"/>
          <w:lang w:val="en-US"/>
        </w:rPr>
        <w:t>90</w:t>
      </w:r>
      <w:r w:rsidR="005C717D">
        <w:rPr>
          <w:color w:val="auto"/>
          <w:lang w:val="en-US"/>
        </w:rPr>
        <w:t>,000-£</w:t>
      </w:r>
      <w:r w:rsidR="009003D9">
        <w:rPr>
          <w:color w:val="auto"/>
          <w:lang w:val="en-US"/>
        </w:rPr>
        <w:t>9</w:t>
      </w:r>
      <w:r w:rsidR="00FA690F">
        <w:rPr>
          <w:color w:val="auto"/>
          <w:lang w:val="en-US"/>
        </w:rPr>
        <w:t>5</w:t>
      </w:r>
      <w:r w:rsidR="005C717D">
        <w:rPr>
          <w:color w:val="auto"/>
          <w:lang w:val="en-US"/>
        </w:rPr>
        <w:t>,000 (</w:t>
      </w:r>
      <w:r>
        <w:rPr>
          <w:color w:val="auto"/>
          <w:lang w:val="en-US"/>
        </w:rPr>
        <w:t>20</w:t>
      </w:r>
      <w:r w:rsidR="00C34C15">
        <w:rPr>
          <w:color w:val="auto"/>
          <w:lang w:val="en-US"/>
        </w:rPr>
        <w:t>2</w:t>
      </w:r>
      <w:r w:rsidR="00FA690F">
        <w:rPr>
          <w:color w:val="auto"/>
          <w:lang w:val="en-US"/>
        </w:rPr>
        <w:t>3</w:t>
      </w:r>
      <w:r w:rsidR="008765D5">
        <w:rPr>
          <w:color w:val="auto"/>
          <w:lang w:val="en-US"/>
        </w:rPr>
        <w:t>-2</w:t>
      </w:r>
      <w:r w:rsidR="00FA690F">
        <w:rPr>
          <w:color w:val="auto"/>
          <w:lang w:val="en-US"/>
        </w:rPr>
        <w:t>4</w:t>
      </w:r>
      <w:r w:rsidR="005C717D">
        <w:rPr>
          <w:color w:val="auto"/>
          <w:lang w:val="en-US"/>
        </w:rPr>
        <w:t xml:space="preserve">: </w:t>
      </w:r>
      <w:r w:rsidR="00DE3AEE">
        <w:rPr>
          <w:color w:val="auto"/>
          <w:lang w:val="en-US"/>
        </w:rPr>
        <w:t>£</w:t>
      </w:r>
      <w:r w:rsidR="009003D9">
        <w:rPr>
          <w:color w:val="auto"/>
          <w:lang w:val="en-US"/>
        </w:rPr>
        <w:t>8</w:t>
      </w:r>
      <w:r w:rsidR="00FA690F">
        <w:rPr>
          <w:color w:val="auto"/>
          <w:lang w:val="en-US"/>
        </w:rPr>
        <w:t>5</w:t>
      </w:r>
      <w:r w:rsidR="008765D5">
        <w:rPr>
          <w:color w:val="auto"/>
          <w:lang w:val="en-US"/>
        </w:rPr>
        <w:t>,000-£</w:t>
      </w:r>
      <w:r w:rsidR="00FA690F">
        <w:rPr>
          <w:color w:val="auto"/>
          <w:lang w:val="en-US"/>
        </w:rPr>
        <w:t>90</w:t>
      </w:r>
      <w:r w:rsidR="00023AAA">
        <w:rPr>
          <w:color w:val="auto"/>
          <w:lang w:val="en-US"/>
        </w:rPr>
        <w:t>,000</w:t>
      </w:r>
      <w:r w:rsidR="00A044E4">
        <w:rPr>
          <w:color w:val="auto"/>
          <w:lang w:val="en-US"/>
        </w:rPr>
        <w:t>)</w:t>
      </w:r>
      <w:r w:rsidR="000A30FB">
        <w:rPr>
          <w:color w:val="auto"/>
          <w:lang w:val="en-US"/>
        </w:rPr>
        <w:t xml:space="preserve">. </w:t>
      </w:r>
      <w:r w:rsidR="00F60144">
        <w:rPr>
          <w:color w:val="auto"/>
          <w:lang w:val="en-US"/>
        </w:rPr>
        <w:t xml:space="preserve">This was </w:t>
      </w:r>
      <w:r w:rsidR="005C717D">
        <w:rPr>
          <w:color w:val="auto"/>
          <w:lang w:val="en-US"/>
        </w:rPr>
        <w:t>1.</w:t>
      </w:r>
      <w:r w:rsidR="00FA690F">
        <w:rPr>
          <w:color w:val="auto"/>
          <w:lang w:val="en-US"/>
        </w:rPr>
        <w:t>9</w:t>
      </w:r>
      <w:r w:rsidR="00DC5B92">
        <w:rPr>
          <w:color w:val="auto"/>
          <w:lang w:val="en-US"/>
        </w:rPr>
        <w:t>8</w:t>
      </w:r>
      <w:r w:rsidR="005C717D">
        <w:rPr>
          <w:color w:val="auto"/>
          <w:lang w:val="en-US"/>
        </w:rPr>
        <w:t xml:space="preserve"> times </w:t>
      </w:r>
      <w:r w:rsidR="00F60144">
        <w:rPr>
          <w:color w:val="auto"/>
          <w:lang w:val="en-US"/>
        </w:rPr>
        <w:t xml:space="preserve">the median remuneration of the workforce, which was </w:t>
      </w:r>
      <w:r w:rsidR="005C717D">
        <w:rPr>
          <w:color w:val="auto"/>
          <w:lang w:val="en-US"/>
        </w:rPr>
        <w:t>£</w:t>
      </w:r>
      <w:r w:rsidR="00FA690F">
        <w:rPr>
          <w:color w:val="auto"/>
          <w:lang w:val="en-US"/>
        </w:rPr>
        <w:t>46</w:t>
      </w:r>
      <w:r w:rsidR="00572615">
        <w:rPr>
          <w:color w:val="auto"/>
          <w:lang w:val="en-US"/>
        </w:rPr>
        <w:t>,</w:t>
      </w:r>
      <w:r w:rsidR="00FA690F">
        <w:rPr>
          <w:color w:val="auto"/>
          <w:lang w:val="en-US"/>
        </w:rPr>
        <w:t>712</w:t>
      </w:r>
      <w:r w:rsidR="00572615">
        <w:rPr>
          <w:color w:val="auto"/>
          <w:lang w:val="en-US"/>
        </w:rPr>
        <w:t xml:space="preserve"> (202</w:t>
      </w:r>
      <w:r w:rsidR="00FA690F">
        <w:rPr>
          <w:color w:val="auto"/>
          <w:lang w:val="en-US"/>
        </w:rPr>
        <w:t>3</w:t>
      </w:r>
      <w:r w:rsidR="00572615">
        <w:rPr>
          <w:color w:val="auto"/>
          <w:lang w:val="en-US"/>
        </w:rPr>
        <w:t>-2</w:t>
      </w:r>
      <w:r w:rsidR="00FA690F">
        <w:rPr>
          <w:color w:val="auto"/>
          <w:lang w:val="en-US"/>
        </w:rPr>
        <w:t>4</w:t>
      </w:r>
      <w:r w:rsidR="00FA395A">
        <w:rPr>
          <w:color w:val="auto"/>
          <w:lang w:val="en-US"/>
        </w:rPr>
        <w:t>:</w:t>
      </w:r>
      <w:r w:rsidR="00572615">
        <w:rPr>
          <w:color w:val="auto"/>
          <w:lang w:val="en-US"/>
        </w:rPr>
        <w:t xml:space="preserve"> 1.</w:t>
      </w:r>
      <w:r w:rsidR="00FA690F">
        <w:rPr>
          <w:color w:val="auto"/>
          <w:lang w:val="en-US"/>
        </w:rPr>
        <w:t>58</w:t>
      </w:r>
      <w:r w:rsidR="00572615">
        <w:rPr>
          <w:color w:val="auto"/>
          <w:lang w:val="en-US"/>
        </w:rPr>
        <w:t xml:space="preserve"> times and £</w:t>
      </w:r>
      <w:r w:rsidR="00FA690F">
        <w:rPr>
          <w:color w:val="auto"/>
          <w:lang w:val="en-US"/>
        </w:rPr>
        <w:t>55</w:t>
      </w:r>
      <w:r w:rsidR="00572615">
        <w:rPr>
          <w:color w:val="auto"/>
          <w:lang w:val="en-US"/>
        </w:rPr>
        <w:t>,</w:t>
      </w:r>
      <w:r w:rsidR="009003D9">
        <w:rPr>
          <w:color w:val="auto"/>
          <w:lang w:val="en-US"/>
        </w:rPr>
        <w:t>2</w:t>
      </w:r>
      <w:r w:rsidR="00FA690F">
        <w:rPr>
          <w:color w:val="auto"/>
          <w:lang w:val="en-US"/>
        </w:rPr>
        <w:t>0</w:t>
      </w:r>
      <w:r w:rsidR="009003D9">
        <w:rPr>
          <w:color w:val="auto"/>
          <w:lang w:val="en-US"/>
        </w:rPr>
        <w:t>7</w:t>
      </w:r>
      <w:r w:rsidR="00572615">
        <w:rPr>
          <w:color w:val="auto"/>
          <w:lang w:val="en-US"/>
        </w:rPr>
        <w:t>)</w:t>
      </w:r>
      <w:r w:rsidR="00FF1FA8">
        <w:rPr>
          <w:color w:val="auto"/>
          <w:lang w:val="en-US"/>
        </w:rPr>
        <w:t xml:space="preserve">. </w:t>
      </w:r>
      <w:r w:rsidR="008E5580">
        <w:rPr>
          <w:color w:val="auto"/>
          <w:lang w:val="en-US"/>
        </w:rPr>
        <w:t xml:space="preserve">The pay multiple </w:t>
      </w:r>
      <w:r w:rsidR="00645F06">
        <w:rPr>
          <w:color w:val="auto"/>
          <w:lang w:val="en-US"/>
        </w:rPr>
        <w:t xml:space="preserve">has increased </w:t>
      </w:r>
      <w:r w:rsidR="00D7735E">
        <w:rPr>
          <w:color w:val="auto"/>
          <w:lang w:val="en-US"/>
        </w:rPr>
        <w:t>to 1.98 from 1.58 in</w:t>
      </w:r>
      <w:r w:rsidR="008E5580">
        <w:rPr>
          <w:color w:val="auto"/>
          <w:lang w:val="en-US"/>
        </w:rPr>
        <w:t xml:space="preserve"> the year ended 31 March 202</w:t>
      </w:r>
      <w:r w:rsidR="00FA690F">
        <w:rPr>
          <w:color w:val="auto"/>
          <w:lang w:val="en-US"/>
        </w:rPr>
        <w:t>4</w:t>
      </w:r>
      <w:r w:rsidR="008E5580">
        <w:rPr>
          <w:color w:val="auto"/>
          <w:lang w:val="en-US"/>
        </w:rPr>
        <w:t>.  The reason for this is that the changes in pay in the NICS arrangements and the Commission were in keeping with one another and the profile of staff has remained largely consistent with the previous year.</w:t>
      </w:r>
    </w:p>
    <w:p w14:paraId="51D5CC8F" w14:textId="77777777" w:rsidR="006D4EB9" w:rsidRDefault="006D4EB9" w:rsidP="000C2A54">
      <w:pPr>
        <w:rPr>
          <w:color w:val="auto"/>
          <w:lang w:val="en-US"/>
        </w:rPr>
      </w:pPr>
    </w:p>
    <w:p w14:paraId="6602E3B1" w14:textId="744B0F97" w:rsidR="00F618FC" w:rsidRDefault="008E5580" w:rsidP="000C2A54">
      <w:pPr>
        <w:rPr>
          <w:color w:val="auto"/>
          <w:lang w:val="en-US"/>
        </w:rPr>
      </w:pPr>
      <w:r>
        <w:rPr>
          <w:color w:val="auto"/>
          <w:lang w:val="en-US"/>
        </w:rPr>
        <w:t>Staff in the Commission hold a range of posts.  The level of remuneration varies according to the post that is held.  The range of r</w:t>
      </w:r>
      <w:r w:rsidR="006D4EB9">
        <w:rPr>
          <w:color w:val="auto"/>
          <w:lang w:val="en-US"/>
        </w:rPr>
        <w:t>emuneration</w:t>
      </w:r>
      <w:r>
        <w:rPr>
          <w:color w:val="auto"/>
          <w:lang w:val="en-US"/>
        </w:rPr>
        <w:t xml:space="preserve"> on a full time equivalent basis within the Commission is</w:t>
      </w:r>
      <w:r w:rsidR="0040697A">
        <w:rPr>
          <w:color w:val="auto"/>
          <w:lang w:val="en-US"/>
        </w:rPr>
        <w:t xml:space="preserve"> £2</w:t>
      </w:r>
      <w:r w:rsidR="007F7A27">
        <w:rPr>
          <w:color w:val="auto"/>
          <w:lang w:val="en-US"/>
        </w:rPr>
        <w:t>4</w:t>
      </w:r>
      <w:r w:rsidR="0040697A">
        <w:rPr>
          <w:color w:val="auto"/>
          <w:lang w:val="en-US"/>
        </w:rPr>
        <w:t>,000</w:t>
      </w:r>
      <w:r w:rsidR="00A054D0">
        <w:rPr>
          <w:color w:val="auto"/>
          <w:lang w:val="en-US"/>
        </w:rPr>
        <w:t>-£</w:t>
      </w:r>
      <w:r w:rsidR="00FA690F">
        <w:rPr>
          <w:color w:val="auto"/>
          <w:lang w:val="en-US"/>
        </w:rPr>
        <w:t>92</w:t>
      </w:r>
      <w:r w:rsidR="0040697A">
        <w:rPr>
          <w:color w:val="auto"/>
          <w:lang w:val="en-US"/>
        </w:rPr>
        <w:t>,000</w:t>
      </w:r>
      <w:r w:rsidR="003404D0">
        <w:rPr>
          <w:color w:val="auto"/>
          <w:lang w:val="en-US"/>
        </w:rPr>
        <w:t xml:space="preserve"> </w:t>
      </w:r>
      <w:r w:rsidR="00C0695B">
        <w:rPr>
          <w:color w:val="auto"/>
          <w:lang w:val="en-US"/>
        </w:rPr>
        <w:t>(202</w:t>
      </w:r>
      <w:r w:rsidR="00FA690F">
        <w:rPr>
          <w:color w:val="auto"/>
          <w:lang w:val="en-US"/>
        </w:rPr>
        <w:t>3</w:t>
      </w:r>
      <w:r w:rsidR="00C0695B">
        <w:rPr>
          <w:color w:val="auto"/>
          <w:lang w:val="en-US"/>
        </w:rPr>
        <w:t>-2</w:t>
      </w:r>
      <w:r w:rsidR="00FA690F">
        <w:rPr>
          <w:color w:val="auto"/>
          <w:lang w:val="en-US"/>
        </w:rPr>
        <w:t>4</w:t>
      </w:r>
      <w:r w:rsidR="00C0695B">
        <w:rPr>
          <w:color w:val="auto"/>
          <w:lang w:val="en-US"/>
        </w:rPr>
        <w:t xml:space="preserve">: </w:t>
      </w:r>
      <w:r w:rsidR="00804A8F">
        <w:rPr>
          <w:color w:val="auto"/>
          <w:lang w:val="en-US"/>
        </w:rPr>
        <w:t>£2</w:t>
      </w:r>
      <w:r w:rsidR="00FA690F">
        <w:rPr>
          <w:color w:val="auto"/>
          <w:lang w:val="en-US"/>
        </w:rPr>
        <w:t>4</w:t>
      </w:r>
      <w:r w:rsidR="00804A8F">
        <w:rPr>
          <w:color w:val="auto"/>
          <w:lang w:val="en-US"/>
        </w:rPr>
        <w:t>,000</w:t>
      </w:r>
      <w:r w:rsidR="00A054D0">
        <w:rPr>
          <w:color w:val="auto"/>
          <w:lang w:val="en-US"/>
        </w:rPr>
        <w:t>-</w:t>
      </w:r>
      <w:r w:rsidR="0040697A">
        <w:rPr>
          <w:color w:val="auto"/>
          <w:lang w:val="en-US"/>
        </w:rPr>
        <w:t>£</w:t>
      </w:r>
      <w:r w:rsidR="00196F98">
        <w:rPr>
          <w:color w:val="auto"/>
          <w:lang w:val="en-US"/>
        </w:rPr>
        <w:t>8</w:t>
      </w:r>
      <w:r w:rsidR="00FA690F">
        <w:rPr>
          <w:color w:val="auto"/>
          <w:lang w:val="en-US"/>
        </w:rPr>
        <w:t>8</w:t>
      </w:r>
      <w:r w:rsidR="0040697A">
        <w:rPr>
          <w:color w:val="auto"/>
          <w:lang w:val="en-US"/>
        </w:rPr>
        <w:t>,000</w:t>
      </w:r>
      <w:r w:rsidR="00804A8F">
        <w:rPr>
          <w:color w:val="auto"/>
          <w:lang w:val="en-US"/>
        </w:rPr>
        <w:t>)</w:t>
      </w:r>
      <w:r w:rsidR="006D4EB9">
        <w:rPr>
          <w:color w:val="auto"/>
          <w:lang w:val="en-US"/>
        </w:rPr>
        <w:t>.</w:t>
      </w:r>
    </w:p>
    <w:p w14:paraId="50582992" w14:textId="77777777" w:rsidR="00F46CF5" w:rsidRDefault="00F46CF5" w:rsidP="000C2A54">
      <w:pPr>
        <w:rPr>
          <w:color w:val="auto"/>
          <w:lang w:val="en-US"/>
        </w:rPr>
      </w:pPr>
    </w:p>
    <w:p w14:paraId="45D0C30C" w14:textId="536CBE1B" w:rsidR="00F618FC" w:rsidRDefault="00F618FC" w:rsidP="000C2A54">
      <w:pPr>
        <w:rPr>
          <w:color w:val="auto"/>
          <w:lang w:val="en-US"/>
        </w:rPr>
      </w:pPr>
      <w:r>
        <w:rPr>
          <w:color w:val="auto"/>
          <w:lang w:val="en-US"/>
        </w:rPr>
        <w:t xml:space="preserve">The percentage change </w:t>
      </w:r>
      <w:r w:rsidR="00D455AF">
        <w:rPr>
          <w:color w:val="auto"/>
          <w:lang w:val="en-US"/>
        </w:rPr>
        <w:t xml:space="preserve">from the previous financial year in respect of </w:t>
      </w:r>
      <w:r>
        <w:rPr>
          <w:color w:val="auto"/>
          <w:lang w:val="en-US"/>
        </w:rPr>
        <w:t xml:space="preserve">the highest paid director’s salary was </w:t>
      </w:r>
      <w:r w:rsidR="00FA690F">
        <w:rPr>
          <w:color w:val="auto"/>
          <w:lang w:val="en-US"/>
        </w:rPr>
        <w:t>4</w:t>
      </w:r>
      <w:r w:rsidR="00874636">
        <w:rPr>
          <w:color w:val="auto"/>
          <w:lang w:val="en-US"/>
        </w:rPr>
        <w:t>.9</w:t>
      </w:r>
      <w:r w:rsidR="00FA690F">
        <w:rPr>
          <w:color w:val="auto"/>
          <w:lang w:val="en-US"/>
        </w:rPr>
        <w:t>0</w:t>
      </w:r>
      <w:r w:rsidR="005B20B7">
        <w:rPr>
          <w:color w:val="auto"/>
          <w:lang w:val="en-US"/>
        </w:rPr>
        <w:t xml:space="preserve"> per cent.</w:t>
      </w:r>
      <w:r w:rsidR="00DB0B31">
        <w:rPr>
          <w:color w:val="auto"/>
          <w:lang w:val="en-US"/>
        </w:rPr>
        <w:t xml:space="preserve"> </w:t>
      </w:r>
      <w:r w:rsidR="00EC2157">
        <w:rPr>
          <w:color w:val="auto"/>
          <w:lang w:val="en-US"/>
        </w:rPr>
        <w:t xml:space="preserve"> </w:t>
      </w:r>
      <w:r w:rsidR="00D455AF">
        <w:rPr>
          <w:color w:val="auto"/>
          <w:lang w:val="en-US"/>
        </w:rPr>
        <w:t xml:space="preserve">The average percentage change from the previous financial year in respect of the </w:t>
      </w:r>
      <w:r w:rsidR="00751592">
        <w:rPr>
          <w:color w:val="auto"/>
          <w:lang w:val="en-US"/>
        </w:rPr>
        <w:t>employees of the organi</w:t>
      </w:r>
      <w:r w:rsidR="0086754F">
        <w:rPr>
          <w:color w:val="auto"/>
          <w:lang w:val="en-US"/>
        </w:rPr>
        <w:t>s</w:t>
      </w:r>
      <w:r w:rsidR="00751592">
        <w:rPr>
          <w:color w:val="auto"/>
          <w:lang w:val="en-US"/>
        </w:rPr>
        <w:t>ation as a whole</w:t>
      </w:r>
      <w:r w:rsidR="00D455AF">
        <w:rPr>
          <w:color w:val="auto"/>
          <w:lang w:val="en-US"/>
        </w:rPr>
        <w:t xml:space="preserve"> was </w:t>
      </w:r>
      <w:r w:rsidR="00FA690F">
        <w:rPr>
          <w:color w:val="auto"/>
          <w:lang w:val="en-US"/>
        </w:rPr>
        <w:t>12</w:t>
      </w:r>
      <w:r w:rsidR="00BE5012">
        <w:rPr>
          <w:color w:val="auto"/>
          <w:lang w:val="en-US"/>
        </w:rPr>
        <w:t>.</w:t>
      </w:r>
      <w:r w:rsidR="00FA690F">
        <w:rPr>
          <w:color w:val="auto"/>
          <w:lang w:val="en-US"/>
        </w:rPr>
        <w:t>26</w:t>
      </w:r>
      <w:r w:rsidR="00D455AF">
        <w:rPr>
          <w:color w:val="auto"/>
          <w:lang w:val="en-US"/>
        </w:rPr>
        <w:t xml:space="preserve"> per cent.  </w:t>
      </w:r>
      <w:r w:rsidR="00FA690F">
        <w:rPr>
          <w:color w:val="auto"/>
          <w:lang w:val="en-US"/>
        </w:rPr>
        <w:t xml:space="preserve">This percentage increase is largely due to two additional posts </w:t>
      </w:r>
      <w:r w:rsidR="002E0C2F">
        <w:rPr>
          <w:color w:val="auto"/>
          <w:lang w:val="en-US"/>
        </w:rPr>
        <w:t xml:space="preserve">being filled at year end.  </w:t>
      </w:r>
      <w:r w:rsidR="00EC2157">
        <w:rPr>
          <w:color w:val="auto"/>
          <w:lang w:val="en-US"/>
        </w:rPr>
        <w:t xml:space="preserve">There was no performance pay and bonuses payable </w:t>
      </w:r>
      <w:r w:rsidR="00460FDF">
        <w:rPr>
          <w:color w:val="auto"/>
          <w:lang w:val="en-US"/>
        </w:rPr>
        <w:t>in 202</w:t>
      </w:r>
      <w:r w:rsidR="00FA690F">
        <w:rPr>
          <w:color w:val="auto"/>
          <w:lang w:val="en-US"/>
        </w:rPr>
        <w:t>4</w:t>
      </w:r>
      <w:r w:rsidR="00460FDF">
        <w:rPr>
          <w:color w:val="auto"/>
          <w:lang w:val="en-US"/>
        </w:rPr>
        <w:t>-2</w:t>
      </w:r>
      <w:r w:rsidR="00FA690F">
        <w:rPr>
          <w:color w:val="auto"/>
          <w:lang w:val="en-US"/>
        </w:rPr>
        <w:t>5</w:t>
      </w:r>
      <w:r w:rsidR="00460FDF">
        <w:rPr>
          <w:color w:val="auto"/>
          <w:lang w:val="en-US"/>
        </w:rPr>
        <w:t xml:space="preserve"> (202</w:t>
      </w:r>
      <w:r w:rsidR="00FA690F">
        <w:rPr>
          <w:color w:val="auto"/>
          <w:lang w:val="en-US"/>
        </w:rPr>
        <w:t>3</w:t>
      </w:r>
      <w:r w:rsidR="00460FDF">
        <w:rPr>
          <w:color w:val="auto"/>
          <w:lang w:val="en-US"/>
        </w:rPr>
        <w:t>-2</w:t>
      </w:r>
      <w:r w:rsidR="00FA690F">
        <w:rPr>
          <w:color w:val="auto"/>
          <w:lang w:val="en-US"/>
        </w:rPr>
        <w:t>4</w:t>
      </w:r>
      <w:r w:rsidR="00460FDF">
        <w:rPr>
          <w:color w:val="auto"/>
          <w:lang w:val="en-US"/>
        </w:rPr>
        <w:t>: £nil).</w:t>
      </w:r>
      <w:r w:rsidR="00DB0B31">
        <w:rPr>
          <w:color w:val="auto"/>
          <w:lang w:val="en-US"/>
        </w:rPr>
        <w:t xml:space="preserve"> </w:t>
      </w:r>
    </w:p>
    <w:p w14:paraId="2BDD2B9B" w14:textId="303F6E67" w:rsidR="008C2357" w:rsidRDefault="008C2357" w:rsidP="000C2A54">
      <w:pPr>
        <w:rPr>
          <w:color w:val="auto"/>
          <w:lang w:val="en-US"/>
        </w:rPr>
      </w:pPr>
    </w:p>
    <w:p w14:paraId="0C7B29E8" w14:textId="7BC25A06" w:rsidR="008C2357" w:rsidRDefault="008C2357" w:rsidP="000C2A54">
      <w:pPr>
        <w:rPr>
          <w:color w:val="auto"/>
          <w:lang w:val="en-US"/>
        </w:rPr>
      </w:pPr>
      <w:r w:rsidRPr="00BF7C54">
        <w:rPr>
          <w:color w:val="auto"/>
          <w:lang w:val="en-US"/>
        </w:rPr>
        <w:t>The ratio between the highest paid director</w:t>
      </w:r>
      <w:r w:rsidR="00CF7F78" w:rsidRPr="00BF7C54">
        <w:rPr>
          <w:color w:val="auto"/>
          <w:lang w:val="en-US"/>
        </w:rPr>
        <w:t xml:space="preserve">’s remuneration </w:t>
      </w:r>
      <w:r w:rsidR="00952D79" w:rsidRPr="00BF7C54">
        <w:rPr>
          <w:color w:val="auto"/>
          <w:lang w:val="en-US"/>
        </w:rPr>
        <w:t>and the pay of the employee on the 25</w:t>
      </w:r>
      <w:r w:rsidR="00952D79" w:rsidRPr="00BF7C54">
        <w:rPr>
          <w:color w:val="auto"/>
          <w:vertAlign w:val="superscript"/>
          <w:lang w:val="en-US"/>
        </w:rPr>
        <w:t>th</w:t>
      </w:r>
      <w:r w:rsidR="00952D79" w:rsidRPr="00BF7C54">
        <w:rPr>
          <w:color w:val="auto"/>
          <w:lang w:val="en-US"/>
        </w:rPr>
        <w:t xml:space="preserve"> percentile of pay of the organisation’s employees for the financial year was</w:t>
      </w:r>
      <w:r w:rsidR="002774EB" w:rsidRPr="00BF7C54">
        <w:rPr>
          <w:color w:val="auto"/>
          <w:lang w:val="en-US"/>
        </w:rPr>
        <w:t xml:space="preserve"> </w:t>
      </w:r>
      <w:r w:rsidR="00572615" w:rsidRPr="00BF7C54">
        <w:rPr>
          <w:color w:val="auto"/>
          <w:lang w:val="en-US"/>
        </w:rPr>
        <w:t>2.</w:t>
      </w:r>
      <w:r w:rsidR="002E0C2F">
        <w:rPr>
          <w:color w:val="auto"/>
          <w:lang w:val="en-US"/>
        </w:rPr>
        <w:t>60</w:t>
      </w:r>
      <w:r w:rsidR="002774EB" w:rsidRPr="00BF7C54">
        <w:rPr>
          <w:color w:val="auto"/>
          <w:lang w:val="en-US"/>
        </w:rPr>
        <w:t>:</w:t>
      </w:r>
      <w:r w:rsidR="00301976" w:rsidRPr="00BF7C54">
        <w:rPr>
          <w:color w:val="auto"/>
          <w:lang w:val="en-US"/>
        </w:rPr>
        <w:t>1 (202</w:t>
      </w:r>
      <w:r w:rsidR="002E0C2F">
        <w:rPr>
          <w:color w:val="auto"/>
          <w:lang w:val="en-US"/>
        </w:rPr>
        <w:t>3</w:t>
      </w:r>
      <w:r w:rsidR="00301976" w:rsidRPr="00BF7C54">
        <w:rPr>
          <w:color w:val="auto"/>
          <w:lang w:val="en-US"/>
        </w:rPr>
        <w:t>-2</w:t>
      </w:r>
      <w:r w:rsidR="002E0C2F">
        <w:rPr>
          <w:color w:val="auto"/>
          <w:lang w:val="en-US"/>
        </w:rPr>
        <w:t>4</w:t>
      </w:r>
      <w:r w:rsidR="00301976" w:rsidRPr="00BF7C54">
        <w:rPr>
          <w:color w:val="auto"/>
          <w:lang w:val="en-US"/>
        </w:rPr>
        <w:t xml:space="preserve">: </w:t>
      </w:r>
      <w:r w:rsidR="00FA395A" w:rsidRPr="00BF7C54">
        <w:rPr>
          <w:color w:val="auto"/>
          <w:lang w:val="en-US"/>
        </w:rPr>
        <w:t>2.</w:t>
      </w:r>
      <w:r w:rsidR="002A2875">
        <w:rPr>
          <w:color w:val="auto"/>
          <w:lang w:val="en-US"/>
        </w:rPr>
        <w:t>5</w:t>
      </w:r>
      <w:r w:rsidR="002E0C2F">
        <w:rPr>
          <w:color w:val="auto"/>
          <w:lang w:val="en-US"/>
        </w:rPr>
        <w:t>3</w:t>
      </w:r>
      <w:r w:rsidR="00301976" w:rsidRPr="00BF7C54">
        <w:rPr>
          <w:color w:val="auto"/>
          <w:lang w:val="en-US"/>
        </w:rPr>
        <w:t>:1)</w:t>
      </w:r>
      <w:r w:rsidR="005F342F" w:rsidRPr="00BF7C54">
        <w:rPr>
          <w:color w:val="auto"/>
          <w:lang w:val="en-US"/>
        </w:rPr>
        <w:t>.  The ratio between the highest paid director’s remuneration and the pay and benefits of the employee on the 75</w:t>
      </w:r>
      <w:r w:rsidR="005F342F" w:rsidRPr="00BF7C54">
        <w:rPr>
          <w:color w:val="auto"/>
          <w:vertAlign w:val="superscript"/>
          <w:lang w:val="en-US"/>
        </w:rPr>
        <w:t>th</w:t>
      </w:r>
      <w:r w:rsidR="005F342F" w:rsidRPr="00BF7C54">
        <w:rPr>
          <w:color w:val="auto"/>
          <w:lang w:val="en-US"/>
        </w:rPr>
        <w:t xml:space="preserve"> percentile of pay of the organisation’s employees for the financial year was </w:t>
      </w:r>
      <w:r w:rsidR="00FA395A" w:rsidRPr="00BF7C54">
        <w:rPr>
          <w:color w:val="auto"/>
          <w:lang w:val="en-US"/>
        </w:rPr>
        <w:t>1.</w:t>
      </w:r>
      <w:r w:rsidR="00196F98" w:rsidRPr="00BF7C54">
        <w:rPr>
          <w:color w:val="auto"/>
          <w:lang w:val="en-US"/>
        </w:rPr>
        <w:t>5</w:t>
      </w:r>
      <w:r w:rsidR="002E0C2F">
        <w:rPr>
          <w:color w:val="auto"/>
          <w:lang w:val="en-US"/>
        </w:rPr>
        <w:t>2</w:t>
      </w:r>
      <w:r w:rsidR="002774EB" w:rsidRPr="00BF7C54">
        <w:rPr>
          <w:color w:val="auto"/>
          <w:lang w:val="en-US"/>
        </w:rPr>
        <w:t>:</w:t>
      </w:r>
      <w:r w:rsidR="005F342F" w:rsidRPr="00BF7C54">
        <w:rPr>
          <w:color w:val="auto"/>
          <w:lang w:val="en-US"/>
        </w:rPr>
        <w:t>1 (202</w:t>
      </w:r>
      <w:r w:rsidR="002E0C2F">
        <w:rPr>
          <w:color w:val="auto"/>
          <w:lang w:val="en-US"/>
        </w:rPr>
        <w:t>3</w:t>
      </w:r>
      <w:r w:rsidR="005F342F" w:rsidRPr="00BF7C54">
        <w:rPr>
          <w:color w:val="auto"/>
          <w:lang w:val="en-US"/>
        </w:rPr>
        <w:t>-2</w:t>
      </w:r>
      <w:r w:rsidR="002E0C2F">
        <w:rPr>
          <w:color w:val="auto"/>
          <w:lang w:val="en-US"/>
        </w:rPr>
        <w:t>4</w:t>
      </w:r>
      <w:r w:rsidR="005F342F" w:rsidRPr="00BF7C54">
        <w:rPr>
          <w:color w:val="auto"/>
          <w:lang w:val="en-US"/>
        </w:rPr>
        <w:t xml:space="preserve">: </w:t>
      </w:r>
      <w:r w:rsidR="00FA395A" w:rsidRPr="00BF7C54">
        <w:rPr>
          <w:color w:val="auto"/>
          <w:lang w:val="en-US"/>
        </w:rPr>
        <w:t>1.</w:t>
      </w:r>
      <w:r w:rsidR="002A2875">
        <w:rPr>
          <w:color w:val="auto"/>
          <w:lang w:val="en-US"/>
        </w:rPr>
        <w:t>5</w:t>
      </w:r>
      <w:r w:rsidR="002E0C2F">
        <w:rPr>
          <w:color w:val="auto"/>
          <w:lang w:val="en-US"/>
        </w:rPr>
        <w:t>1</w:t>
      </w:r>
      <w:r w:rsidR="005F342F" w:rsidRPr="00BF7C54">
        <w:rPr>
          <w:color w:val="auto"/>
          <w:lang w:val="en-US"/>
        </w:rPr>
        <w:t>:1)</w:t>
      </w:r>
      <w:r w:rsidR="006A16F8" w:rsidRPr="00BF7C54">
        <w:rPr>
          <w:color w:val="auto"/>
          <w:lang w:val="en-US"/>
        </w:rPr>
        <w:t>.  The lower quartile remuneration (representing the 25</w:t>
      </w:r>
      <w:r w:rsidR="006A16F8" w:rsidRPr="00BF7C54">
        <w:rPr>
          <w:color w:val="auto"/>
          <w:vertAlign w:val="superscript"/>
          <w:lang w:val="en-US"/>
        </w:rPr>
        <w:t>th</w:t>
      </w:r>
      <w:r w:rsidR="006A16F8" w:rsidRPr="00BF7C54">
        <w:rPr>
          <w:color w:val="auto"/>
          <w:lang w:val="en-US"/>
        </w:rPr>
        <w:t xml:space="preserve"> percentile of the linear distribution) was £</w:t>
      </w:r>
      <w:r w:rsidR="00FA395A" w:rsidRPr="00BF7C54">
        <w:rPr>
          <w:color w:val="auto"/>
          <w:lang w:val="en-US"/>
        </w:rPr>
        <w:t>3</w:t>
      </w:r>
      <w:r w:rsidR="002E0C2F">
        <w:rPr>
          <w:color w:val="auto"/>
          <w:lang w:val="en-US"/>
        </w:rPr>
        <w:t>5</w:t>
      </w:r>
      <w:r w:rsidR="00FA395A" w:rsidRPr="00BF7C54">
        <w:rPr>
          <w:color w:val="auto"/>
          <w:lang w:val="en-US"/>
        </w:rPr>
        <w:t>,</w:t>
      </w:r>
      <w:r w:rsidR="000A53B8">
        <w:rPr>
          <w:color w:val="auto"/>
          <w:lang w:val="en-US"/>
        </w:rPr>
        <w:t>5</w:t>
      </w:r>
      <w:r w:rsidR="002E0C2F">
        <w:rPr>
          <w:color w:val="auto"/>
          <w:lang w:val="en-US"/>
        </w:rPr>
        <w:t>60</w:t>
      </w:r>
      <w:r w:rsidR="003F655A" w:rsidRPr="00BF7C54">
        <w:rPr>
          <w:color w:val="auto"/>
          <w:lang w:val="en-US"/>
        </w:rPr>
        <w:t xml:space="preserve"> </w:t>
      </w:r>
      <w:r w:rsidR="00196F98" w:rsidRPr="00BF7C54">
        <w:rPr>
          <w:color w:val="auto"/>
          <w:lang w:val="en-US"/>
        </w:rPr>
        <w:t>(202</w:t>
      </w:r>
      <w:r w:rsidR="002E0C2F">
        <w:rPr>
          <w:color w:val="auto"/>
          <w:lang w:val="en-US"/>
        </w:rPr>
        <w:t>3</w:t>
      </w:r>
      <w:r w:rsidR="00196F98" w:rsidRPr="00BF7C54">
        <w:rPr>
          <w:color w:val="auto"/>
          <w:lang w:val="en-US"/>
        </w:rPr>
        <w:t>-2</w:t>
      </w:r>
      <w:r w:rsidR="002E0C2F">
        <w:rPr>
          <w:color w:val="auto"/>
          <w:lang w:val="en-US"/>
        </w:rPr>
        <w:t>4</w:t>
      </w:r>
      <w:r w:rsidR="00196F98" w:rsidRPr="00BF7C54">
        <w:rPr>
          <w:color w:val="auto"/>
          <w:lang w:val="en-US"/>
        </w:rPr>
        <w:t xml:space="preserve"> £</w:t>
      </w:r>
      <w:r w:rsidR="00DC043C" w:rsidRPr="00BF7C54">
        <w:rPr>
          <w:color w:val="auto"/>
          <w:lang w:val="en-US"/>
        </w:rPr>
        <w:t>3</w:t>
      </w:r>
      <w:r w:rsidR="002E0C2F">
        <w:rPr>
          <w:color w:val="auto"/>
          <w:lang w:val="en-US"/>
        </w:rPr>
        <w:t>4</w:t>
      </w:r>
      <w:r w:rsidR="00DC043C" w:rsidRPr="00BF7C54">
        <w:rPr>
          <w:color w:val="auto"/>
          <w:lang w:val="en-US"/>
        </w:rPr>
        <w:t>,</w:t>
      </w:r>
      <w:r w:rsidR="002E0C2F">
        <w:rPr>
          <w:color w:val="auto"/>
          <w:lang w:val="en-US"/>
        </w:rPr>
        <w:t>524</w:t>
      </w:r>
      <w:r w:rsidR="00DC043C" w:rsidRPr="00BF7C54">
        <w:rPr>
          <w:color w:val="auto"/>
          <w:lang w:val="en-US"/>
        </w:rPr>
        <w:t xml:space="preserve">) </w:t>
      </w:r>
      <w:r w:rsidR="006C1168" w:rsidRPr="00BF7C54">
        <w:rPr>
          <w:color w:val="auto"/>
          <w:lang w:val="en-US"/>
        </w:rPr>
        <w:t xml:space="preserve">(salary component) </w:t>
      </w:r>
      <w:r w:rsidR="003F655A" w:rsidRPr="00BF7C54">
        <w:rPr>
          <w:color w:val="auto"/>
          <w:lang w:val="en-US"/>
        </w:rPr>
        <w:t>and the upper quartile remuneration (representing the 75th percentile of the linear distribution) was £</w:t>
      </w:r>
      <w:r w:rsidR="002E0C2F">
        <w:rPr>
          <w:color w:val="auto"/>
          <w:lang w:val="en-US"/>
        </w:rPr>
        <w:t>60</w:t>
      </w:r>
      <w:r w:rsidR="00196F98" w:rsidRPr="00BF7C54">
        <w:rPr>
          <w:color w:val="auto"/>
          <w:lang w:val="en-US"/>
        </w:rPr>
        <w:t>,</w:t>
      </w:r>
      <w:r w:rsidR="002E0C2F">
        <w:rPr>
          <w:color w:val="auto"/>
          <w:lang w:val="en-US"/>
        </w:rPr>
        <w:t>820</w:t>
      </w:r>
      <w:r w:rsidR="006C1168" w:rsidRPr="00BF7C54">
        <w:rPr>
          <w:color w:val="auto"/>
          <w:lang w:val="en-US"/>
        </w:rPr>
        <w:t xml:space="preserve"> </w:t>
      </w:r>
      <w:r w:rsidR="00DC043C" w:rsidRPr="00BF7C54">
        <w:rPr>
          <w:color w:val="auto"/>
          <w:lang w:val="en-US"/>
        </w:rPr>
        <w:t>(202</w:t>
      </w:r>
      <w:r w:rsidR="002E0C2F">
        <w:rPr>
          <w:color w:val="auto"/>
          <w:lang w:val="en-US"/>
        </w:rPr>
        <w:t>3</w:t>
      </w:r>
      <w:r w:rsidR="00DC043C" w:rsidRPr="00BF7C54">
        <w:rPr>
          <w:color w:val="auto"/>
          <w:lang w:val="en-US"/>
        </w:rPr>
        <w:t>-2</w:t>
      </w:r>
      <w:r w:rsidR="002E0C2F">
        <w:rPr>
          <w:color w:val="auto"/>
          <w:lang w:val="en-US"/>
        </w:rPr>
        <w:t>4</w:t>
      </w:r>
      <w:r w:rsidR="00DC043C" w:rsidRPr="00BF7C54">
        <w:rPr>
          <w:color w:val="auto"/>
          <w:lang w:val="en-US"/>
        </w:rPr>
        <w:t xml:space="preserve"> £5</w:t>
      </w:r>
      <w:r w:rsidR="002E0C2F">
        <w:rPr>
          <w:color w:val="auto"/>
          <w:lang w:val="en-US"/>
        </w:rPr>
        <w:t>8</w:t>
      </w:r>
      <w:r w:rsidR="00DC043C" w:rsidRPr="00BF7C54">
        <w:rPr>
          <w:color w:val="auto"/>
          <w:lang w:val="en-US"/>
        </w:rPr>
        <w:t>,</w:t>
      </w:r>
      <w:r w:rsidR="002E0C2F">
        <w:rPr>
          <w:color w:val="auto"/>
          <w:lang w:val="en-US"/>
        </w:rPr>
        <w:t>089</w:t>
      </w:r>
      <w:r w:rsidR="00DC043C" w:rsidRPr="00BF7C54">
        <w:rPr>
          <w:color w:val="auto"/>
          <w:lang w:val="en-US"/>
        </w:rPr>
        <w:t xml:space="preserve">) </w:t>
      </w:r>
      <w:r w:rsidR="006C1168" w:rsidRPr="00BF7C54">
        <w:rPr>
          <w:color w:val="auto"/>
          <w:lang w:val="en-US"/>
        </w:rPr>
        <w:t>(salary component)</w:t>
      </w:r>
      <w:r w:rsidR="00793D52" w:rsidRPr="00BF7C54">
        <w:rPr>
          <w:color w:val="auto"/>
          <w:lang w:val="en-US"/>
        </w:rPr>
        <w:t>.</w:t>
      </w:r>
    </w:p>
    <w:p w14:paraId="5D31450F" w14:textId="77777777" w:rsidR="000C2A54" w:rsidRPr="005B72C1" w:rsidRDefault="000C2A54" w:rsidP="000C2A54">
      <w:pPr>
        <w:rPr>
          <w:color w:val="auto"/>
          <w:lang w:val="en-US"/>
        </w:rPr>
      </w:pPr>
    </w:p>
    <w:p w14:paraId="463327D1" w14:textId="7B9615DB" w:rsidR="000C2A54" w:rsidRDefault="000C2A54" w:rsidP="000C2A54">
      <w:pPr>
        <w:rPr>
          <w:color w:val="auto"/>
          <w:lang w:val="en-US"/>
        </w:rPr>
      </w:pPr>
      <w:r w:rsidRPr="005B72C1">
        <w:rPr>
          <w:color w:val="auto"/>
          <w:lang w:val="en-US"/>
        </w:rPr>
        <w:t>Total remuneration includes salary</w:t>
      </w:r>
      <w:r w:rsidR="00604725">
        <w:rPr>
          <w:color w:val="auto"/>
          <w:lang w:val="en-US"/>
        </w:rPr>
        <w:t xml:space="preserve"> </w:t>
      </w:r>
      <w:r w:rsidR="00CD2C51">
        <w:rPr>
          <w:color w:val="auto"/>
          <w:lang w:val="en-US"/>
        </w:rPr>
        <w:t xml:space="preserve">and </w:t>
      </w:r>
      <w:r w:rsidRPr="005B72C1">
        <w:rPr>
          <w:color w:val="auto"/>
          <w:lang w:val="en-US"/>
        </w:rPr>
        <w:t>benefits in kind</w:t>
      </w:r>
      <w:r w:rsidR="00FF1FA8" w:rsidRPr="005B72C1">
        <w:rPr>
          <w:color w:val="auto"/>
          <w:lang w:val="en-US"/>
        </w:rPr>
        <w:t xml:space="preserve">. </w:t>
      </w:r>
      <w:r w:rsidRPr="005B72C1">
        <w:rPr>
          <w:color w:val="auto"/>
          <w:lang w:val="en-US"/>
        </w:rPr>
        <w:t xml:space="preserve">It does not include </w:t>
      </w:r>
      <w:r w:rsidR="00815DAD">
        <w:rPr>
          <w:color w:val="auto"/>
          <w:lang w:val="en-US"/>
        </w:rPr>
        <w:t xml:space="preserve">severance payments, </w:t>
      </w:r>
      <w:r w:rsidRPr="005B72C1">
        <w:rPr>
          <w:color w:val="auto"/>
          <w:lang w:val="en-US"/>
        </w:rPr>
        <w:t>employer pension contributions and the cash equivalent transfer value of pensions.</w:t>
      </w:r>
    </w:p>
    <w:p w14:paraId="338B4ED3" w14:textId="77777777" w:rsidR="00BC2A47" w:rsidRPr="005B72C1" w:rsidRDefault="00BC2A47" w:rsidP="000C2A54">
      <w:pPr>
        <w:rPr>
          <w:color w:val="auto"/>
          <w:lang w:val="en-US"/>
        </w:rPr>
      </w:pPr>
    </w:p>
    <w:p w14:paraId="025BBC96" w14:textId="219A0C83" w:rsidR="00731FD6" w:rsidRDefault="00731FD6" w:rsidP="000C2A54">
      <w:pPr>
        <w:rPr>
          <w:color w:val="auto"/>
          <w:lang w:val="en-US"/>
        </w:rPr>
      </w:pPr>
      <w:r w:rsidRPr="005B72C1">
        <w:rPr>
          <w:color w:val="auto"/>
          <w:lang w:val="en-US"/>
        </w:rPr>
        <w:t>The</w:t>
      </w:r>
      <w:r w:rsidR="003404D0">
        <w:rPr>
          <w:color w:val="auto"/>
          <w:lang w:val="en-US"/>
        </w:rPr>
        <w:t xml:space="preserve">re was no severance pay in </w:t>
      </w:r>
      <w:r w:rsidR="00C0695B">
        <w:rPr>
          <w:color w:val="auto"/>
          <w:lang w:val="en-US"/>
        </w:rPr>
        <w:t>202</w:t>
      </w:r>
      <w:r w:rsidR="002E0C2F">
        <w:rPr>
          <w:color w:val="auto"/>
          <w:lang w:val="en-US"/>
        </w:rPr>
        <w:t>4</w:t>
      </w:r>
      <w:r w:rsidR="00C0695B">
        <w:rPr>
          <w:color w:val="auto"/>
          <w:lang w:val="en-US"/>
        </w:rPr>
        <w:t>-2</w:t>
      </w:r>
      <w:r w:rsidR="002E0C2F">
        <w:rPr>
          <w:color w:val="auto"/>
          <w:lang w:val="en-US"/>
        </w:rPr>
        <w:t>5</w:t>
      </w:r>
      <w:r w:rsidR="00C0695B">
        <w:rPr>
          <w:color w:val="auto"/>
          <w:lang w:val="en-US"/>
        </w:rPr>
        <w:t xml:space="preserve"> (</w:t>
      </w:r>
      <w:r w:rsidR="003404D0">
        <w:rPr>
          <w:color w:val="auto"/>
          <w:lang w:val="en-US"/>
        </w:rPr>
        <w:t>20</w:t>
      </w:r>
      <w:r w:rsidR="00C34C15">
        <w:rPr>
          <w:color w:val="auto"/>
          <w:lang w:val="en-US"/>
        </w:rPr>
        <w:t>2</w:t>
      </w:r>
      <w:r w:rsidR="002E0C2F">
        <w:rPr>
          <w:color w:val="auto"/>
          <w:lang w:val="en-US"/>
        </w:rPr>
        <w:t>3</w:t>
      </w:r>
      <w:r w:rsidR="003404D0">
        <w:rPr>
          <w:color w:val="auto"/>
          <w:lang w:val="en-US"/>
        </w:rPr>
        <w:t>-2</w:t>
      </w:r>
      <w:r w:rsidR="002E0C2F">
        <w:rPr>
          <w:color w:val="auto"/>
          <w:lang w:val="en-US"/>
        </w:rPr>
        <w:t>4</w:t>
      </w:r>
      <w:r w:rsidR="00C0695B">
        <w:rPr>
          <w:color w:val="auto"/>
          <w:lang w:val="en-US"/>
        </w:rPr>
        <w:t>: £nil).</w:t>
      </w:r>
    </w:p>
    <w:p w14:paraId="145E885B" w14:textId="77777777" w:rsidR="00C34C15" w:rsidRDefault="00C34C15" w:rsidP="000C2A54">
      <w:pPr>
        <w:rPr>
          <w:color w:val="auto"/>
          <w:lang w:val="en-US"/>
        </w:rPr>
      </w:pPr>
    </w:p>
    <w:p w14:paraId="4696C0A0" w14:textId="77777777" w:rsidR="000C2A54" w:rsidRPr="006269AD" w:rsidRDefault="000C2A54" w:rsidP="000C2A54">
      <w:pPr>
        <w:pStyle w:val="Heading4"/>
        <w:spacing w:before="0" w:after="0"/>
        <w:rPr>
          <w:rFonts w:ascii="Verdana" w:hAnsi="Verdana"/>
          <w:b w:val="0"/>
          <w:sz w:val="24"/>
          <w:szCs w:val="24"/>
        </w:rPr>
      </w:pPr>
      <w:r w:rsidRPr="006269AD">
        <w:rPr>
          <w:rFonts w:ascii="Verdana" w:hAnsi="Verdana"/>
          <w:snapToGrid w:val="0"/>
          <w:sz w:val="24"/>
          <w:szCs w:val="24"/>
        </w:rPr>
        <w:t xml:space="preserve">Pension benefits </w:t>
      </w:r>
      <w:r w:rsidRPr="006269AD">
        <w:rPr>
          <w:rFonts w:ascii="Verdana" w:hAnsi="Verdana"/>
          <w:b w:val="0"/>
          <w:sz w:val="24"/>
          <w:szCs w:val="24"/>
        </w:rPr>
        <w:t>(audited information)</w:t>
      </w:r>
    </w:p>
    <w:p w14:paraId="2068A1AE" w14:textId="77777777" w:rsidR="000C2A54" w:rsidRPr="006269AD" w:rsidRDefault="000C2A54" w:rsidP="000C2A54">
      <w:pPr>
        <w:pStyle w:val="Heading4"/>
        <w:spacing w:before="0" w:after="0"/>
        <w:rPr>
          <w:rFonts w:ascii="Verdana" w:hAnsi="Verdana"/>
          <w:b w:val="0"/>
          <w:sz w:val="24"/>
          <w:szCs w:val="24"/>
        </w:rPr>
      </w:pPr>
    </w:p>
    <w:p w14:paraId="690F44BC" w14:textId="77777777" w:rsidR="000C2A54" w:rsidRPr="006269AD" w:rsidRDefault="000C2A54" w:rsidP="000C2A54">
      <w:pPr>
        <w:pStyle w:val="Heading4"/>
        <w:spacing w:before="0" w:after="0"/>
        <w:rPr>
          <w:rFonts w:ascii="Verdana" w:hAnsi="Verdana"/>
          <w:b w:val="0"/>
          <w:sz w:val="24"/>
          <w:szCs w:val="24"/>
          <w:u w:val="single"/>
        </w:rPr>
      </w:pPr>
      <w:r w:rsidRPr="006269AD">
        <w:rPr>
          <w:rFonts w:ascii="Verdana" w:hAnsi="Verdana"/>
          <w:b w:val="0"/>
          <w:sz w:val="24"/>
          <w:szCs w:val="24"/>
          <w:u w:val="single"/>
        </w:rPr>
        <w:t>Commissioners</w:t>
      </w:r>
    </w:p>
    <w:p w14:paraId="09CCC6CD" w14:textId="77777777" w:rsidR="000C2A54" w:rsidRPr="006269AD" w:rsidRDefault="000C2A54" w:rsidP="000C2A54">
      <w:pPr>
        <w:widowControl w:val="0"/>
        <w:tabs>
          <w:tab w:val="right" w:pos="5103"/>
          <w:tab w:val="right" w:pos="7371"/>
        </w:tabs>
        <w:autoSpaceDE w:val="0"/>
        <w:autoSpaceDN w:val="0"/>
        <w:adjustRightInd w:val="0"/>
      </w:pPr>
    </w:p>
    <w:p w14:paraId="0FF36C89" w14:textId="5C0C747E" w:rsidR="000C2A54" w:rsidRPr="00D80497" w:rsidRDefault="000C2A54" w:rsidP="000C2A54">
      <w:pPr>
        <w:widowControl w:val="0"/>
        <w:tabs>
          <w:tab w:val="right" w:pos="5103"/>
          <w:tab w:val="right" w:pos="7371"/>
        </w:tabs>
        <w:autoSpaceDE w:val="0"/>
        <w:autoSpaceDN w:val="0"/>
        <w:adjustRightInd w:val="0"/>
      </w:pPr>
      <w:r>
        <w:t>The Chief Commissioner is eligible to join the Principal Civil Service Pension Scheme and the Commission paid employer pension contributions of</w:t>
      </w:r>
      <w:r w:rsidR="0048363E">
        <w:t xml:space="preserve"> £2</w:t>
      </w:r>
      <w:r w:rsidR="00036A25">
        <w:t>4</w:t>
      </w:r>
      <w:r w:rsidR="0048363E">
        <w:t>,</w:t>
      </w:r>
      <w:r w:rsidR="002E0C2F">
        <w:t>687</w:t>
      </w:r>
      <w:r w:rsidR="0048363E">
        <w:t xml:space="preserve"> </w:t>
      </w:r>
      <w:r w:rsidR="00C0695B">
        <w:t>(202</w:t>
      </w:r>
      <w:r w:rsidR="002E0C2F">
        <w:t>3</w:t>
      </w:r>
      <w:r w:rsidR="00C0695B">
        <w:t>-2</w:t>
      </w:r>
      <w:r w:rsidR="002E0C2F">
        <w:t>4</w:t>
      </w:r>
      <w:r w:rsidR="00C0695B">
        <w:t>: £2</w:t>
      </w:r>
      <w:r w:rsidR="002E0C2F">
        <w:t>4</w:t>
      </w:r>
      <w:r w:rsidR="00C0695B">
        <w:t>,</w:t>
      </w:r>
      <w:r w:rsidR="00B01FDF">
        <w:t>2</w:t>
      </w:r>
      <w:r w:rsidR="002E0C2F">
        <w:t>05</w:t>
      </w:r>
      <w:r w:rsidR="00B01FDF">
        <w:t>).</w:t>
      </w:r>
    </w:p>
    <w:p w14:paraId="089770E1" w14:textId="77777777" w:rsidR="000C2A54" w:rsidRPr="00D80497" w:rsidRDefault="000C2A54" w:rsidP="000C2A54">
      <w:pPr>
        <w:widowControl w:val="0"/>
        <w:tabs>
          <w:tab w:val="right" w:pos="5103"/>
          <w:tab w:val="right" w:pos="7371"/>
        </w:tabs>
        <w:autoSpaceDE w:val="0"/>
        <w:autoSpaceDN w:val="0"/>
        <w:adjustRightInd w:val="0"/>
      </w:pPr>
    </w:p>
    <w:p w14:paraId="6C021B7E" w14:textId="41CCB3D4" w:rsidR="00827D54" w:rsidRPr="00382803" w:rsidRDefault="000C2A54" w:rsidP="000C2A54">
      <w:pPr>
        <w:widowControl w:val="0"/>
        <w:tabs>
          <w:tab w:val="right" w:pos="5103"/>
          <w:tab w:val="right" w:pos="7371"/>
        </w:tabs>
        <w:autoSpaceDE w:val="0"/>
        <w:autoSpaceDN w:val="0"/>
        <w:adjustRightInd w:val="0"/>
      </w:pPr>
      <w:r>
        <w:t>No further pension contributions were made for Commissioner</w:t>
      </w:r>
      <w:r w:rsidR="0057710A">
        <w:t xml:space="preserve">s in the year ended 31 March </w:t>
      </w:r>
      <w:r w:rsidR="00C0695B">
        <w:t>202</w:t>
      </w:r>
      <w:r w:rsidR="002E0C2F">
        <w:t>5</w:t>
      </w:r>
      <w:r w:rsidR="0057710A">
        <w:t xml:space="preserve"> (</w:t>
      </w:r>
      <w:r w:rsidR="00C0695B">
        <w:t>202</w:t>
      </w:r>
      <w:r w:rsidR="002E0C2F">
        <w:t>3</w:t>
      </w:r>
      <w:r w:rsidR="00C0695B">
        <w:t>-2</w:t>
      </w:r>
      <w:r w:rsidR="002E0C2F">
        <w:t>4</w:t>
      </w:r>
      <w:r>
        <w:t>: £nil).</w:t>
      </w:r>
    </w:p>
    <w:p w14:paraId="1780B2B1" w14:textId="77777777" w:rsidR="00AB04A7" w:rsidRDefault="00AB04A7" w:rsidP="000C2A54">
      <w:pPr>
        <w:widowControl w:val="0"/>
        <w:tabs>
          <w:tab w:val="right" w:pos="5103"/>
          <w:tab w:val="right" w:pos="7371"/>
        </w:tabs>
        <w:autoSpaceDE w:val="0"/>
        <w:autoSpaceDN w:val="0"/>
        <w:adjustRightInd w:val="0"/>
        <w:rPr>
          <w:u w:val="single"/>
        </w:rPr>
      </w:pPr>
    </w:p>
    <w:p w14:paraId="7AE22698" w14:textId="4C87F9A3" w:rsidR="000C2A54" w:rsidRPr="005B72C1" w:rsidRDefault="000C2A54" w:rsidP="000C2A54">
      <w:pPr>
        <w:widowControl w:val="0"/>
        <w:tabs>
          <w:tab w:val="right" w:pos="5103"/>
          <w:tab w:val="right" w:pos="7371"/>
        </w:tabs>
        <w:autoSpaceDE w:val="0"/>
        <w:autoSpaceDN w:val="0"/>
        <w:adjustRightInd w:val="0"/>
        <w:rPr>
          <w:u w:val="single"/>
        </w:rPr>
      </w:pPr>
      <w:r w:rsidRPr="005B72C1">
        <w:rPr>
          <w:u w:val="single"/>
        </w:rPr>
        <w:lastRenderedPageBreak/>
        <w:t>Chairperson of the Audit and Risk Management Committee</w:t>
      </w:r>
    </w:p>
    <w:p w14:paraId="50EF7FD7" w14:textId="77777777" w:rsidR="000C2A54" w:rsidRPr="005B72C1" w:rsidRDefault="000C2A54" w:rsidP="000C2A54">
      <w:pPr>
        <w:widowControl w:val="0"/>
        <w:tabs>
          <w:tab w:val="right" w:pos="5103"/>
          <w:tab w:val="right" w:pos="7371"/>
        </w:tabs>
        <w:autoSpaceDE w:val="0"/>
        <w:autoSpaceDN w:val="0"/>
        <w:adjustRightInd w:val="0"/>
      </w:pPr>
    </w:p>
    <w:p w14:paraId="0F08473B" w14:textId="770B6A94" w:rsidR="000C2A54" w:rsidRPr="00D80497" w:rsidRDefault="000C2A54" w:rsidP="000C2A54">
      <w:pPr>
        <w:widowControl w:val="0"/>
        <w:tabs>
          <w:tab w:val="right" w:pos="5103"/>
          <w:tab w:val="right" w:pos="7371"/>
        </w:tabs>
        <w:autoSpaceDE w:val="0"/>
        <w:autoSpaceDN w:val="0"/>
        <w:adjustRightInd w:val="0"/>
      </w:pPr>
      <w:r>
        <w:t>No pension contributions were made for the Chairperson of the Audit and Risk Management Committee</w:t>
      </w:r>
      <w:r w:rsidR="0057710A">
        <w:t xml:space="preserve"> in the year ended 31 March </w:t>
      </w:r>
      <w:r w:rsidR="00C0695B">
        <w:t>202</w:t>
      </w:r>
      <w:r w:rsidR="002E0C2F">
        <w:t>5</w:t>
      </w:r>
      <w:r>
        <w:t xml:space="preserve"> (</w:t>
      </w:r>
      <w:r w:rsidR="00C0695B">
        <w:t>20</w:t>
      </w:r>
      <w:r w:rsidR="1042EFCD">
        <w:t>2</w:t>
      </w:r>
      <w:r w:rsidR="002E0C2F">
        <w:t>3</w:t>
      </w:r>
      <w:r w:rsidR="00C0695B">
        <w:t>-2</w:t>
      </w:r>
      <w:r w:rsidR="002E0C2F">
        <w:t>4</w:t>
      </w:r>
      <w:r>
        <w:t>: £nil).</w:t>
      </w:r>
    </w:p>
    <w:p w14:paraId="0807B635" w14:textId="25E8146E" w:rsidR="009C75DA" w:rsidRDefault="009C75DA">
      <w:pPr>
        <w:rPr>
          <w:snapToGrid w:val="0"/>
          <w:u w:val="single"/>
        </w:rPr>
      </w:pPr>
    </w:p>
    <w:p w14:paraId="2AE5C5CE" w14:textId="77777777" w:rsidR="000C2A54" w:rsidRPr="00BF65F1" w:rsidRDefault="000C2A54" w:rsidP="00D04316">
      <w:pPr>
        <w:rPr>
          <w:b/>
          <w:snapToGrid w:val="0"/>
          <w:u w:val="single"/>
        </w:rPr>
      </w:pPr>
      <w:r w:rsidRPr="00BF65F1">
        <w:rPr>
          <w:snapToGrid w:val="0"/>
          <w:u w:val="single"/>
        </w:rPr>
        <w:t>Management Team</w:t>
      </w:r>
      <w:r w:rsidR="0057710A" w:rsidRPr="00BF65F1">
        <w:rPr>
          <w:b/>
          <w:snapToGrid w:val="0"/>
          <w:u w:val="single"/>
        </w:rPr>
        <w:t xml:space="preserve"> </w:t>
      </w:r>
    </w:p>
    <w:p w14:paraId="68EC5C91" w14:textId="77777777" w:rsidR="00A87A01" w:rsidRPr="00382803" w:rsidRDefault="00A87A01" w:rsidP="00D04316">
      <w:pPr>
        <w:rPr>
          <w:b/>
          <w:snapToGrid w:val="0"/>
          <w:highlight w:val="yellow"/>
          <w:u w:val="single"/>
        </w:rPr>
      </w:pPr>
    </w:p>
    <w:p w14:paraId="4BE22C4D" w14:textId="77777777" w:rsidR="000C2A54" w:rsidRPr="00382803" w:rsidRDefault="000C2A54" w:rsidP="000C2A54">
      <w:pPr>
        <w:rPr>
          <w:snapToGrid w:val="0"/>
          <w:highlight w:val="yellow"/>
        </w:rPr>
      </w:pP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8"/>
        <w:gridCol w:w="1670"/>
        <w:gridCol w:w="1497"/>
        <w:gridCol w:w="1046"/>
        <w:gridCol w:w="1046"/>
        <w:gridCol w:w="1162"/>
      </w:tblGrid>
      <w:tr w:rsidR="00A7412A" w:rsidRPr="00382803" w14:paraId="4E676418" w14:textId="77777777" w:rsidTr="54F71CB4">
        <w:trPr>
          <w:jc w:val="center"/>
        </w:trPr>
        <w:tc>
          <w:tcPr>
            <w:tcW w:w="1858" w:type="dxa"/>
          </w:tcPr>
          <w:p w14:paraId="3ECA7637" w14:textId="77777777" w:rsidR="00A7412A" w:rsidRPr="00BF65F1" w:rsidRDefault="00A7412A" w:rsidP="000C2A54">
            <w:pPr>
              <w:pStyle w:val="Heading4"/>
              <w:spacing w:before="0" w:after="0"/>
              <w:ind w:left="57"/>
              <w:jc w:val="center"/>
              <w:rPr>
                <w:rFonts w:ascii="Verdana" w:hAnsi="Verdana"/>
                <w:b w:val="0"/>
                <w:sz w:val="18"/>
                <w:szCs w:val="18"/>
              </w:rPr>
            </w:pPr>
          </w:p>
        </w:tc>
        <w:tc>
          <w:tcPr>
            <w:tcW w:w="1670" w:type="dxa"/>
          </w:tcPr>
          <w:p w14:paraId="7825F990" w14:textId="75B5A9DF" w:rsidR="00A7412A" w:rsidRPr="00BF65F1" w:rsidRDefault="00A7412A" w:rsidP="000C2A54">
            <w:pPr>
              <w:jc w:val="center"/>
              <w:rPr>
                <w:color w:val="auto"/>
                <w:sz w:val="18"/>
                <w:szCs w:val="18"/>
              </w:rPr>
            </w:pPr>
            <w:r w:rsidRPr="00BF65F1">
              <w:rPr>
                <w:color w:val="auto"/>
                <w:sz w:val="18"/>
                <w:szCs w:val="18"/>
              </w:rPr>
              <w:t>Accrued pensi</w:t>
            </w:r>
            <w:r w:rsidR="3686CB26" w:rsidRPr="00BF65F1">
              <w:rPr>
                <w:color w:val="auto"/>
                <w:sz w:val="18"/>
                <w:szCs w:val="18"/>
              </w:rPr>
              <w:t>on at pension age as at 31/</w:t>
            </w:r>
            <w:r w:rsidR="001B25DA" w:rsidRPr="00BF65F1">
              <w:rPr>
                <w:color w:val="auto"/>
                <w:sz w:val="18"/>
                <w:szCs w:val="18"/>
              </w:rPr>
              <w:t>0</w:t>
            </w:r>
            <w:r w:rsidR="3686CB26" w:rsidRPr="00BF65F1">
              <w:rPr>
                <w:color w:val="auto"/>
                <w:sz w:val="18"/>
                <w:szCs w:val="18"/>
              </w:rPr>
              <w:t>3/2</w:t>
            </w:r>
            <w:r w:rsidR="007602FC" w:rsidRPr="00BF65F1">
              <w:rPr>
                <w:color w:val="auto"/>
                <w:sz w:val="18"/>
                <w:szCs w:val="18"/>
              </w:rPr>
              <w:t>5</w:t>
            </w:r>
          </w:p>
          <w:p w14:paraId="63E4047E" w14:textId="77777777" w:rsidR="00A7412A" w:rsidRPr="00BF65F1" w:rsidRDefault="00A7412A" w:rsidP="000C2A54">
            <w:pPr>
              <w:jc w:val="center"/>
              <w:rPr>
                <w:color w:val="auto"/>
                <w:sz w:val="18"/>
                <w:szCs w:val="18"/>
              </w:rPr>
            </w:pPr>
          </w:p>
        </w:tc>
        <w:tc>
          <w:tcPr>
            <w:tcW w:w="1497" w:type="dxa"/>
          </w:tcPr>
          <w:p w14:paraId="6FF4C2D6" w14:textId="1B6006C2" w:rsidR="00A7412A" w:rsidRPr="00BF65F1" w:rsidRDefault="00A7412A" w:rsidP="00DD765C">
            <w:pPr>
              <w:pStyle w:val="FootnoteText"/>
              <w:jc w:val="center"/>
              <w:rPr>
                <w:rFonts w:ascii="Verdana" w:hAnsi="Verdana"/>
                <w:snapToGrid w:val="0"/>
                <w:sz w:val="18"/>
                <w:szCs w:val="18"/>
              </w:rPr>
            </w:pPr>
            <w:r w:rsidRPr="00BF65F1">
              <w:rPr>
                <w:rFonts w:ascii="Verdana" w:hAnsi="Verdana"/>
                <w:snapToGrid w:val="0"/>
                <w:sz w:val="18"/>
                <w:szCs w:val="18"/>
              </w:rPr>
              <w:t xml:space="preserve">Real increase in pension </w:t>
            </w:r>
            <w:r w:rsidR="001B25DA" w:rsidRPr="00BF65F1">
              <w:rPr>
                <w:rFonts w:ascii="Verdana" w:hAnsi="Verdana"/>
                <w:snapToGrid w:val="0"/>
                <w:sz w:val="18"/>
                <w:szCs w:val="18"/>
              </w:rPr>
              <w:t>and related lump sum at pension age</w:t>
            </w:r>
          </w:p>
        </w:tc>
        <w:tc>
          <w:tcPr>
            <w:tcW w:w="1046" w:type="dxa"/>
          </w:tcPr>
          <w:p w14:paraId="1BE38D98" w14:textId="004BB385" w:rsidR="00A7412A" w:rsidRPr="00BF65F1" w:rsidRDefault="3686CB26" w:rsidP="000C2A54">
            <w:pPr>
              <w:jc w:val="center"/>
              <w:rPr>
                <w:color w:val="auto"/>
                <w:sz w:val="18"/>
                <w:szCs w:val="18"/>
              </w:rPr>
            </w:pPr>
            <w:r w:rsidRPr="00BF65F1">
              <w:rPr>
                <w:color w:val="auto"/>
                <w:sz w:val="18"/>
                <w:szCs w:val="18"/>
              </w:rPr>
              <w:t>CETV at 31/</w:t>
            </w:r>
            <w:r w:rsidR="001B25DA" w:rsidRPr="00BF65F1">
              <w:rPr>
                <w:color w:val="auto"/>
                <w:sz w:val="18"/>
                <w:szCs w:val="18"/>
              </w:rPr>
              <w:t>0</w:t>
            </w:r>
            <w:r w:rsidRPr="00BF65F1">
              <w:rPr>
                <w:color w:val="auto"/>
                <w:sz w:val="18"/>
                <w:szCs w:val="18"/>
              </w:rPr>
              <w:t>3/2</w:t>
            </w:r>
            <w:r w:rsidR="007602FC" w:rsidRPr="00BF65F1">
              <w:rPr>
                <w:color w:val="auto"/>
                <w:sz w:val="18"/>
                <w:szCs w:val="18"/>
              </w:rPr>
              <w:t>5</w:t>
            </w:r>
          </w:p>
          <w:p w14:paraId="03BBD1D2" w14:textId="77777777" w:rsidR="00A7412A" w:rsidRPr="00BF65F1" w:rsidRDefault="00A7412A" w:rsidP="000C2A54">
            <w:pPr>
              <w:jc w:val="center"/>
              <w:rPr>
                <w:color w:val="auto"/>
                <w:sz w:val="18"/>
                <w:szCs w:val="18"/>
              </w:rPr>
            </w:pPr>
          </w:p>
          <w:p w14:paraId="576D1159" w14:textId="77777777" w:rsidR="00A7412A" w:rsidRPr="00BF65F1" w:rsidRDefault="00A7412A" w:rsidP="000C2A54">
            <w:pPr>
              <w:jc w:val="center"/>
              <w:rPr>
                <w:color w:val="auto"/>
                <w:sz w:val="18"/>
                <w:szCs w:val="18"/>
              </w:rPr>
            </w:pPr>
          </w:p>
          <w:p w14:paraId="0E3F55AE" w14:textId="77777777" w:rsidR="00A7412A" w:rsidRPr="00BF65F1" w:rsidRDefault="00A7412A" w:rsidP="000C2A54">
            <w:pPr>
              <w:rPr>
                <w:color w:val="auto"/>
                <w:sz w:val="18"/>
                <w:szCs w:val="18"/>
              </w:rPr>
            </w:pPr>
          </w:p>
        </w:tc>
        <w:tc>
          <w:tcPr>
            <w:tcW w:w="1046" w:type="dxa"/>
          </w:tcPr>
          <w:p w14:paraId="2EC6BF97" w14:textId="7A59DBB7" w:rsidR="00A7412A" w:rsidRPr="00BF65F1" w:rsidRDefault="00A7412A" w:rsidP="0057710A">
            <w:pPr>
              <w:jc w:val="center"/>
              <w:rPr>
                <w:color w:val="auto"/>
                <w:sz w:val="18"/>
                <w:szCs w:val="18"/>
              </w:rPr>
            </w:pPr>
            <w:r w:rsidRPr="00BF65F1">
              <w:rPr>
                <w:color w:val="auto"/>
                <w:sz w:val="18"/>
                <w:szCs w:val="18"/>
              </w:rPr>
              <w:t>CETV at 31/</w:t>
            </w:r>
            <w:r w:rsidR="001B25DA" w:rsidRPr="00BF65F1">
              <w:rPr>
                <w:color w:val="auto"/>
                <w:sz w:val="18"/>
                <w:szCs w:val="18"/>
              </w:rPr>
              <w:t>0</w:t>
            </w:r>
            <w:r w:rsidRPr="00BF65F1">
              <w:rPr>
                <w:color w:val="auto"/>
                <w:sz w:val="18"/>
                <w:szCs w:val="18"/>
              </w:rPr>
              <w:t>3/2</w:t>
            </w:r>
            <w:r w:rsidR="007602FC" w:rsidRPr="00BF65F1">
              <w:rPr>
                <w:color w:val="auto"/>
                <w:sz w:val="18"/>
                <w:szCs w:val="18"/>
              </w:rPr>
              <w:t>4</w:t>
            </w:r>
          </w:p>
        </w:tc>
        <w:tc>
          <w:tcPr>
            <w:tcW w:w="1162" w:type="dxa"/>
          </w:tcPr>
          <w:p w14:paraId="19B0D35B" w14:textId="77777777" w:rsidR="00A7412A" w:rsidRPr="00BF65F1" w:rsidRDefault="00A7412A" w:rsidP="000C2A54">
            <w:pPr>
              <w:jc w:val="center"/>
              <w:rPr>
                <w:color w:val="auto"/>
                <w:sz w:val="18"/>
                <w:szCs w:val="18"/>
              </w:rPr>
            </w:pPr>
            <w:r w:rsidRPr="00BF65F1">
              <w:rPr>
                <w:color w:val="auto"/>
                <w:sz w:val="18"/>
                <w:szCs w:val="18"/>
              </w:rPr>
              <w:t>Real increase in CETV</w:t>
            </w:r>
          </w:p>
          <w:p w14:paraId="2FA9192F" w14:textId="77777777" w:rsidR="00A7412A" w:rsidRPr="00BF65F1" w:rsidRDefault="00A7412A" w:rsidP="000C2A54">
            <w:pPr>
              <w:jc w:val="center"/>
              <w:rPr>
                <w:color w:val="auto"/>
                <w:sz w:val="18"/>
                <w:szCs w:val="18"/>
              </w:rPr>
            </w:pPr>
          </w:p>
          <w:p w14:paraId="0537F2B9" w14:textId="77777777" w:rsidR="00A7412A" w:rsidRPr="00BF65F1" w:rsidRDefault="00A7412A" w:rsidP="000C2A54">
            <w:pPr>
              <w:rPr>
                <w:color w:val="auto"/>
                <w:sz w:val="18"/>
                <w:szCs w:val="18"/>
              </w:rPr>
            </w:pPr>
          </w:p>
        </w:tc>
      </w:tr>
      <w:tr w:rsidR="00A7412A" w:rsidRPr="00382803" w14:paraId="0E263E5D" w14:textId="77777777" w:rsidTr="54F71CB4">
        <w:trPr>
          <w:jc w:val="center"/>
        </w:trPr>
        <w:tc>
          <w:tcPr>
            <w:tcW w:w="1858" w:type="dxa"/>
            <w:vAlign w:val="center"/>
          </w:tcPr>
          <w:p w14:paraId="6F77D218" w14:textId="77777777" w:rsidR="00A7412A" w:rsidRPr="00BF65F1" w:rsidRDefault="00A7412A" w:rsidP="000C2A54">
            <w:pPr>
              <w:ind w:left="57"/>
              <w:rPr>
                <w:sz w:val="18"/>
                <w:szCs w:val="18"/>
              </w:rPr>
            </w:pPr>
          </w:p>
          <w:p w14:paraId="62C3D9B4" w14:textId="77777777" w:rsidR="00A7412A" w:rsidRPr="00BF65F1" w:rsidRDefault="00A7412A" w:rsidP="000C2A54">
            <w:pPr>
              <w:ind w:left="57"/>
              <w:rPr>
                <w:sz w:val="18"/>
                <w:szCs w:val="18"/>
              </w:rPr>
            </w:pPr>
          </w:p>
        </w:tc>
        <w:tc>
          <w:tcPr>
            <w:tcW w:w="1670" w:type="dxa"/>
            <w:vAlign w:val="center"/>
          </w:tcPr>
          <w:p w14:paraId="0E83B951" w14:textId="77777777" w:rsidR="00A7412A" w:rsidRPr="00BF65F1" w:rsidRDefault="00A7412A" w:rsidP="000C2A54">
            <w:pPr>
              <w:jc w:val="center"/>
              <w:rPr>
                <w:color w:val="auto"/>
                <w:sz w:val="18"/>
                <w:szCs w:val="18"/>
              </w:rPr>
            </w:pPr>
            <w:r w:rsidRPr="00BF65F1">
              <w:rPr>
                <w:color w:val="auto"/>
                <w:sz w:val="18"/>
                <w:szCs w:val="18"/>
              </w:rPr>
              <w:t>£’000</w:t>
            </w:r>
          </w:p>
          <w:p w14:paraId="6E69139E" w14:textId="77777777" w:rsidR="00A7412A" w:rsidRPr="00BF65F1" w:rsidRDefault="00A7412A" w:rsidP="000C2A54">
            <w:pPr>
              <w:jc w:val="center"/>
              <w:rPr>
                <w:color w:val="auto"/>
                <w:sz w:val="18"/>
                <w:szCs w:val="18"/>
              </w:rPr>
            </w:pPr>
          </w:p>
        </w:tc>
        <w:tc>
          <w:tcPr>
            <w:tcW w:w="1497" w:type="dxa"/>
            <w:vAlign w:val="center"/>
          </w:tcPr>
          <w:p w14:paraId="50228145" w14:textId="77777777" w:rsidR="00A7412A" w:rsidRPr="00BF65F1" w:rsidRDefault="00A7412A" w:rsidP="000C2A54">
            <w:pPr>
              <w:jc w:val="center"/>
              <w:rPr>
                <w:color w:val="auto"/>
                <w:sz w:val="18"/>
                <w:szCs w:val="18"/>
              </w:rPr>
            </w:pPr>
            <w:r w:rsidRPr="00BF65F1">
              <w:rPr>
                <w:color w:val="auto"/>
                <w:sz w:val="18"/>
                <w:szCs w:val="18"/>
              </w:rPr>
              <w:t>£’000</w:t>
            </w:r>
          </w:p>
          <w:p w14:paraId="56C60B0F" w14:textId="77777777" w:rsidR="00A7412A" w:rsidRPr="00BF65F1" w:rsidRDefault="00A7412A" w:rsidP="000C2A54">
            <w:pPr>
              <w:jc w:val="center"/>
              <w:rPr>
                <w:color w:val="auto"/>
                <w:sz w:val="18"/>
                <w:szCs w:val="18"/>
              </w:rPr>
            </w:pPr>
          </w:p>
        </w:tc>
        <w:tc>
          <w:tcPr>
            <w:tcW w:w="1046" w:type="dxa"/>
            <w:vAlign w:val="center"/>
          </w:tcPr>
          <w:p w14:paraId="06A313DF" w14:textId="77777777" w:rsidR="00A7412A" w:rsidRPr="00BF65F1" w:rsidRDefault="00A7412A" w:rsidP="000C2A54">
            <w:pPr>
              <w:jc w:val="center"/>
              <w:rPr>
                <w:color w:val="auto"/>
                <w:sz w:val="18"/>
                <w:szCs w:val="18"/>
              </w:rPr>
            </w:pPr>
            <w:r w:rsidRPr="00BF65F1">
              <w:rPr>
                <w:color w:val="auto"/>
                <w:sz w:val="18"/>
                <w:szCs w:val="18"/>
              </w:rPr>
              <w:t>£’000</w:t>
            </w:r>
          </w:p>
          <w:p w14:paraId="393E0830" w14:textId="77777777" w:rsidR="00A7412A" w:rsidRPr="00BF65F1" w:rsidRDefault="00A7412A" w:rsidP="000C2A54">
            <w:pPr>
              <w:jc w:val="center"/>
              <w:rPr>
                <w:color w:val="auto"/>
                <w:sz w:val="18"/>
                <w:szCs w:val="18"/>
              </w:rPr>
            </w:pPr>
          </w:p>
        </w:tc>
        <w:tc>
          <w:tcPr>
            <w:tcW w:w="1046" w:type="dxa"/>
            <w:vAlign w:val="center"/>
          </w:tcPr>
          <w:p w14:paraId="1BCCD96E" w14:textId="77777777" w:rsidR="00A7412A" w:rsidRPr="00BF65F1" w:rsidRDefault="00A7412A" w:rsidP="000C2A54">
            <w:pPr>
              <w:jc w:val="center"/>
              <w:rPr>
                <w:color w:val="auto"/>
                <w:sz w:val="18"/>
                <w:szCs w:val="18"/>
              </w:rPr>
            </w:pPr>
            <w:r w:rsidRPr="00BF65F1">
              <w:rPr>
                <w:color w:val="auto"/>
                <w:sz w:val="18"/>
                <w:szCs w:val="18"/>
              </w:rPr>
              <w:t>£’000</w:t>
            </w:r>
          </w:p>
          <w:p w14:paraId="1CBE0916" w14:textId="77777777" w:rsidR="00A7412A" w:rsidRPr="00BF65F1" w:rsidRDefault="00A7412A" w:rsidP="000C2A54">
            <w:pPr>
              <w:jc w:val="center"/>
              <w:rPr>
                <w:color w:val="auto"/>
                <w:sz w:val="18"/>
                <w:szCs w:val="18"/>
              </w:rPr>
            </w:pPr>
          </w:p>
        </w:tc>
        <w:tc>
          <w:tcPr>
            <w:tcW w:w="1162" w:type="dxa"/>
            <w:vAlign w:val="center"/>
          </w:tcPr>
          <w:p w14:paraId="416F4657" w14:textId="77777777" w:rsidR="00A7412A" w:rsidRPr="00BF65F1" w:rsidRDefault="00A7412A" w:rsidP="000C2A54">
            <w:pPr>
              <w:jc w:val="center"/>
              <w:rPr>
                <w:color w:val="auto"/>
                <w:sz w:val="18"/>
                <w:szCs w:val="18"/>
              </w:rPr>
            </w:pPr>
            <w:r w:rsidRPr="00BF65F1">
              <w:rPr>
                <w:color w:val="auto"/>
                <w:sz w:val="18"/>
                <w:szCs w:val="18"/>
              </w:rPr>
              <w:t>£’000</w:t>
            </w:r>
          </w:p>
          <w:p w14:paraId="64EA5E08" w14:textId="77777777" w:rsidR="00A7412A" w:rsidRPr="00BF65F1" w:rsidRDefault="00A7412A" w:rsidP="000C2A54">
            <w:pPr>
              <w:jc w:val="center"/>
              <w:rPr>
                <w:color w:val="auto"/>
                <w:sz w:val="18"/>
                <w:szCs w:val="18"/>
              </w:rPr>
            </w:pPr>
          </w:p>
        </w:tc>
      </w:tr>
      <w:tr w:rsidR="001D0DE7" w:rsidRPr="00382803" w14:paraId="770BE057" w14:textId="77777777" w:rsidTr="54F71CB4">
        <w:trPr>
          <w:jc w:val="center"/>
        </w:trPr>
        <w:tc>
          <w:tcPr>
            <w:tcW w:w="1858" w:type="dxa"/>
            <w:vAlign w:val="center"/>
          </w:tcPr>
          <w:p w14:paraId="181648D1" w14:textId="77777777" w:rsidR="001D0DE7" w:rsidRPr="00BF65F1" w:rsidRDefault="001D0DE7" w:rsidP="000C2A54">
            <w:pPr>
              <w:ind w:left="57"/>
              <w:rPr>
                <w:sz w:val="20"/>
                <w:szCs w:val="20"/>
              </w:rPr>
            </w:pPr>
            <w:r w:rsidRPr="00BF65F1">
              <w:rPr>
                <w:sz w:val="20"/>
                <w:szCs w:val="20"/>
              </w:rPr>
              <w:t>Alyson Kilpatrick</w:t>
            </w:r>
          </w:p>
          <w:p w14:paraId="29F439C4" w14:textId="77777777" w:rsidR="001D0DE7" w:rsidRPr="00BF65F1" w:rsidRDefault="001D0DE7" w:rsidP="000C2A54">
            <w:pPr>
              <w:ind w:left="57"/>
              <w:rPr>
                <w:sz w:val="20"/>
                <w:szCs w:val="20"/>
              </w:rPr>
            </w:pPr>
            <w:r w:rsidRPr="00BF65F1">
              <w:rPr>
                <w:sz w:val="20"/>
                <w:szCs w:val="20"/>
              </w:rPr>
              <w:t>Chief Commissioner</w:t>
            </w:r>
          </w:p>
          <w:p w14:paraId="1958E4C1" w14:textId="77777777" w:rsidR="001D0DE7" w:rsidRPr="00BF65F1" w:rsidRDefault="001D0DE7" w:rsidP="000C2A54">
            <w:pPr>
              <w:ind w:left="57"/>
              <w:rPr>
                <w:sz w:val="20"/>
                <w:szCs w:val="20"/>
              </w:rPr>
            </w:pPr>
          </w:p>
        </w:tc>
        <w:tc>
          <w:tcPr>
            <w:tcW w:w="1670" w:type="dxa"/>
            <w:vAlign w:val="center"/>
          </w:tcPr>
          <w:p w14:paraId="024C7DB5" w14:textId="3C85DCAE" w:rsidR="001D0DE7" w:rsidRPr="00BF65F1" w:rsidRDefault="00BF65F1" w:rsidP="000C2A54">
            <w:pPr>
              <w:jc w:val="center"/>
              <w:rPr>
                <w:color w:val="auto"/>
                <w:sz w:val="20"/>
                <w:szCs w:val="20"/>
              </w:rPr>
            </w:pPr>
            <w:r w:rsidRPr="00BF65F1">
              <w:rPr>
                <w:color w:val="auto"/>
                <w:sz w:val="20"/>
                <w:szCs w:val="20"/>
              </w:rPr>
              <w:t>5-10</w:t>
            </w:r>
          </w:p>
        </w:tc>
        <w:tc>
          <w:tcPr>
            <w:tcW w:w="1497" w:type="dxa"/>
            <w:vAlign w:val="center"/>
          </w:tcPr>
          <w:p w14:paraId="4B7F4811" w14:textId="180E3D0F" w:rsidR="001D0DE7" w:rsidRPr="00BF65F1" w:rsidRDefault="00BF65F1" w:rsidP="000C2A54">
            <w:pPr>
              <w:jc w:val="center"/>
              <w:rPr>
                <w:color w:val="auto"/>
                <w:sz w:val="20"/>
                <w:szCs w:val="20"/>
              </w:rPr>
            </w:pPr>
            <w:r w:rsidRPr="00BF65F1">
              <w:rPr>
                <w:color w:val="auto"/>
                <w:sz w:val="20"/>
                <w:szCs w:val="20"/>
              </w:rPr>
              <w:t>0-2.5</w:t>
            </w:r>
          </w:p>
        </w:tc>
        <w:tc>
          <w:tcPr>
            <w:tcW w:w="1046" w:type="dxa"/>
            <w:vAlign w:val="center"/>
          </w:tcPr>
          <w:p w14:paraId="6CFCA0AC" w14:textId="7235E222" w:rsidR="001D0DE7" w:rsidRPr="00BF65F1" w:rsidRDefault="00BF65F1" w:rsidP="000C2A54">
            <w:pPr>
              <w:jc w:val="center"/>
              <w:rPr>
                <w:color w:val="auto"/>
                <w:sz w:val="20"/>
                <w:szCs w:val="20"/>
              </w:rPr>
            </w:pPr>
            <w:r w:rsidRPr="00BF65F1">
              <w:rPr>
                <w:color w:val="auto"/>
                <w:sz w:val="20"/>
                <w:szCs w:val="20"/>
              </w:rPr>
              <w:t>112</w:t>
            </w:r>
          </w:p>
        </w:tc>
        <w:tc>
          <w:tcPr>
            <w:tcW w:w="1046" w:type="dxa"/>
            <w:vAlign w:val="center"/>
          </w:tcPr>
          <w:p w14:paraId="32ACD7ED" w14:textId="21574DC5" w:rsidR="001D0DE7" w:rsidRPr="00BF65F1" w:rsidRDefault="007602FC" w:rsidP="000C2A54">
            <w:pPr>
              <w:jc w:val="center"/>
              <w:rPr>
                <w:color w:val="auto"/>
                <w:sz w:val="20"/>
                <w:szCs w:val="20"/>
              </w:rPr>
            </w:pPr>
            <w:r w:rsidRPr="00BF65F1">
              <w:rPr>
                <w:color w:val="auto"/>
                <w:sz w:val="20"/>
                <w:szCs w:val="20"/>
              </w:rPr>
              <w:t>75</w:t>
            </w:r>
          </w:p>
        </w:tc>
        <w:tc>
          <w:tcPr>
            <w:tcW w:w="1162" w:type="dxa"/>
            <w:vAlign w:val="center"/>
          </w:tcPr>
          <w:p w14:paraId="2BE4793D" w14:textId="3105F393" w:rsidR="001D0DE7" w:rsidRPr="00BF65F1" w:rsidRDefault="00BF65F1" w:rsidP="000C2A54">
            <w:pPr>
              <w:jc w:val="center"/>
              <w:rPr>
                <w:color w:val="auto"/>
                <w:sz w:val="20"/>
                <w:szCs w:val="20"/>
              </w:rPr>
            </w:pPr>
            <w:r w:rsidRPr="00BF65F1">
              <w:rPr>
                <w:color w:val="auto"/>
                <w:sz w:val="20"/>
                <w:szCs w:val="20"/>
              </w:rPr>
              <w:t>25</w:t>
            </w:r>
          </w:p>
        </w:tc>
      </w:tr>
      <w:tr w:rsidR="00A7412A" w:rsidRPr="00382803" w14:paraId="01DCA7B4" w14:textId="77777777" w:rsidTr="54F71CB4">
        <w:trPr>
          <w:jc w:val="center"/>
        </w:trPr>
        <w:tc>
          <w:tcPr>
            <w:tcW w:w="1858" w:type="dxa"/>
            <w:vAlign w:val="center"/>
          </w:tcPr>
          <w:p w14:paraId="1DAA58E0" w14:textId="77777777" w:rsidR="00A7412A" w:rsidRPr="00BF65F1" w:rsidRDefault="00A7412A" w:rsidP="000C2A54">
            <w:pPr>
              <w:ind w:left="57"/>
              <w:rPr>
                <w:sz w:val="20"/>
                <w:szCs w:val="20"/>
              </w:rPr>
            </w:pPr>
            <w:r w:rsidRPr="00BF65F1">
              <w:rPr>
                <w:sz w:val="20"/>
                <w:szCs w:val="20"/>
              </w:rPr>
              <w:t>David Russell</w:t>
            </w:r>
          </w:p>
          <w:p w14:paraId="2B20592D" w14:textId="77777777" w:rsidR="00A7412A" w:rsidRPr="00BF65F1" w:rsidRDefault="00A7412A" w:rsidP="00CA6B5D">
            <w:pPr>
              <w:ind w:left="57"/>
              <w:rPr>
                <w:sz w:val="20"/>
                <w:szCs w:val="20"/>
              </w:rPr>
            </w:pPr>
            <w:r w:rsidRPr="00BF65F1">
              <w:rPr>
                <w:sz w:val="20"/>
                <w:szCs w:val="20"/>
              </w:rPr>
              <w:t xml:space="preserve">Chief Executive </w:t>
            </w:r>
            <w:r w:rsidRPr="00BF65F1">
              <w:rPr>
                <w:i/>
                <w:sz w:val="20"/>
                <w:szCs w:val="20"/>
              </w:rPr>
              <w:br/>
            </w:r>
          </w:p>
        </w:tc>
        <w:tc>
          <w:tcPr>
            <w:tcW w:w="1670" w:type="dxa"/>
            <w:vAlign w:val="center"/>
          </w:tcPr>
          <w:p w14:paraId="1309D7FC" w14:textId="471EA442" w:rsidR="00A7412A" w:rsidRPr="00BF65F1" w:rsidRDefault="00BF65F1" w:rsidP="000C2A54">
            <w:pPr>
              <w:jc w:val="center"/>
              <w:rPr>
                <w:color w:val="auto"/>
                <w:sz w:val="20"/>
                <w:szCs w:val="20"/>
              </w:rPr>
            </w:pPr>
            <w:r w:rsidRPr="00BF65F1">
              <w:rPr>
                <w:color w:val="auto"/>
                <w:sz w:val="20"/>
                <w:szCs w:val="20"/>
              </w:rPr>
              <w:t>35-40</w:t>
            </w:r>
          </w:p>
        </w:tc>
        <w:tc>
          <w:tcPr>
            <w:tcW w:w="1497" w:type="dxa"/>
            <w:vAlign w:val="center"/>
          </w:tcPr>
          <w:p w14:paraId="7BAFA0B5" w14:textId="62471061" w:rsidR="00A7412A" w:rsidRPr="00BF65F1" w:rsidRDefault="00BF65F1" w:rsidP="000C2A54">
            <w:pPr>
              <w:jc w:val="center"/>
              <w:rPr>
                <w:color w:val="auto"/>
                <w:sz w:val="20"/>
                <w:szCs w:val="20"/>
              </w:rPr>
            </w:pPr>
            <w:r w:rsidRPr="00BF65F1">
              <w:rPr>
                <w:color w:val="auto"/>
                <w:sz w:val="20"/>
                <w:szCs w:val="20"/>
              </w:rPr>
              <w:t>0-2.5</w:t>
            </w:r>
          </w:p>
        </w:tc>
        <w:tc>
          <w:tcPr>
            <w:tcW w:w="1046" w:type="dxa"/>
            <w:vAlign w:val="center"/>
          </w:tcPr>
          <w:p w14:paraId="1BB52882" w14:textId="276BDE68" w:rsidR="00A7412A" w:rsidRPr="00BF65F1" w:rsidRDefault="00BF65F1" w:rsidP="000C2A54">
            <w:pPr>
              <w:jc w:val="center"/>
              <w:rPr>
                <w:color w:val="auto"/>
                <w:sz w:val="20"/>
                <w:szCs w:val="20"/>
              </w:rPr>
            </w:pPr>
            <w:r w:rsidRPr="00BF65F1">
              <w:rPr>
                <w:color w:val="auto"/>
                <w:sz w:val="20"/>
                <w:szCs w:val="20"/>
              </w:rPr>
              <w:t>568</w:t>
            </w:r>
          </w:p>
        </w:tc>
        <w:tc>
          <w:tcPr>
            <w:tcW w:w="1046" w:type="dxa"/>
            <w:vAlign w:val="center"/>
          </w:tcPr>
          <w:p w14:paraId="0FDFB44F" w14:textId="16FD87C6" w:rsidR="00A7412A" w:rsidRPr="00BF65F1" w:rsidRDefault="007602FC" w:rsidP="000C2A54">
            <w:pPr>
              <w:jc w:val="center"/>
              <w:rPr>
                <w:color w:val="auto"/>
                <w:sz w:val="20"/>
                <w:szCs w:val="20"/>
              </w:rPr>
            </w:pPr>
            <w:r w:rsidRPr="00BF65F1">
              <w:rPr>
                <w:color w:val="auto"/>
                <w:sz w:val="20"/>
                <w:szCs w:val="20"/>
              </w:rPr>
              <w:t>499</w:t>
            </w:r>
          </w:p>
        </w:tc>
        <w:tc>
          <w:tcPr>
            <w:tcW w:w="1162" w:type="dxa"/>
            <w:vAlign w:val="center"/>
          </w:tcPr>
          <w:p w14:paraId="1414ED34" w14:textId="61C471E3" w:rsidR="00A7412A" w:rsidRPr="00BF65F1" w:rsidRDefault="00BF65F1" w:rsidP="000C2A54">
            <w:pPr>
              <w:jc w:val="center"/>
              <w:rPr>
                <w:color w:val="auto"/>
                <w:sz w:val="20"/>
                <w:szCs w:val="20"/>
              </w:rPr>
            </w:pPr>
            <w:r w:rsidRPr="00BF65F1">
              <w:rPr>
                <w:color w:val="auto"/>
                <w:sz w:val="20"/>
                <w:szCs w:val="20"/>
              </w:rPr>
              <w:t>27</w:t>
            </w:r>
          </w:p>
        </w:tc>
      </w:tr>
      <w:tr w:rsidR="00A7412A" w:rsidRPr="00382803" w14:paraId="3AA999A8" w14:textId="77777777" w:rsidTr="54F71CB4">
        <w:trPr>
          <w:jc w:val="center"/>
        </w:trPr>
        <w:tc>
          <w:tcPr>
            <w:tcW w:w="1858" w:type="dxa"/>
            <w:vAlign w:val="center"/>
          </w:tcPr>
          <w:p w14:paraId="091A66A2" w14:textId="77777777" w:rsidR="00A7412A" w:rsidRPr="00BF65F1" w:rsidRDefault="00A7412A" w:rsidP="000C2A54">
            <w:pPr>
              <w:ind w:left="57"/>
              <w:rPr>
                <w:sz w:val="20"/>
                <w:szCs w:val="20"/>
              </w:rPr>
            </w:pPr>
            <w:r w:rsidRPr="00BF65F1">
              <w:rPr>
                <w:sz w:val="20"/>
                <w:szCs w:val="20"/>
              </w:rPr>
              <w:t>Lorraine Hamill</w:t>
            </w:r>
          </w:p>
          <w:p w14:paraId="54DFF7D8" w14:textId="77777777" w:rsidR="00A7412A" w:rsidRPr="00BF65F1" w:rsidRDefault="00A7412A" w:rsidP="00DE3AEE">
            <w:pPr>
              <w:ind w:left="57"/>
              <w:rPr>
                <w:sz w:val="20"/>
                <w:szCs w:val="20"/>
              </w:rPr>
            </w:pPr>
            <w:r w:rsidRPr="00BF65F1">
              <w:rPr>
                <w:sz w:val="20"/>
                <w:szCs w:val="20"/>
              </w:rPr>
              <w:t xml:space="preserve">Director </w:t>
            </w:r>
            <w:r w:rsidRPr="00BF65F1">
              <w:rPr>
                <w:i/>
                <w:sz w:val="20"/>
                <w:szCs w:val="20"/>
              </w:rPr>
              <w:br/>
            </w:r>
          </w:p>
        </w:tc>
        <w:tc>
          <w:tcPr>
            <w:tcW w:w="1670" w:type="dxa"/>
            <w:vAlign w:val="center"/>
          </w:tcPr>
          <w:p w14:paraId="797C372A" w14:textId="7FF6B8FC" w:rsidR="00CA6B5D" w:rsidRPr="00BF65F1" w:rsidRDefault="00BF65F1" w:rsidP="000C2A54">
            <w:pPr>
              <w:jc w:val="center"/>
              <w:rPr>
                <w:sz w:val="20"/>
                <w:szCs w:val="20"/>
              </w:rPr>
            </w:pPr>
            <w:r w:rsidRPr="00BF65F1">
              <w:rPr>
                <w:sz w:val="20"/>
                <w:szCs w:val="20"/>
              </w:rPr>
              <w:t>20-25</w:t>
            </w:r>
          </w:p>
        </w:tc>
        <w:tc>
          <w:tcPr>
            <w:tcW w:w="1497" w:type="dxa"/>
            <w:vAlign w:val="center"/>
          </w:tcPr>
          <w:p w14:paraId="6B9C0EAF" w14:textId="2123F179" w:rsidR="00CA6B5D" w:rsidRPr="00BF65F1" w:rsidRDefault="00BF65F1" w:rsidP="000C2A54">
            <w:pPr>
              <w:jc w:val="center"/>
              <w:rPr>
                <w:sz w:val="20"/>
                <w:szCs w:val="20"/>
              </w:rPr>
            </w:pPr>
            <w:r w:rsidRPr="00BF65F1">
              <w:rPr>
                <w:sz w:val="20"/>
                <w:szCs w:val="20"/>
              </w:rPr>
              <w:t>2.5-5</w:t>
            </w:r>
          </w:p>
        </w:tc>
        <w:tc>
          <w:tcPr>
            <w:tcW w:w="1046" w:type="dxa"/>
            <w:vAlign w:val="center"/>
          </w:tcPr>
          <w:p w14:paraId="6FA683A8" w14:textId="76885960" w:rsidR="001D0DE7" w:rsidRPr="00BF65F1" w:rsidRDefault="00BF65F1" w:rsidP="000C2A54">
            <w:pPr>
              <w:jc w:val="center"/>
              <w:rPr>
                <w:sz w:val="20"/>
                <w:szCs w:val="20"/>
              </w:rPr>
            </w:pPr>
            <w:r w:rsidRPr="00BF65F1">
              <w:rPr>
                <w:sz w:val="20"/>
                <w:szCs w:val="20"/>
              </w:rPr>
              <w:t>442</w:t>
            </w:r>
          </w:p>
        </w:tc>
        <w:tc>
          <w:tcPr>
            <w:tcW w:w="1046" w:type="dxa"/>
            <w:vAlign w:val="center"/>
          </w:tcPr>
          <w:p w14:paraId="76C5B2BF" w14:textId="4FEF8B81" w:rsidR="001D0DE7" w:rsidRPr="00BF65F1" w:rsidRDefault="007602FC" w:rsidP="000C2A54">
            <w:pPr>
              <w:jc w:val="center"/>
              <w:rPr>
                <w:sz w:val="20"/>
                <w:szCs w:val="20"/>
              </w:rPr>
            </w:pPr>
            <w:r w:rsidRPr="00BF65F1">
              <w:rPr>
                <w:sz w:val="20"/>
                <w:szCs w:val="20"/>
              </w:rPr>
              <w:t>381</w:t>
            </w:r>
          </w:p>
        </w:tc>
        <w:tc>
          <w:tcPr>
            <w:tcW w:w="1162" w:type="dxa"/>
            <w:vAlign w:val="center"/>
          </w:tcPr>
          <w:p w14:paraId="2A091CFB" w14:textId="24416291" w:rsidR="001D0DE7" w:rsidRPr="00BF65F1" w:rsidRDefault="00BF65F1" w:rsidP="000C2A54">
            <w:pPr>
              <w:jc w:val="center"/>
              <w:rPr>
                <w:sz w:val="20"/>
                <w:szCs w:val="20"/>
              </w:rPr>
            </w:pPr>
            <w:r w:rsidRPr="00BF65F1">
              <w:rPr>
                <w:sz w:val="20"/>
                <w:szCs w:val="20"/>
              </w:rPr>
              <w:t>41</w:t>
            </w:r>
          </w:p>
        </w:tc>
      </w:tr>
      <w:tr w:rsidR="00A7412A" w:rsidRPr="00382803" w14:paraId="6447905C" w14:textId="77777777" w:rsidTr="54F71CB4">
        <w:trPr>
          <w:jc w:val="center"/>
        </w:trPr>
        <w:tc>
          <w:tcPr>
            <w:tcW w:w="1858" w:type="dxa"/>
            <w:vAlign w:val="center"/>
          </w:tcPr>
          <w:p w14:paraId="17789F05" w14:textId="77777777" w:rsidR="00A7412A" w:rsidRPr="00BF65F1" w:rsidRDefault="00A7412A" w:rsidP="000C2A54">
            <w:pPr>
              <w:ind w:left="57"/>
              <w:rPr>
                <w:sz w:val="20"/>
                <w:szCs w:val="20"/>
              </w:rPr>
            </w:pPr>
            <w:r w:rsidRPr="00BF65F1">
              <w:rPr>
                <w:sz w:val="20"/>
                <w:szCs w:val="20"/>
              </w:rPr>
              <w:t>Claire Martin</w:t>
            </w:r>
          </w:p>
          <w:p w14:paraId="09794641" w14:textId="77777777" w:rsidR="00A7412A" w:rsidRPr="00BF65F1" w:rsidRDefault="00A7412A" w:rsidP="00DE3AEE">
            <w:pPr>
              <w:ind w:left="57"/>
              <w:rPr>
                <w:sz w:val="20"/>
                <w:szCs w:val="20"/>
              </w:rPr>
            </w:pPr>
            <w:r w:rsidRPr="00BF65F1">
              <w:rPr>
                <w:sz w:val="20"/>
                <w:szCs w:val="20"/>
              </w:rPr>
              <w:t xml:space="preserve">Director </w:t>
            </w:r>
            <w:r w:rsidRPr="00BF65F1">
              <w:rPr>
                <w:i/>
                <w:sz w:val="20"/>
                <w:szCs w:val="20"/>
              </w:rPr>
              <w:br/>
            </w:r>
          </w:p>
        </w:tc>
        <w:tc>
          <w:tcPr>
            <w:tcW w:w="1670" w:type="dxa"/>
            <w:vAlign w:val="center"/>
          </w:tcPr>
          <w:p w14:paraId="0C88F160" w14:textId="65250A9E" w:rsidR="00A7412A" w:rsidRPr="00BF65F1" w:rsidRDefault="00BF65F1" w:rsidP="000C2A54">
            <w:pPr>
              <w:jc w:val="center"/>
              <w:rPr>
                <w:sz w:val="20"/>
                <w:szCs w:val="20"/>
              </w:rPr>
            </w:pPr>
            <w:r w:rsidRPr="00BF65F1">
              <w:rPr>
                <w:sz w:val="20"/>
                <w:szCs w:val="20"/>
              </w:rPr>
              <w:t>20-25</w:t>
            </w:r>
          </w:p>
        </w:tc>
        <w:tc>
          <w:tcPr>
            <w:tcW w:w="1497" w:type="dxa"/>
            <w:vAlign w:val="center"/>
          </w:tcPr>
          <w:p w14:paraId="7CA0A778" w14:textId="39DCE48E" w:rsidR="00A7412A" w:rsidRPr="00BF65F1" w:rsidRDefault="00BF65F1" w:rsidP="000C2A54">
            <w:pPr>
              <w:jc w:val="center"/>
              <w:rPr>
                <w:sz w:val="20"/>
                <w:szCs w:val="20"/>
              </w:rPr>
            </w:pPr>
            <w:r w:rsidRPr="00BF65F1">
              <w:rPr>
                <w:sz w:val="20"/>
                <w:szCs w:val="20"/>
              </w:rPr>
              <w:t>2.5-5</w:t>
            </w:r>
          </w:p>
        </w:tc>
        <w:tc>
          <w:tcPr>
            <w:tcW w:w="1046" w:type="dxa"/>
            <w:vAlign w:val="center"/>
          </w:tcPr>
          <w:p w14:paraId="3A459E41" w14:textId="7802EC26" w:rsidR="00A7412A" w:rsidRPr="00BF65F1" w:rsidRDefault="00BF65F1" w:rsidP="000C2A54">
            <w:pPr>
              <w:jc w:val="center"/>
              <w:rPr>
                <w:sz w:val="20"/>
                <w:szCs w:val="20"/>
              </w:rPr>
            </w:pPr>
            <w:r w:rsidRPr="00BF65F1">
              <w:rPr>
                <w:sz w:val="20"/>
                <w:szCs w:val="20"/>
              </w:rPr>
              <w:t>398</w:t>
            </w:r>
          </w:p>
        </w:tc>
        <w:tc>
          <w:tcPr>
            <w:tcW w:w="1046" w:type="dxa"/>
            <w:vAlign w:val="center"/>
          </w:tcPr>
          <w:p w14:paraId="1BD5009A" w14:textId="1343E396" w:rsidR="00A7412A" w:rsidRPr="00BF65F1" w:rsidRDefault="007602FC" w:rsidP="000C2A54">
            <w:pPr>
              <w:jc w:val="center"/>
              <w:rPr>
                <w:sz w:val="20"/>
                <w:szCs w:val="20"/>
              </w:rPr>
            </w:pPr>
            <w:r w:rsidRPr="00BF65F1">
              <w:rPr>
                <w:sz w:val="20"/>
                <w:szCs w:val="20"/>
              </w:rPr>
              <w:t>349</w:t>
            </w:r>
          </w:p>
        </w:tc>
        <w:tc>
          <w:tcPr>
            <w:tcW w:w="1162" w:type="dxa"/>
            <w:vAlign w:val="center"/>
          </w:tcPr>
          <w:p w14:paraId="5584D761" w14:textId="2F3DE3B7" w:rsidR="00A7412A" w:rsidRPr="00BF65F1" w:rsidRDefault="00BF65F1" w:rsidP="000C2A54">
            <w:pPr>
              <w:jc w:val="center"/>
              <w:rPr>
                <w:sz w:val="20"/>
                <w:szCs w:val="20"/>
              </w:rPr>
            </w:pPr>
            <w:r w:rsidRPr="00BF65F1">
              <w:rPr>
                <w:sz w:val="20"/>
                <w:szCs w:val="20"/>
              </w:rPr>
              <w:t>31</w:t>
            </w:r>
          </w:p>
        </w:tc>
      </w:tr>
      <w:tr w:rsidR="00A7412A" w:rsidRPr="00382803" w14:paraId="21841256" w14:textId="77777777" w:rsidTr="54F71CB4">
        <w:trPr>
          <w:jc w:val="center"/>
        </w:trPr>
        <w:tc>
          <w:tcPr>
            <w:tcW w:w="1858" w:type="dxa"/>
            <w:vAlign w:val="center"/>
          </w:tcPr>
          <w:p w14:paraId="2879F762" w14:textId="77777777" w:rsidR="00A7412A" w:rsidRPr="00AA327A" w:rsidRDefault="00A7412A" w:rsidP="000C2A54">
            <w:pPr>
              <w:ind w:left="57"/>
              <w:rPr>
                <w:sz w:val="20"/>
                <w:szCs w:val="20"/>
              </w:rPr>
            </w:pPr>
            <w:r w:rsidRPr="00AA327A">
              <w:rPr>
                <w:sz w:val="20"/>
                <w:szCs w:val="20"/>
              </w:rPr>
              <w:t>Rhyannon Blythe</w:t>
            </w:r>
          </w:p>
          <w:p w14:paraId="6A143BE6" w14:textId="77777777" w:rsidR="00A7412A" w:rsidRPr="00AA327A" w:rsidRDefault="00A7412A" w:rsidP="000C2A54">
            <w:pPr>
              <w:ind w:left="57"/>
              <w:rPr>
                <w:sz w:val="20"/>
                <w:szCs w:val="20"/>
              </w:rPr>
            </w:pPr>
            <w:r w:rsidRPr="00AA327A">
              <w:rPr>
                <w:sz w:val="20"/>
                <w:szCs w:val="20"/>
              </w:rPr>
              <w:t>Director</w:t>
            </w:r>
          </w:p>
          <w:p w14:paraId="254AC378" w14:textId="77777777" w:rsidR="00A7412A" w:rsidRPr="00AA327A" w:rsidRDefault="00A7412A" w:rsidP="00DE3AEE">
            <w:pPr>
              <w:ind w:left="57"/>
              <w:rPr>
                <w:sz w:val="20"/>
                <w:szCs w:val="20"/>
              </w:rPr>
            </w:pPr>
          </w:p>
        </w:tc>
        <w:tc>
          <w:tcPr>
            <w:tcW w:w="1670" w:type="dxa"/>
            <w:vAlign w:val="center"/>
          </w:tcPr>
          <w:p w14:paraId="40398F10" w14:textId="0E4D995D" w:rsidR="00A7412A" w:rsidRPr="00AA327A" w:rsidRDefault="00AA327A" w:rsidP="000C2A54">
            <w:pPr>
              <w:jc w:val="center"/>
              <w:rPr>
                <w:sz w:val="20"/>
                <w:szCs w:val="20"/>
              </w:rPr>
            </w:pPr>
            <w:r w:rsidRPr="00AA327A">
              <w:rPr>
                <w:sz w:val="20"/>
                <w:szCs w:val="20"/>
              </w:rPr>
              <w:t>15-20</w:t>
            </w:r>
          </w:p>
        </w:tc>
        <w:tc>
          <w:tcPr>
            <w:tcW w:w="1497" w:type="dxa"/>
            <w:vAlign w:val="center"/>
          </w:tcPr>
          <w:p w14:paraId="7B3222B0" w14:textId="5971EDAB" w:rsidR="00A7412A" w:rsidRPr="00AA327A" w:rsidRDefault="00AA327A" w:rsidP="000C2A54">
            <w:pPr>
              <w:jc w:val="center"/>
              <w:rPr>
                <w:sz w:val="20"/>
                <w:szCs w:val="20"/>
              </w:rPr>
            </w:pPr>
            <w:r w:rsidRPr="00AA327A">
              <w:rPr>
                <w:sz w:val="20"/>
                <w:szCs w:val="20"/>
              </w:rPr>
              <w:t>0-2.5</w:t>
            </w:r>
          </w:p>
        </w:tc>
        <w:tc>
          <w:tcPr>
            <w:tcW w:w="1046" w:type="dxa"/>
            <w:vAlign w:val="center"/>
          </w:tcPr>
          <w:p w14:paraId="4D69BDE3" w14:textId="380E0659" w:rsidR="00A7412A" w:rsidRPr="00AA327A" w:rsidRDefault="00AA327A" w:rsidP="000C2A54">
            <w:pPr>
              <w:jc w:val="center"/>
              <w:rPr>
                <w:sz w:val="20"/>
                <w:szCs w:val="20"/>
              </w:rPr>
            </w:pPr>
            <w:r w:rsidRPr="00AA327A">
              <w:rPr>
                <w:sz w:val="20"/>
                <w:szCs w:val="20"/>
              </w:rPr>
              <w:t>188</w:t>
            </w:r>
          </w:p>
        </w:tc>
        <w:tc>
          <w:tcPr>
            <w:tcW w:w="1046" w:type="dxa"/>
            <w:vAlign w:val="center"/>
          </w:tcPr>
          <w:p w14:paraId="6CA6825B" w14:textId="7BC4B837" w:rsidR="00A7412A" w:rsidRPr="00AA327A" w:rsidRDefault="007602FC" w:rsidP="000C2A54">
            <w:pPr>
              <w:jc w:val="center"/>
              <w:rPr>
                <w:sz w:val="20"/>
                <w:szCs w:val="20"/>
              </w:rPr>
            </w:pPr>
            <w:r w:rsidRPr="00AA327A">
              <w:rPr>
                <w:sz w:val="20"/>
                <w:szCs w:val="20"/>
              </w:rPr>
              <w:t>160</w:t>
            </w:r>
          </w:p>
        </w:tc>
        <w:tc>
          <w:tcPr>
            <w:tcW w:w="1162" w:type="dxa"/>
            <w:vAlign w:val="center"/>
          </w:tcPr>
          <w:p w14:paraId="4AE3D58B" w14:textId="2EF0C69B" w:rsidR="00A7412A" w:rsidRPr="00AA327A" w:rsidRDefault="00AA327A" w:rsidP="000C2A54">
            <w:pPr>
              <w:jc w:val="center"/>
              <w:rPr>
                <w:sz w:val="20"/>
                <w:szCs w:val="20"/>
              </w:rPr>
            </w:pPr>
            <w:r w:rsidRPr="00AA327A">
              <w:rPr>
                <w:sz w:val="20"/>
                <w:szCs w:val="20"/>
              </w:rPr>
              <w:t>11</w:t>
            </w:r>
          </w:p>
        </w:tc>
      </w:tr>
      <w:tr w:rsidR="00A7412A" w:rsidRPr="00382803" w14:paraId="5E9E96C0" w14:textId="77777777" w:rsidTr="54F71CB4">
        <w:trPr>
          <w:jc w:val="center"/>
        </w:trPr>
        <w:tc>
          <w:tcPr>
            <w:tcW w:w="1858" w:type="dxa"/>
            <w:vAlign w:val="center"/>
          </w:tcPr>
          <w:p w14:paraId="62C022BD" w14:textId="77777777" w:rsidR="00A7412A" w:rsidRPr="00BF65F1" w:rsidRDefault="00A7412A" w:rsidP="3285EAFF">
            <w:pPr>
              <w:rPr>
                <w:color w:val="000000" w:themeColor="text1"/>
                <w:sz w:val="20"/>
                <w:szCs w:val="20"/>
              </w:rPr>
            </w:pPr>
            <w:r w:rsidRPr="00BF65F1">
              <w:rPr>
                <w:color w:val="000000" w:themeColor="text1"/>
                <w:sz w:val="20"/>
                <w:szCs w:val="20"/>
              </w:rPr>
              <w:t>Eilis Haughey</w:t>
            </w:r>
          </w:p>
          <w:p w14:paraId="1E8F8E10" w14:textId="77777777" w:rsidR="00A7412A" w:rsidRPr="00BF65F1" w:rsidRDefault="001B25DA" w:rsidP="001B25DA">
            <w:pPr>
              <w:rPr>
                <w:color w:val="000000" w:themeColor="text1"/>
                <w:sz w:val="20"/>
                <w:szCs w:val="20"/>
              </w:rPr>
            </w:pPr>
            <w:r w:rsidRPr="00BF65F1">
              <w:rPr>
                <w:color w:val="000000" w:themeColor="text1"/>
                <w:sz w:val="20"/>
                <w:szCs w:val="20"/>
              </w:rPr>
              <w:t>Director</w:t>
            </w:r>
          </w:p>
          <w:p w14:paraId="0001A107" w14:textId="5D156D88" w:rsidR="001B25DA" w:rsidRPr="00BF65F1" w:rsidRDefault="001B25DA" w:rsidP="001B25DA">
            <w:pPr>
              <w:rPr>
                <w:sz w:val="20"/>
                <w:szCs w:val="20"/>
              </w:rPr>
            </w:pPr>
          </w:p>
        </w:tc>
        <w:tc>
          <w:tcPr>
            <w:tcW w:w="1670" w:type="dxa"/>
            <w:vAlign w:val="center"/>
          </w:tcPr>
          <w:p w14:paraId="598B4064" w14:textId="6D4521A2" w:rsidR="00A7412A" w:rsidRPr="00BF65F1" w:rsidRDefault="00BF65F1" w:rsidP="000C2A54">
            <w:pPr>
              <w:jc w:val="center"/>
              <w:rPr>
                <w:sz w:val="20"/>
                <w:szCs w:val="20"/>
              </w:rPr>
            </w:pPr>
            <w:r w:rsidRPr="00BF65F1">
              <w:rPr>
                <w:sz w:val="20"/>
                <w:szCs w:val="20"/>
              </w:rPr>
              <w:t>5-10</w:t>
            </w:r>
          </w:p>
        </w:tc>
        <w:tc>
          <w:tcPr>
            <w:tcW w:w="1497" w:type="dxa"/>
            <w:vAlign w:val="center"/>
          </w:tcPr>
          <w:p w14:paraId="4E3214AB" w14:textId="173FA496" w:rsidR="00A7412A" w:rsidRPr="00BF65F1" w:rsidRDefault="00BF65F1" w:rsidP="000C2A54">
            <w:pPr>
              <w:jc w:val="center"/>
              <w:rPr>
                <w:sz w:val="20"/>
                <w:szCs w:val="20"/>
              </w:rPr>
            </w:pPr>
            <w:r w:rsidRPr="00BF65F1">
              <w:rPr>
                <w:sz w:val="20"/>
                <w:szCs w:val="20"/>
              </w:rPr>
              <w:t>0-2.5</w:t>
            </w:r>
          </w:p>
        </w:tc>
        <w:tc>
          <w:tcPr>
            <w:tcW w:w="1046" w:type="dxa"/>
            <w:vAlign w:val="center"/>
          </w:tcPr>
          <w:p w14:paraId="724FD1BD" w14:textId="6664F55F" w:rsidR="00A7412A" w:rsidRPr="00BF65F1" w:rsidRDefault="00BF65F1" w:rsidP="000C2A54">
            <w:pPr>
              <w:jc w:val="center"/>
              <w:rPr>
                <w:sz w:val="20"/>
                <w:szCs w:val="20"/>
              </w:rPr>
            </w:pPr>
            <w:r w:rsidRPr="00BF65F1">
              <w:rPr>
                <w:sz w:val="20"/>
                <w:szCs w:val="20"/>
              </w:rPr>
              <w:t>106</w:t>
            </w:r>
          </w:p>
        </w:tc>
        <w:tc>
          <w:tcPr>
            <w:tcW w:w="1046" w:type="dxa"/>
            <w:vAlign w:val="center"/>
          </w:tcPr>
          <w:p w14:paraId="7B2E35E5" w14:textId="47E8388F" w:rsidR="00A7412A" w:rsidRPr="00BF65F1" w:rsidRDefault="007602FC" w:rsidP="000C2A54">
            <w:pPr>
              <w:jc w:val="center"/>
              <w:rPr>
                <w:sz w:val="20"/>
                <w:szCs w:val="20"/>
              </w:rPr>
            </w:pPr>
            <w:r w:rsidRPr="00BF65F1">
              <w:rPr>
                <w:sz w:val="20"/>
                <w:szCs w:val="20"/>
              </w:rPr>
              <w:t>75</w:t>
            </w:r>
          </w:p>
        </w:tc>
        <w:tc>
          <w:tcPr>
            <w:tcW w:w="1162" w:type="dxa"/>
            <w:vAlign w:val="center"/>
          </w:tcPr>
          <w:p w14:paraId="36D6844F" w14:textId="32CAC453" w:rsidR="00A7412A" w:rsidRPr="00BF65F1" w:rsidRDefault="00BF65F1" w:rsidP="000C2A54">
            <w:pPr>
              <w:jc w:val="center"/>
              <w:rPr>
                <w:sz w:val="20"/>
                <w:szCs w:val="20"/>
              </w:rPr>
            </w:pPr>
            <w:r w:rsidRPr="00BF65F1">
              <w:rPr>
                <w:sz w:val="20"/>
                <w:szCs w:val="20"/>
              </w:rPr>
              <w:t>19</w:t>
            </w:r>
          </w:p>
        </w:tc>
      </w:tr>
      <w:tr w:rsidR="001B25DA" w:rsidRPr="003C1FD4" w14:paraId="2E758AF7" w14:textId="77777777" w:rsidTr="54F71CB4">
        <w:trPr>
          <w:jc w:val="center"/>
        </w:trPr>
        <w:tc>
          <w:tcPr>
            <w:tcW w:w="1858" w:type="dxa"/>
            <w:vAlign w:val="center"/>
          </w:tcPr>
          <w:p w14:paraId="0108282B" w14:textId="77777777" w:rsidR="001B25DA" w:rsidRPr="00BF65F1" w:rsidRDefault="001B25DA" w:rsidP="3285EAFF">
            <w:pPr>
              <w:rPr>
                <w:color w:val="000000" w:themeColor="text1"/>
                <w:sz w:val="20"/>
                <w:szCs w:val="20"/>
              </w:rPr>
            </w:pPr>
            <w:r w:rsidRPr="00BF65F1">
              <w:rPr>
                <w:color w:val="000000" w:themeColor="text1"/>
                <w:sz w:val="20"/>
                <w:szCs w:val="20"/>
              </w:rPr>
              <w:t>Colin Caughey</w:t>
            </w:r>
          </w:p>
          <w:p w14:paraId="1B186D13" w14:textId="65FFEDC4" w:rsidR="001B25DA" w:rsidRPr="00BF65F1" w:rsidRDefault="001B25DA" w:rsidP="3285EAFF">
            <w:pPr>
              <w:rPr>
                <w:color w:val="000000" w:themeColor="text1"/>
                <w:sz w:val="20"/>
                <w:szCs w:val="20"/>
              </w:rPr>
            </w:pPr>
            <w:r w:rsidRPr="00BF65F1">
              <w:rPr>
                <w:color w:val="000000" w:themeColor="text1"/>
                <w:sz w:val="20"/>
                <w:szCs w:val="20"/>
              </w:rPr>
              <w:t>Director</w:t>
            </w:r>
            <w:r w:rsidR="001F14BB" w:rsidRPr="00BF65F1">
              <w:rPr>
                <w:color w:val="000000" w:themeColor="text1"/>
                <w:sz w:val="20"/>
                <w:szCs w:val="20"/>
              </w:rPr>
              <w:t xml:space="preserve"> </w:t>
            </w:r>
          </w:p>
          <w:p w14:paraId="4B2C8F2B" w14:textId="4345E9E3" w:rsidR="001B25DA" w:rsidRPr="00BF65F1" w:rsidRDefault="001B25DA" w:rsidP="3285EAFF">
            <w:pPr>
              <w:rPr>
                <w:color w:val="000000" w:themeColor="text1"/>
                <w:sz w:val="20"/>
                <w:szCs w:val="20"/>
              </w:rPr>
            </w:pPr>
          </w:p>
        </w:tc>
        <w:tc>
          <w:tcPr>
            <w:tcW w:w="1670" w:type="dxa"/>
            <w:vAlign w:val="center"/>
          </w:tcPr>
          <w:p w14:paraId="077D3399" w14:textId="7C1EC3A1" w:rsidR="001B25DA" w:rsidRPr="00BF65F1" w:rsidRDefault="00AA327A" w:rsidP="000C2A54">
            <w:pPr>
              <w:jc w:val="center"/>
              <w:rPr>
                <w:sz w:val="20"/>
                <w:szCs w:val="20"/>
              </w:rPr>
            </w:pPr>
            <w:r w:rsidRPr="00BF65F1">
              <w:rPr>
                <w:sz w:val="20"/>
                <w:szCs w:val="20"/>
              </w:rPr>
              <w:t>10-15</w:t>
            </w:r>
          </w:p>
        </w:tc>
        <w:tc>
          <w:tcPr>
            <w:tcW w:w="1497" w:type="dxa"/>
            <w:vAlign w:val="center"/>
          </w:tcPr>
          <w:p w14:paraId="6931394A" w14:textId="01FBFCF5" w:rsidR="001B25DA" w:rsidRPr="00BF65F1" w:rsidRDefault="00AA327A" w:rsidP="000C2A54">
            <w:pPr>
              <w:jc w:val="center"/>
              <w:rPr>
                <w:sz w:val="20"/>
                <w:szCs w:val="20"/>
              </w:rPr>
            </w:pPr>
            <w:r w:rsidRPr="00BF65F1">
              <w:rPr>
                <w:sz w:val="20"/>
                <w:szCs w:val="20"/>
              </w:rPr>
              <w:t>0-2.5</w:t>
            </w:r>
          </w:p>
        </w:tc>
        <w:tc>
          <w:tcPr>
            <w:tcW w:w="1046" w:type="dxa"/>
            <w:vAlign w:val="center"/>
          </w:tcPr>
          <w:p w14:paraId="206FBB61" w14:textId="380502B6" w:rsidR="001B25DA" w:rsidRPr="00BF65F1" w:rsidRDefault="00AA327A" w:rsidP="000C2A54">
            <w:pPr>
              <w:jc w:val="center"/>
              <w:rPr>
                <w:sz w:val="20"/>
                <w:szCs w:val="20"/>
              </w:rPr>
            </w:pPr>
            <w:r w:rsidRPr="00BF65F1">
              <w:rPr>
                <w:sz w:val="20"/>
                <w:szCs w:val="20"/>
              </w:rPr>
              <w:t>163</w:t>
            </w:r>
          </w:p>
        </w:tc>
        <w:tc>
          <w:tcPr>
            <w:tcW w:w="1046" w:type="dxa"/>
            <w:vAlign w:val="center"/>
          </w:tcPr>
          <w:p w14:paraId="79743680" w14:textId="71CB29EE" w:rsidR="001B25DA" w:rsidRPr="00BF65F1" w:rsidRDefault="007602FC" w:rsidP="000C2A54">
            <w:pPr>
              <w:jc w:val="center"/>
              <w:rPr>
                <w:sz w:val="20"/>
                <w:szCs w:val="20"/>
              </w:rPr>
            </w:pPr>
            <w:r w:rsidRPr="00BF65F1">
              <w:rPr>
                <w:sz w:val="20"/>
                <w:szCs w:val="20"/>
              </w:rPr>
              <w:t>133</w:t>
            </w:r>
          </w:p>
        </w:tc>
        <w:tc>
          <w:tcPr>
            <w:tcW w:w="1162" w:type="dxa"/>
            <w:vAlign w:val="center"/>
          </w:tcPr>
          <w:p w14:paraId="7A5BCA87" w14:textId="1DA52EE0" w:rsidR="001B25DA" w:rsidRPr="00E25F90" w:rsidRDefault="00BF65F1" w:rsidP="000C2A54">
            <w:pPr>
              <w:jc w:val="center"/>
              <w:rPr>
                <w:sz w:val="20"/>
                <w:szCs w:val="20"/>
              </w:rPr>
            </w:pPr>
            <w:r w:rsidRPr="00BF65F1">
              <w:rPr>
                <w:sz w:val="20"/>
                <w:szCs w:val="20"/>
              </w:rPr>
              <w:t>14</w:t>
            </w:r>
          </w:p>
        </w:tc>
      </w:tr>
    </w:tbl>
    <w:p w14:paraId="7663E8FE" w14:textId="77777777" w:rsidR="00815DAD" w:rsidRDefault="00815DAD" w:rsidP="000C2A54">
      <w:pPr>
        <w:rPr>
          <w:snapToGrid w:val="0"/>
        </w:rPr>
      </w:pPr>
    </w:p>
    <w:p w14:paraId="614920AE" w14:textId="77777777" w:rsidR="00815DAD" w:rsidRDefault="00815DAD" w:rsidP="000C2A54">
      <w:pPr>
        <w:rPr>
          <w:snapToGrid w:val="0"/>
        </w:rPr>
      </w:pPr>
    </w:p>
    <w:p w14:paraId="72378357" w14:textId="70CAD87F" w:rsidR="000C2A54" w:rsidRDefault="000C2A54" w:rsidP="000C2A54">
      <w:r w:rsidRPr="00D80497">
        <w:rPr>
          <w:snapToGrid w:val="0"/>
        </w:rPr>
        <w:t>The pension information for the senior management team follows guidance in the Employer</w:t>
      </w:r>
      <w:r>
        <w:rPr>
          <w:snapToGrid w:val="0"/>
        </w:rPr>
        <w:t xml:space="preserve"> Pension Notice</w:t>
      </w:r>
      <w:r w:rsidR="00CF6FC4">
        <w:rPr>
          <w:snapToGrid w:val="0"/>
        </w:rPr>
        <w:t xml:space="preserve"> EPN7</w:t>
      </w:r>
      <w:r w:rsidR="007602FC">
        <w:rPr>
          <w:snapToGrid w:val="0"/>
        </w:rPr>
        <w:t>27</w:t>
      </w:r>
      <w:r w:rsidR="00A83114">
        <w:rPr>
          <w:snapToGrid w:val="0"/>
        </w:rPr>
        <w:t xml:space="preserve"> </w:t>
      </w:r>
      <w:r w:rsidRPr="00D80497">
        <w:rPr>
          <w:snapToGrid w:val="0"/>
        </w:rPr>
        <w:t>issued by the Civil Service Pensions.</w:t>
      </w:r>
    </w:p>
    <w:p w14:paraId="4C512235" w14:textId="77777777" w:rsidR="00F61A65" w:rsidRDefault="00F61A65" w:rsidP="00827D54">
      <w:pPr>
        <w:rPr>
          <w:b/>
        </w:rPr>
      </w:pPr>
    </w:p>
    <w:p w14:paraId="14E4DED4" w14:textId="77777777" w:rsidR="00AE0527" w:rsidRDefault="00AE0527" w:rsidP="00AE0527">
      <w:pPr>
        <w:widowControl w:val="0"/>
        <w:tabs>
          <w:tab w:val="center" w:pos="8647"/>
        </w:tabs>
        <w:autoSpaceDE w:val="0"/>
        <w:autoSpaceDN w:val="0"/>
        <w:adjustRightInd w:val="0"/>
        <w:rPr>
          <w:color w:val="auto"/>
        </w:rPr>
      </w:pPr>
      <w:r w:rsidRPr="00CC6D3C">
        <w:rPr>
          <w:color w:val="auto"/>
        </w:rPr>
        <w:t xml:space="preserve">Accrued pension benefits included in this table for any individual affected by the Public Service Pensions Remedy have been calculated based on their inclusion in the legacy scheme for the period between 1 April 2015 and 31 March 2022, following the McCloud judgment. The Public Service Pensions Remedy applies to individuals that were members, or eligible to be members, of a public service pension scheme on 31 March 2012 and were members of a public service pension scheme between 1 April 2015 and 31 March 2022. The basis for the calculation reflects the legal position that impacted members have been rolled back into the relevant legacy scheme for the remedy period and that this will apply unless the member </w:t>
      </w:r>
      <w:r w:rsidRPr="00CC6D3C">
        <w:rPr>
          <w:color w:val="auto"/>
        </w:rPr>
        <w:lastRenderedPageBreak/>
        <w:t>actively exercises their entitlement on retirement to decide instead to receive benefits calculated under the terms of the Alpha scheme for the period from 1 April 2015 to 31 March 2022.</w:t>
      </w:r>
    </w:p>
    <w:p w14:paraId="5BB6F514" w14:textId="77777777" w:rsidR="00AE0527" w:rsidRDefault="00AE0527" w:rsidP="00827D54">
      <w:pPr>
        <w:rPr>
          <w:b/>
        </w:rPr>
      </w:pPr>
    </w:p>
    <w:p w14:paraId="406529D5" w14:textId="77777777" w:rsidR="005719A6" w:rsidRDefault="00E07F54" w:rsidP="00827D54">
      <w:r w:rsidRPr="00815DAD">
        <w:t>Pension benefits are provided through the Civil Service pension</w:t>
      </w:r>
      <w:r>
        <w:t xml:space="preserve"> arrangements. Before 1 April 2015, the only scheme was the Principal Civil Service Pension Scheme (PCSPS), which is divided into a few different sections – </w:t>
      </w:r>
      <w:r w:rsidRPr="00815DAD">
        <w:rPr>
          <w:b/>
          <w:bCs/>
        </w:rPr>
        <w:t>classic, premium, and classic plus</w:t>
      </w:r>
      <w:r>
        <w:t xml:space="preserve"> provide benefits on a final salary basis, whilst </w:t>
      </w:r>
      <w:r w:rsidRPr="00815DAD">
        <w:rPr>
          <w:b/>
          <w:bCs/>
        </w:rPr>
        <w:t>nuvos</w:t>
      </w:r>
      <w:r>
        <w:t xml:space="preserve"> provides benefits on a career average basis. From 1 April 2015 a new pension scheme for civil servants was introduced – the Civil Servants and Others Pension Scheme or </w:t>
      </w:r>
      <w:r w:rsidRPr="005719A6">
        <w:rPr>
          <w:b/>
          <w:bCs/>
        </w:rPr>
        <w:t>alpha</w:t>
      </w:r>
      <w:r>
        <w:t xml:space="preserve">, which provides benefits on a career average basis. All newly appointed civil servants, and the majority of those already in service, joined the new scheme. </w:t>
      </w:r>
    </w:p>
    <w:p w14:paraId="746E81D7" w14:textId="77777777" w:rsidR="005719A6" w:rsidRDefault="005719A6" w:rsidP="00827D54"/>
    <w:p w14:paraId="37615C72" w14:textId="77777777" w:rsidR="003B17F4" w:rsidRDefault="00E07F54" w:rsidP="00827D54">
      <w:r>
        <w:t xml:space="preserve">The PCSPS and </w:t>
      </w:r>
      <w:r w:rsidRPr="005719A6">
        <w:rPr>
          <w:b/>
          <w:bCs/>
        </w:rPr>
        <w:t>alpha</w:t>
      </w:r>
      <w:r>
        <w:t xml:space="preserve"> are unfunded statutory schemes. Employees and employers make contributions (employee contributions range between 4.6% and 8.05%, depending on salary). The balance of the cost of benefits in payment is met by monies voted by Parliament each year. Pensions in payment are increased annually in line with the Pensions Increase legislation. Instead of the defined benefit arrangements, employees may opt for a defined contribution pension with an employer contribution, the </w:t>
      </w:r>
      <w:r w:rsidRPr="003B17F4">
        <w:rPr>
          <w:b/>
          <w:bCs/>
        </w:rPr>
        <w:t>partnership</w:t>
      </w:r>
      <w:r>
        <w:t xml:space="preserve"> pension account. </w:t>
      </w:r>
    </w:p>
    <w:p w14:paraId="67AAF453" w14:textId="77777777" w:rsidR="003B17F4" w:rsidRDefault="003B17F4" w:rsidP="00827D54"/>
    <w:p w14:paraId="60485312" w14:textId="77777777" w:rsidR="00565355" w:rsidRDefault="00E07F54" w:rsidP="00827D54">
      <w:r>
        <w:t xml:space="preserve">In </w:t>
      </w:r>
      <w:r w:rsidRPr="003B17F4">
        <w:rPr>
          <w:b/>
          <w:bCs/>
        </w:rPr>
        <w:t>alpha</w:t>
      </w:r>
      <w:r>
        <w:t xml:space="preserve">, pension builds up at a rate of 2.32% of pensionable earnings each year, and the total amount accrued is adjusted annually in line with a rate set by HM Treasury. Members may opt to give up (commute) pension for a lump sum up to the limits set by the Finance Act 2004. All members who switched to </w:t>
      </w:r>
      <w:r w:rsidRPr="00137F0E">
        <w:rPr>
          <w:b/>
          <w:bCs/>
        </w:rPr>
        <w:t>alpha</w:t>
      </w:r>
      <w:r>
        <w:t xml:space="preserve"> from the PCSPS had their PCSPS benefits ‘banked’, with those with earlier benefits in one of the final salary sections of the PCSPS having those benefits based on their final salary when they leave </w:t>
      </w:r>
      <w:r w:rsidRPr="00565355">
        <w:rPr>
          <w:b/>
          <w:bCs/>
        </w:rPr>
        <w:t>alpha</w:t>
      </w:r>
      <w:r>
        <w:t xml:space="preserve">. </w:t>
      </w:r>
    </w:p>
    <w:p w14:paraId="2DE37082" w14:textId="77777777" w:rsidR="00565355" w:rsidRDefault="00565355" w:rsidP="00827D54"/>
    <w:p w14:paraId="157E3752" w14:textId="77777777" w:rsidR="002A274B" w:rsidRDefault="00E07F54" w:rsidP="00827D54">
      <w:r>
        <w:t xml:space="preserve">The accrued pensions shown in this report are the pension the member is entitled to receive when they reach normal pension age, or immediately on ceasing to be an active member of the scheme if they are already at or over normal pension age. Normal pension age is 60 for members of </w:t>
      </w:r>
      <w:r w:rsidRPr="002A274B">
        <w:rPr>
          <w:b/>
          <w:bCs/>
        </w:rPr>
        <w:t>classic</w:t>
      </w:r>
      <w:r>
        <w:t xml:space="preserve">, </w:t>
      </w:r>
      <w:r w:rsidRPr="002A274B">
        <w:rPr>
          <w:b/>
          <w:bCs/>
        </w:rPr>
        <w:t>premium</w:t>
      </w:r>
      <w:r>
        <w:t xml:space="preserve">, and </w:t>
      </w:r>
      <w:r w:rsidRPr="002A274B">
        <w:rPr>
          <w:b/>
          <w:bCs/>
        </w:rPr>
        <w:t>classic plus</w:t>
      </w:r>
      <w:r>
        <w:t xml:space="preserve">, 65 for members of </w:t>
      </w:r>
      <w:r w:rsidRPr="002A274B">
        <w:rPr>
          <w:b/>
          <w:bCs/>
        </w:rPr>
        <w:t>nuvos</w:t>
      </w:r>
      <w:r>
        <w:t xml:space="preserve">, and the higher of 65 or State Pension Age for members of </w:t>
      </w:r>
      <w:r w:rsidRPr="003709D0">
        <w:rPr>
          <w:b/>
          <w:bCs/>
        </w:rPr>
        <w:t>alpha</w:t>
      </w:r>
      <w:r>
        <w:t xml:space="preserve">. The pension figures in this report show pension earned in PCSPS or </w:t>
      </w:r>
      <w:r w:rsidRPr="003709D0">
        <w:rPr>
          <w:b/>
          <w:bCs/>
        </w:rPr>
        <w:t>alpha</w:t>
      </w:r>
      <w:r>
        <w:t xml:space="preserve"> – as appropriate. Where a member has benefits in both the PCSPS and </w:t>
      </w:r>
      <w:r w:rsidRPr="003709D0">
        <w:rPr>
          <w:b/>
          <w:bCs/>
        </w:rPr>
        <w:t>alpha</w:t>
      </w:r>
      <w:r>
        <w:t xml:space="preserve">, the figures show the combined value of their benefits in the two schemes but note that the constituent parts of that pension may be payable from different ages. </w:t>
      </w:r>
    </w:p>
    <w:p w14:paraId="3F64A646" w14:textId="77777777" w:rsidR="002A274B" w:rsidRDefault="002A274B" w:rsidP="00827D54"/>
    <w:p w14:paraId="57526246" w14:textId="7A5EABE8" w:rsidR="002A274B" w:rsidRDefault="00E07F54" w:rsidP="00827D54">
      <w:r>
        <w:t xml:space="preserve">When the Government introduced new public service pension schemes in 2015, there were transitional arrangements which treated existing scheme members differently based on their age. Older members of the PCSPS remained in that scheme, rather than moving to </w:t>
      </w:r>
      <w:r w:rsidRPr="003709D0">
        <w:rPr>
          <w:b/>
          <w:bCs/>
        </w:rPr>
        <w:t>alpha</w:t>
      </w:r>
      <w:r>
        <w:t xml:space="preserve">. In 2018, the </w:t>
      </w:r>
      <w:r>
        <w:lastRenderedPageBreak/>
        <w:t>Court of Appeal found that the transitional arrangements in the public service pension schemes unlawfully discriminated against younger members</w:t>
      </w:r>
      <w:r w:rsidR="00BB5503">
        <w:t xml:space="preserve"> (the “McCloud judgement”).</w:t>
      </w:r>
    </w:p>
    <w:p w14:paraId="69F7B090" w14:textId="77777777" w:rsidR="002A274B" w:rsidRDefault="002A274B" w:rsidP="00827D54"/>
    <w:p w14:paraId="281CB1EB" w14:textId="3B430D30" w:rsidR="003709D0" w:rsidRDefault="00E07F54" w:rsidP="00827D54">
      <w:r>
        <w:t>As a result, steps are being taken to remedy those 2015 reforms, making the pension scheme provisions fair to all members. The public service pensions remedy</w:t>
      </w:r>
      <w:r w:rsidR="00D16421">
        <w:rPr>
          <w:rStyle w:val="FootnoteReference"/>
        </w:rPr>
        <w:footnoteReference w:id="11"/>
      </w:r>
      <w:r>
        <w:t xml:space="preserve"> is made up of two parts. The first part closed the PCSPS on 31 March 2022, with all active members becoming members of </w:t>
      </w:r>
      <w:r w:rsidRPr="003709D0">
        <w:rPr>
          <w:b/>
          <w:bCs/>
        </w:rPr>
        <w:t>alpha</w:t>
      </w:r>
      <w:r>
        <w:t xml:space="preserve"> from 1 April 2022. The second part removes the age discrimination for the remedy period, between 1 April 2015 and 31 March 2022, by moving the membership of eligible members during this period back into the PCSPS on 1 October 2023. </w:t>
      </w:r>
    </w:p>
    <w:p w14:paraId="55DB621D" w14:textId="77777777" w:rsidR="003709D0" w:rsidRDefault="003709D0" w:rsidP="00827D54"/>
    <w:p w14:paraId="09971D35" w14:textId="6476AA51" w:rsidR="00BB5503" w:rsidRPr="00BB5503" w:rsidRDefault="00BB5503" w:rsidP="00BB5503">
      <w:pPr>
        <w:ind w:hanging="2"/>
        <w:rPr>
          <w:rFonts w:eastAsia="Arial" w:cs="Arial"/>
        </w:rPr>
      </w:pPr>
      <w:r w:rsidRPr="00BB5503">
        <w:rPr>
          <w:rFonts w:eastAsia="Arial" w:cs="Arial"/>
          <w:highlight w:val="white"/>
        </w:rPr>
        <w:t xml:space="preserve">The accrued pension benefits, Cash Equivalent Transfer Value and single total figure of remuneration reported for any individual affected by the Public Service Pensions Remedy have been calculated based on their inclusion in the PCSPS for the period between 1 April 2015 and 31 March 2022, following the McCloud judgment. The Public Service Pensions Remedy applies to individuals that were members, or eligible to be members, of a public service pension scheme on 31 March 2012 and were members of a public service pension scheme between 1 April 2015 and 31 March 2022. The basis for the calculation reflects the legal position that impacted members have been rolled back into the PCSPS for the remedy period and that this will apply unless the member actively exercises their entitlement on retirement to decide instead to receive benefits calculated under the terms of the </w:t>
      </w:r>
      <w:r w:rsidRPr="00BB5503">
        <w:rPr>
          <w:rFonts w:eastAsia="Arial" w:cs="Arial"/>
          <w:b/>
          <w:highlight w:val="white"/>
        </w:rPr>
        <w:t>alpha</w:t>
      </w:r>
      <w:r w:rsidRPr="00BB5503">
        <w:rPr>
          <w:rFonts w:eastAsia="Arial" w:cs="Arial"/>
          <w:highlight w:val="white"/>
        </w:rPr>
        <w:t xml:space="preserve"> scheme for the period from 1 April 2015 to 31 March 2022</w:t>
      </w:r>
      <w:r>
        <w:rPr>
          <w:rFonts w:eastAsia="Arial" w:cs="Arial"/>
        </w:rPr>
        <w:t>.</w:t>
      </w:r>
    </w:p>
    <w:p w14:paraId="5E20C45A" w14:textId="77777777" w:rsidR="00B575AB" w:rsidRDefault="00B575AB" w:rsidP="00827D54"/>
    <w:p w14:paraId="31C1D17C" w14:textId="3770C902" w:rsidR="00B575AB" w:rsidRDefault="00E07F54" w:rsidP="00827D54">
      <w:r>
        <w:t xml:space="preserve">The </w:t>
      </w:r>
      <w:r w:rsidRPr="00B575AB">
        <w:rPr>
          <w:b/>
          <w:bCs/>
        </w:rPr>
        <w:t>partnership</w:t>
      </w:r>
      <w:r>
        <w:t xml:space="preserve"> pension account is an occupational defined contribution pension arrangement which is part of the Legal &amp; General Master</w:t>
      </w:r>
      <w:r w:rsidR="00BB5503">
        <w:t xml:space="preserve"> </w:t>
      </w:r>
      <w:r>
        <w:t xml:space="preserve">trust. The employer makes a basic contribution of between 8% and 14.75% (depending on the age of the member). The employee does not have to contribute but, where they do make contributions, the employer will match these up to a limit of 3% of pensionable salary (in addition to the employer’s basic contribution). Employers also contribute a further 0.5% of pensionable salary to cover the cost of centrally provided risk benefit cover (death in service and ill health retirement). </w:t>
      </w:r>
    </w:p>
    <w:p w14:paraId="35C717E4" w14:textId="77777777" w:rsidR="00B575AB" w:rsidRDefault="00B575AB" w:rsidP="00827D54"/>
    <w:p w14:paraId="51A0D181" w14:textId="466E3E99" w:rsidR="00B575AB" w:rsidRDefault="00E07F54" w:rsidP="00827D54">
      <w:r>
        <w:t xml:space="preserve">Further details about the Civil Service pension arrangements can be found at the website </w:t>
      </w:r>
      <w:hyperlink r:id="rId29" w:history="1">
        <w:r w:rsidR="00B575AB" w:rsidRPr="00917C4B">
          <w:rPr>
            <w:rStyle w:val="Hyperlink"/>
          </w:rPr>
          <w:t>www.civilservicepensionscheme.org.uk</w:t>
        </w:r>
      </w:hyperlink>
      <w:r>
        <w:t xml:space="preserve"> </w:t>
      </w:r>
    </w:p>
    <w:p w14:paraId="5B620633" w14:textId="77777777" w:rsidR="00B575AB" w:rsidRDefault="00B575AB" w:rsidP="00827D54"/>
    <w:p w14:paraId="3B55B8CB" w14:textId="77777777" w:rsidR="002A3975" w:rsidRDefault="002A3975" w:rsidP="00827D54">
      <w:pPr>
        <w:rPr>
          <w:b/>
          <w:bCs/>
          <w:u w:val="single"/>
        </w:rPr>
      </w:pPr>
    </w:p>
    <w:p w14:paraId="0E474945" w14:textId="77777777" w:rsidR="002A3975" w:rsidRDefault="002A3975" w:rsidP="00827D54">
      <w:pPr>
        <w:rPr>
          <w:b/>
          <w:bCs/>
          <w:u w:val="single"/>
        </w:rPr>
      </w:pPr>
    </w:p>
    <w:p w14:paraId="2C74D230" w14:textId="77777777" w:rsidR="002A3975" w:rsidRDefault="002A3975" w:rsidP="00827D54">
      <w:pPr>
        <w:rPr>
          <w:b/>
          <w:bCs/>
          <w:u w:val="single"/>
        </w:rPr>
      </w:pPr>
    </w:p>
    <w:p w14:paraId="4EDDA000" w14:textId="77777777" w:rsidR="00410296" w:rsidRDefault="00410296" w:rsidP="00827D54">
      <w:pPr>
        <w:rPr>
          <w:b/>
          <w:bCs/>
          <w:u w:val="single"/>
        </w:rPr>
      </w:pPr>
    </w:p>
    <w:p w14:paraId="59D572DA" w14:textId="5FD29396" w:rsidR="005F25C2" w:rsidRPr="005F25C2" w:rsidRDefault="00E07F54" w:rsidP="00827D54">
      <w:pPr>
        <w:rPr>
          <w:b/>
          <w:bCs/>
          <w:u w:val="single"/>
        </w:rPr>
      </w:pPr>
      <w:r w:rsidRPr="005F25C2">
        <w:rPr>
          <w:b/>
          <w:bCs/>
          <w:u w:val="single"/>
        </w:rPr>
        <w:lastRenderedPageBreak/>
        <w:t xml:space="preserve">Cash Equivalent Transfer Values </w:t>
      </w:r>
    </w:p>
    <w:p w14:paraId="678084AA" w14:textId="77777777" w:rsidR="005F25C2" w:rsidRDefault="005F25C2" w:rsidP="00827D54"/>
    <w:p w14:paraId="3C1ABBF2" w14:textId="77777777" w:rsidR="00DE2E63" w:rsidRDefault="00E07F54" w:rsidP="00827D54">
      <w:r>
        <w:t xml:space="preserve">A Cash Equivalent Transfer Value (CETV) is the actuarially assessed capitalised value of the pension scheme benefits accrued by a member at a particular point in time. The benefits valued are the member’s accrued benefits and any contingent spouse’s pension payable from the scheme. A CETV is a payment made by a pension scheme or arrangement to secure pension benefits in another pension scheme or arrangement when the member leaves a scheme and chooses to transfer the benefits accrued in their former scheme. The pension figures shown relate to the benefits that the individual has accrued as a consequence of their total membership of the pension scheme, not just their service in a senior capacity to which disclosure applies. </w:t>
      </w:r>
    </w:p>
    <w:p w14:paraId="3A40E3EE" w14:textId="77777777" w:rsidR="00DE2E63" w:rsidRDefault="00DE2E63" w:rsidP="00827D54"/>
    <w:p w14:paraId="2FE535A3" w14:textId="77777777" w:rsidR="00DE2E63" w:rsidRDefault="00E07F54" w:rsidP="00827D54">
      <w:r>
        <w:t xml:space="preserve">The figures include the value of any pension benefit in another scheme or arrangement which the member has transferred to the Civil Service pension arrangements. They also include any additional pension benefit accrued to the member as a result of their buying additional pension benefits at their own cost. </w:t>
      </w:r>
    </w:p>
    <w:p w14:paraId="5EEAAADE" w14:textId="77777777" w:rsidR="00DE2E63" w:rsidRDefault="00DE2E63" w:rsidP="00827D54"/>
    <w:p w14:paraId="7196F03D" w14:textId="77777777" w:rsidR="00DE2E63" w:rsidRDefault="00E07F54" w:rsidP="00827D54">
      <w:r>
        <w:t xml:space="preserve">CETVs are worked out in accordance with The Occupational Pension Schemes (Transfer Values) (Amendment) Regulations 2008 and do not take account of any actual or potential reduction to benefits resulting from Lifetime Allowance Tax which may be due when pension benefits are taken. </w:t>
      </w:r>
    </w:p>
    <w:p w14:paraId="6A640334" w14:textId="77777777" w:rsidR="00DE2E63" w:rsidRDefault="00DE2E63" w:rsidP="00827D54"/>
    <w:p w14:paraId="1F1996F6" w14:textId="77777777" w:rsidR="00DE2E63" w:rsidRPr="00DE2E63" w:rsidRDefault="00E07F54" w:rsidP="00827D54">
      <w:pPr>
        <w:rPr>
          <w:b/>
          <w:bCs/>
          <w:u w:val="single"/>
        </w:rPr>
      </w:pPr>
      <w:r w:rsidRPr="00DE2E63">
        <w:rPr>
          <w:b/>
          <w:bCs/>
          <w:u w:val="single"/>
        </w:rPr>
        <w:t xml:space="preserve">Real increase in CETV </w:t>
      </w:r>
    </w:p>
    <w:p w14:paraId="1054E6CA" w14:textId="77777777" w:rsidR="00DE2E63" w:rsidRDefault="00DE2E63" w:rsidP="00827D54"/>
    <w:p w14:paraId="305525AD" w14:textId="33C10E78" w:rsidR="007330CB" w:rsidRDefault="00E07F54" w:rsidP="00827D54">
      <w:pPr>
        <w:rPr>
          <w:b/>
        </w:rPr>
      </w:pPr>
      <w:r>
        <w:t>This reflects the increase in CETV that is funded by the employer. It does not include the increase in accrued pension due to inflation, contributions paid by the employee (including the value of any benefits transferred from another pension scheme or arrangement) and uses common market valuation factors for the start and end of the period.</w:t>
      </w:r>
    </w:p>
    <w:p w14:paraId="23E04BB5" w14:textId="77777777" w:rsidR="007330CB" w:rsidRDefault="007330CB" w:rsidP="00827D54">
      <w:pPr>
        <w:rPr>
          <w:b/>
        </w:rPr>
      </w:pPr>
    </w:p>
    <w:p w14:paraId="5F9A3BB8" w14:textId="0ACB0408" w:rsidR="000C2A54" w:rsidRDefault="000C2A54" w:rsidP="005A5017">
      <w:pPr>
        <w:rPr>
          <w:b/>
        </w:rPr>
      </w:pPr>
      <w:bookmarkStart w:id="26" w:name="StaffReport"/>
      <w:r w:rsidRPr="00582E77">
        <w:rPr>
          <w:b/>
        </w:rPr>
        <w:t>Staff Report</w:t>
      </w:r>
      <w:r w:rsidR="0057710A">
        <w:rPr>
          <w:b/>
        </w:rPr>
        <w:t xml:space="preserve"> </w:t>
      </w:r>
    </w:p>
    <w:bookmarkEnd w:id="26"/>
    <w:p w14:paraId="3AF1F456" w14:textId="77777777" w:rsidR="000C2A54" w:rsidRDefault="000C2A54" w:rsidP="000C2A54">
      <w:pPr>
        <w:ind w:left="567" w:hanging="567"/>
        <w:rPr>
          <w:b/>
        </w:rPr>
      </w:pPr>
    </w:p>
    <w:p w14:paraId="6F374FB2" w14:textId="77777777" w:rsidR="000C2A54" w:rsidRPr="00D73014" w:rsidRDefault="000C2A54" w:rsidP="000C2A54">
      <w:pPr>
        <w:ind w:left="567" w:hanging="567"/>
      </w:pPr>
      <w:r w:rsidRPr="00F97E5F">
        <w:rPr>
          <w:b/>
        </w:rPr>
        <w:t>Staff numbers and related costs</w:t>
      </w:r>
      <w:r>
        <w:rPr>
          <w:b/>
        </w:rPr>
        <w:t xml:space="preserve"> </w:t>
      </w:r>
      <w:r>
        <w:t>(audited information)</w:t>
      </w:r>
    </w:p>
    <w:p w14:paraId="37F9524E" w14:textId="77777777" w:rsidR="000C2A54" w:rsidRPr="00832258" w:rsidRDefault="000C2A54" w:rsidP="000C2A54"/>
    <w:tbl>
      <w:tblPr>
        <w:tblW w:w="10655" w:type="dxa"/>
        <w:jc w:val="center"/>
        <w:tblLayout w:type="fixed"/>
        <w:tblLook w:val="01E0" w:firstRow="1" w:lastRow="1" w:firstColumn="1" w:lastColumn="1" w:noHBand="0" w:noVBand="0"/>
      </w:tblPr>
      <w:tblGrid>
        <w:gridCol w:w="2461"/>
        <w:gridCol w:w="1534"/>
        <w:gridCol w:w="1980"/>
        <w:gridCol w:w="1800"/>
        <w:gridCol w:w="1440"/>
        <w:gridCol w:w="1440"/>
      </w:tblGrid>
      <w:tr w:rsidR="000C2A54" w:rsidRPr="00A95808" w14:paraId="658323D8" w14:textId="77777777" w:rsidTr="3285EAFF">
        <w:trPr>
          <w:jc w:val="center"/>
        </w:trPr>
        <w:tc>
          <w:tcPr>
            <w:tcW w:w="2461" w:type="dxa"/>
          </w:tcPr>
          <w:p w14:paraId="72D750E0" w14:textId="77777777" w:rsidR="000C2A54" w:rsidRPr="00730E98" w:rsidRDefault="000C2A54" w:rsidP="000C2A54">
            <w:pPr>
              <w:jc w:val="right"/>
              <w:rPr>
                <w:sz w:val="20"/>
                <w:szCs w:val="20"/>
              </w:rPr>
            </w:pPr>
          </w:p>
        </w:tc>
        <w:tc>
          <w:tcPr>
            <w:tcW w:w="1534" w:type="dxa"/>
          </w:tcPr>
          <w:p w14:paraId="494699B6" w14:textId="55A546B8" w:rsidR="000C2A54" w:rsidRPr="00A95808" w:rsidRDefault="00403C79" w:rsidP="3285EAFF">
            <w:pPr>
              <w:jc w:val="right"/>
              <w:rPr>
                <w:b/>
                <w:bCs/>
                <w:sz w:val="20"/>
                <w:szCs w:val="20"/>
              </w:rPr>
            </w:pPr>
            <w:r>
              <w:rPr>
                <w:b/>
                <w:bCs/>
                <w:sz w:val="20"/>
                <w:szCs w:val="20"/>
              </w:rPr>
              <w:t>20</w:t>
            </w:r>
            <w:r w:rsidR="0423F75E" w:rsidRPr="3285EAFF">
              <w:rPr>
                <w:b/>
                <w:bCs/>
                <w:sz w:val="20"/>
                <w:szCs w:val="20"/>
              </w:rPr>
              <w:t>2</w:t>
            </w:r>
            <w:r w:rsidR="00955777">
              <w:rPr>
                <w:b/>
                <w:bCs/>
                <w:sz w:val="20"/>
                <w:szCs w:val="20"/>
              </w:rPr>
              <w:t>4</w:t>
            </w:r>
            <w:r>
              <w:rPr>
                <w:b/>
                <w:bCs/>
                <w:sz w:val="20"/>
                <w:szCs w:val="20"/>
              </w:rPr>
              <w:t>-2</w:t>
            </w:r>
            <w:r w:rsidR="00955777">
              <w:rPr>
                <w:b/>
                <w:bCs/>
                <w:sz w:val="20"/>
                <w:szCs w:val="20"/>
              </w:rPr>
              <w:t>5</w:t>
            </w:r>
          </w:p>
          <w:p w14:paraId="3483AA2B" w14:textId="561E1345" w:rsidR="000C2A54" w:rsidRPr="00A95808" w:rsidRDefault="003B35C4" w:rsidP="000C2A54">
            <w:pPr>
              <w:jc w:val="right"/>
              <w:rPr>
                <w:b/>
                <w:sz w:val="20"/>
                <w:szCs w:val="20"/>
              </w:rPr>
            </w:pPr>
            <w:r w:rsidRPr="00A95808">
              <w:rPr>
                <w:b/>
                <w:sz w:val="20"/>
                <w:szCs w:val="20"/>
              </w:rPr>
              <w:t>T</w:t>
            </w:r>
            <w:r w:rsidR="000C2A54" w:rsidRPr="00A95808">
              <w:rPr>
                <w:b/>
                <w:sz w:val="20"/>
                <w:szCs w:val="20"/>
              </w:rPr>
              <w:t>otal</w:t>
            </w:r>
          </w:p>
        </w:tc>
        <w:tc>
          <w:tcPr>
            <w:tcW w:w="1980" w:type="dxa"/>
          </w:tcPr>
          <w:p w14:paraId="3A23FF4D" w14:textId="77777777" w:rsidR="000C2A54" w:rsidRPr="00A95808" w:rsidRDefault="000C2A54" w:rsidP="000C2A54">
            <w:pPr>
              <w:jc w:val="right"/>
              <w:rPr>
                <w:b/>
                <w:sz w:val="20"/>
                <w:szCs w:val="20"/>
              </w:rPr>
            </w:pPr>
            <w:r w:rsidRPr="00A95808">
              <w:rPr>
                <w:b/>
                <w:sz w:val="20"/>
                <w:szCs w:val="20"/>
              </w:rPr>
              <w:t>Commissioners</w:t>
            </w:r>
          </w:p>
        </w:tc>
        <w:tc>
          <w:tcPr>
            <w:tcW w:w="1800" w:type="dxa"/>
          </w:tcPr>
          <w:p w14:paraId="1205F1FC" w14:textId="77777777" w:rsidR="000C2A54" w:rsidRPr="00A95808" w:rsidRDefault="000C2A54" w:rsidP="000C2A54">
            <w:pPr>
              <w:jc w:val="right"/>
              <w:rPr>
                <w:b/>
                <w:sz w:val="20"/>
                <w:szCs w:val="20"/>
              </w:rPr>
            </w:pPr>
            <w:r w:rsidRPr="00A95808">
              <w:rPr>
                <w:b/>
                <w:sz w:val="20"/>
                <w:szCs w:val="20"/>
              </w:rPr>
              <w:t>Permanently</w:t>
            </w:r>
          </w:p>
          <w:p w14:paraId="09210F31" w14:textId="77777777" w:rsidR="0072512F" w:rsidRPr="00A95808" w:rsidRDefault="000C2A54" w:rsidP="0072512F">
            <w:pPr>
              <w:jc w:val="right"/>
              <w:rPr>
                <w:b/>
                <w:sz w:val="20"/>
                <w:szCs w:val="20"/>
              </w:rPr>
            </w:pPr>
            <w:r w:rsidRPr="00A95808">
              <w:rPr>
                <w:b/>
                <w:sz w:val="20"/>
                <w:szCs w:val="20"/>
              </w:rPr>
              <w:t xml:space="preserve">Employed </w:t>
            </w:r>
          </w:p>
          <w:p w14:paraId="54507895" w14:textId="77777777" w:rsidR="000C2A54" w:rsidRPr="00A95808" w:rsidRDefault="000C2A54" w:rsidP="000C2A54">
            <w:pPr>
              <w:jc w:val="right"/>
              <w:rPr>
                <w:b/>
                <w:sz w:val="20"/>
                <w:szCs w:val="20"/>
              </w:rPr>
            </w:pPr>
          </w:p>
        </w:tc>
        <w:tc>
          <w:tcPr>
            <w:tcW w:w="1440" w:type="dxa"/>
          </w:tcPr>
          <w:p w14:paraId="2E2EC54C" w14:textId="77777777" w:rsidR="000C2A54" w:rsidRPr="00A95808" w:rsidRDefault="000C2A54" w:rsidP="000C2A54">
            <w:pPr>
              <w:jc w:val="right"/>
              <w:rPr>
                <w:b/>
                <w:sz w:val="20"/>
                <w:szCs w:val="20"/>
              </w:rPr>
            </w:pPr>
            <w:r w:rsidRPr="00A95808">
              <w:rPr>
                <w:b/>
                <w:sz w:val="20"/>
                <w:szCs w:val="20"/>
              </w:rPr>
              <w:t>Others</w:t>
            </w:r>
          </w:p>
          <w:p w14:paraId="5353ADEE" w14:textId="77777777" w:rsidR="000C2A54" w:rsidRPr="00A95808" w:rsidRDefault="000C2A54" w:rsidP="000C2A54">
            <w:pPr>
              <w:jc w:val="right"/>
              <w:rPr>
                <w:b/>
                <w:sz w:val="20"/>
                <w:szCs w:val="20"/>
              </w:rPr>
            </w:pPr>
          </w:p>
        </w:tc>
        <w:tc>
          <w:tcPr>
            <w:tcW w:w="1440" w:type="dxa"/>
          </w:tcPr>
          <w:p w14:paraId="4C445B94" w14:textId="08850F0F" w:rsidR="000C2A54" w:rsidRPr="00A95808" w:rsidRDefault="00403C79" w:rsidP="00E029DB">
            <w:pPr>
              <w:spacing w:line="259" w:lineRule="auto"/>
              <w:jc w:val="right"/>
              <w:rPr>
                <w:color w:val="000000" w:themeColor="text1"/>
              </w:rPr>
            </w:pPr>
            <w:r>
              <w:rPr>
                <w:b/>
                <w:bCs/>
                <w:sz w:val="20"/>
                <w:szCs w:val="20"/>
              </w:rPr>
              <w:t>20</w:t>
            </w:r>
            <w:r w:rsidR="5C9227F9" w:rsidRPr="3285EAFF">
              <w:rPr>
                <w:b/>
                <w:bCs/>
                <w:sz w:val="20"/>
                <w:szCs w:val="20"/>
              </w:rPr>
              <w:t>2</w:t>
            </w:r>
            <w:r w:rsidR="00BB5503">
              <w:rPr>
                <w:b/>
                <w:bCs/>
                <w:sz w:val="20"/>
                <w:szCs w:val="20"/>
              </w:rPr>
              <w:t>3</w:t>
            </w:r>
            <w:r>
              <w:rPr>
                <w:b/>
                <w:bCs/>
                <w:sz w:val="20"/>
                <w:szCs w:val="20"/>
              </w:rPr>
              <w:t>-2</w:t>
            </w:r>
            <w:r w:rsidR="00BB5503">
              <w:rPr>
                <w:b/>
                <w:bCs/>
                <w:sz w:val="20"/>
                <w:szCs w:val="20"/>
              </w:rPr>
              <w:t>4</w:t>
            </w:r>
          </w:p>
          <w:p w14:paraId="757A079E" w14:textId="0AD51D06" w:rsidR="000C2A54" w:rsidRPr="00A95808" w:rsidRDefault="003B35C4" w:rsidP="000C2A54">
            <w:pPr>
              <w:jc w:val="right"/>
              <w:rPr>
                <w:b/>
                <w:sz w:val="20"/>
                <w:szCs w:val="20"/>
              </w:rPr>
            </w:pPr>
            <w:r w:rsidRPr="00A95808">
              <w:rPr>
                <w:b/>
                <w:sz w:val="20"/>
                <w:szCs w:val="20"/>
              </w:rPr>
              <w:t>T</w:t>
            </w:r>
            <w:r w:rsidR="000C2A54" w:rsidRPr="00A95808">
              <w:rPr>
                <w:b/>
                <w:sz w:val="20"/>
                <w:szCs w:val="20"/>
              </w:rPr>
              <w:t>otal</w:t>
            </w:r>
          </w:p>
        </w:tc>
      </w:tr>
      <w:tr w:rsidR="000C2A54" w:rsidRPr="00A95808" w14:paraId="4B301F0A" w14:textId="77777777" w:rsidTr="3285EAFF">
        <w:trPr>
          <w:jc w:val="center"/>
        </w:trPr>
        <w:tc>
          <w:tcPr>
            <w:tcW w:w="2461" w:type="dxa"/>
          </w:tcPr>
          <w:p w14:paraId="73030196" w14:textId="77777777" w:rsidR="000C2A54" w:rsidRPr="00A95808" w:rsidRDefault="000C2A54" w:rsidP="000C2A54">
            <w:pPr>
              <w:jc w:val="right"/>
              <w:rPr>
                <w:sz w:val="20"/>
                <w:szCs w:val="20"/>
              </w:rPr>
            </w:pPr>
          </w:p>
        </w:tc>
        <w:tc>
          <w:tcPr>
            <w:tcW w:w="1534" w:type="dxa"/>
          </w:tcPr>
          <w:p w14:paraId="5560DBD1"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980" w:type="dxa"/>
          </w:tcPr>
          <w:p w14:paraId="7FDDB25F"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800" w:type="dxa"/>
          </w:tcPr>
          <w:p w14:paraId="7710D15B"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440" w:type="dxa"/>
          </w:tcPr>
          <w:p w14:paraId="5B3C9129"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440" w:type="dxa"/>
          </w:tcPr>
          <w:p w14:paraId="3D99AA89"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r>
      <w:tr w:rsidR="000C2A54" w:rsidRPr="00A95808" w14:paraId="472408E5" w14:textId="77777777" w:rsidTr="3285EAFF">
        <w:trPr>
          <w:jc w:val="center"/>
        </w:trPr>
        <w:tc>
          <w:tcPr>
            <w:tcW w:w="2461" w:type="dxa"/>
          </w:tcPr>
          <w:p w14:paraId="1023913C" w14:textId="77777777" w:rsidR="000C2A54" w:rsidRPr="00A95808" w:rsidRDefault="000C2A54" w:rsidP="000C2A54">
            <w:pPr>
              <w:rPr>
                <w:sz w:val="20"/>
                <w:szCs w:val="20"/>
              </w:rPr>
            </w:pPr>
            <w:r w:rsidRPr="00A95808">
              <w:rPr>
                <w:sz w:val="20"/>
                <w:szCs w:val="20"/>
              </w:rPr>
              <w:t>Wages and salaries</w:t>
            </w:r>
          </w:p>
        </w:tc>
        <w:tc>
          <w:tcPr>
            <w:tcW w:w="1534" w:type="dxa"/>
          </w:tcPr>
          <w:p w14:paraId="3F877307" w14:textId="1E29C5F7" w:rsidR="000C2A54" w:rsidRPr="00A95808" w:rsidRDefault="00403C79" w:rsidP="000C2A54">
            <w:pPr>
              <w:jc w:val="right"/>
              <w:rPr>
                <w:sz w:val="20"/>
                <w:szCs w:val="20"/>
              </w:rPr>
            </w:pPr>
            <w:r>
              <w:rPr>
                <w:sz w:val="20"/>
                <w:szCs w:val="20"/>
              </w:rPr>
              <w:t>1,</w:t>
            </w:r>
            <w:r w:rsidR="00955777">
              <w:rPr>
                <w:sz w:val="20"/>
                <w:szCs w:val="20"/>
              </w:rPr>
              <w:t>479,460</w:t>
            </w:r>
          </w:p>
        </w:tc>
        <w:tc>
          <w:tcPr>
            <w:tcW w:w="1980" w:type="dxa"/>
          </w:tcPr>
          <w:p w14:paraId="4A54B147" w14:textId="246ADFBA" w:rsidR="000C2A54" w:rsidRPr="00A95808" w:rsidDel="006E56F3" w:rsidRDefault="00403C79" w:rsidP="00737A8F">
            <w:pPr>
              <w:jc w:val="right"/>
              <w:rPr>
                <w:sz w:val="20"/>
                <w:szCs w:val="20"/>
              </w:rPr>
            </w:pPr>
            <w:r>
              <w:rPr>
                <w:sz w:val="20"/>
                <w:szCs w:val="20"/>
              </w:rPr>
              <w:t>1</w:t>
            </w:r>
            <w:r w:rsidR="003B35C4">
              <w:rPr>
                <w:sz w:val="20"/>
                <w:szCs w:val="20"/>
              </w:rPr>
              <w:t>2</w:t>
            </w:r>
            <w:r w:rsidR="00955777">
              <w:rPr>
                <w:sz w:val="20"/>
                <w:szCs w:val="20"/>
              </w:rPr>
              <w:t>7,090</w:t>
            </w:r>
          </w:p>
        </w:tc>
        <w:tc>
          <w:tcPr>
            <w:tcW w:w="1800" w:type="dxa"/>
          </w:tcPr>
          <w:p w14:paraId="2E21D38D" w14:textId="0BC4928D" w:rsidR="000C2A54" w:rsidRPr="00A95808" w:rsidRDefault="008215DC" w:rsidP="008215DC">
            <w:pPr>
              <w:jc w:val="center"/>
              <w:rPr>
                <w:sz w:val="20"/>
                <w:szCs w:val="20"/>
              </w:rPr>
            </w:pPr>
            <w:r>
              <w:rPr>
                <w:sz w:val="20"/>
                <w:szCs w:val="20"/>
              </w:rPr>
              <w:t xml:space="preserve">    </w:t>
            </w:r>
            <w:r w:rsidR="002F779F">
              <w:rPr>
                <w:sz w:val="20"/>
                <w:szCs w:val="20"/>
              </w:rPr>
              <w:t>1,</w:t>
            </w:r>
            <w:r w:rsidR="00955777">
              <w:rPr>
                <w:sz w:val="20"/>
                <w:szCs w:val="20"/>
              </w:rPr>
              <w:t>222,537</w:t>
            </w:r>
          </w:p>
        </w:tc>
        <w:tc>
          <w:tcPr>
            <w:tcW w:w="1440" w:type="dxa"/>
          </w:tcPr>
          <w:p w14:paraId="62BD8B22" w14:textId="5D658C9B" w:rsidR="000C2A54" w:rsidRPr="00A95808" w:rsidRDefault="00955777" w:rsidP="000C2A54">
            <w:pPr>
              <w:jc w:val="right"/>
              <w:rPr>
                <w:sz w:val="20"/>
                <w:szCs w:val="20"/>
              </w:rPr>
            </w:pPr>
            <w:r>
              <w:rPr>
                <w:sz w:val="20"/>
                <w:szCs w:val="20"/>
              </w:rPr>
              <w:t>129,833</w:t>
            </w:r>
          </w:p>
        </w:tc>
        <w:tc>
          <w:tcPr>
            <w:tcW w:w="1440" w:type="dxa"/>
          </w:tcPr>
          <w:p w14:paraId="1C8F790F" w14:textId="175B6BB7" w:rsidR="000C2A54" w:rsidRPr="00A95808" w:rsidRDefault="002F779F" w:rsidP="000C2A54">
            <w:pPr>
              <w:jc w:val="right"/>
              <w:rPr>
                <w:sz w:val="20"/>
                <w:szCs w:val="20"/>
              </w:rPr>
            </w:pPr>
            <w:r>
              <w:rPr>
                <w:sz w:val="20"/>
                <w:szCs w:val="20"/>
              </w:rPr>
              <w:t>1,</w:t>
            </w:r>
            <w:r w:rsidR="00BB5503">
              <w:rPr>
                <w:sz w:val="20"/>
                <w:szCs w:val="20"/>
              </w:rPr>
              <w:t>384,212</w:t>
            </w:r>
          </w:p>
        </w:tc>
      </w:tr>
      <w:tr w:rsidR="000C2A54" w:rsidRPr="00A95808" w14:paraId="32E58D04" w14:textId="77777777" w:rsidTr="3285EAFF">
        <w:trPr>
          <w:jc w:val="center"/>
        </w:trPr>
        <w:tc>
          <w:tcPr>
            <w:tcW w:w="2461" w:type="dxa"/>
          </w:tcPr>
          <w:p w14:paraId="4C7607DE" w14:textId="77777777" w:rsidR="000C2A54" w:rsidRPr="00A95808" w:rsidRDefault="000C2A54" w:rsidP="000C2A54">
            <w:pPr>
              <w:rPr>
                <w:sz w:val="20"/>
                <w:szCs w:val="20"/>
              </w:rPr>
            </w:pPr>
            <w:r w:rsidRPr="00A95808">
              <w:rPr>
                <w:sz w:val="20"/>
                <w:szCs w:val="20"/>
              </w:rPr>
              <w:t>Social security costs</w:t>
            </w:r>
          </w:p>
        </w:tc>
        <w:tc>
          <w:tcPr>
            <w:tcW w:w="1534" w:type="dxa"/>
          </w:tcPr>
          <w:p w14:paraId="67189ED8" w14:textId="2FF023DD" w:rsidR="002F779F" w:rsidRPr="00A95808" w:rsidRDefault="00403C79" w:rsidP="002F779F">
            <w:pPr>
              <w:jc w:val="right"/>
              <w:rPr>
                <w:sz w:val="20"/>
                <w:szCs w:val="20"/>
              </w:rPr>
            </w:pPr>
            <w:r>
              <w:rPr>
                <w:sz w:val="20"/>
                <w:szCs w:val="20"/>
              </w:rPr>
              <w:t>1</w:t>
            </w:r>
            <w:r w:rsidR="00955777">
              <w:rPr>
                <w:sz w:val="20"/>
                <w:szCs w:val="20"/>
              </w:rPr>
              <w:t>59,503</w:t>
            </w:r>
          </w:p>
        </w:tc>
        <w:tc>
          <w:tcPr>
            <w:tcW w:w="1980" w:type="dxa"/>
          </w:tcPr>
          <w:p w14:paraId="3692C472" w14:textId="057C8277" w:rsidR="000C2A54" w:rsidRPr="00A95808" w:rsidRDefault="003B35C4" w:rsidP="000C2A54">
            <w:pPr>
              <w:jc w:val="right"/>
              <w:rPr>
                <w:sz w:val="20"/>
                <w:szCs w:val="20"/>
              </w:rPr>
            </w:pPr>
            <w:r>
              <w:rPr>
                <w:sz w:val="20"/>
                <w:szCs w:val="20"/>
              </w:rPr>
              <w:t>10,</w:t>
            </w:r>
            <w:r w:rsidR="00955777">
              <w:rPr>
                <w:sz w:val="20"/>
                <w:szCs w:val="20"/>
              </w:rPr>
              <w:t>698</w:t>
            </w:r>
          </w:p>
        </w:tc>
        <w:tc>
          <w:tcPr>
            <w:tcW w:w="1800" w:type="dxa"/>
          </w:tcPr>
          <w:p w14:paraId="37872C8C" w14:textId="27CC0C52" w:rsidR="000C2A54" w:rsidRPr="00A95808" w:rsidRDefault="008215DC" w:rsidP="008215DC">
            <w:pPr>
              <w:jc w:val="center"/>
              <w:rPr>
                <w:sz w:val="20"/>
                <w:szCs w:val="20"/>
              </w:rPr>
            </w:pPr>
            <w:r>
              <w:rPr>
                <w:sz w:val="20"/>
                <w:szCs w:val="20"/>
              </w:rPr>
              <w:t xml:space="preserve">      </w:t>
            </w:r>
            <w:r w:rsidR="00403C79">
              <w:rPr>
                <w:sz w:val="20"/>
                <w:szCs w:val="20"/>
              </w:rPr>
              <w:t>1</w:t>
            </w:r>
            <w:r w:rsidR="00955777">
              <w:rPr>
                <w:sz w:val="20"/>
                <w:szCs w:val="20"/>
              </w:rPr>
              <w:t>40,868</w:t>
            </w:r>
          </w:p>
        </w:tc>
        <w:tc>
          <w:tcPr>
            <w:tcW w:w="1440" w:type="dxa"/>
          </w:tcPr>
          <w:p w14:paraId="57C4B63F" w14:textId="620471E7" w:rsidR="000C2A54" w:rsidRPr="00A95808" w:rsidRDefault="00955777" w:rsidP="000C2A54">
            <w:pPr>
              <w:jc w:val="right"/>
              <w:rPr>
                <w:sz w:val="20"/>
                <w:szCs w:val="20"/>
              </w:rPr>
            </w:pPr>
            <w:r>
              <w:rPr>
                <w:sz w:val="20"/>
                <w:szCs w:val="20"/>
              </w:rPr>
              <w:t>7,937</w:t>
            </w:r>
          </w:p>
        </w:tc>
        <w:tc>
          <w:tcPr>
            <w:tcW w:w="1440" w:type="dxa"/>
          </w:tcPr>
          <w:p w14:paraId="3090825A" w14:textId="5C5E90CB" w:rsidR="000C2A54" w:rsidRPr="00A95808" w:rsidRDefault="002F779F" w:rsidP="000C2A54">
            <w:pPr>
              <w:jc w:val="right"/>
              <w:rPr>
                <w:sz w:val="20"/>
                <w:szCs w:val="20"/>
              </w:rPr>
            </w:pPr>
            <w:r>
              <w:rPr>
                <w:sz w:val="20"/>
                <w:szCs w:val="20"/>
              </w:rPr>
              <w:t>1</w:t>
            </w:r>
            <w:r w:rsidR="00BB5503">
              <w:rPr>
                <w:sz w:val="20"/>
                <w:szCs w:val="20"/>
              </w:rPr>
              <w:t>49,700</w:t>
            </w:r>
          </w:p>
        </w:tc>
      </w:tr>
      <w:tr w:rsidR="000C2A54" w:rsidRPr="00A95808" w14:paraId="4BFE9BB9" w14:textId="77777777" w:rsidTr="3285EAFF">
        <w:trPr>
          <w:jc w:val="center"/>
        </w:trPr>
        <w:tc>
          <w:tcPr>
            <w:tcW w:w="2461" w:type="dxa"/>
          </w:tcPr>
          <w:p w14:paraId="2B5F8F85" w14:textId="77777777" w:rsidR="000C2A54" w:rsidRPr="00A95808" w:rsidRDefault="000C2A54" w:rsidP="000C2A54">
            <w:pPr>
              <w:rPr>
                <w:sz w:val="20"/>
                <w:szCs w:val="20"/>
              </w:rPr>
            </w:pPr>
            <w:r w:rsidRPr="00A95808">
              <w:rPr>
                <w:sz w:val="20"/>
                <w:szCs w:val="20"/>
              </w:rPr>
              <w:t>Other pension costs</w:t>
            </w:r>
          </w:p>
        </w:tc>
        <w:tc>
          <w:tcPr>
            <w:tcW w:w="1534" w:type="dxa"/>
            <w:tcBorders>
              <w:bottom w:val="single" w:sz="4" w:space="0" w:color="auto"/>
            </w:tcBorders>
          </w:tcPr>
          <w:p w14:paraId="0C11BC95" w14:textId="6FC8B479" w:rsidR="000C2A54" w:rsidRPr="00A95808" w:rsidRDefault="00403C79" w:rsidP="00E029DB">
            <w:pPr>
              <w:spacing w:line="259" w:lineRule="auto"/>
              <w:jc w:val="right"/>
              <w:rPr>
                <w:sz w:val="20"/>
                <w:szCs w:val="20"/>
              </w:rPr>
            </w:pPr>
            <w:r>
              <w:rPr>
                <w:sz w:val="20"/>
                <w:szCs w:val="20"/>
              </w:rPr>
              <w:t>3</w:t>
            </w:r>
            <w:r w:rsidR="00955777">
              <w:rPr>
                <w:sz w:val="20"/>
                <w:szCs w:val="20"/>
              </w:rPr>
              <w:t>92,812</w:t>
            </w:r>
          </w:p>
        </w:tc>
        <w:tc>
          <w:tcPr>
            <w:tcW w:w="1980" w:type="dxa"/>
            <w:tcBorders>
              <w:bottom w:val="single" w:sz="4" w:space="0" w:color="auto"/>
            </w:tcBorders>
          </w:tcPr>
          <w:p w14:paraId="1F7C5CC0" w14:textId="5790A766" w:rsidR="000C2A54" w:rsidRPr="00A95808" w:rsidRDefault="00403C79" w:rsidP="000C2A54">
            <w:pPr>
              <w:jc w:val="right"/>
              <w:rPr>
                <w:sz w:val="20"/>
                <w:szCs w:val="20"/>
              </w:rPr>
            </w:pPr>
            <w:r>
              <w:rPr>
                <w:sz w:val="20"/>
                <w:szCs w:val="20"/>
              </w:rPr>
              <w:t>2</w:t>
            </w:r>
            <w:r w:rsidR="00955777">
              <w:rPr>
                <w:sz w:val="20"/>
                <w:szCs w:val="20"/>
              </w:rPr>
              <w:t>4,687</w:t>
            </w:r>
          </w:p>
        </w:tc>
        <w:tc>
          <w:tcPr>
            <w:tcW w:w="1800" w:type="dxa"/>
            <w:tcBorders>
              <w:bottom w:val="single" w:sz="4" w:space="0" w:color="auto"/>
            </w:tcBorders>
          </w:tcPr>
          <w:p w14:paraId="00FEE335" w14:textId="1938A93F" w:rsidR="000C2A54" w:rsidRPr="00A95808" w:rsidRDefault="008215DC" w:rsidP="008215DC">
            <w:pPr>
              <w:jc w:val="center"/>
              <w:rPr>
                <w:sz w:val="20"/>
                <w:szCs w:val="20"/>
              </w:rPr>
            </w:pPr>
            <w:r>
              <w:rPr>
                <w:sz w:val="20"/>
                <w:szCs w:val="20"/>
              </w:rPr>
              <w:t xml:space="preserve">      </w:t>
            </w:r>
            <w:r w:rsidR="00955777">
              <w:rPr>
                <w:sz w:val="20"/>
                <w:szCs w:val="20"/>
              </w:rPr>
              <w:t>348,931</w:t>
            </w:r>
          </w:p>
        </w:tc>
        <w:tc>
          <w:tcPr>
            <w:tcW w:w="1440" w:type="dxa"/>
            <w:tcBorders>
              <w:bottom w:val="single" w:sz="4" w:space="0" w:color="auto"/>
            </w:tcBorders>
          </w:tcPr>
          <w:p w14:paraId="4D5F173C" w14:textId="105B394C" w:rsidR="000C2A54" w:rsidRPr="00A95808" w:rsidRDefault="002F779F" w:rsidP="000C2A54">
            <w:pPr>
              <w:jc w:val="right"/>
              <w:rPr>
                <w:sz w:val="20"/>
                <w:szCs w:val="20"/>
              </w:rPr>
            </w:pPr>
            <w:r>
              <w:rPr>
                <w:sz w:val="20"/>
                <w:szCs w:val="20"/>
              </w:rPr>
              <w:t>1</w:t>
            </w:r>
            <w:r w:rsidR="00955777">
              <w:rPr>
                <w:sz w:val="20"/>
                <w:szCs w:val="20"/>
              </w:rPr>
              <w:t>9,194</w:t>
            </w:r>
          </w:p>
        </w:tc>
        <w:tc>
          <w:tcPr>
            <w:tcW w:w="1440" w:type="dxa"/>
            <w:tcBorders>
              <w:bottom w:val="single" w:sz="4" w:space="0" w:color="auto"/>
            </w:tcBorders>
          </w:tcPr>
          <w:p w14:paraId="540B2E5E" w14:textId="14CFBDF5" w:rsidR="000C2A54" w:rsidRPr="00A95808" w:rsidRDefault="002F779F" w:rsidP="000C2A54">
            <w:pPr>
              <w:jc w:val="right"/>
              <w:rPr>
                <w:sz w:val="20"/>
                <w:szCs w:val="20"/>
              </w:rPr>
            </w:pPr>
            <w:r>
              <w:rPr>
                <w:sz w:val="20"/>
                <w:szCs w:val="20"/>
              </w:rPr>
              <w:t>3</w:t>
            </w:r>
            <w:r w:rsidR="00BB5503">
              <w:rPr>
                <w:sz w:val="20"/>
                <w:szCs w:val="20"/>
              </w:rPr>
              <w:t>47</w:t>
            </w:r>
            <w:r w:rsidR="003B35C4">
              <w:rPr>
                <w:sz w:val="20"/>
                <w:szCs w:val="20"/>
              </w:rPr>
              <w:t>,</w:t>
            </w:r>
            <w:r w:rsidR="00BB5503">
              <w:rPr>
                <w:sz w:val="20"/>
                <w:szCs w:val="20"/>
              </w:rPr>
              <w:t>440</w:t>
            </w:r>
          </w:p>
        </w:tc>
      </w:tr>
      <w:tr w:rsidR="000C2A54" w:rsidRPr="004A68BF" w14:paraId="7BC542B7" w14:textId="77777777" w:rsidTr="3285EAFF">
        <w:trPr>
          <w:jc w:val="center"/>
        </w:trPr>
        <w:tc>
          <w:tcPr>
            <w:tcW w:w="2461" w:type="dxa"/>
          </w:tcPr>
          <w:p w14:paraId="01A8DE4E" w14:textId="77777777" w:rsidR="000C2A54" w:rsidRPr="00A95808" w:rsidRDefault="000C2A54" w:rsidP="000C2A54">
            <w:pPr>
              <w:rPr>
                <w:b/>
                <w:sz w:val="20"/>
                <w:szCs w:val="20"/>
              </w:rPr>
            </w:pPr>
            <w:r w:rsidRPr="00A95808">
              <w:rPr>
                <w:b/>
                <w:sz w:val="20"/>
                <w:szCs w:val="20"/>
              </w:rPr>
              <w:t>Total Staff Costs</w:t>
            </w:r>
          </w:p>
        </w:tc>
        <w:tc>
          <w:tcPr>
            <w:tcW w:w="1534" w:type="dxa"/>
            <w:tcBorders>
              <w:top w:val="single" w:sz="4" w:space="0" w:color="auto"/>
              <w:bottom w:val="single" w:sz="4" w:space="0" w:color="auto"/>
            </w:tcBorders>
          </w:tcPr>
          <w:p w14:paraId="4664FE7F" w14:textId="2CD8CD90" w:rsidR="003B35C4" w:rsidRPr="00A95808" w:rsidRDefault="00955777" w:rsidP="003B35C4">
            <w:pPr>
              <w:jc w:val="right"/>
              <w:rPr>
                <w:b/>
                <w:sz w:val="20"/>
                <w:szCs w:val="20"/>
              </w:rPr>
            </w:pPr>
            <w:r>
              <w:rPr>
                <w:b/>
                <w:sz w:val="20"/>
                <w:szCs w:val="20"/>
              </w:rPr>
              <w:t>2,031,775</w:t>
            </w:r>
          </w:p>
        </w:tc>
        <w:tc>
          <w:tcPr>
            <w:tcW w:w="1980" w:type="dxa"/>
            <w:tcBorders>
              <w:top w:val="single" w:sz="4" w:space="0" w:color="auto"/>
              <w:bottom w:val="single" w:sz="4" w:space="0" w:color="auto"/>
            </w:tcBorders>
          </w:tcPr>
          <w:p w14:paraId="2B8435C4" w14:textId="1572FA01" w:rsidR="000C2A54" w:rsidRPr="00A95808" w:rsidDel="006E56F3" w:rsidRDefault="00403C79" w:rsidP="000C2A54">
            <w:pPr>
              <w:jc w:val="right"/>
              <w:rPr>
                <w:b/>
                <w:sz w:val="20"/>
                <w:szCs w:val="20"/>
              </w:rPr>
            </w:pPr>
            <w:r>
              <w:rPr>
                <w:b/>
                <w:sz w:val="20"/>
                <w:szCs w:val="20"/>
              </w:rPr>
              <w:t>1</w:t>
            </w:r>
            <w:r w:rsidR="00955777">
              <w:rPr>
                <w:b/>
                <w:sz w:val="20"/>
                <w:szCs w:val="20"/>
              </w:rPr>
              <w:t>62,475</w:t>
            </w:r>
          </w:p>
        </w:tc>
        <w:tc>
          <w:tcPr>
            <w:tcW w:w="1800" w:type="dxa"/>
            <w:tcBorders>
              <w:top w:val="single" w:sz="4" w:space="0" w:color="auto"/>
              <w:bottom w:val="single" w:sz="4" w:space="0" w:color="auto"/>
            </w:tcBorders>
          </w:tcPr>
          <w:p w14:paraId="0A0F672A" w14:textId="31F7EDC6" w:rsidR="000C2A54" w:rsidRPr="00A95808" w:rsidRDefault="00403C79" w:rsidP="000C2A54">
            <w:pPr>
              <w:jc w:val="right"/>
              <w:rPr>
                <w:b/>
                <w:sz w:val="20"/>
                <w:szCs w:val="20"/>
              </w:rPr>
            </w:pPr>
            <w:r>
              <w:rPr>
                <w:b/>
                <w:sz w:val="20"/>
                <w:szCs w:val="20"/>
              </w:rPr>
              <w:t>1,</w:t>
            </w:r>
            <w:r w:rsidR="00955777">
              <w:rPr>
                <w:b/>
                <w:sz w:val="20"/>
                <w:szCs w:val="20"/>
              </w:rPr>
              <w:t>712,336</w:t>
            </w:r>
            <w:r w:rsidR="00A415F6">
              <w:rPr>
                <w:rStyle w:val="FootnoteReference"/>
                <w:b/>
                <w:sz w:val="20"/>
                <w:szCs w:val="20"/>
              </w:rPr>
              <w:footnoteReference w:id="12"/>
            </w:r>
          </w:p>
        </w:tc>
        <w:tc>
          <w:tcPr>
            <w:tcW w:w="1440" w:type="dxa"/>
            <w:tcBorders>
              <w:top w:val="single" w:sz="4" w:space="0" w:color="auto"/>
              <w:bottom w:val="single" w:sz="4" w:space="0" w:color="auto"/>
            </w:tcBorders>
            <w:shd w:val="clear" w:color="auto" w:fill="auto"/>
          </w:tcPr>
          <w:p w14:paraId="0BF56A43" w14:textId="3C0290E8" w:rsidR="000C2A54" w:rsidRPr="00A95808" w:rsidRDefault="002F779F" w:rsidP="000C2A54">
            <w:pPr>
              <w:jc w:val="right"/>
              <w:rPr>
                <w:b/>
                <w:sz w:val="20"/>
                <w:szCs w:val="20"/>
              </w:rPr>
            </w:pPr>
            <w:r>
              <w:rPr>
                <w:b/>
                <w:sz w:val="20"/>
                <w:szCs w:val="20"/>
              </w:rPr>
              <w:t>1</w:t>
            </w:r>
            <w:r w:rsidR="00955777">
              <w:rPr>
                <w:b/>
                <w:sz w:val="20"/>
                <w:szCs w:val="20"/>
              </w:rPr>
              <w:t>56,964</w:t>
            </w:r>
            <w:r w:rsidR="00382803">
              <w:rPr>
                <w:rStyle w:val="FootnoteReference"/>
                <w:b/>
                <w:sz w:val="20"/>
                <w:szCs w:val="20"/>
              </w:rPr>
              <w:footnoteReference w:id="13"/>
            </w:r>
          </w:p>
        </w:tc>
        <w:tc>
          <w:tcPr>
            <w:tcW w:w="1440" w:type="dxa"/>
            <w:tcBorders>
              <w:top w:val="single" w:sz="4" w:space="0" w:color="auto"/>
              <w:bottom w:val="single" w:sz="4" w:space="0" w:color="auto"/>
            </w:tcBorders>
          </w:tcPr>
          <w:p w14:paraId="60FA4210" w14:textId="1DE240C2" w:rsidR="000C2A54" w:rsidRPr="00A95808" w:rsidRDefault="002F779F" w:rsidP="000C2A54">
            <w:pPr>
              <w:jc w:val="right"/>
              <w:rPr>
                <w:b/>
                <w:sz w:val="20"/>
                <w:szCs w:val="20"/>
              </w:rPr>
            </w:pPr>
            <w:r>
              <w:rPr>
                <w:b/>
                <w:sz w:val="20"/>
                <w:szCs w:val="20"/>
              </w:rPr>
              <w:t>1,</w:t>
            </w:r>
            <w:r w:rsidR="00BB5503">
              <w:rPr>
                <w:b/>
                <w:sz w:val="20"/>
                <w:szCs w:val="20"/>
              </w:rPr>
              <w:t>881</w:t>
            </w:r>
            <w:r w:rsidR="003B35C4">
              <w:rPr>
                <w:b/>
                <w:sz w:val="20"/>
                <w:szCs w:val="20"/>
              </w:rPr>
              <w:t>,</w:t>
            </w:r>
            <w:r w:rsidR="00BB5503">
              <w:rPr>
                <w:b/>
                <w:sz w:val="20"/>
                <w:szCs w:val="20"/>
              </w:rPr>
              <w:t>352</w:t>
            </w:r>
          </w:p>
        </w:tc>
      </w:tr>
    </w:tbl>
    <w:p w14:paraId="599D5DB1" w14:textId="77777777" w:rsidR="000C2A54" w:rsidRDefault="000C2A54" w:rsidP="000C2A54">
      <w:pPr>
        <w:autoSpaceDE w:val="0"/>
        <w:autoSpaceDN w:val="0"/>
        <w:adjustRightInd w:val="0"/>
        <w:ind w:left="567"/>
      </w:pPr>
    </w:p>
    <w:p w14:paraId="3DCB9C45" w14:textId="1AE8E6A4" w:rsidR="00F824B3" w:rsidRDefault="000C2A54" w:rsidP="00C54DF1">
      <w:pPr>
        <w:autoSpaceDE w:val="0"/>
        <w:autoSpaceDN w:val="0"/>
        <w:adjustRightInd w:val="0"/>
      </w:pPr>
      <w:r>
        <w:t>There were no inward secon</w:t>
      </w:r>
      <w:r w:rsidR="0057710A">
        <w:t xml:space="preserve">ded staff during </w:t>
      </w:r>
      <w:r w:rsidR="00403C79">
        <w:t>20</w:t>
      </w:r>
      <w:r w:rsidR="5B581C4D">
        <w:t>2</w:t>
      </w:r>
      <w:r w:rsidR="00763BC4">
        <w:t>4</w:t>
      </w:r>
      <w:r w:rsidR="00403C79">
        <w:t>-2</w:t>
      </w:r>
      <w:r w:rsidR="00763BC4">
        <w:t>5</w:t>
      </w:r>
      <w:r w:rsidR="00DE3AEE">
        <w:t xml:space="preserve"> (</w:t>
      </w:r>
      <w:r w:rsidR="00403C79">
        <w:t>202</w:t>
      </w:r>
      <w:r w:rsidR="00763BC4">
        <w:t>3</w:t>
      </w:r>
      <w:r w:rsidR="00403C79">
        <w:t>-2</w:t>
      </w:r>
      <w:r w:rsidR="00763BC4">
        <w:t>4</w:t>
      </w:r>
      <w:r w:rsidR="005B72C1">
        <w:t>: None)</w:t>
      </w:r>
      <w:r>
        <w:t>.</w:t>
      </w:r>
      <w:r w:rsidR="00731FD6">
        <w:t xml:space="preserve">  </w:t>
      </w:r>
    </w:p>
    <w:p w14:paraId="4736C694" w14:textId="77777777" w:rsidR="000C2A54" w:rsidRPr="00F97E5F" w:rsidRDefault="00F824B3" w:rsidP="000F5ED9">
      <w:pPr>
        <w:autoSpaceDE w:val="0"/>
        <w:autoSpaceDN w:val="0"/>
        <w:adjustRightInd w:val="0"/>
      </w:pPr>
      <w:r>
        <w:lastRenderedPageBreak/>
        <w:t>Staff detailed as ‘Others’ includes temporary staff directly employed by the Commission, temporary agency staff and the Chair of the Commission’s Audit and Risk Management Committee</w:t>
      </w:r>
      <w:r w:rsidR="00C606DC">
        <w:t>.</w:t>
      </w:r>
    </w:p>
    <w:p w14:paraId="1B6CE87F" w14:textId="77777777" w:rsidR="00737A8F" w:rsidRDefault="00737A8F" w:rsidP="00B61C59">
      <w:pPr>
        <w:autoSpaceDE w:val="0"/>
        <w:autoSpaceDN w:val="0"/>
        <w:adjustRightInd w:val="0"/>
      </w:pPr>
    </w:p>
    <w:p w14:paraId="3C20039D" w14:textId="130BD8B3" w:rsidR="000C2A54" w:rsidRPr="00F97E5F" w:rsidRDefault="000C2A54" w:rsidP="00B61C59">
      <w:pPr>
        <w:autoSpaceDE w:val="0"/>
        <w:autoSpaceDN w:val="0"/>
        <w:adjustRightInd w:val="0"/>
      </w:pPr>
      <w:r>
        <w:t>Details o</w:t>
      </w:r>
      <w:r w:rsidR="00C141C6">
        <w:t xml:space="preserve">f the pension contributions of </w:t>
      </w:r>
      <w:r w:rsidR="00C02487">
        <w:t>£</w:t>
      </w:r>
      <w:r w:rsidR="00403C79">
        <w:t>2</w:t>
      </w:r>
      <w:r w:rsidR="00763BC4">
        <w:t>4,687</w:t>
      </w:r>
      <w:r>
        <w:t xml:space="preserve"> payable i</w:t>
      </w:r>
      <w:r w:rsidR="00DE3AEE">
        <w:t>n respect of Commissioners (</w:t>
      </w:r>
      <w:r w:rsidR="00403C79">
        <w:t>202</w:t>
      </w:r>
      <w:r w:rsidR="00763BC4">
        <w:t>3</w:t>
      </w:r>
      <w:r w:rsidR="00403C79">
        <w:t>-2</w:t>
      </w:r>
      <w:r w:rsidR="00763BC4">
        <w:t>4</w:t>
      </w:r>
      <w:r>
        <w:t>: £</w:t>
      </w:r>
      <w:r w:rsidR="00403C79">
        <w:t>2</w:t>
      </w:r>
      <w:r w:rsidR="00744E70">
        <w:t>3</w:t>
      </w:r>
      <w:r w:rsidR="00403C79">
        <w:t>,</w:t>
      </w:r>
      <w:r w:rsidR="00744E70">
        <w:t>818</w:t>
      </w:r>
      <w:r>
        <w:t xml:space="preserve">) are described </w:t>
      </w:r>
      <w:r w:rsidR="001B7925">
        <w:t>above</w:t>
      </w:r>
      <w:r>
        <w:t>.</w:t>
      </w:r>
    </w:p>
    <w:p w14:paraId="33376FB5" w14:textId="77777777" w:rsidR="000C2A54" w:rsidRPr="00F97E5F" w:rsidRDefault="000C2A54" w:rsidP="00B61C59">
      <w:pPr>
        <w:autoSpaceDE w:val="0"/>
        <w:autoSpaceDN w:val="0"/>
        <w:adjustRightInd w:val="0"/>
      </w:pPr>
    </w:p>
    <w:p w14:paraId="70C54C24" w14:textId="1C6ACB54" w:rsidR="000C2A54" w:rsidRPr="00077C90" w:rsidRDefault="000C2A54" w:rsidP="00B61C59">
      <w:pPr>
        <w:autoSpaceDE w:val="0"/>
        <w:autoSpaceDN w:val="0"/>
        <w:adjustRightInd w:val="0"/>
      </w:pPr>
      <w:r w:rsidRPr="00F97E5F">
        <w:t>The Commission’s staff are covered by the Principal Civil Service Pension Scheme (PCSPS)</w:t>
      </w:r>
      <w:r w:rsidR="00077C90">
        <w:t xml:space="preserve"> and the Civil Servant and Other Pension Scheme (CSOPS) – known as ‘</w:t>
      </w:r>
      <w:r w:rsidR="00281F8F">
        <w:t>a</w:t>
      </w:r>
      <w:r w:rsidR="00077C90">
        <w:t>lpha’</w:t>
      </w:r>
      <w:r w:rsidRPr="00F97E5F">
        <w:t>.  PCSPS</w:t>
      </w:r>
      <w:r w:rsidR="00077C90">
        <w:t xml:space="preserve"> and CSOPS are</w:t>
      </w:r>
      <w:r w:rsidRPr="00F97E5F">
        <w:t xml:space="preserve"> unfunded multi–employer defined benefit scheme</w:t>
      </w:r>
      <w:r w:rsidR="00077C90">
        <w:t>s</w:t>
      </w:r>
      <w:r w:rsidRPr="00F97E5F">
        <w:t xml:space="preserve"> but </w:t>
      </w:r>
      <w:r w:rsidRPr="00F97E5F">
        <w:rPr>
          <w:rFonts w:cs="Arial"/>
          <w:lang w:val="en-US"/>
        </w:rPr>
        <w:t xml:space="preserve">the Commission </w:t>
      </w:r>
      <w:r w:rsidR="002A501C">
        <w:t xml:space="preserve">is unable to </w:t>
      </w:r>
      <w:r w:rsidRPr="00F97E5F">
        <w:t>identify its share of the underlying assets and liabilities.  The scheme actuary value</w:t>
      </w:r>
      <w:r w:rsidR="0072512F">
        <w:t>d the scheme as at 31 March 20</w:t>
      </w:r>
      <w:r w:rsidR="003B35C4">
        <w:t>20</w:t>
      </w:r>
      <w:r w:rsidRPr="00F97E5F">
        <w:t>.  Details can be found in the resource accounts of the Cabinet Office: Civil Superannuation (</w:t>
      </w:r>
      <w:hyperlink r:id="rId30" w:history="1">
        <w:r w:rsidR="00BB74EA">
          <w:rPr>
            <w:rStyle w:val="Hyperlink"/>
          </w:rPr>
          <w:t>Scheme valuations - Civil Service Pension Scheme</w:t>
        </w:r>
      </w:hyperlink>
      <w:r w:rsidRPr="00F97E5F">
        <w:t>).</w:t>
      </w:r>
    </w:p>
    <w:p w14:paraId="5C06F5AA" w14:textId="77777777" w:rsidR="000C2A54" w:rsidRPr="00F97E5F" w:rsidRDefault="000C2A54" w:rsidP="00B61C59">
      <w:pPr>
        <w:autoSpaceDE w:val="0"/>
        <w:autoSpaceDN w:val="0"/>
        <w:adjustRightInd w:val="0"/>
        <w:rPr>
          <w:rFonts w:cs="Arial"/>
          <w:lang w:val="en-US"/>
        </w:rPr>
      </w:pPr>
    </w:p>
    <w:p w14:paraId="120B6CE0" w14:textId="4CB1470B" w:rsidR="000C2A54" w:rsidRPr="00F97E5F" w:rsidRDefault="000C2A54" w:rsidP="00B61C59">
      <w:pPr>
        <w:autoSpaceDE w:val="0"/>
        <w:autoSpaceDN w:val="0"/>
        <w:adjustRightInd w:val="0"/>
        <w:rPr>
          <w:rFonts w:cs="Arial"/>
          <w:lang w:val="en-US"/>
        </w:rPr>
      </w:pPr>
      <w:r w:rsidRPr="3285EAFF">
        <w:rPr>
          <w:rFonts w:cs="Arial"/>
          <w:lang w:val="en-US"/>
        </w:rPr>
        <w:t xml:space="preserve">For </w:t>
      </w:r>
      <w:r w:rsidR="00DF762B">
        <w:t>202</w:t>
      </w:r>
      <w:r w:rsidR="00677246">
        <w:t>4</w:t>
      </w:r>
      <w:r w:rsidR="00DF762B">
        <w:t>-2</w:t>
      </w:r>
      <w:r w:rsidR="00677246">
        <w:t>5</w:t>
      </w:r>
      <w:r w:rsidRPr="3285EAFF">
        <w:rPr>
          <w:rFonts w:cs="Arial"/>
          <w:lang w:val="en-US"/>
        </w:rPr>
        <w:t xml:space="preserve">, employers’ contributions of </w:t>
      </w:r>
      <w:r w:rsidR="00636AA4" w:rsidRPr="3285EAFF">
        <w:rPr>
          <w:rFonts w:cs="Arial"/>
          <w:lang w:val="en-US"/>
        </w:rPr>
        <w:t>£</w:t>
      </w:r>
      <w:r w:rsidR="00403C79">
        <w:rPr>
          <w:rFonts w:cs="Arial"/>
          <w:lang w:val="en-US"/>
        </w:rPr>
        <w:t>3</w:t>
      </w:r>
      <w:r w:rsidR="00744E70">
        <w:rPr>
          <w:rFonts w:cs="Arial"/>
          <w:lang w:val="en-US"/>
        </w:rPr>
        <w:t>92</w:t>
      </w:r>
      <w:r w:rsidR="00403C79">
        <w:rPr>
          <w:rFonts w:cs="Arial"/>
          <w:lang w:val="en-US"/>
        </w:rPr>
        <w:t>,</w:t>
      </w:r>
      <w:r w:rsidR="00744E70">
        <w:rPr>
          <w:rFonts w:cs="Arial"/>
          <w:lang w:val="en-US"/>
        </w:rPr>
        <w:t>812</w:t>
      </w:r>
      <w:r w:rsidR="008215DC">
        <w:rPr>
          <w:rStyle w:val="FootnoteReference"/>
          <w:rFonts w:cs="Arial"/>
          <w:lang w:val="en-US"/>
        </w:rPr>
        <w:footnoteReference w:id="14"/>
      </w:r>
      <w:r w:rsidR="00403C79">
        <w:rPr>
          <w:rFonts w:cs="Arial"/>
          <w:lang w:val="en-US"/>
        </w:rPr>
        <w:t xml:space="preserve"> </w:t>
      </w:r>
      <w:r w:rsidR="005D69D1" w:rsidRPr="3285EAFF">
        <w:rPr>
          <w:rFonts w:cs="Arial"/>
          <w:lang w:val="en-US"/>
        </w:rPr>
        <w:t>were payable to PCSPS (</w:t>
      </w:r>
      <w:r w:rsidR="00403C79">
        <w:rPr>
          <w:rFonts w:cs="Arial"/>
          <w:lang w:val="en-US"/>
        </w:rPr>
        <w:t>20</w:t>
      </w:r>
      <w:r w:rsidR="6775F563" w:rsidRPr="3285EAFF">
        <w:rPr>
          <w:rFonts w:cs="Arial"/>
          <w:lang w:val="en-US"/>
        </w:rPr>
        <w:t>2</w:t>
      </w:r>
      <w:r w:rsidR="00677246">
        <w:rPr>
          <w:rFonts w:cs="Arial"/>
          <w:lang w:val="en-US"/>
        </w:rPr>
        <w:t>3</w:t>
      </w:r>
      <w:r w:rsidR="00403C79">
        <w:rPr>
          <w:rFonts w:cs="Arial"/>
          <w:lang w:val="en-US"/>
        </w:rPr>
        <w:t>-2</w:t>
      </w:r>
      <w:r w:rsidR="00677246">
        <w:rPr>
          <w:rFonts w:cs="Arial"/>
          <w:lang w:val="en-US"/>
        </w:rPr>
        <w:t>4</w:t>
      </w:r>
      <w:r w:rsidRPr="3285EAFF">
        <w:rPr>
          <w:rFonts w:cs="Arial"/>
          <w:lang w:val="en-US"/>
        </w:rPr>
        <w:t>: £</w:t>
      </w:r>
      <w:r w:rsidR="00C4616A">
        <w:rPr>
          <w:rFonts w:cs="Arial"/>
          <w:lang w:val="en-US"/>
        </w:rPr>
        <w:t>3</w:t>
      </w:r>
      <w:r w:rsidR="00677246">
        <w:rPr>
          <w:rFonts w:cs="Arial"/>
          <w:lang w:val="en-US"/>
        </w:rPr>
        <w:t>47</w:t>
      </w:r>
      <w:r w:rsidR="00403C79">
        <w:rPr>
          <w:rFonts w:cs="Arial"/>
          <w:lang w:val="en-US"/>
        </w:rPr>
        <w:t>,</w:t>
      </w:r>
      <w:r w:rsidR="00677246">
        <w:rPr>
          <w:rFonts w:cs="Arial"/>
          <w:lang w:val="en-US"/>
        </w:rPr>
        <w:t>440</w:t>
      </w:r>
      <w:r w:rsidRPr="3285EAFF">
        <w:rPr>
          <w:rFonts w:cs="Arial"/>
          <w:lang w:val="en-US"/>
        </w:rPr>
        <w:t xml:space="preserve">) at </w:t>
      </w:r>
      <w:r w:rsidR="00677246">
        <w:rPr>
          <w:rFonts w:cs="Arial"/>
          <w:lang w:val="en-US"/>
        </w:rPr>
        <w:t>28.97</w:t>
      </w:r>
      <w:r w:rsidRPr="3285EAFF">
        <w:rPr>
          <w:rFonts w:cs="Arial"/>
          <w:lang w:val="en-US"/>
        </w:rPr>
        <w:t xml:space="preserve"> per cent of pensionable pay, based on salary bands</w:t>
      </w:r>
      <w:r w:rsidR="00FF1FA8" w:rsidRPr="3285EAFF">
        <w:rPr>
          <w:rFonts w:cs="Arial"/>
          <w:lang w:val="en-US"/>
        </w:rPr>
        <w:t xml:space="preserve">. </w:t>
      </w:r>
      <w:r w:rsidRPr="3285EAFF">
        <w:rPr>
          <w:rFonts w:cs="Arial"/>
          <w:lang w:val="en-US"/>
        </w:rPr>
        <w:t>The Scheme Actuary reviews employer contributions usually every four years following a full scheme valuation</w:t>
      </w:r>
      <w:r w:rsidR="00FF1FA8" w:rsidRPr="3285EAFF">
        <w:rPr>
          <w:rFonts w:cs="Arial"/>
          <w:lang w:val="en-US"/>
        </w:rPr>
        <w:t xml:space="preserve">. </w:t>
      </w:r>
      <w:r w:rsidRPr="3285EAFF">
        <w:rPr>
          <w:rFonts w:cs="Arial"/>
          <w:lang w:val="en-US"/>
        </w:rPr>
        <w:t xml:space="preserve">The contribution rates are set to meet the cost of the benefits accruing during </w:t>
      </w:r>
      <w:r w:rsidR="00E865B2">
        <w:t>202</w:t>
      </w:r>
      <w:r w:rsidR="00677246">
        <w:t>4</w:t>
      </w:r>
      <w:r w:rsidR="00E865B2">
        <w:t>-2</w:t>
      </w:r>
      <w:r w:rsidR="00677246">
        <w:t>5</w:t>
      </w:r>
      <w:r>
        <w:t xml:space="preserve"> </w:t>
      </w:r>
      <w:r w:rsidRPr="3285EAFF">
        <w:rPr>
          <w:rFonts w:cs="Arial"/>
          <w:lang w:val="en-US"/>
        </w:rPr>
        <w:t xml:space="preserve">to be paid when the member retires and not the benefits paid during this period to existing pensioners. </w:t>
      </w:r>
    </w:p>
    <w:p w14:paraId="5B5C995A" w14:textId="77777777" w:rsidR="000C2A54" w:rsidRPr="00BE16D9" w:rsidRDefault="000C2A54" w:rsidP="00B61C59">
      <w:pPr>
        <w:rPr>
          <w:sz w:val="22"/>
          <w:szCs w:val="22"/>
          <w:lang w:val="en-US"/>
        </w:rPr>
      </w:pPr>
    </w:p>
    <w:p w14:paraId="0A73F295" w14:textId="21F04E0B" w:rsidR="000C2A54" w:rsidRDefault="000C2A54" w:rsidP="00B61C59">
      <w:r w:rsidRPr="3285EAFF">
        <w:rPr>
          <w:lang w:val="en-US"/>
        </w:rPr>
        <w:t>Employees can opt to open a partnership pension account, a stakeholder pension with an employer contribution</w:t>
      </w:r>
      <w:r w:rsidR="00FF1FA8" w:rsidRPr="3285EAFF">
        <w:rPr>
          <w:lang w:val="en-US"/>
        </w:rPr>
        <w:t xml:space="preserve">. </w:t>
      </w:r>
      <w:r w:rsidRPr="3285EAFF">
        <w:rPr>
          <w:lang w:val="en-US"/>
        </w:rPr>
        <w:t xml:space="preserve">There were no employers’ contributions made to one or more of the </w:t>
      </w:r>
      <w:r w:rsidR="000A30FB" w:rsidRPr="3285EAFF">
        <w:rPr>
          <w:lang w:val="en-US"/>
        </w:rPr>
        <w:t>panels</w:t>
      </w:r>
      <w:r w:rsidRPr="3285EAFF">
        <w:rPr>
          <w:lang w:val="en-US"/>
        </w:rPr>
        <w:t xml:space="preserve"> of three appointed stakeholder pension providers </w:t>
      </w:r>
      <w:r>
        <w:t>(</w:t>
      </w:r>
      <w:r w:rsidR="00E865B2">
        <w:rPr>
          <w:rFonts w:cs="Arial"/>
          <w:lang w:val="en-US"/>
        </w:rPr>
        <w:t>20</w:t>
      </w:r>
      <w:r w:rsidR="3137565D" w:rsidRPr="3285EAFF">
        <w:rPr>
          <w:rFonts w:cs="Arial"/>
          <w:lang w:val="en-US"/>
        </w:rPr>
        <w:t>2</w:t>
      </w:r>
      <w:r w:rsidR="00677246">
        <w:rPr>
          <w:rFonts w:cs="Arial"/>
          <w:lang w:val="en-US"/>
        </w:rPr>
        <w:t>3</w:t>
      </w:r>
      <w:r w:rsidR="00E865B2">
        <w:rPr>
          <w:rFonts w:cs="Arial"/>
          <w:lang w:val="en-US"/>
        </w:rPr>
        <w:t>-2</w:t>
      </w:r>
      <w:r w:rsidR="00677246">
        <w:rPr>
          <w:rFonts w:cs="Arial"/>
          <w:lang w:val="en-US"/>
        </w:rPr>
        <w:t>4</w:t>
      </w:r>
      <w:r>
        <w:t>: £</w:t>
      </w:r>
      <w:r w:rsidRPr="3285EAFF">
        <w:rPr>
          <w:lang w:val="en-US"/>
        </w:rPr>
        <w:t>Nil</w:t>
      </w:r>
      <w:r>
        <w:t>)</w:t>
      </w:r>
      <w:r w:rsidR="00FF1FA8">
        <w:t xml:space="preserve">. </w:t>
      </w:r>
      <w:r w:rsidRPr="3285EAFF">
        <w:rPr>
          <w:lang w:val="en-US"/>
        </w:rPr>
        <w:t>Employer contributions are age</w:t>
      </w:r>
      <w:r w:rsidRPr="3285EAFF">
        <w:rPr>
          <w:rFonts w:cs="Arial"/>
          <w:lang w:val="en-US"/>
        </w:rPr>
        <w:t>–</w:t>
      </w:r>
      <w:r w:rsidRPr="3285EAFF">
        <w:rPr>
          <w:lang w:val="en-US"/>
        </w:rPr>
        <w:t>related and ranged from 8 per cent to 14.75 per cent (depending on the age of the member)</w:t>
      </w:r>
      <w:r w:rsidR="00FF1FA8" w:rsidRPr="3285EAFF">
        <w:rPr>
          <w:lang w:val="en-US"/>
        </w:rPr>
        <w:t xml:space="preserve">. </w:t>
      </w:r>
      <w:r w:rsidRPr="3285EAFF">
        <w:rPr>
          <w:lang w:val="en-US"/>
        </w:rPr>
        <w:t>Employers also match employee contributions up to 3 per cent of pensionable pay</w:t>
      </w:r>
      <w:r w:rsidR="00FF1FA8" w:rsidRPr="3285EAFF">
        <w:rPr>
          <w:lang w:val="en-US"/>
        </w:rPr>
        <w:t xml:space="preserve">. </w:t>
      </w:r>
      <w:r w:rsidRPr="3285EAFF">
        <w:rPr>
          <w:lang w:val="en-US"/>
        </w:rPr>
        <w:t xml:space="preserve">There were no additional employer contributions at 0.5 per cent of pensionable salary to cover the cost of centrally-provided risk benefit cover (death in service and ill-health retirement) </w:t>
      </w:r>
      <w:r>
        <w:t>(</w:t>
      </w:r>
      <w:r w:rsidR="00E865B2">
        <w:rPr>
          <w:rFonts w:cs="Arial"/>
          <w:lang w:val="en-US"/>
        </w:rPr>
        <w:t>20</w:t>
      </w:r>
      <w:r w:rsidR="0084B063" w:rsidRPr="3285EAFF">
        <w:rPr>
          <w:rFonts w:cs="Arial"/>
          <w:lang w:val="en-US"/>
        </w:rPr>
        <w:t>2</w:t>
      </w:r>
      <w:r w:rsidR="00677246">
        <w:rPr>
          <w:rFonts w:cs="Arial"/>
          <w:lang w:val="en-US"/>
        </w:rPr>
        <w:t>3</w:t>
      </w:r>
      <w:r w:rsidR="00E865B2">
        <w:rPr>
          <w:rFonts w:cs="Arial"/>
          <w:lang w:val="en-US"/>
        </w:rPr>
        <w:t>-2</w:t>
      </w:r>
      <w:r w:rsidR="00677246">
        <w:rPr>
          <w:rFonts w:cs="Arial"/>
          <w:lang w:val="en-US"/>
        </w:rPr>
        <w:t>4</w:t>
      </w:r>
      <w:r>
        <w:t>: £</w:t>
      </w:r>
      <w:r w:rsidRPr="3285EAFF">
        <w:rPr>
          <w:lang w:val="en-US"/>
        </w:rPr>
        <w:t>Nil</w:t>
      </w:r>
      <w:r>
        <w:t>).</w:t>
      </w:r>
    </w:p>
    <w:p w14:paraId="1D2DEC4A" w14:textId="77777777" w:rsidR="00FC5374" w:rsidRPr="00F97E5F" w:rsidRDefault="00FC5374" w:rsidP="00B61C59"/>
    <w:p w14:paraId="05CE822B" w14:textId="0646BB5B" w:rsidR="000C2A54" w:rsidRPr="005D69D1" w:rsidRDefault="000C2A54" w:rsidP="54F71CB4">
      <w:pPr>
        <w:rPr>
          <w:i/>
          <w:iCs/>
        </w:rPr>
      </w:pPr>
      <w:r>
        <w:t>The expected employer pension contributions to the Principal Civil</w:t>
      </w:r>
      <w:r w:rsidR="00A80575">
        <w:t xml:space="preserve"> Service Pension Scheme for </w:t>
      </w:r>
      <w:r w:rsidR="00C95D1D">
        <w:t>202</w:t>
      </w:r>
      <w:r w:rsidR="00677246">
        <w:t>5</w:t>
      </w:r>
      <w:r w:rsidR="00C95D1D">
        <w:t>-2</w:t>
      </w:r>
      <w:r w:rsidR="00677246">
        <w:t>6</w:t>
      </w:r>
      <w:r>
        <w:t xml:space="preserve"> is </w:t>
      </w:r>
      <w:r w:rsidR="00FA0FFC">
        <w:t xml:space="preserve">estimated at </w:t>
      </w:r>
      <w:r w:rsidR="008215DC" w:rsidRPr="00C763C2">
        <w:t>£</w:t>
      </w:r>
      <w:r w:rsidR="5B843A42" w:rsidRPr="00C763C2">
        <w:t>4</w:t>
      </w:r>
      <w:r w:rsidR="00677246" w:rsidRPr="00C763C2">
        <w:t>76</w:t>
      </w:r>
      <w:r w:rsidR="5B843A42" w:rsidRPr="00C763C2">
        <w:t>,</w:t>
      </w:r>
      <w:r w:rsidR="00677246" w:rsidRPr="00C763C2">
        <w:t>224</w:t>
      </w:r>
      <w:r w:rsidR="00C763C2">
        <w:t>.</w:t>
      </w:r>
      <w:r w:rsidR="00FA0FFC">
        <w:t xml:space="preserve"> </w:t>
      </w:r>
    </w:p>
    <w:p w14:paraId="5E645056" w14:textId="77777777" w:rsidR="000C2A54" w:rsidRPr="00F97E5F" w:rsidRDefault="000C2A54" w:rsidP="00B61C59"/>
    <w:p w14:paraId="496ACD3B" w14:textId="704533DF" w:rsidR="000C2A54" w:rsidRPr="00F97E5F" w:rsidRDefault="00912417" w:rsidP="00B61C59">
      <w:r>
        <w:t>There were</w:t>
      </w:r>
      <w:r w:rsidR="000C2A54">
        <w:t xml:space="preserve"> no staff who retired early on</w:t>
      </w:r>
      <w:r w:rsidR="005D69D1">
        <w:t xml:space="preserve"> ill-health grounds during </w:t>
      </w:r>
      <w:r w:rsidR="00E865B2">
        <w:t>20</w:t>
      </w:r>
      <w:r w:rsidR="3EF6A621">
        <w:t>2</w:t>
      </w:r>
      <w:r w:rsidR="00677246">
        <w:t>4</w:t>
      </w:r>
      <w:r w:rsidR="00E865B2">
        <w:t>-2</w:t>
      </w:r>
      <w:r w:rsidR="00677246">
        <w:t>5</w:t>
      </w:r>
      <w:r w:rsidR="004A68BF">
        <w:t xml:space="preserve"> (</w:t>
      </w:r>
      <w:r w:rsidR="00E865B2">
        <w:t>20</w:t>
      </w:r>
      <w:r w:rsidR="7B7D4706">
        <w:t>2</w:t>
      </w:r>
      <w:r w:rsidR="00677246">
        <w:t>3</w:t>
      </w:r>
      <w:r w:rsidR="00E865B2">
        <w:t>-2</w:t>
      </w:r>
      <w:r w:rsidR="00677246">
        <w:t>4</w:t>
      </w:r>
      <w:r w:rsidR="004A68BF">
        <w:t>: None).</w:t>
      </w:r>
    </w:p>
    <w:p w14:paraId="2150300B" w14:textId="77777777" w:rsidR="000C2A54" w:rsidRDefault="000C2A54" w:rsidP="000C2A54">
      <w:pPr>
        <w:autoSpaceDE w:val="0"/>
        <w:autoSpaceDN w:val="0"/>
        <w:adjustRightInd w:val="0"/>
        <w:jc w:val="both"/>
        <w:rPr>
          <w:rFonts w:cs="Arial"/>
          <w:b/>
          <w:bCs/>
          <w:sz w:val="22"/>
          <w:szCs w:val="22"/>
          <w:lang w:val="en-US"/>
        </w:rPr>
      </w:pPr>
    </w:p>
    <w:p w14:paraId="2C1EF3A6" w14:textId="77777777" w:rsidR="00EF4A28" w:rsidRDefault="00EF4A28" w:rsidP="000C2A54">
      <w:pPr>
        <w:autoSpaceDE w:val="0"/>
        <w:autoSpaceDN w:val="0"/>
        <w:adjustRightInd w:val="0"/>
        <w:jc w:val="both"/>
        <w:rPr>
          <w:rFonts w:cs="Arial"/>
          <w:b/>
          <w:bCs/>
          <w:sz w:val="22"/>
          <w:szCs w:val="22"/>
          <w:lang w:val="en-US"/>
        </w:rPr>
      </w:pPr>
    </w:p>
    <w:p w14:paraId="59761860" w14:textId="77777777" w:rsidR="00EF4A28" w:rsidRDefault="00EF4A28" w:rsidP="000C2A54">
      <w:pPr>
        <w:autoSpaceDE w:val="0"/>
        <w:autoSpaceDN w:val="0"/>
        <w:adjustRightInd w:val="0"/>
        <w:jc w:val="both"/>
        <w:rPr>
          <w:rFonts w:cs="Arial"/>
          <w:b/>
          <w:bCs/>
          <w:sz w:val="22"/>
          <w:szCs w:val="22"/>
          <w:lang w:val="en-US"/>
        </w:rPr>
      </w:pPr>
    </w:p>
    <w:p w14:paraId="551DD9E0" w14:textId="77777777" w:rsidR="00EF4A28" w:rsidRDefault="00EF4A28" w:rsidP="000C2A54">
      <w:pPr>
        <w:autoSpaceDE w:val="0"/>
        <w:autoSpaceDN w:val="0"/>
        <w:adjustRightInd w:val="0"/>
        <w:jc w:val="both"/>
        <w:rPr>
          <w:rFonts w:cs="Arial"/>
          <w:b/>
          <w:bCs/>
          <w:sz w:val="22"/>
          <w:szCs w:val="22"/>
          <w:lang w:val="en-US"/>
        </w:rPr>
      </w:pPr>
    </w:p>
    <w:p w14:paraId="241F0827" w14:textId="77777777" w:rsidR="00EF4A28" w:rsidRDefault="00EF4A28" w:rsidP="000C2A54">
      <w:pPr>
        <w:autoSpaceDE w:val="0"/>
        <w:autoSpaceDN w:val="0"/>
        <w:adjustRightInd w:val="0"/>
        <w:jc w:val="both"/>
        <w:rPr>
          <w:rFonts w:cs="Arial"/>
          <w:b/>
          <w:bCs/>
          <w:sz w:val="22"/>
          <w:szCs w:val="22"/>
          <w:lang w:val="en-US"/>
        </w:rPr>
      </w:pPr>
    </w:p>
    <w:p w14:paraId="7324A06F" w14:textId="77777777" w:rsidR="00EF4A28" w:rsidRDefault="00EF4A28" w:rsidP="000C2A54">
      <w:pPr>
        <w:autoSpaceDE w:val="0"/>
        <w:autoSpaceDN w:val="0"/>
        <w:adjustRightInd w:val="0"/>
        <w:jc w:val="both"/>
        <w:rPr>
          <w:rFonts w:cs="Arial"/>
          <w:b/>
          <w:bCs/>
          <w:sz w:val="22"/>
          <w:szCs w:val="22"/>
          <w:lang w:val="en-US"/>
        </w:rPr>
      </w:pPr>
    </w:p>
    <w:p w14:paraId="28D8F493" w14:textId="77777777" w:rsidR="00EF4A28" w:rsidRDefault="00EF4A28" w:rsidP="000C2A54">
      <w:pPr>
        <w:autoSpaceDE w:val="0"/>
        <w:autoSpaceDN w:val="0"/>
        <w:adjustRightInd w:val="0"/>
        <w:jc w:val="both"/>
        <w:rPr>
          <w:rFonts w:cs="Arial"/>
          <w:b/>
          <w:bCs/>
          <w:sz w:val="22"/>
          <w:szCs w:val="22"/>
          <w:lang w:val="en-US"/>
        </w:rPr>
      </w:pPr>
    </w:p>
    <w:p w14:paraId="6A060259" w14:textId="77777777" w:rsidR="00EF4A28" w:rsidRPr="00BE16D9" w:rsidRDefault="00EF4A28" w:rsidP="000C2A54">
      <w:pPr>
        <w:autoSpaceDE w:val="0"/>
        <w:autoSpaceDN w:val="0"/>
        <w:adjustRightInd w:val="0"/>
        <w:jc w:val="both"/>
        <w:rPr>
          <w:rFonts w:cs="Arial"/>
          <w:b/>
          <w:bCs/>
          <w:sz w:val="22"/>
          <w:szCs w:val="22"/>
          <w:lang w:val="en-US"/>
        </w:rPr>
      </w:pPr>
    </w:p>
    <w:p w14:paraId="1C4FE725" w14:textId="77777777" w:rsidR="003D5134" w:rsidRDefault="00D14957" w:rsidP="00D14957">
      <w:pPr>
        <w:autoSpaceDE w:val="0"/>
        <w:autoSpaceDN w:val="0"/>
        <w:adjustRightInd w:val="0"/>
        <w:jc w:val="both"/>
        <w:rPr>
          <w:rFonts w:cs="Arial"/>
          <w:b/>
          <w:bCs/>
          <w:lang w:val="en-US"/>
        </w:rPr>
      </w:pPr>
      <w:r>
        <w:rPr>
          <w:rFonts w:cs="Arial"/>
          <w:b/>
          <w:bCs/>
          <w:lang w:val="en-US"/>
        </w:rPr>
        <w:lastRenderedPageBreak/>
        <w:t>Number of Senior Civil Service Staff</w:t>
      </w:r>
    </w:p>
    <w:p w14:paraId="4063456B" w14:textId="77777777" w:rsidR="00D14957" w:rsidRDefault="00D14957" w:rsidP="00D14957">
      <w:pPr>
        <w:autoSpaceDE w:val="0"/>
        <w:autoSpaceDN w:val="0"/>
        <w:adjustRightInd w:val="0"/>
        <w:jc w:val="both"/>
        <w:rPr>
          <w:rFonts w:cs="Arial"/>
          <w:b/>
          <w:bCs/>
          <w:lang w:val="en-US"/>
        </w:rPr>
      </w:pPr>
    </w:p>
    <w:tbl>
      <w:tblPr>
        <w:tblStyle w:val="TableGrid"/>
        <w:tblW w:w="0" w:type="auto"/>
        <w:tblLook w:val="04A0" w:firstRow="1" w:lastRow="0" w:firstColumn="1" w:lastColumn="0" w:noHBand="0" w:noVBand="1"/>
      </w:tblPr>
      <w:tblGrid>
        <w:gridCol w:w="3020"/>
        <w:gridCol w:w="3020"/>
        <w:gridCol w:w="3021"/>
      </w:tblGrid>
      <w:tr w:rsidR="00D14957" w14:paraId="6FFB0976" w14:textId="77777777" w:rsidTr="3285EAFF">
        <w:tc>
          <w:tcPr>
            <w:tcW w:w="3020" w:type="dxa"/>
          </w:tcPr>
          <w:p w14:paraId="3B6ADE95" w14:textId="77777777" w:rsidR="00D14957" w:rsidRDefault="00D14957" w:rsidP="00D14957">
            <w:pPr>
              <w:autoSpaceDE w:val="0"/>
              <w:autoSpaceDN w:val="0"/>
              <w:adjustRightInd w:val="0"/>
              <w:jc w:val="center"/>
              <w:rPr>
                <w:rFonts w:cs="Arial"/>
                <w:b/>
                <w:bCs/>
              </w:rPr>
            </w:pPr>
            <w:r>
              <w:rPr>
                <w:rFonts w:cs="Arial"/>
                <w:b/>
                <w:bCs/>
              </w:rPr>
              <w:t>Grade of Senior Civil Servant</w:t>
            </w:r>
          </w:p>
        </w:tc>
        <w:tc>
          <w:tcPr>
            <w:tcW w:w="3020" w:type="dxa"/>
          </w:tcPr>
          <w:p w14:paraId="0DE9C343" w14:textId="25F6E313" w:rsidR="00D14957" w:rsidRDefault="00E865B2" w:rsidP="00D14957">
            <w:pPr>
              <w:autoSpaceDE w:val="0"/>
              <w:autoSpaceDN w:val="0"/>
              <w:adjustRightInd w:val="0"/>
              <w:jc w:val="center"/>
              <w:rPr>
                <w:rFonts w:cs="Arial"/>
                <w:b/>
                <w:bCs/>
              </w:rPr>
            </w:pPr>
            <w:r>
              <w:rPr>
                <w:rFonts w:cs="Arial"/>
                <w:b/>
                <w:bCs/>
              </w:rPr>
              <w:t>202</w:t>
            </w:r>
            <w:r w:rsidR="00677246">
              <w:rPr>
                <w:rFonts w:cs="Arial"/>
                <w:b/>
                <w:bCs/>
              </w:rPr>
              <w:t>4</w:t>
            </w:r>
            <w:r>
              <w:rPr>
                <w:rFonts w:cs="Arial"/>
                <w:b/>
                <w:bCs/>
              </w:rPr>
              <w:t>-2</w:t>
            </w:r>
            <w:r w:rsidR="00677246">
              <w:rPr>
                <w:rFonts w:cs="Arial"/>
                <w:b/>
                <w:bCs/>
              </w:rPr>
              <w:t>5</w:t>
            </w:r>
            <w:r w:rsidR="00D14957" w:rsidRPr="3285EAFF">
              <w:rPr>
                <w:rFonts w:cs="Arial"/>
                <w:b/>
                <w:bCs/>
              </w:rPr>
              <w:t xml:space="preserve"> </w:t>
            </w:r>
          </w:p>
          <w:p w14:paraId="5BF49F9B" w14:textId="77777777" w:rsidR="00D14957" w:rsidRDefault="00D14957" w:rsidP="00D14957">
            <w:pPr>
              <w:autoSpaceDE w:val="0"/>
              <w:autoSpaceDN w:val="0"/>
              <w:adjustRightInd w:val="0"/>
              <w:jc w:val="center"/>
              <w:rPr>
                <w:rFonts w:cs="Arial"/>
                <w:b/>
                <w:bCs/>
              </w:rPr>
            </w:pPr>
            <w:r>
              <w:rPr>
                <w:rFonts w:cs="Arial"/>
                <w:b/>
                <w:bCs/>
              </w:rPr>
              <w:t>Number of Staff</w:t>
            </w:r>
          </w:p>
        </w:tc>
        <w:tc>
          <w:tcPr>
            <w:tcW w:w="3021" w:type="dxa"/>
          </w:tcPr>
          <w:p w14:paraId="529BD4F9" w14:textId="42B83BA2" w:rsidR="00D14957" w:rsidRDefault="00E865B2" w:rsidP="00D14957">
            <w:pPr>
              <w:autoSpaceDE w:val="0"/>
              <w:autoSpaceDN w:val="0"/>
              <w:adjustRightInd w:val="0"/>
              <w:jc w:val="center"/>
              <w:rPr>
                <w:rFonts w:cs="Arial"/>
                <w:b/>
                <w:bCs/>
              </w:rPr>
            </w:pPr>
            <w:r>
              <w:rPr>
                <w:rFonts w:cs="Arial"/>
                <w:b/>
                <w:bCs/>
              </w:rPr>
              <w:t>202</w:t>
            </w:r>
            <w:r w:rsidR="00677246">
              <w:rPr>
                <w:rFonts w:cs="Arial"/>
                <w:b/>
                <w:bCs/>
              </w:rPr>
              <w:t>3</w:t>
            </w:r>
            <w:r>
              <w:rPr>
                <w:rFonts w:cs="Arial"/>
                <w:b/>
                <w:bCs/>
              </w:rPr>
              <w:t>-2</w:t>
            </w:r>
            <w:r w:rsidR="00677246">
              <w:rPr>
                <w:rFonts w:cs="Arial"/>
                <w:b/>
                <w:bCs/>
              </w:rPr>
              <w:t>4</w:t>
            </w:r>
          </w:p>
          <w:p w14:paraId="3F46423A" w14:textId="77777777" w:rsidR="00D14957" w:rsidRDefault="00D14957" w:rsidP="00D14957">
            <w:pPr>
              <w:autoSpaceDE w:val="0"/>
              <w:autoSpaceDN w:val="0"/>
              <w:adjustRightInd w:val="0"/>
              <w:jc w:val="center"/>
              <w:rPr>
                <w:rFonts w:cs="Arial"/>
                <w:b/>
                <w:bCs/>
              </w:rPr>
            </w:pPr>
            <w:r>
              <w:rPr>
                <w:rFonts w:cs="Arial"/>
                <w:b/>
                <w:bCs/>
              </w:rPr>
              <w:t>Number of Staff</w:t>
            </w:r>
          </w:p>
          <w:p w14:paraId="056788E2" w14:textId="77777777" w:rsidR="00D14957" w:rsidRDefault="00D14957" w:rsidP="00D14957">
            <w:pPr>
              <w:autoSpaceDE w:val="0"/>
              <w:autoSpaceDN w:val="0"/>
              <w:adjustRightInd w:val="0"/>
              <w:jc w:val="center"/>
              <w:rPr>
                <w:rFonts w:cs="Arial"/>
                <w:b/>
                <w:bCs/>
              </w:rPr>
            </w:pPr>
          </w:p>
        </w:tc>
      </w:tr>
      <w:tr w:rsidR="00D14957" w14:paraId="09E37B69" w14:textId="77777777" w:rsidTr="3285EAFF">
        <w:tc>
          <w:tcPr>
            <w:tcW w:w="3020" w:type="dxa"/>
          </w:tcPr>
          <w:p w14:paraId="0CA6D906" w14:textId="77777777" w:rsidR="00D14957" w:rsidRPr="00D14957" w:rsidRDefault="00D14957" w:rsidP="00D14957">
            <w:pPr>
              <w:autoSpaceDE w:val="0"/>
              <w:autoSpaceDN w:val="0"/>
              <w:adjustRightInd w:val="0"/>
              <w:jc w:val="center"/>
              <w:rPr>
                <w:rFonts w:cs="Arial"/>
                <w:bCs/>
              </w:rPr>
            </w:pPr>
            <w:r>
              <w:rPr>
                <w:rFonts w:cs="Arial"/>
                <w:bCs/>
              </w:rPr>
              <w:t>5</w:t>
            </w:r>
          </w:p>
        </w:tc>
        <w:tc>
          <w:tcPr>
            <w:tcW w:w="3020" w:type="dxa"/>
          </w:tcPr>
          <w:p w14:paraId="77E0770B" w14:textId="77777777" w:rsidR="00D14957" w:rsidRPr="00D14957" w:rsidRDefault="00A80575" w:rsidP="00D14957">
            <w:pPr>
              <w:autoSpaceDE w:val="0"/>
              <w:autoSpaceDN w:val="0"/>
              <w:adjustRightInd w:val="0"/>
              <w:jc w:val="center"/>
              <w:rPr>
                <w:rFonts w:cs="Arial"/>
                <w:bCs/>
              </w:rPr>
            </w:pPr>
            <w:r>
              <w:rPr>
                <w:rFonts w:cs="Arial"/>
                <w:bCs/>
              </w:rPr>
              <w:t>2</w:t>
            </w:r>
          </w:p>
        </w:tc>
        <w:tc>
          <w:tcPr>
            <w:tcW w:w="3021" w:type="dxa"/>
          </w:tcPr>
          <w:p w14:paraId="7943E637" w14:textId="77777777" w:rsidR="00D14957" w:rsidRDefault="00D14957" w:rsidP="000F5ED9">
            <w:pPr>
              <w:autoSpaceDE w:val="0"/>
              <w:autoSpaceDN w:val="0"/>
              <w:adjustRightInd w:val="0"/>
              <w:jc w:val="center"/>
              <w:rPr>
                <w:rFonts w:cs="Arial"/>
                <w:bCs/>
              </w:rPr>
            </w:pPr>
            <w:r>
              <w:rPr>
                <w:rFonts w:cs="Arial"/>
                <w:bCs/>
              </w:rPr>
              <w:t>2</w:t>
            </w:r>
          </w:p>
          <w:p w14:paraId="3CE3CAAF" w14:textId="77777777" w:rsidR="000F5ED9" w:rsidRPr="00D14957" w:rsidRDefault="000F5ED9" w:rsidP="000F5ED9">
            <w:pPr>
              <w:autoSpaceDE w:val="0"/>
              <w:autoSpaceDN w:val="0"/>
              <w:adjustRightInd w:val="0"/>
              <w:jc w:val="center"/>
              <w:rPr>
                <w:rFonts w:cs="Arial"/>
                <w:bCs/>
              </w:rPr>
            </w:pPr>
          </w:p>
        </w:tc>
      </w:tr>
    </w:tbl>
    <w:p w14:paraId="77022AD5" w14:textId="77777777" w:rsidR="000F5ED9" w:rsidRDefault="000F5ED9" w:rsidP="00D14957">
      <w:pPr>
        <w:autoSpaceDE w:val="0"/>
        <w:autoSpaceDN w:val="0"/>
        <w:adjustRightInd w:val="0"/>
        <w:jc w:val="both"/>
        <w:rPr>
          <w:rFonts w:cs="Arial"/>
          <w:b/>
          <w:bCs/>
          <w:lang w:val="en-US"/>
        </w:rPr>
      </w:pPr>
    </w:p>
    <w:p w14:paraId="2932165B" w14:textId="77777777" w:rsidR="000C2A54" w:rsidRPr="00D73014" w:rsidRDefault="000C2A54" w:rsidP="00D14957">
      <w:pPr>
        <w:autoSpaceDE w:val="0"/>
        <w:autoSpaceDN w:val="0"/>
        <w:adjustRightInd w:val="0"/>
        <w:jc w:val="both"/>
        <w:rPr>
          <w:rFonts w:cs="Arial"/>
          <w:lang w:val="en-US"/>
        </w:rPr>
      </w:pPr>
      <w:r w:rsidRPr="00F97E5F">
        <w:rPr>
          <w:rFonts w:cs="Arial"/>
          <w:b/>
          <w:bCs/>
          <w:lang w:val="en-US"/>
        </w:rPr>
        <w:t>Average number of persons employed</w:t>
      </w:r>
      <w:r>
        <w:rPr>
          <w:rFonts w:cs="Arial"/>
          <w:b/>
          <w:bCs/>
          <w:lang w:val="en-US"/>
        </w:rPr>
        <w:t xml:space="preserve"> </w:t>
      </w:r>
      <w:r>
        <w:rPr>
          <w:rFonts w:cs="Arial"/>
          <w:bCs/>
          <w:lang w:val="en-US"/>
        </w:rPr>
        <w:t>(audited information)</w:t>
      </w:r>
    </w:p>
    <w:p w14:paraId="019066F9" w14:textId="77777777" w:rsidR="000C2A54" w:rsidRPr="00F97E5F" w:rsidRDefault="000C2A54" w:rsidP="000C2A54">
      <w:pPr>
        <w:ind w:left="567"/>
        <w:rPr>
          <w:rFonts w:cs="Arial"/>
          <w:lang w:val="en-US"/>
        </w:rPr>
      </w:pPr>
    </w:p>
    <w:p w14:paraId="5570D28B" w14:textId="4688F4E4" w:rsidR="007D0485" w:rsidRDefault="000C2A54" w:rsidP="00F04493">
      <w:pPr>
        <w:rPr>
          <w:rFonts w:cs="Arial"/>
          <w:lang w:val="en-US"/>
        </w:rPr>
      </w:pPr>
      <w:r w:rsidRPr="00F97E5F">
        <w:rPr>
          <w:rFonts w:cs="Arial"/>
          <w:lang w:val="en-US"/>
        </w:rPr>
        <w:t>The average number of whole-time equivalent persons employed during the year was as follows:</w:t>
      </w:r>
    </w:p>
    <w:tbl>
      <w:tblPr>
        <w:tblW w:w="8995" w:type="dxa"/>
        <w:tblInd w:w="392" w:type="dxa"/>
        <w:tblLook w:val="01E0" w:firstRow="1" w:lastRow="1" w:firstColumn="1" w:lastColumn="1" w:noHBand="0" w:noVBand="0"/>
      </w:tblPr>
      <w:tblGrid>
        <w:gridCol w:w="2126"/>
        <w:gridCol w:w="1134"/>
        <w:gridCol w:w="1985"/>
        <w:gridCol w:w="1648"/>
        <w:gridCol w:w="971"/>
        <w:gridCol w:w="1131"/>
      </w:tblGrid>
      <w:tr w:rsidR="000C2A54" w:rsidRPr="00D60995" w14:paraId="225A62D1" w14:textId="77777777" w:rsidTr="3285EAFF">
        <w:tc>
          <w:tcPr>
            <w:tcW w:w="2126" w:type="dxa"/>
          </w:tcPr>
          <w:p w14:paraId="644A07A8" w14:textId="77777777" w:rsidR="000C2A54" w:rsidRPr="003C274D" w:rsidRDefault="000C2A54" w:rsidP="000C2A54">
            <w:pPr>
              <w:jc w:val="right"/>
              <w:rPr>
                <w:b/>
                <w:sz w:val="20"/>
                <w:szCs w:val="20"/>
              </w:rPr>
            </w:pPr>
          </w:p>
        </w:tc>
        <w:tc>
          <w:tcPr>
            <w:tcW w:w="1134" w:type="dxa"/>
          </w:tcPr>
          <w:p w14:paraId="0714A26F" w14:textId="244246F8" w:rsidR="000C2A54" w:rsidRPr="00563D4A" w:rsidRDefault="00E865B2" w:rsidP="00E029DB">
            <w:pPr>
              <w:spacing w:line="259" w:lineRule="auto"/>
              <w:ind w:left="-137" w:hanging="40"/>
              <w:jc w:val="right"/>
              <w:rPr>
                <w:color w:val="000000" w:themeColor="text1"/>
              </w:rPr>
            </w:pPr>
            <w:r>
              <w:rPr>
                <w:b/>
                <w:bCs/>
                <w:sz w:val="20"/>
                <w:szCs w:val="20"/>
              </w:rPr>
              <w:t>20</w:t>
            </w:r>
            <w:r w:rsidR="415A16E6" w:rsidRPr="3285EAFF">
              <w:rPr>
                <w:b/>
                <w:bCs/>
                <w:sz w:val="20"/>
                <w:szCs w:val="20"/>
              </w:rPr>
              <w:t>2</w:t>
            </w:r>
            <w:r w:rsidR="00453F64">
              <w:rPr>
                <w:b/>
                <w:bCs/>
                <w:sz w:val="20"/>
                <w:szCs w:val="20"/>
              </w:rPr>
              <w:t>4</w:t>
            </w:r>
            <w:r>
              <w:rPr>
                <w:b/>
                <w:bCs/>
                <w:sz w:val="20"/>
                <w:szCs w:val="20"/>
              </w:rPr>
              <w:t>-2</w:t>
            </w:r>
            <w:r w:rsidR="00453F64">
              <w:rPr>
                <w:b/>
                <w:bCs/>
                <w:sz w:val="20"/>
                <w:szCs w:val="20"/>
              </w:rPr>
              <w:t>5</w:t>
            </w:r>
          </w:p>
          <w:p w14:paraId="3DA82D1A" w14:textId="0B830501" w:rsidR="000C2A54" w:rsidRPr="00563D4A" w:rsidRDefault="00FA48BC" w:rsidP="000C2A54">
            <w:pPr>
              <w:jc w:val="right"/>
              <w:rPr>
                <w:b/>
                <w:sz w:val="20"/>
                <w:szCs w:val="20"/>
              </w:rPr>
            </w:pPr>
            <w:r w:rsidRPr="00563D4A">
              <w:rPr>
                <w:b/>
                <w:sz w:val="20"/>
                <w:szCs w:val="20"/>
              </w:rPr>
              <w:t>T</w:t>
            </w:r>
            <w:r w:rsidR="000C2A54" w:rsidRPr="00563D4A">
              <w:rPr>
                <w:b/>
                <w:sz w:val="20"/>
                <w:szCs w:val="20"/>
              </w:rPr>
              <w:t>otal</w:t>
            </w:r>
          </w:p>
        </w:tc>
        <w:tc>
          <w:tcPr>
            <w:tcW w:w="1985" w:type="dxa"/>
          </w:tcPr>
          <w:p w14:paraId="77D721CC" w14:textId="77777777" w:rsidR="000C2A54" w:rsidRPr="00563D4A" w:rsidRDefault="000C2A54" w:rsidP="000C2A54">
            <w:pPr>
              <w:jc w:val="right"/>
              <w:rPr>
                <w:b/>
                <w:sz w:val="20"/>
                <w:szCs w:val="20"/>
              </w:rPr>
            </w:pPr>
            <w:r w:rsidRPr="00563D4A">
              <w:rPr>
                <w:b/>
                <w:sz w:val="20"/>
                <w:szCs w:val="20"/>
              </w:rPr>
              <w:t>Commissioners</w:t>
            </w:r>
          </w:p>
        </w:tc>
        <w:tc>
          <w:tcPr>
            <w:tcW w:w="1648" w:type="dxa"/>
          </w:tcPr>
          <w:p w14:paraId="133889C5" w14:textId="77777777" w:rsidR="000C2A54" w:rsidRPr="00563D4A" w:rsidRDefault="000C2A54" w:rsidP="000C2A54">
            <w:pPr>
              <w:jc w:val="right"/>
              <w:rPr>
                <w:b/>
                <w:sz w:val="20"/>
                <w:szCs w:val="20"/>
              </w:rPr>
            </w:pPr>
            <w:r w:rsidRPr="00563D4A">
              <w:rPr>
                <w:b/>
                <w:sz w:val="20"/>
                <w:szCs w:val="20"/>
              </w:rPr>
              <w:t>Permanently</w:t>
            </w:r>
          </w:p>
          <w:p w14:paraId="7B0A0B60" w14:textId="77777777" w:rsidR="00CC02A7" w:rsidRPr="00563D4A" w:rsidRDefault="000C2A54" w:rsidP="00CC02A7">
            <w:pPr>
              <w:jc w:val="right"/>
              <w:rPr>
                <w:b/>
                <w:sz w:val="20"/>
                <w:szCs w:val="20"/>
              </w:rPr>
            </w:pPr>
            <w:r w:rsidRPr="00563D4A">
              <w:rPr>
                <w:b/>
                <w:sz w:val="20"/>
                <w:szCs w:val="20"/>
              </w:rPr>
              <w:t xml:space="preserve">Employed </w:t>
            </w:r>
          </w:p>
          <w:p w14:paraId="4B6366A6" w14:textId="77777777" w:rsidR="000C2A54" w:rsidRPr="00563D4A" w:rsidRDefault="000C2A54" w:rsidP="000C2A54">
            <w:pPr>
              <w:jc w:val="right"/>
              <w:rPr>
                <w:b/>
                <w:sz w:val="20"/>
                <w:szCs w:val="20"/>
              </w:rPr>
            </w:pPr>
          </w:p>
        </w:tc>
        <w:tc>
          <w:tcPr>
            <w:tcW w:w="971" w:type="dxa"/>
          </w:tcPr>
          <w:p w14:paraId="3F65C30D" w14:textId="77777777" w:rsidR="000C2A54" w:rsidRPr="00563D4A" w:rsidRDefault="000C2A54" w:rsidP="000C2A54">
            <w:pPr>
              <w:jc w:val="right"/>
              <w:rPr>
                <w:b/>
                <w:sz w:val="20"/>
                <w:szCs w:val="20"/>
              </w:rPr>
            </w:pPr>
            <w:r w:rsidRPr="00563D4A">
              <w:rPr>
                <w:b/>
                <w:sz w:val="20"/>
                <w:szCs w:val="20"/>
              </w:rPr>
              <w:t>Others</w:t>
            </w:r>
          </w:p>
          <w:p w14:paraId="3DF88DE8" w14:textId="77777777" w:rsidR="000C2A54" w:rsidRPr="00563D4A" w:rsidRDefault="000C2A54" w:rsidP="000C2A54">
            <w:pPr>
              <w:jc w:val="center"/>
              <w:rPr>
                <w:b/>
                <w:sz w:val="20"/>
                <w:szCs w:val="20"/>
              </w:rPr>
            </w:pPr>
          </w:p>
        </w:tc>
        <w:tc>
          <w:tcPr>
            <w:tcW w:w="1131" w:type="dxa"/>
          </w:tcPr>
          <w:p w14:paraId="0368E25D" w14:textId="68410B2C" w:rsidR="000C2A54" w:rsidRPr="00563D4A" w:rsidRDefault="66483038" w:rsidP="00E029DB">
            <w:pPr>
              <w:spacing w:line="259" w:lineRule="auto"/>
              <w:ind w:left="-286" w:right="-327" w:firstLine="142"/>
              <w:jc w:val="center"/>
              <w:rPr>
                <w:color w:val="000000" w:themeColor="text1"/>
              </w:rPr>
            </w:pPr>
            <w:r w:rsidRPr="3285EAFF">
              <w:rPr>
                <w:b/>
                <w:bCs/>
                <w:sz w:val="20"/>
                <w:szCs w:val="20"/>
              </w:rPr>
              <w:t>2</w:t>
            </w:r>
            <w:r w:rsidR="00E865B2">
              <w:rPr>
                <w:b/>
                <w:bCs/>
                <w:sz w:val="20"/>
                <w:szCs w:val="20"/>
              </w:rPr>
              <w:t>02</w:t>
            </w:r>
            <w:r w:rsidR="00453F64">
              <w:rPr>
                <w:b/>
                <w:bCs/>
                <w:sz w:val="20"/>
                <w:szCs w:val="20"/>
              </w:rPr>
              <w:t>3</w:t>
            </w:r>
            <w:r w:rsidR="00E865B2">
              <w:rPr>
                <w:b/>
                <w:bCs/>
                <w:sz w:val="20"/>
                <w:szCs w:val="20"/>
              </w:rPr>
              <w:t>-2</w:t>
            </w:r>
            <w:r w:rsidR="00453F64">
              <w:rPr>
                <w:b/>
                <w:bCs/>
                <w:sz w:val="20"/>
                <w:szCs w:val="20"/>
              </w:rPr>
              <w:t>4</w:t>
            </w:r>
          </w:p>
          <w:p w14:paraId="69C0BE88" w14:textId="77777777" w:rsidR="000C2A54" w:rsidRPr="00563D4A" w:rsidRDefault="00992457" w:rsidP="000C2A54">
            <w:pPr>
              <w:jc w:val="right"/>
              <w:rPr>
                <w:b/>
                <w:sz w:val="20"/>
                <w:szCs w:val="20"/>
              </w:rPr>
            </w:pPr>
            <w:r w:rsidRPr="00563D4A">
              <w:rPr>
                <w:b/>
                <w:sz w:val="20"/>
                <w:szCs w:val="20"/>
              </w:rPr>
              <w:t>T</w:t>
            </w:r>
            <w:r w:rsidR="000C2A54" w:rsidRPr="00563D4A">
              <w:rPr>
                <w:b/>
                <w:sz w:val="20"/>
                <w:szCs w:val="20"/>
              </w:rPr>
              <w:t>otal</w:t>
            </w:r>
          </w:p>
        </w:tc>
      </w:tr>
      <w:tr w:rsidR="000C2A54" w:rsidRPr="00D60995" w14:paraId="1004854D" w14:textId="77777777" w:rsidTr="3285EAFF">
        <w:tc>
          <w:tcPr>
            <w:tcW w:w="2126" w:type="dxa"/>
          </w:tcPr>
          <w:p w14:paraId="008DA5A0" w14:textId="77777777" w:rsidR="000C2A54" w:rsidRPr="00863EC6" w:rsidRDefault="000C2A54" w:rsidP="000C2A54">
            <w:pPr>
              <w:rPr>
                <w:sz w:val="20"/>
                <w:szCs w:val="20"/>
              </w:rPr>
            </w:pPr>
            <w:r w:rsidRPr="00863EC6">
              <w:rPr>
                <w:sz w:val="20"/>
                <w:szCs w:val="20"/>
              </w:rPr>
              <w:t>Directly employed</w:t>
            </w:r>
          </w:p>
        </w:tc>
        <w:tc>
          <w:tcPr>
            <w:tcW w:w="1134" w:type="dxa"/>
          </w:tcPr>
          <w:p w14:paraId="5517995B" w14:textId="6CF614FF" w:rsidR="000C2A54" w:rsidRPr="00563D4A" w:rsidRDefault="00FA48BC" w:rsidP="00E029DB">
            <w:pPr>
              <w:spacing w:line="259" w:lineRule="auto"/>
              <w:jc w:val="right"/>
              <w:rPr>
                <w:color w:val="000000" w:themeColor="text1"/>
              </w:rPr>
            </w:pPr>
            <w:r w:rsidRPr="00FA48BC">
              <w:rPr>
                <w:sz w:val="20"/>
                <w:szCs w:val="20"/>
              </w:rPr>
              <w:t>3</w:t>
            </w:r>
            <w:r w:rsidR="00453F64">
              <w:rPr>
                <w:sz w:val="20"/>
                <w:szCs w:val="20"/>
              </w:rPr>
              <w:t>5</w:t>
            </w:r>
          </w:p>
        </w:tc>
        <w:tc>
          <w:tcPr>
            <w:tcW w:w="1985" w:type="dxa"/>
          </w:tcPr>
          <w:p w14:paraId="056314AD" w14:textId="2278EA01" w:rsidR="000C2A54" w:rsidRPr="00563D4A" w:rsidRDefault="00453F64" w:rsidP="000C2A54">
            <w:pPr>
              <w:jc w:val="right"/>
              <w:rPr>
                <w:sz w:val="20"/>
                <w:szCs w:val="20"/>
              </w:rPr>
            </w:pPr>
            <w:r>
              <w:rPr>
                <w:sz w:val="20"/>
                <w:szCs w:val="20"/>
              </w:rPr>
              <w:t>7</w:t>
            </w:r>
          </w:p>
        </w:tc>
        <w:tc>
          <w:tcPr>
            <w:tcW w:w="1648" w:type="dxa"/>
          </w:tcPr>
          <w:p w14:paraId="451CDCE8" w14:textId="2928AABE" w:rsidR="000C2A54" w:rsidRPr="00563D4A" w:rsidRDefault="00915B65" w:rsidP="00E029DB">
            <w:pPr>
              <w:spacing w:line="259" w:lineRule="auto"/>
              <w:jc w:val="right"/>
              <w:rPr>
                <w:color w:val="000000" w:themeColor="text1"/>
              </w:rPr>
            </w:pPr>
            <w:r>
              <w:rPr>
                <w:sz w:val="20"/>
                <w:szCs w:val="20"/>
              </w:rPr>
              <w:t>2</w:t>
            </w:r>
            <w:r w:rsidR="00453F64">
              <w:rPr>
                <w:sz w:val="20"/>
                <w:szCs w:val="20"/>
              </w:rPr>
              <w:t>5</w:t>
            </w:r>
          </w:p>
        </w:tc>
        <w:tc>
          <w:tcPr>
            <w:tcW w:w="971" w:type="dxa"/>
          </w:tcPr>
          <w:p w14:paraId="7F5382A0" w14:textId="7B935B4E" w:rsidR="000C2A54" w:rsidRPr="00563D4A" w:rsidRDefault="00453F64" w:rsidP="00E029DB">
            <w:pPr>
              <w:spacing w:line="259" w:lineRule="auto"/>
              <w:jc w:val="right"/>
              <w:rPr>
                <w:color w:val="000000" w:themeColor="text1"/>
              </w:rPr>
            </w:pPr>
            <w:r>
              <w:rPr>
                <w:sz w:val="20"/>
                <w:szCs w:val="20"/>
              </w:rPr>
              <w:t>3</w:t>
            </w:r>
          </w:p>
        </w:tc>
        <w:tc>
          <w:tcPr>
            <w:tcW w:w="1131" w:type="dxa"/>
          </w:tcPr>
          <w:p w14:paraId="41C725DE" w14:textId="411516CE" w:rsidR="000C2A54" w:rsidRPr="00563D4A" w:rsidRDefault="00D223CE" w:rsidP="00E029DB">
            <w:pPr>
              <w:spacing w:line="259" w:lineRule="auto"/>
              <w:jc w:val="right"/>
              <w:rPr>
                <w:sz w:val="20"/>
                <w:szCs w:val="20"/>
              </w:rPr>
            </w:pPr>
            <w:r>
              <w:rPr>
                <w:sz w:val="20"/>
                <w:szCs w:val="20"/>
              </w:rPr>
              <w:t>32</w:t>
            </w:r>
          </w:p>
        </w:tc>
      </w:tr>
      <w:tr w:rsidR="000C2A54" w:rsidRPr="00D60995" w14:paraId="75C3A81D" w14:textId="77777777" w:rsidTr="3285EAFF">
        <w:tc>
          <w:tcPr>
            <w:tcW w:w="2126" w:type="dxa"/>
          </w:tcPr>
          <w:p w14:paraId="187A91AC" w14:textId="77777777" w:rsidR="000C2A54" w:rsidRPr="00863EC6" w:rsidRDefault="000C2A54" w:rsidP="000C2A54">
            <w:pPr>
              <w:rPr>
                <w:sz w:val="20"/>
                <w:szCs w:val="20"/>
              </w:rPr>
            </w:pPr>
            <w:r w:rsidRPr="00863EC6">
              <w:rPr>
                <w:sz w:val="20"/>
                <w:szCs w:val="20"/>
              </w:rPr>
              <w:t>Other</w:t>
            </w:r>
          </w:p>
        </w:tc>
        <w:tc>
          <w:tcPr>
            <w:tcW w:w="1134" w:type="dxa"/>
          </w:tcPr>
          <w:p w14:paraId="31333DE4" w14:textId="77777777" w:rsidR="000C2A54" w:rsidRPr="00563D4A" w:rsidRDefault="00E865B2" w:rsidP="00E029DB">
            <w:pPr>
              <w:spacing w:line="259" w:lineRule="auto"/>
              <w:jc w:val="right"/>
              <w:rPr>
                <w:color w:val="000000" w:themeColor="text1"/>
              </w:rPr>
            </w:pPr>
            <w:r>
              <w:rPr>
                <w:sz w:val="20"/>
                <w:szCs w:val="20"/>
              </w:rPr>
              <w:t>1</w:t>
            </w:r>
          </w:p>
        </w:tc>
        <w:tc>
          <w:tcPr>
            <w:tcW w:w="1985" w:type="dxa"/>
          </w:tcPr>
          <w:p w14:paraId="15DA1578" w14:textId="77777777" w:rsidR="000C2A54" w:rsidRPr="00563D4A" w:rsidRDefault="00C141C6" w:rsidP="000C2A54">
            <w:pPr>
              <w:jc w:val="right"/>
              <w:rPr>
                <w:sz w:val="20"/>
                <w:szCs w:val="20"/>
              </w:rPr>
            </w:pPr>
            <w:r>
              <w:rPr>
                <w:sz w:val="20"/>
                <w:szCs w:val="20"/>
              </w:rPr>
              <w:t>0</w:t>
            </w:r>
          </w:p>
        </w:tc>
        <w:tc>
          <w:tcPr>
            <w:tcW w:w="1648" w:type="dxa"/>
          </w:tcPr>
          <w:p w14:paraId="6A765490" w14:textId="77777777" w:rsidR="000C2A54" w:rsidRPr="00563D4A" w:rsidRDefault="00C141C6" w:rsidP="000C2A54">
            <w:pPr>
              <w:jc w:val="right"/>
              <w:rPr>
                <w:sz w:val="20"/>
                <w:szCs w:val="20"/>
              </w:rPr>
            </w:pPr>
            <w:r>
              <w:rPr>
                <w:sz w:val="20"/>
                <w:szCs w:val="20"/>
              </w:rPr>
              <w:t>0</w:t>
            </w:r>
          </w:p>
        </w:tc>
        <w:tc>
          <w:tcPr>
            <w:tcW w:w="971" w:type="dxa"/>
          </w:tcPr>
          <w:p w14:paraId="58970C73" w14:textId="77777777" w:rsidR="000C2A54" w:rsidRPr="00563D4A" w:rsidRDefault="00E865B2" w:rsidP="00E029DB">
            <w:pPr>
              <w:spacing w:line="259" w:lineRule="auto"/>
              <w:jc w:val="right"/>
              <w:rPr>
                <w:color w:val="000000" w:themeColor="text1"/>
              </w:rPr>
            </w:pPr>
            <w:r>
              <w:rPr>
                <w:sz w:val="20"/>
                <w:szCs w:val="20"/>
              </w:rPr>
              <w:t>1</w:t>
            </w:r>
          </w:p>
        </w:tc>
        <w:tc>
          <w:tcPr>
            <w:tcW w:w="1131" w:type="dxa"/>
          </w:tcPr>
          <w:p w14:paraId="35C58673" w14:textId="0863323C" w:rsidR="000C2A54" w:rsidRPr="00563D4A" w:rsidRDefault="00FA48BC" w:rsidP="000C2A54">
            <w:pPr>
              <w:jc w:val="right"/>
              <w:rPr>
                <w:sz w:val="20"/>
                <w:szCs w:val="20"/>
              </w:rPr>
            </w:pPr>
            <w:r>
              <w:rPr>
                <w:sz w:val="20"/>
                <w:szCs w:val="20"/>
              </w:rPr>
              <w:t>1</w:t>
            </w:r>
          </w:p>
        </w:tc>
      </w:tr>
      <w:tr w:rsidR="000C2A54" w:rsidRPr="00D60995" w14:paraId="197802A6" w14:textId="77777777" w:rsidTr="3285EAFF">
        <w:tc>
          <w:tcPr>
            <w:tcW w:w="2126" w:type="dxa"/>
          </w:tcPr>
          <w:p w14:paraId="6E156588" w14:textId="77777777" w:rsidR="000C2A54" w:rsidRPr="00863EC6" w:rsidRDefault="000C2A54" w:rsidP="000C2A54">
            <w:pPr>
              <w:rPr>
                <w:b/>
                <w:sz w:val="20"/>
                <w:szCs w:val="20"/>
              </w:rPr>
            </w:pPr>
            <w:r w:rsidRPr="00863EC6">
              <w:rPr>
                <w:b/>
                <w:sz w:val="20"/>
                <w:szCs w:val="20"/>
              </w:rPr>
              <w:t>Total</w:t>
            </w:r>
          </w:p>
        </w:tc>
        <w:tc>
          <w:tcPr>
            <w:tcW w:w="1134" w:type="dxa"/>
            <w:tcBorders>
              <w:top w:val="single" w:sz="4" w:space="0" w:color="auto"/>
              <w:bottom w:val="single" w:sz="4" w:space="0" w:color="auto"/>
            </w:tcBorders>
          </w:tcPr>
          <w:p w14:paraId="45E4FC21" w14:textId="3CC83BA6" w:rsidR="000C2A54" w:rsidRPr="00563D4A" w:rsidRDefault="00915B65" w:rsidP="00E029DB">
            <w:pPr>
              <w:spacing w:line="259" w:lineRule="auto"/>
              <w:jc w:val="right"/>
              <w:rPr>
                <w:color w:val="000000" w:themeColor="text1"/>
              </w:rPr>
            </w:pPr>
            <w:r>
              <w:rPr>
                <w:b/>
                <w:bCs/>
                <w:sz w:val="20"/>
                <w:szCs w:val="20"/>
              </w:rPr>
              <w:t>3</w:t>
            </w:r>
            <w:r w:rsidR="00453F64">
              <w:rPr>
                <w:b/>
                <w:bCs/>
                <w:sz w:val="20"/>
                <w:szCs w:val="20"/>
              </w:rPr>
              <w:t>6</w:t>
            </w:r>
          </w:p>
        </w:tc>
        <w:tc>
          <w:tcPr>
            <w:tcW w:w="1985" w:type="dxa"/>
            <w:tcBorders>
              <w:top w:val="single" w:sz="4" w:space="0" w:color="auto"/>
              <w:bottom w:val="single" w:sz="4" w:space="0" w:color="auto"/>
            </w:tcBorders>
          </w:tcPr>
          <w:p w14:paraId="7CA96337" w14:textId="03F2C423" w:rsidR="000C2A54" w:rsidRPr="00563D4A" w:rsidRDefault="00453F64" w:rsidP="000C2A54">
            <w:pPr>
              <w:jc w:val="right"/>
              <w:rPr>
                <w:b/>
                <w:sz w:val="20"/>
                <w:szCs w:val="20"/>
              </w:rPr>
            </w:pPr>
            <w:r>
              <w:rPr>
                <w:b/>
                <w:sz w:val="20"/>
                <w:szCs w:val="20"/>
              </w:rPr>
              <w:t>7</w:t>
            </w:r>
          </w:p>
        </w:tc>
        <w:tc>
          <w:tcPr>
            <w:tcW w:w="1648" w:type="dxa"/>
            <w:tcBorders>
              <w:top w:val="single" w:sz="4" w:space="0" w:color="auto"/>
              <w:bottom w:val="single" w:sz="4" w:space="0" w:color="auto"/>
            </w:tcBorders>
          </w:tcPr>
          <w:p w14:paraId="09501E09" w14:textId="47C39458" w:rsidR="000C2A54" w:rsidRPr="00563D4A" w:rsidRDefault="003B2CCE" w:rsidP="00E029DB">
            <w:pPr>
              <w:spacing w:line="259" w:lineRule="auto"/>
              <w:jc w:val="right"/>
              <w:rPr>
                <w:color w:val="000000" w:themeColor="text1"/>
              </w:rPr>
            </w:pPr>
            <w:r>
              <w:rPr>
                <w:b/>
                <w:bCs/>
                <w:sz w:val="20"/>
                <w:szCs w:val="20"/>
              </w:rPr>
              <w:t>2</w:t>
            </w:r>
            <w:r w:rsidR="00453F64">
              <w:rPr>
                <w:b/>
                <w:bCs/>
                <w:sz w:val="20"/>
                <w:szCs w:val="20"/>
              </w:rPr>
              <w:t>5</w:t>
            </w:r>
          </w:p>
        </w:tc>
        <w:tc>
          <w:tcPr>
            <w:tcW w:w="971" w:type="dxa"/>
            <w:tcBorders>
              <w:top w:val="single" w:sz="4" w:space="0" w:color="auto"/>
              <w:bottom w:val="single" w:sz="4" w:space="0" w:color="auto"/>
            </w:tcBorders>
          </w:tcPr>
          <w:p w14:paraId="619CE5DB" w14:textId="11CECAE8" w:rsidR="000C2A54" w:rsidRPr="00BB74EA" w:rsidRDefault="00453F64" w:rsidP="00E029DB">
            <w:pPr>
              <w:spacing w:line="259" w:lineRule="auto"/>
              <w:jc w:val="right"/>
              <w:rPr>
                <w:b/>
                <w:bCs/>
                <w:color w:val="000000" w:themeColor="text1"/>
              </w:rPr>
            </w:pPr>
            <w:r>
              <w:rPr>
                <w:b/>
                <w:bCs/>
              </w:rPr>
              <w:t>4</w:t>
            </w:r>
          </w:p>
        </w:tc>
        <w:tc>
          <w:tcPr>
            <w:tcW w:w="1131" w:type="dxa"/>
            <w:tcBorders>
              <w:top w:val="single" w:sz="4" w:space="0" w:color="auto"/>
              <w:bottom w:val="single" w:sz="4" w:space="0" w:color="auto"/>
            </w:tcBorders>
          </w:tcPr>
          <w:p w14:paraId="5B2AF14D" w14:textId="3D546B8D" w:rsidR="000C2A54" w:rsidRPr="00563D4A" w:rsidRDefault="00D223CE" w:rsidP="00E029DB">
            <w:pPr>
              <w:spacing w:line="259" w:lineRule="auto"/>
              <w:jc w:val="right"/>
              <w:rPr>
                <w:b/>
                <w:bCs/>
                <w:sz w:val="20"/>
                <w:szCs w:val="20"/>
              </w:rPr>
            </w:pPr>
            <w:r>
              <w:rPr>
                <w:b/>
                <w:bCs/>
                <w:sz w:val="20"/>
                <w:szCs w:val="20"/>
              </w:rPr>
              <w:t>33</w:t>
            </w:r>
          </w:p>
        </w:tc>
      </w:tr>
    </w:tbl>
    <w:p w14:paraId="67339519" w14:textId="77777777" w:rsidR="00283547" w:rsidRDefault="00283547" w:rsidP="004A60FF">
      <w:pPr>
        <w:widowControl w:val="0"/>
        <w:tabs>
          <w:tab w:val="right" w:pos="7371"/>
          <w:tab w:val="right" w:pos="9356"/>
        </w:tabs>
        <w:autoSpaceDE w:val="0"/>
        <w:autoSpaceDN w:val="0"/>
        <w:adjustRightInd w:val="0"/>
      </w:pPr>
    </w:p>
    <w:p w14:paraId="658D3151" w14:textId="1CE70EE8" w:rsidR="001B791D" w:rsidRDefault="000C2A54" w:rsidP="004A60FF">
      <w:pPr>
        <w:widowControl w:val="0"/>
        <w:tabs>
          <w:tab w:val="right" w:pos="7371"/>
          <w:tab w:val="right" w:pos="9356"/>
        </w:tabs>
        <w:autoSpaceDE w:val="0"/>
        <w:autoSpaceDN w:val="0"/>
        <w:adjustRightInd w:val="0"/>
      </w:pPr>
      <w:r w:rsidRPr="00F97E5F">
        <w:t xml:space="preserve">The Commissioners are expected to devote approximately </w:t>
      </w:r>
      <w:r w:rsidR="00D60995">
        <w:t>three</w:t>
      </w:r>
      <w:r w:rsidR="00871DB1">
        <w:t xml:space="preserve"> days per</w:t>
      </w:r>
      <w:r w:rsidR="002A501C">
        <w:t xml:space="preserve"> </w:t>
      </w:r>
      <w:r w:rsidRPr="00F97E5F">
        <w:t xml:space="preserve">month to Commission business over the course of a year. </w:t>
      </w:r>
    </w:p>
    <w:p w14:paraId="6C8DAAB6" w14:textId="38EAE8A3" w:rsidR="00AB04A7" w:rsidRDefault="00AB04A7">
      <w:pPr>
        <w:rPr>
          <w:b/>
        </w:rPr>
      </w:pPr>
    </w:p>
    <w:p w14:paraId="74A9E22A" w14:textId="1ECE5488" w:rsidR="004A68BF" w:rsidRDefault="004A68BF" w:rsidP="000C2A54">
      <w:pPr>
        <w:widowControl w:val="0"/>
        <w:tabs>
          <w:tab w:val="left" w:pos="567"/>
          <w:tab w:val="right" w:pos="7371"/>
          <w:tab w:val="right" w:pos="9356"/>
        </w:tabs>
        <w:autoSpaceDE w:val="0"/>
        <w:autoSpaceDN w:val="0"/>
        <w:adjustRightInd w:val="0"/>
        <w:ind w:left="567" w:hanging="567"/>
        <w:rPr>
          <w:b/>
        </w:rPr>
      </w:pPr>
      <w:r>
        <w:rPr>
          <w:b/>
        </w:rPr>
        <w:t>Staff composition</w:t>
      </w:r>
    </w:p>
    <w:p w14:paraId="34565B1F" w14:textId="77777777" w:rsidR="004A68BF" w:rsidRDefault="004A68BF" w:rsidP="000C2A54">
      <w:pPr>
        <w:widowControl w:val="0"/>
        <w:tabs>
          <w:tab w:val="left" w:pos="567"/>
          <w:tab w:val="right" w:pos="7371"/>
          <w:tab w:val="right" w:pos="9356"/>
        </w:tabs>
        <w:autoSpaceDE w:val="0"/>
        <w:autoSpaceDN w:val="0"/>
        <w:adjustRightInd w:val="0"/>
        <w:ind w:left="567" w:hanging="567"/>
        <w:rPr>
          <w:b/>
        </w:rPr>
      </w:pPr>
    </w:p>
    <w:tbl>
      <w:tblPr>
        <w:tblStyle w:val="TableGrid"/>
        <w:tblW w:w="0" w:type="auto"/>
        <w:tblInd w:w="-5" w:type="dxa"/>
        <w:tblLook w:val="04A0" w:firstRow="1" w:lastRow="0" w:firstColumn="1" w:lastColumn="0" w:noHBand="0" w:noVBand="1"/>
      </w:tblPr>
      <w:tblGrid>
        <w:gridCol w:w="1936"/>
        <w:gridCol w:w="1196"/>
        <w:gridCol w:w="1196"/>
        <w:gridCol w:w="1196"/>
        <w:gridCol w:w="1178"/>
        <w:gridCol w:w="1182"/>
        <w:gridCol w:w="1182"/>
      </w:tblGrid>
      <w:tr w:rsidR="004A68BF" w14:paraId="0807D552" w14:textId="77777777" w:rsidTr="3285EAFF">
        <w:tc>
          <w:tcPr>
            <w:tcW w:w="2055" w:type="dxa"/>
          </w:tcPr>
          <w:p w14:paraId="6FF28375" w14:textId="77777777" w:rsidR="004A68BF" w:rsidRPr="004A68BF" w:rsidRDefault="004A68BF" w:rsidP="000C2A54">
            <w:pPr>
              <w:widowControl w:val="0"/>
              <w:tabs>
                <w:tab w:val="left" w:pos="567"/>
                <w:tab w:val="right" w:pos="7371"/>
                <w:tab w:val="right" w:pos="9356"/>
              </w:tabs>
              <w:autoSpaceDE w:val="0"/>
              <w:autoSpaceDN w:val="0"/>
              <w:adjustRightInd w:val="0"/>
              <w:rPr>
                <w:sz w:val="20"/>
                <w:szCs w:val="20"/>
              </w:rPr>
            </w:pPr>
          </w:p>
        </w:tc>
        <w:tc>
          <w:tcPr>
            <w:tcW w:w="4120" w:type="dxa"/>
            <w:gridSpan w:val="3"/>
          </w:tcPr>
          <w:p w14:paraId="45AA1F7B" w14:textId="49FE4B12" w:rsidR="004A68BF" w:rsidRPr="004A68BF" w:rsidRDefault="00E865B2" w:rsidP="3285EAFF">
            <w:pPr>
              <w:widowControl w:val="0"/>
              <w:tabs>
                <w:tab w:val="left" w:pos="567"/>
                <w:tab w:val="right" w:pos="7371"/>
                <w:tab w:val="right" w:pos="9356"/>
              </w:tabs>
              <w:autoSpaceDE w:val="0"/>
              <w:autoSpaceDN w:val="0"/>
              <w:adjustRightInd w:val="0"/>
              <w:jc w:val="center"/>
              <w:rPr>
                <w:b/>
                <w:bCs/>
                <w:sz w:val="20"/>
                <w:szCs w:val="20"/>
              </w:rPr>
            </w:pPr>
            <w:r>
              <w:rPr>
                <w:b/>
                <w:bCs/>
                <w:sz w:val="20"/>
                <w:szCs w:val="20"/>
              </w:rPr>
              <w:t>202</w:t>
            </w:r>
            <w:r w:rsidR="00453F64">
              <w:rPr>
                <w:b/>
                <w:bCs/>
                <w:sz w:val="20"/>
                <w:szCs w:val="20"/>
              </w:rPr>
              <w:t>4</w:t>
            </w:r>
            <w:r>
              <w:rPr>
                <w:b/>
                <w:bCs/>
                <w:sz w:val="20"/>
                <w:szCs w:val="20"/>
              </w:rPr>
              <w:t>-2</w:t>
            </w:r>
            <w:r w:rsidR="00604725">
              <w:rPr>
                <w:b/>
                <w:bCs/>
                <w:sz w:val="20"/>
                <w:szCs w:val="20"/>
              </w:rPr>
              <w:t>5</w:t>
            </w:r>
          </w:p>
        </w:tc>
        <w:tc>
          <w:tcPr>
            <w:tcW w:w="2891" w:type="dxa"/>
            <w:gridSpan w:val="3"/>
          </w:tcPr>
          <w:p w14:paraId="2A8694D1" w14:textId="0A671854" w:rsidR="004A68BF" w:rsidRPr="004A68BF" w:rsidRDefault="00E865B2" w:rsidP="00E029DB">
            <w:pPr>
              <w:tabs>
                <w:tab w:val="left" w:pos="567"/>
                <w:tab w:val="right" w:pos="7371"/>
                <w:tab w:val="right" w:pos="9356"/>
              </w:tabs>
              <w:spacing w:line="259" w:lineRule="auto"/>
              <w:jc w:val="center"/>
              <w:rPr>
                <w:b/>
                <w:bCs/>
                <w:sz w:val="20"/>
                <w:szCs w:val="20"/>
              </w:rPr>
            </w:pPr>
            <w:r>
              <w:rPr>
                <w:b/>
                <w:bCs/>
                <w:sz w:val="20"/>
                <w:szCs w:val="20"/>
              </w:rPr>
              <w:t>202</w:t>
            </w:r>
            <w:r w:rsidR="00453F64">
              <w:rPr>
                <w:b/>
                <w:bCs/>
                <w:sz w:val="20"/>
                <w:szCs w:val="20"/>
              </w:rPr>
              <w:t>3</w:t>
            </w:r>
            <w:r>
              <w:rPr>
                <w:b/>
                <w:bCs/>
                <w:sz w:val="20"/>
                <w:szCs w:val="20"/>
              </w:rPr>
              <w:t>-2</w:t>
            </w:r>
            <w:r w:rsidR="00453F64">
              <w:rPr>
                <w:b/>
                <w:bCs/>
                <w:sz w:val="20"/>
                <w:szCs w:val="20"/>
              </w:rPr>
              <w:t>4</w:t>
            </w:r>
          </w:p>
        </w:tc>
      </w:tr>
      <w:tr w:rsidR="004A68BF" w14:paraId="21401A81" w14:textId="77777777" w:rsidTr="3285EAFF">
        <w:tc>
          <w:tcPr>
            <w:tcW w:w="2055" w:type="dxa"/>
          </w:tcPr>
          <w:p w14:paraId="2F8F5187" w14:textId="77777777" w:rsidR="004A68BF" w:rsidRPr="004A68BF" w:rsidRDefault="004A68BF" w:rsidP="004A68BF">
            <w:pPr>
              <w:widowControl w:val="0"/>
              <w:tabs>
                <w:tab w:val="left" w:pos="567"/>
                <w:tab w:val="right" w:pos="7371"/>
                <w:tab w:val="right" w:pos="9356"/>
              </w:tabs>
              <w:autoSpaceDE w:val="0"/>
              <w:autoSpaceDN w:val="0"/>
              <w:adjustRightInd w:val="0"/>
              <w:rPr>
                <w:sz w:val="20"/>
                <w:szCs w:val="20"/>
              </w:rPr>
            </w:pPr>
          </w:p>
        </w:tc>
        <w:tc>
          <w:tcPr>
            <w:tcW w:w="1370" w:type="dxa"/>
          </w:tcPr>
          <w:p w14:paraId="28377E5D"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T</w:t>
            </w:r>
            <w:r>
              <w:rPr>
                <w:b/>
                <w:sz w:val="20"/>
                <w:szCs w:val="20"/>
              </w:rPr>
              <w:t>otal average number of Persons E</w:t>
            </w:r>
            <w:r w:rsidRPr="004A68BF">
              <w:rPr>
                <w:b/>
                <w:sz w:val="20"/>
                <w:szCs w:val="20"/>
              </w:rPr>
              <w:t>ngaged</w:t>
            </w:r>
          </w:p>
        </w:tc>
        <w:tc>
          <w:tcPr>
            <w:tcW w:w="1375" w:type="dxa"/>
          </w:tcPr>
          <w:p w14:paraId="73F772D9"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Female Persons Engaged</w:t>
            </w:r>
          </w:p>
        </w:tc>
        <w:tc>
          <w:tcPr>
            <w:tcW w:w="1375" w:type="dxa"/>
          </w:tcPr>
          <w:p w14:paraId="76FDF074"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Male Persons Engaged</w:t>
            </w:r>
          </w:p>
        </w:tc>
        <w:tc>
          <w:tcPr>
            <w:tcW w:w="963" w:type="dxa"/>
          </w:tcPr>
          <w:p w14:paraId="06FE9BA3"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Total average number of Persons engaged</w:t>
            </w:r>
          </w:p>
        </w:tc>
        <w:tc>
          <w:tcPr>
            <w:tcW w:w="964" w:type="dxa"/>
          </w:tcPr>
          <w:p w14:paraId="70A57BAD"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Female Persons Engaged</w:t>
            </w:r>
          </w:p>
        </w:tc>
        <w:tc>
          <w:tcPr>
            <w:tcW w:w="964" w:type="dxa"/>
          </w:tcPr>
          <w:p w14:paraId="17869649"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Male Persons Engaged</w:t>
            </w:r>
          </w:p>
        </w:tc>
      </w:tr>
      <w:tr w:rsidR="004A68BF" w14:paraId="226C8A04" w14:textId="77777777" w:rsidTr="3285EAFF">
        <w:tc>
          <w:tcPr>
            <w:tcW w:w="2055" w:type="dxa"/>
          </w:tcPr>
          <w:p w14:paraId="3345923E"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Commissioners</w:t>
            </w:r>
          </w:p>
        </w:tc>
        <w:tc>
          <w:tcPr>
            <w:tcW w:w="1370" w:type="dxa"/>
          </w:tcPr>
          <w:p w14:paraId="0F082407" w14:textId="1B36017C" w:rsidR="004A68BF" w:rsidRPr="005C2E30" w:rsidRDefault="00453F64" w:rsidP="004A68BF">
            <w:pPr>
              <w:widowControl w:val="0"/>
              <w:tabs>
                <w:tab w:val="left" w:pos="567"/>
                <w:tab w:val="right" w:pos="7371"/>
                <w:tab w:val="right" w:pos="9356"/>
              </w:tabs>
              <w:autoSpaceDE w:val="0"/>
              <w:autoSpaceDN w:val="0"/>
              <w:adjustRightInd w:val="0"/>
              <w:jc w:val="center"/>
              <w:rPr>
                <w:sz w:val="20"/>
                <w:szCs w:val="20"/>
              </w:rPr>
            </w:pPr>
            <w:r>
              <w:rPr>
                <w:sz w:val="20"/>
                <w:szCs w:val="20"/>
              </w:rPr>
              <w:t>7</w:t>
            </w:r>
          </w:p>
        </w:tc>
        <w:tc>
          <w:tcPr>
            <w:tcW w:w="1375" w:type="dxa"/>
          </w:tcPr>
          <w:p w14:paraId="465AC94E" w14:textId="61E85461" w:rsidR="004A68BF" w:rsidRPr="005C2E30" w:rsidRDefault="00453F64" w:rsidP="004A68BF">
            <w:pPr>
              <w:widowControl w:val="0"/>
              <w:tabs>
                <w:tab w:val="left" w:pos="567"/>
                <w:tab w:val="right" w:pos="7371"/>
                <w:tab w:val="right" w:pos="9356"/>
              </w:tabs>
              <w:autoSpaceDE w:val="0"/>
              <w:autoSpaceDN w:val="0"/>
              <w:adjustRightInd w:val="0"/>
              <w:jc w:val="center"/>
              <w:rPr>
                <w:sz w:val="20"/>
                <w:szCs w:val="20"/>
              </w:rPr>
            </w:pPr>
            <w:r>
              <w:rPr>
                <w:sz w:val="20"/>
                <w:szCs w:val="20"/>
              </w:rPr>
              <w:t>3</w:t>
            </w:r>
          </w:p>
        </w:tc>
        <w:tc>
          <w:tcPr>
            <w:tcW w:w="1375" w:type="dxa"/>
          </w:tcPr>
          <w:p w14:paraId="23E987FC" w14:textId="2D1F286E" w:rsidR="004A68BF" w:rsidRPr="005C2E30" w:rsidRDefault="00077077" w:rsidP="004A68BF">
            <w:pPr>
              <w:widowControl w:val="0"/>
              <w:tabs>
                <w:tab w:val="left" w:pos="567"/>
                <w:tab w:val="right" w:pos="7371"/>
                <w:tab w:val="right" w:pos="9356"/>
              </w:tabs>
              <w:autoSpaceDE w:val="0"/>
              <w:autoSpaceDN w:val="0"/>
              <w:adjustRightInd w:val="0"/>
              <w:jc w:val="center"/>
              <w:rPr>
                <w:sz w:val="20"/>
                <w:szCs w:val="20"/>
              </w:rPr>
            </w:pPr>
            <w:r>
              <w:rPr>
                <w:sz w:val="20"/>
                <w:szCs w:val="20"/>
              </w:rPr>
              <w:t>4</w:t>
            </w:r>
          </w:p>
        </w:tc>
        <w:tc>
          <w:tcPr>
            <w:tcW w:w="963" w:type="dxa"/>
          </w:tcPr>
          <w:p w14:paraId="51128F6F" w14:textId="64AE55C3" w:rsidR="004A68BF" w:rsidRPr="005C2E30" w:rsidRDefault="00453F64" w:rsidP="004A68BF">
            <w:pPr>
              <w:widowControl w:val="0"/>
              <w:tabs>
                <w:tab w:val="left" w:pos="567"/>
                <w:tab w:val="right" w:pos="7371"/>
                <w:tab w:val="right" w:pos="9356"/>
              </w:tabs>
              <w:autoSpaceDE w:val="0"/>
              <w:autoSpaceDN w:val="0"/>
              <w:adjustRightInd w:val="0"/>
              <w:jc w:val="center"/>
              <w:rPr>
                <w:sz w:val="20"/>
                <w:szCs w:val="20"/>
              </w:rPr>
            </w:pPr>
            <w:r>
              <w:rPr>
                <w:sz w:val="20"/>
                <w:szCs w:val="20"/>
              </w:rPr>
              <w:t>6</w:t>
            </w:r>
          </w:p>
        </w:tc>
        <w:tc>
          <w:tcPr>
            <w:tcW w:w="964" w:type="dxa"/>
          </w:tcPr>
          <w:p w14:paraId="50157AB4" w14:textId="66D0F3F5" w:rsidR="004A68BF" w:rsidRPr="005C2E30" w:rsidRDefault="00453F64" w:rsidP="004A68BF">
            <w:pPr>
              <w:widowControl w:val="0"/>
              <w:tabs>
                <w:tab w:val="left" w:pos="567"/>
                <w:tab w:val="right" w:pos="7371"/>
                <w:tab w:val="right" w:pos="9356"/>
              </w:tabs>
              <w:autoSpaceDE w:val="0"/>
              <w:autoSpaceDN w:val="0"/>
              <w:adjustRightInd w:val="0"/>
              <w:jc w:val="center"/>
              <w:rPr>
                <w:sz w:val="20"/>
                <w:szCs w:val="20"/>
              </w:rPr>
            </w:pPr>
            <w:r>
              <w:rPr>
                <w:sz w:val="20"/>
                <w:szCs w:val="20"/>
              </w:rPr>
              <w:t>2</w:t>
            </w:r>
          </w:p>
        </w:tc>
        <w:tc>
          <w:tcPr>
            <w:tcW w:w="964" w:type="dxa"/>
          </w:tcPr>
          <w:p w14:paraId="63111C03" w14:textId="22ADE383" w:rsidR="004A68BF" w:rsidRPr="005C2E30" w:rsidRDefault="00453F64" w:rsidP="004A68BF">
            <w:pPr>
              <w:widowControl w:val="0"/>
              <w:tabs>
                <w:tab w:val="left" w:pos="567"/>
                <w:tab w:val="right" w:pos="7371"/>
                <w:tab w:val="right" w:pos="9356"/>
              </w:tabs>
              <w:autoSpaceDE w:val="0"/>
              <w:autoSpaceDN w:val="0"/>
              <w:adjustRightInd w:val="0"/>
              <w:jc w:val="center"/>
              <w:rPr>
                <w:sz w:val="20"/>
                <w:szCs w:val="20"/>
              </w:rPr>
            </w:pPr>
            <w:r>
              <w:rPr>
                <w:sz w:val="20"/>
                <w:szCs w:val="20"/>
              </w:rPr>
              <w:t>4</w:t>
            </w:r>
          </w:p>
        </w:tc>
      </w:tr>
      <w:tr w:rsidR="004A68BF" w14:paraId="02B59DCB" w14:textId="77777777" w:rsidTr="3285EAFF">
        <w:tc>
          <w:tcPr>
            <w:tcW w:w="2055" w:type="dxa"/>
          </w:tcPr>
          <w:p w14:paraId="38F776A6"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Permanently Employed</w:t>
            </w:r>
          </w:p>
        </w:tc>
        <w:tc>
          <w:tcPr>
            <w:tcW w:w="1370" w:type="dxa"/>
          </w:tcPr>
          <w:p w14:paraId="088F84D1" w14:textId="77777777" w:rsidR="004A68BF" w:rsidRDefault="004A68BF" w:rsidP="004A68BF">
            <w:pPr>
              <w:widowControl w:val="0"/>
              <w:tabs>
                <w:tab w:val="left" w:pos="567"/>
                <w:tab w:val="right" w:pos="7371"/>
                <w:tab w:val="right" w:pos="9356"/>
              </w:tabs>
              <w:autoSpaceDE w:val="0"/>
              <w:autoSpaceDN w:val="0"/>
              <w:adjustRightInd w:val="0"/>
              <w:jc w:val="center"/>
              <w:rPr>
                <w:sz w:val="20"/>
                <w:szCs w:val="20"/>
              </w:rPr>
            </w:pPr>
          </w:p>
          <w:p w14:paraId="04E6F67C" w14:textId="17CFFAA5" w:rsidR="00E865B2" w:rsidRPr="005C2E30" w:rsidRDefault="00E865B2" w:rsidP="004A68BF">
            <w:pPr>
              <w:widowControl w:val="0"/>
              <w:tabs>
                <w:tab w:val="left" w:pos="567"/>
                <w:tab w:val="right" w:pos="7371"/>
                <w:tab w:val="right" w:pos="9356"/>
              </w:tabs>
              <w:autoSpaceDE w:val="0"/>
              <w:autoSpaceDN w:val="0"/>
              <w:adjustRightInd w:val="0"/>
              <w:jc w:val="center"/>
              <w:rPr>
                <w:sz w:val="20"/>
                <w:szCs w:val="20"/>
              </w:rPr>
            </w:pPr>
            <w:r>
              <w:rPr>
                <w:sz w:val="20"/>
                <w:szCs w:val="20"/>
              </w:rPr>
              <w:t>2</w:t>
            </w:r>
            <w:r w:rsidR="00453F64">
              <w:rPr>
                <w:sz w:val="20"/>
                <w:szCs w:val="20"/>
              </w:rPr>
              <w:t>5</w:t>
            </w:r>
          </w:p>
        </w:tc>
        <w:tc>
          <w:tcPr>
            <w:tcW w:w="1375" w:type="dxa"/>
          </w:tcPr>
          <w:p w14:paraId="2B8A9B23" w14:textId="77777777" w:rsidR="004A68BF" w:rsidRDefault="004A68BF" w:rsidP="00E029DB">
            <w:pPr>
              <w:tabs>
                <w:tab w:val="left" w:pos="567"/>
                <w:tab w:val="right" w:pos="7371"/>
                <w:tab w:val="right" w:pos="9356"/>
              </w:tabs>
              <w:spacing w:line="259" w:lineRule="auto"/>
              <w:jc w:val="center"/>
              <w:rPr>
                <w:sz w:val="20"/>
                <w:szCs w:val="20"/>
              </w:rPr>
            </w:pPr>
          </w:p>
          <w:p w14:paraId="7F6E4801" w14:textId="58DD9BB9" w:rsidR="00E865B2" w:rsidRPr="00FA48BC" w:rsidRDefault="00453F64" w:rsidP="00E029DB">
            <w:pPr>
              <w:tabs>
                <w:tab w:val="left" w:pos="567"/>
                <w:tab w:val="right" w:pos="7371"/>
                <w:tab w:val="right" w:pos="9356"/>
              </w:tabs>
              <w:spacing w:line="259" w:lineRule="auto"/>
              <w:jc w:val="center"/>
              <w:rPr>
                <w:color w:val="000000" w:themeColor="text1"/>
                <w:sz w:val="20"/>
                <w:szCs w:val="20"/>
              </w:rPr>
            </w:pPr>
            <w:r>
              <w:rPr>
                <w:color w:val="000000" w:themeColor="text1"/>
                <w:sz w:val="20"/>
                <w:szCs w:val="20"/>
              </w:rPr>
              <w:t>21</w:t>
            </w:r>
          </w:p>
        </w:tc>
        <w:tc>
          <w:tcPr>
            <w:tcW w:w="1375" w:type="dxa"/>
          </w:tcPr>
          <w:p w14:paraId="44CD5AB4" w14:textId="77777777" w:rsidR="004A68BF" w:rsidRDefault="004A68BF" w:rsidP="00E029DB">
            <w:pPr>
              <w:tabs>
                <w:tab w:val="left" w:pos="567"/>
                <w:tab w:val="right" w:pos="7371"/>
                <w:tab w:val="right" w:pos="9356"/>
              </w:tabs>
              <w:spacing w:line="259" w:lineRule="auto"/>
              <w:jc w:val="center"/>
              <w:rPr>
                <w:sz w:val="20"/>
                <w:szCs w:val="20"/>
              </w:rPr>
            </w:pPr>
          </w:p>
          <w:p w14:paraId="151D8D7A" w14:textId="052B569D" w:rsidR="00E865B2" w:rsidRPr="00A876B2" w:rsidRDefault="00453F64" w:rsidP="00A876B2">
            <w:pPr>
              <w:tabs>
                <w:tab w:val="left" w:pos="567"/>
                <w:tab w:val="right" w:pos="7371"/>
                <w:tab w:val="right" w:pos="9356"/>
              </w:tabs>
              <w:spacing w:line="259" w:lineRule="auto"/>
              <w:jc w:val="center"/>
              <w:rPr>
                <w:sz w:val="20"/>
                <w:szCs w:val="20"/>
              </w:rPr>
            </w:pPr>
            <w:r>
              <w:rPr>
                <w:sz w:val="20"/>
                <w:szCs w:val="20"/>
              </w:rPr>
              <w:t>4</w:t>
            </w:r>
          </w:p>
        </w:tc>
        <w:tc>
          <w:tcPr>
            <w:tcW w:w="963" w:type="dxa"/>
          </w:tcPr>
          <w:p w14:paraId="29C92BE2" w14:textId="77777777" w:rsidR="004A68BF" w:rsidRDefault="004A68BF" w:rsidP="00E029DB">
            <w:pPr>
              <w:tabs>
                <w:tab w:val="left" w:pos="567"/>
                <w:tab w:val="right" w:pos="7371"/>
                <w:tab w:val="right" w:pos="9356"/>
              </w:tabs>
              <w:spacing w:line="259" w:lineRule="auto"/>
              <w:jc w:val="center"/>
              <w:rPr>
                <w:sz w:val="20"/>
                <w:szCs w:val="20"/>
              </w:rPr>
            </w:pPr>
          </w:p>
          <w:p w14:paraId="25A5372C" w14:textId="106E5B0A" w:rsidR="00E865B2" w:rsidRPr="005C2E30" w:rsidRDefault="00FA48BC" w:rsidP="00E029DB">
            <w:pPr>
              <w:tabs>
                <w:tab w:val="left" w:pos="567"/>
                <w:tab w:val="right" w:pos="7371"/>
                <w:tab w:val="right" w:pos="9356"/>
              </w:tabs>
              <w:spacing w:line="259" w:lineRule="auto"/>
              <w:jc w:val="center"/>
              <w:rPr>
                <w:color w:val="000000" w:themeColor="text1"/>
              </w:rPr>
            </w:pPr>
            <w:r w:rsidRPr="00FA48BC">
              <w:rPr>
                <w:sz w:val="20"/>
                <w:szCs w:val="20"/>
              </w:rPr>
              <w:t>2</w:t>
            </w:r>
            <w:r w:rsidR="00453F64">
              <w:rPr>
                <w:sz w:val="20"/>
                <w:szCs w:val="20"/>
              </w:rPr>
              <w:t>4</w:t>
            </w:r>
          </w:p>
        </w:tc>
        <w:tc>
          <w:tcPr>
            <w:tcW w:w="964" w:type="dxa"/>
          </w:tcPr>
          <w:p w14:paraId="4E42640E" w14:textId="77777777" w:rsidR="00E14AE5" w:rsidRDefault="00E14AE5" w:rsidP="00E029DB">
            <w:pPr>
              <w:tabs>
                <w:tab w:val="left" w:pos="567"/>
                <w:tab w:val="right" w:pos="7371"/>
                <w:tab w:val="right" w:pos="9356"/>
              </w:tabs>
              <w:spacing w:line="259" w:lineRule="auto"/>
              <w:jc w:val="center"/>
              <w:rPr>
                <w:sz w:val="20"/>
                <w:szCs w:val="20"/>
              </w:rPr>
            </w:pPr>
          </w:p>
          <w:p w14:paraId="64055B74" w14:textId="4F4CA198" w:rsidR="00E865B2" w:rsidRPr="005C2E30" w:rsidRDefault="00E865B2" w:rsidP="00E029DB">
            <w:pPr>
              <w:tabs>
                <w:tab w:val="left" w:pos="567"/>
                <w:tab w:val="right" w:pos="7371"/>
                <w:tab w:val="right" w:pos="9356"/>
              </w:tabs>
              <w:spacing w:line="259" w:lineRule="auto"/>
              <w:jc w:val="center"/>
              <w:rPr>
                <w:color w:val="000000" w:themeColor="text1"/>
              </w:rPr>
            </w:pPr>
            <w:r>
              <w:rPr>
                <w:sz w:val="20"/>
                <w:szCs w:val="20"/>
              </w:rPr>
              <w:t>1</w:t>
            </w:r>
            <w:r w:rsidR="00453F64">
              <w:rPr>
                <w:sz w:val="20"/>
                <w:szCs w:val="20"/>
              </w:rPr>
              <w:t>9</w:t>
            </w:r>
          </w:p>
        </w:tc>
        <w:tc>
          <w:tcPr>
            <w:tcW w:w="964" w:type="dxa"/>
          </w:tcPr>
          <w:p w14:paraId="3C926056" w14:textId="77777777" w:rsidR="00E14AE5" w:rsidRDefault="00E14AE5" w:rsidP="004A68BF">
            <w:pPr>
              <w:widowControl w:val="0"/>
              <w:tabs>
                <w:tab w:val="left" w:pos="567"/>
                <w:tab w:val="right" w:pos="7371"/>
                <w:tab w:val="right" w:pos="9356"/>
              </w:tabs>
              <w:autoSpaceDE w:val="0"/>
              <w:autoSpaceDN w:val="0"/>
              <w:adjustRightInd w:val="0"/>
              <w:jc w:val="center"/>
              <w:rPr>
                <w:sz w:val="20"/>
                <w:szCs w:val="20"/>
              </w:rPr>
            </w:pPr>
          </w:p>
          <w:p w14:paraId="56868BFF" w14:textId="36893023" w:rsidR="00E865B2" w:rsidRPr="005C2E30" w:rsidRDefault="00453F64" w:rsidP="004A68BF">
            <w:pPr>
              <w:widowControl w:val="0"/>
              <w:tabs>
                <w:tab w:val="left" w:pos="567"/>
                <w:tab w:val="right" w:pos="7371"/>
                <w:tab w:val="right" w:pos="9356"/>
              </w:tabs>
              <w:autoSpaceDE w:val="0"/>
              <w:autoSpaceDN w:val="0"/>
              <w:adjustRightInd w:val="0"/>
              <w:jc w:val="center"/>
              <w:rPr>
                <w:sz w:val="20"/>
                <w:szCs w:val="20"/>
              </w:rPr>
            </w:pPr>
            <w:r>
              <w:rPr>
                <w:sz w:val="20"/>
                <w:szCs w:val="20"/>
              </w:rPr>
              <w:t>5</w:t>
            </w:r>
          </w:p>
        </w:tc>
      </w:tr>
      <w:tr w:rsidR="004A68BF" w14:paraId="2F1B86B0" w14:textId="77777777" w:rsidTr="3285EAFF">
        <w:tc>
          <w:tcPr>
            <w:tcW w:w="2055" w:type="dxa"/>
          </w:tcPr>
          <w:p w14:paraId="0C73144B"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Others</w:t>
            </w:r>
          </w:p>
        </w:tc>
        <w:tc>
          <w:tcPr>
            <w:tcW w:w="1370" w:type="dxa"/>
          </w:tcPr>
          <w:p w14:paraId="35DE46C8" w14:textId="0E4D7811" w:rsidR="004A68BF" w:rsidRPr="005C2E30" w:rsidRDefault="00453F64" w:rsidP="00E029DB">
            <w:pPr>
              <w:tabs>
                <w:tab w:val="left" w:pos="567"/>
                <w:tab w:val="right" w:pos="7371"/>
                <w:tab w:val="right" w:pos="9356"/>
              </w:tabs>
              <w:spacing w:line="259" w:lineRule="auto"/>
              <w:jc w:val="center"/>
              <w:rPr>
                <w:color w:val="000000" w:themeColor="text1"/>
              </w:rPr>
            </w:pPr>
            <w:r>
              <w:rPr>
                <w:sz w:val="20"/>
                <w:szCs w:val="20"/>
              </w:rPr>
              <w:t>4</w:t>
            </w:r>
          </w:p>
        </w:tc>
        <w:tc>
          <w:tcPr>
            <w:tcW w:w="1375" w:type="dxa"/>
          </w:tcPr>
          <w:p w14:paraId="2B4E46B5" w14:textId="2B09EA16" w:rsidR="004A68BF" w:rsidRPr="00FA48BC" w:rsidRDefault="00453F64" w:rsidP="00E029DB">
            <w:pPr>
              <w:tabs>
                <w:tab w:val="left" w:pos="567"/>
                <w:tab w:val="right" w:pos="7371"/>
                <w:tab w:val="right" w:pos="9356"/>
              </w:tabs>
              <w:spacing w:line="259" w:lineRule="auto"/>
              <w:jc w:val="center"/>
              <w:rPr>
                <w:color w:val="000000" w:themeColor="text1"/>
                <w:sz w:val="20"/>
                <w:szCs w:val="20"/>
              </w:rPr>
            </w:pPr>
            <w:r>
              <w:rPr>
                <w:color w:val="000000" w:themeColor="text1"/>
                <w:sz w:val="20"/>
                <w:szCs w:val="20"/>
              </w:rPr>
              <w:t>1</w:t>
            </w:r>
          </w:p>
        </w:tc>
        <w:tc>
          <w:tcPr>
            <w:tcW w:w="1375" w:type="dxa"/>
          </w:tcPr>
          <w:p w14:paraId="74FB530F" w14:textId="0677DA8C" w:rsidR="004A68BF" w:rsidRPr="00FA48BC" w:rsidRDefault="00453F64" w:rsidP="00E029DB">
            <w:pPr>
              <w:tabs>
                <w:tab w:val="left" w:pos="567"/>
                <w:tab w:val="right" w:pos="7371"/>
                <w:tab w:val="right" w:pos="9356"/>
              </w:tabs>
              <w:spacing w:line="259" w:lineRule="auto"/>
              <w:jc w:val="center"/>
              <w:rPr>
                <w:color w:val="000000" w:themeColor="text1"/>
                <w:sz w:val="20"/>
                <w:szCs w:val="20"/>
              </w:rPr>
            </w:pPr>
            <w:r>
              <w:rPr>
                <w:color w:val="000000" w:themeColor="text1"/>
                <w:sz w:val="20"/>
                <w:szCs w:val="20"/>
              </w:rPr>
              <w:t>3</w:t>
            </w:r>
          </w:p>
        </w:tc>
        <w:tc>
          <w:tcPr>
            <w:tcW w:w="963" w:type="dxa"/>
          </w:tcPr>
          <w:p w14:paraId="68AE6753" w14:textId="0BD1126D" w:rsidR="004A68BF" w:rsidRPr="005C2E30" w:rsidRDefault="00077077" w:rsidP="004A68BF">
            <w:pPr>
              <w:widowControl w:val="0"/>
              <w:tabs>
                <w:tab w:val="left" w:pos="567"/>
                <w:tab w:val="right" w:pos="7371"/>
                <w:tab w:val="right" w:pos="9356"/>
              </w:tabs>
              <w:autoSpaceDE w:val="0"/>
              <w:autoSpaceDN w:val="0"/>
              <w:adjustRightInd w:val="0"/>
              <w:jc w:val="center"/>
              <w:rPr>
                <w:sz w:val="20"/>
                <w:szCs w:val="20"/>
              </w:rPr>
            </w:pPr>
            <w:r>
              <w:rPr>
                <w:sz w:val="20"/>
                <w:szCs w:val="20"/>
              </w:rPr>
              <w:t>3</w:t>
            </w:r>
          </w:p>
        </w:tc>
        <w:tc>
          <w:tcPr>
            <w:tcW w:w="964" w:type="dxa"/>
          </w:tcPr>
          <w:p w14:paraId="05BEC52E" w14:textId="0B7F74D9" w:rsidR="004A68BF" w:rsidRPr="005C2E30" w:rsidRDefault="00453F64" w:rsidP="00E029DB">
            <w:pPr>
              <w:tabs>
                <w:tab w:val="left" w:pos="567"/>
                <w:tab w:val="right" w:pos="7371"/>
                <w:tab w:val="right" w:pos="9356"/>
              </w:tabs>
              <w:spacing w:line="259" w:lineRule="auto"/>
              <w:jc w:val="center"/>
              <w:rPr>
                <w:sz w:val="20"/>
                <w:szCs w:val="20"/>
              </w:rPr>
            </w:pPr>
            <w:r>
              <w:rPr>
                <w:sz w:val="20"/>
                <w:szCs w:val="20"/>
              </w:rPr>
              <w:t>2</w:t>
            </w:r>
          </w:p>
        </w:tc>
        <w:tc>
          <w:tcPr>
            <w:tcW w:w="964" w:type="dxa"/>
          </w:tcPr>
          <w:p w14:paraId="029F2A04" w14:textId="5AAEE9D6" w:rsidR="004A68BF" w:rsidRPr="005C2E30" w:rsidRDefault="00453F64" w:rsidP="00E029DB">
            <w:pPr>
              <w:tabs>
                <w:tab w:val="left" w:pos="567"/>
                <w:tab w:val="right" w:pos="7371"/>
                <w:tab w:val="right" w:pos="9356"/>
              </w:tabs>
              <w:spacing w:line="259" w:lineRule="auto"/>
              <w:jc w:val="center"/>
              <w:rPr>
                <w:color w:val="000000" w:themeColor="text1"/>
              </w:rPr>
            </w:pPr>
            <w:r>
              <w:rPr>
                <w:sz w:val="20"/>
                <w:szCs w:val="20"/>
              </w:rPr>
              <w:t>1</w:t>
            </w:r>
          </w:p>
        </w:tc>
      </w:tr>
      <w:tr w:rsidR="004A68BF" w14:paraId="73AE29C2" w14:textId="77777777" w:rsidTr="3285EAFF">
        <w:tc>
          <w:tcPr>
            <w:tcW w:w="2055" w:type="dxa"/>
          </w:tcPr>
          <w:p w14:paraId="4E0AE05C"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Total</w:t>
            </w:r>
          </w:p>
        </w:tc>
        <w:tc>
          <w:tcPr>
            <w:tcW w:w="1370" w:type="dxa"/>
          </w:tcPr>
          <w:p w14:paraId="124E12C6" w14:textId="4D0938D3" w:rsidR="004A68BF" w:rsidRPr="004A68BF" w:rsidRDefault="00453F64" w:rsidP="00E029DB">
            <w:pPr>
              <w:tabs>
                <w:tab w:val="left" w:pos="567"/>
                <w:tab w:val="right" w:pos="7371"/>
                <w:tab w:val="right" w:pos="9356"/>
              </w:tabs>
              <w:spacing w:line="259" w:lineRule="auto"/>
              <w:jc w:val="center"/>
              <w:rPr>
                <w:color w:val="000000" w:themeColor="text1"/>
              </w:rPr>
            </w:pPr>
            <w:r>
              <w:rPr>
                <w:b/>
                <w:bCs/>
                <w:sz w:val="20"/>
                <w:szCs w:val="20"/>
              </w:rPr>
              <w:t>36</w:t>
            </w:r>
          </w:p>
        </w:tc>
        <w:tc>
          <w:tcPr>
            <w:tcW w:w="1375" w:type="dxa"/>
          </w:tcPr>
          <w:p w14:paraId="5832F83D" w14:textId="705A9506" w:rsidR="004A68BF" w:rsidRPr="004A68BF" w:rsidRDefault="00453F64" w:rsidP="00E029DB">
            <w:pPr>
              <w:tabs>
                <w:tab w:val="left" w:pos="567"/>
                <w:tab w:val="right" w:pos="7371"/>
                <w:tab w:val="right" w:pos="9356"/>
              </w:tabs>
              <w:spacing w:line="259" w:lineRule="auto"/>
              <w:jc w:val="center"/>
              <w:rPr>
                <w:color w:val="000000" w:themeColor="text1"/>
              </w:rPr>
            </w:pPr>
            <w:r>
              <w:rPr>
                <w:b/>
                <w:bCs/>
                <w:sz w:val="20"/>
                <w:szCs w:val="20"/>
              </w:rPr>
              <w:t>25</w:t>
            </w:r>
          </w:p>
        </w:tc>
        <w:tc>
          <w:tcPr>
            <w:tcW w:w="1375" w:type="dxa"/>
          </w:tcPr>
          <w:p w14:paraId="366A32D9" w14:textId="2EC07878" w:rsidR="004A68BF" w:rsidRPr="00A876B2" w:rsidRDefault="00453F64" w:rsidP="00E029DB">
            <w:pPr>
              <w:tabs>
                <w:tab w:val="left" w:pos="567"/>
                <w:tab w:val="right" w:pos="7371"/>
                <w:tab w:val="right" w:pos="9356"/>
              </w:tabs>
              <w:spacing w:line="259" w:lineRule="auto"/>
              <w:jc w:val="center"/>
              <w:rPr>
                <w:b/>
                <w:bCs/>
                <w:color w:val="000000" w:themeColor="text1"/>
              </w:rPr>
            </w:pPr>
            <w:r>
              <w:rPr>
                <w:b/>
                <w:bCs/>
                <w:sz w:val="20"/>
                <w:szCs w:val="20"/>
              </w:rPr>
              <w:t>11</w:t>
            </w:r>
          </w:p>
        </w:tc>
        <w:tc>
          <w:tcPr>
            <w:tcW w:w="963" w:type="dxa"/>
          </w:tcPr>
          <w:p w14:paraId="232D7DE2" w14:textId="1D72DCE4" w:rsidR="004A68BF" w:rsidRPr="004A68BF" w:rsidRDefault="00FA48BC" w:rsidP="00E029DB">
            <w:pPr>
              <w:tabs>
                <w:tab w:val="left" w:pos="567"/>
                <w:tab w:val="right" w:pos="7371"/>
                <w:tab w:val="right" w:pos="9356"/>
              </w:tabs>
              <w:spacing w:line="259" w:lineRule="auto"/>
              <w:jc w:val="center"/>
              <w:rPr>
                <w:b/>
                <w:bCs/>
                <w:sz w:val="20"/>
                <w:szCs w:val="20"/>
              </w:rPr>
            </w:pPr>
            <w:r>
              <w:rPr>
                <w:b/>
                <w:bCs/>
                <w:sz w:val="20"/>
                <w:szCs w:val="20"/>
              </w:rPr>
              <w:t>3</w:t>
            </w:r>
            <w:r w:rsidR="00077077">
              <w:rPr>
                <w:b/>
                <w:bCs/>
                <w:sz w:val="20"/>
                <w:szCs w:val="20"/>
              </w:rPr>
              <w:t>3</w:t>
            </w:r>
          </w:p>
        </w:tc>
        <w:tc>
          <w:tcPr>
            <w:tcW w:w="964" w:type="dxa"/>
          </w:tcPr>
          <w:p w14:paraId="234312C8" w14:textId="6529CCF1" w:rsidR="004A68BF" w:rsidRPr="004A68BF" w:rsidRDefault="00453F64" w:rsidP="3285EAFF">
            <w:pPr>
              <w:widowControl w:val="0"/>
              <w:tabs>
                <w:tab w:val="left" w:pos="567"/>
                <w:tab w:val="right" w:pos="7371"/>
                <w:tab w:val="right" w:pos="9356"/>
              </w:tabs>
              <w:autoSpaceDE w:val="0"/>
              <w:autoSpaceDN w:val="0"/>
              <w:adjustRightInd w:val="0"/>
              <w:jc w:val="center"/>
              <w:rPr>
                <w:b/>
                <w:bCs/>
                <w:sz w:val="20"/>
                <w:szCs w:val="20"/>
              </w:rPr>
            </w:pPr>
            <w:r>
              <w:rPr>
                <w:b/>
                <w:bCs/>
                <w:sz w:val="20"/>
                <w:szCs w:val="20"/>
              </w:rPr>
              <w:t>23</w:t>
            </w:r>
          </w:p>
        </w:tc>
        <w:tc>
          <w:tcPr>
            <w:tcW w:w="964" w:type="dxa"/>
          </w:tcPr>
          <w:p w14:paraId="5F3447AA" w14:textId="02D4FC17" w:rsidR="004A68BF" w:rsidRPr="00FA48BC" w:rsidRDefault="00453F64" w:rsidP="00E029DB">
            <w:pPr>
              <w:tabs>
                <w:tab w:val="left" w:pos="567"/>
                <w:tab w:val="right" w:pos="7371"/>
                <w:tab w:val="right" w:pos="9356"/>
              </w:tabs>
              <w:spacing w:line="259" w:lineRule="auto"/>
              <w:jc w:val="center"/>
              <w:rPr>
                <w:b/>
                <w:bCs/>
                <w:color w:val="000000" w:themeColor="text1"/>
              </w:rPr>
            </w:pPr>
            <w:r>
              <w:rPr>
                <w:b/>
                <w:bCs/>
                <w:sz w:val="20"/>
                <w:szCs w:val="20"/>
              </w:rPr>
              <w:t>10</w:t>
            </w:r>
          </w:p>
        </w:tc>
      </w:tr>
    </w:tbl>
    <w:p w14:paraId="7B84F1FB" w14:textId="77777777" w:rsidR="004A68BF" w:rsidRDefault="004A68BF" w:rsidP="000C2A54">
      <w:pPr>
        <w:widowControl w:val="0"/>
        <w:tabs>
          <w:tab w:val="left" w:pos="567"/>
          <w:tab w:val="right" w:pos="7371"/>
          <w:tab w:val="right" w:pos="9356"/>
        </w:tabs>
        <w:autoSpaceDE w:val="0"/>
        <w:autoSpaceDN w:val="0"/>
        <w:adjustRightInd w:val="0"/>
        <w:ind w:left="567" w:hanging="567"/>
      </w:pPr>
    </w:p>
    <w:p w14:paraId="364429CA" w14:textId="77777777" w:rsidR="00370541" w:rsidRDefault="00370541" w:rsidP="00370541">
      <w:r w:rsidRPr="00370541">
        <w:rPr>
          <w:b/>
        </w:rPr>
        <w:t>Staff Turnover</w:t>
      </w:r>
    </w:p>
    <w:p w14:paraId="7003EABE" w14:textId="77777777" w:rsidR="00370541" w:rsidRDefault="00370541" w:rsidP="00370541"/>
    <w:p w14:paraId="61517C59" w14:textId="50CE834A" w:rsidR="00370541" w:rsidRDefault="00370541" w:rsidP="00370541">
      <w:pPr>
        <w:rPr>
          <w:rFonts w:ascii="Calibri" w:hAnsi="Calibri"/>
          <w:color w:val="auto"/>
          <w:sz w:val="22"/>
          <w:szCs w:val="22"/>
        </w:rPr>
      </w:pPr>
      <w:r>
        <w:t>The annual turnover rate of staff for the period</w:t>
      </w:r>
      <w:r w:rsidR="00E865B2">
        <w:t xml:space="preserve"> 202</w:t>
      </w:r>
      <w:r w:rsidR="00453F64">
        <w:t>4</w:t>
      </w:r>
      <w:r w:rsidR="00E865B2">
        <w:t>-2</w:t>
      </w:r>
      <w:r w:rsidR="00453F64">
        <w:t>5</w:t>
      </w:r>
      <w:r w:rsidR="00E865B2">
        <w:t xml:space="preserve"> was </w:t>
      </w:r>
      <w:r w:rsidR="00453F64">
        <w:t>8</w:t>
      </w:r>
      <w:r w:rsidR="00391EFD">
        <w:t>.</w:t>
      </w:r>
      <w:r w:rsidR="00453F64">
        <w:t>3</w:t>
      </w:r>
      <w:r w:rsidR="00391EFD">
        <w:t>%</w:t>
      </w:r>
      <w:r>
        <w:t xml:space="preserve"> </w:t>
      </w:r>
      <w:r w:rsidR="00E865B2">
        <w:t>(202</w:t>
      </w:r>
      <w:r w:rsidR="00453F64">
        <w:t>3</w:t>
      </w:r>
      <w:r w:rsidR="00E865B2">
        <w:t>-</w:t>
      </w:r>
      <w:r>
        <w:t>2</w:t>
      </w:r>
      <w:r w:rsidR="00453F64">
        <w:t>4</w:t>
      </w:r>
      <w:r w:rsidR="00E865B2">
        <w:t>:</w:t>
      </w:r>
      <w:r>
        <w:t xml:space="preserve"> 1</w:t>
      </w:r>
      <w:r w:rsidR="00453F64">
        <w:t>2</w:t>
      </w:r>
      <w:r>
        <w:t>.</w:t>
      </w:r>
      <w:r w:rsidR="00453F64">
        <w:t>1</w:t>
      </w:r>
      <w:r>
        <w:t>%</w:t>
      </w:r>
      <w:r w:rsidR="00E865B2">
        <w:t>)</w:t>
      </w:r>
      <w:r>
        <w:t xml:space="preserve">.  </w:t>
      </w:r>
      <w:r w:rsidR="00391EFD">
        <w:t xml:space="preserve">During the year </w:t>
      </w:r>
      <w:r w:rsidR="00151956">
        <w:t>three</w:t>
      </w:r>
      <w:r w:rsidR="00391EFD">
        <w:t xml:space="preserve"> members of staff left the Commission to take up posts elsewhere.  </w:t>
      </w:r>
    </w:p>
    <w:p w14:paraId="1AF4E24D" w14:textId="77777777" w:rsidR="00AB04A7" w:rsidRDefault="00AB04A7" w:rsidP="007330CB">
      <w:pPr>
        <w:widowControl w:val="0"/>
        <w:tabs>
          <w:tab w:val="left" w:pos="567"/>
          <w:tab w:val="right" w:pos="7371"/>
          <w:tab w:val="right" w:pos="9356"/>
        </w:tabs>
        <w:autoSpaceDE w:val="0"/>
        <w:autoSpaceDN w:val="0"/>
        <w:adjustRightInd w:val="0"/>
        <w:rPr>
          <w:b/>
        </w:rPr>
      </w:pPr>
    </w:p>
    <w:p w14:paraId="6F341383" w14:textId="11DB08FF" w:rsidR="00D049A2" w:rsidRDefault="00871DB1" w:rsidP="007330CB">
      <w:pPr>
        <w:widowControl w:val="0"/>
        <w:tabs>
          <w:tab w:val="left" w:pos="567"/>
          <w:tab w:val="right" w:pos="7371"/>
          <w:tab w:val="right" w:pos="9356"/>
        </w:tabs>
        <w:autoSpaceDE w:val="0"/>
        <w:autoSpaceDN w:val="0"/>
        <w:adjustRightInd w:val="0"/>
        <w:rPr>
          <w:b/>
        </w:rPr>
      </w:pPr>
      <w:r>
        <w:rPr>
          <w:b/>
        </w:rPr>
        <w:t>Managing Attendance</w:t>
      </w:r>
    </w:p>
    <w:p w14:paraId="3BDD7A8E" w14:textId="77777777" w:rsidR="00871DB1" w:rsidRDefault="00871DB1" w:rsidP="000C2A54">
      <w:pPr>
        <w:widowControl w:val="0"/>
        <w:tabs>
          <w:tab w:val="left" w:pos="567"/>
          <w:tab w:val="right" w:pos="7371"/>
          <w:tab w:val="right" w:pos="9356"/>
        </w:tabs>
        <w:autoSpaceDE w:val="0"/>
        <w:autoSpaceDN w:val="0"/>
        <w:adjustRightInd w:val="0"/>
        <w:ind w:left="567" w:hanging="567"/>
        <w:rPr>
          <w:b/>
        </w:rPr>
      </w:pPr>
    </w:p>
    <w:p w14:paraId="3330C7EC" w14:textId="77777777" w:rsidR="00563A8A" w:rsidRDefault="00871DB1" w:rsidP="00871DB1">
      <w:pPr>
        <w:widowControl w:val="0"/>
        <w:tabs>
          <w:tab w:val="right" w:pos="7371"/>
          <w:tab w:val="right" w:pos="9356"/>
        </w:tabs>
        <w:autoSpaceDE w:val="0"/>
        <w:autoSpaceDN w:val="0"/>
        <w:adjustRightInd w:val="0"/>
      </w:pPr>
      <w:r>
        <w:t>Staff absence arising as a result of illness, including injuries, disability or other health problems, was approximatel</w:t>
      </w:r>
      <w:r w:rsidR="00A80575">
        <w:t xml:space="preserve">y </w:t>
      </w:r>
      <w:r w:rsidR="00453F64">
        <w:t>23</w:t>
      </w:r>
      <w:r w:rsidR="007472F5">
        <w:t>.</w:t>
      </w:r>
      <w:r w:rsidR="00453F64">
        <w:t>71</w:t>
      </w:r>
      <w:r w:rsidR="00A80575">
        <w:t xml:space="preserve"> days per employee in </w:t>
      </w:r>
      <w:r w:rsidR="00993DB0">
        <w:t>20</w:t>
      </w:r>
      <w:r w:rsidR="51CE5292">
        <w:t>2</w:t>
      </w:r>
      <w:r w:rsidR="00077077">
        <w:t>3</w:t>
      </w:r>
      <w:r w:rsidR="00993DB0">
        <w:t>-2</w:t>
      </w:r>
      <w:r w:rsidR="00077077">
        <w:t>4</w:t>
      </w:r>
      <w:r w:rsidR="00A80575">
        <w:t xml:space="preserve"> (</w:t>
      </w:r>
      <w:r w:rsidR="00993DB0">
        <w:t>20</w:t>
      </w:r>
      <w:r w:rsidR="212EBF91">
        <w:t>2</w:t>
      </w:r>
      <w:r w:rsidR="00453F64">
        <w:t>3</w:t>
      </w:r>
      <w:r w:rsidR="00993DB0">
        <w:t>-2</w:t>
      </w:r>
      <w:r w:rsidR="00453F64">
        <w:t>4</w:t>
      </w:r>
      <w:r w:rsidR="005D69D1">
        <w:t xml:space="preserve">: </w:t>
      </w:r>
      <w:r w:rsidR="00077077">
        <w:t>4.</w:t>
      </w:r>
      <w:r w:rsidR="00453F64">
        <w:t>46</w:t>
      </w:r>
      <w:r w:rsidR="66D421E8">
        <w:t xml:space="preserve"> </w:t>
      </w:r>
      <w:r>
        <w:t xml:space="preserve">days).  </w:t>
      </w:r>
      <w:r w:rsidR="003A796B">
        <w:t>The increase in number of days sick per employee is due to long-term sick absence of two members of staff. The size of the Commission means that small changes in absence can appear to have a disproportionate impact on reporting statistics.</w:t>
      </w:r>
    </w:p>
    <w:p w14:paraId="535362EE" w14:textId="0583FA95" w:rsidR="00E14AE5" w:rsidRDefault="00E14AE5" w:rsidP="00871DB1">
      <w:pPr>
        <w:widowControl w:val="0"/>
        <w:tabs>
          <w:tab w:val="right" w:pos="7371"/>
          <w:tab w:val="right" w:pos="9356"/>
        </w:tabs>
        <w:autoSpaceDE w:val="0"/>
        <w:autoSpaceDN w:val="0"/>
        <w:adjustRightInd w:val="0"/>
      </w:pPr>
      <w:r>
        <w:rPr>
          <w:b/>
        </w:rPr>
        <w:lastRenderedPageBreak/>
        <w:t>Disabled Employees</w:t>
      </w:r>
    </w:p>
    <w:p w14:paraId="41072186" w14:textId="77777777" w:rsidR="00E14AE5" w:rsidRDefault="00E14AE5" w:rsidP="00871DB1">
      <w:pPr>
        <w:widowControl w:val="0"/>
        <w:tabs>
          <w:tab w:val="right" w:pos="7371"/>
          <w:tab w:val="right" w:pos="9356"/>
        </w:tabs>
        <w:autoSpaceDE w:val="0"/>
        <w:autoSpaceDN w:val="0"/>
        <w:adjustRightInd w:val="0"/>
      </w:pPr>
    </w:p>
    <w:p w14:paraId="499DDC15" w14:textId="77777777" w:rsidR="00E14AE5" w:rsidRDefault="00E14AE5" w:rsidP="00871DB1">
      <w:pPr>
        <w:widowControl w:val="0"/>
        <w:tabs>
          <w:tab w:val="right" w:pos="7371"/>
          <w:tab w:val="right" w:pos="9356"/>
        </w:tabs>
        <w:autoSpaceDE w:val="0"/>
        <w:autoSpaceDN w:val="0"/>
        <w:adjustRightInd w:val="0"/>
      </w:pPr>
      <w:r>
        <w:t>The Commission aims to ensure that there is no discrimination on the grounds of disability and that access to employment and career advancement in the Commission is based solely on ability, qualifications and suitability for the post.  All disabled applicants who meet the essential criteria for posts advertised at the Commission are guaranteed an interview.</w:t>
      </w:r>
      <w:r w:rsidR="00835B2C">
        <w:t xml:space="preserve">  The Commission complies with all existing legislation in regard to its disabled employees.</w:t>
      </w:r>
    </w:p>
    <w:p w14:paraId="4810F9A1" w14:textId="77777777" w:rsidR="00835B2C" w:rsidRDefault="00835B2C" w:rsidP="00871DB1">
      <w:pPr>
        <w:widowControl w:val="0"/>
        <w:tabs>
          <w:tab w:val="right" w:pos="7371"/>
          <w:tab w:val="right" w:pos="9356"/>
        </w:tabs>
        <w:autoSpaceDE w:val="0"/>
        <w:autoSpaceDN w:val="0"/>
        <w:adjustRightInd w:val="0"/>
      </w:pPr>
    </w:p>
    <w:p w14:paraId="4E4573D3" w14:textId="77777777" w:rsidR="00835B2C" w:rsidRDefault="00835B2C" w:rsidP="00871DB1">
      <w:pPr>
        <w:widowControl w:val="0"/>
        <w:tabs>
          <w:tab w:val="right" w:pos="7371"/>
          <w:tab w:val="right" w:pos="9356"/>
        </w:tabs>
        <w:autoSpaceDE w:val="0"/>
        <w:autoSpaceDN w:val="0"/>
        <w:adjustRightInd w:val="0"/>
      </w:pPr>
      <w:r>
        <w:rPr>
          <w:b/>
        </w:rPr>
        <w:t>Equal Opportunities</w:t>
      </w:r>
    </w:p>
    <w:p w14:paraId="5979336D" w14:textId="77777777" w:rsidR="00835B2C" w:rsidRDefault="00835B2C" w:rsidP="00871DB1">
      <w:pPr>
        <w:widowControl w:val="0"/>
        <w:tabs>
          <w:tab w:val="right" w:pos="7371"/>
          <w:tab w:val="right" w:pos="9356"/>
        </w:tabs>
        <w:autoSpaceDE w:val="0"/>
        <w:autoSpaceDN w:val="0"/>
        <w:adjustRightInd w:val="0"/>
      </w:pPr>
    </w:p>
    <w:p w14:paraId="19B6CB45" w14:textId="77777777" w:rsidR="00835B2C" w:rsidRDefault="00835B2C" w:rsidP="00871DB1">
      <w:pPr>
        <w:widowControl w:val="0"/>
        <w:tabs>
          <w:tab w:val="right" w:pos="7371"/>
          <w:tab w:val="right" w:pos="9356"/>
        </w:tabs>
        <w:autoSpaceDE w:val="0"/>
        <w:autoSpaceDN w:val="0"/>
        <w:adjustRightInd w:val="0"/>
      </w:pPr>
      <w:r>
        <w:t>The Commission is committed to equality of opportunity and promoting good relations in accordance with our Equality Scheme, prepared in compliance with Section 75 of the Northern Ireland Act 1998.  We strive to promote equality of opportunity and good relations within the organisation as well as in our activities.  The Commission complies fully with its statutory obligations and we liaise closely with the Equality Commission for Northern Ireland to ensure we work together effectively.</w:t>
      </w:r>
    </w:p>
    <w:p w14:paraId="0845B393" w14:textId="77777777" w:rsidR="00250101" w:rsidRDefault="00250101" w:rsidP="00871DB1">
      <w:pPr>
        <w:widowControl w:val="0"/>
        <w:tabs>
          <w:tab w:val="right" w:pos="7371"/>
          <w:tab w:val="right" w:pos="9356"/>
        </w:tabs>
        <w:autoSpaceDE w:val="0"/>
        <w:autoSpaceDN w:val="0"/>
        <w:adjustRightInd w:val="0"/>
        <w:rPr>
          <w:b/>
        </w:rPr>
      </w:pPr>
    </w:p>
    <w:p w14:paraId="7901786A" w14:textId="40F4BEBA" w:rsidR="00835B2C" w:rsidRDefault="00835B2C" w:rsidP="00871DB1">
      <w:pPr>
        <w:widowControl w:val="0"/>
        <w:tabs>
          <w:tab w:val="right" w:pos="7371"/>
          <w:tab w:val="right" w:pos="9356"/>
        </w:tabs>
        <w:autoSpaceDE w:val="0"/>
        <w:autoSpaceDN w:val="0"/>
        <w:adjustRightInd w:val="0"/>
      </w:pPr>
      <w:r>
        <w:rPr>
          <w:b/>
        </w:rPr>
        <w:t>Employee Consultation</w:t>
      </w:r>
    </w:p>
    <w:p w14:paraId="48756428" w14:textId="77777777" w:rsidR="00835B2C" w:rsidRDefault="00835B2C" w:rsidP="00871DB1">
      <w:pPr>
        <w:widowControl w:val="0"/>
        <w:tabs>
          <w:tab w:val="right" w:pos="7371"/>
          <w:tab w:val="right" w:pos="9356"/>
        </w:tabs>
        <w:autoSpaceDE w:val="0"/>
        <w:autoSpaceDN w:val="0"/>
        <w:adjustRightInd w:val="0"/>
      </w:pPr>
    </w:p>
    <w:p w14:paraId="5A9030DD" w14:textId="0BCADFE2" w:rsidR="00835B2C" w:rsidRDefault="00835B2C" w:rsidP="00871DB1">
      <w:pPr>
        <w:widowControl w:val="0"/>
        <w:tabs>
          <w:tab w:val="right" w:pos="7371"/>
          <w:tab w:val="right" w:pos="9356"/>
        </w:tabs>
        <w:autoSpaceDE w:val="0"/>
        <w:autoSpaceDN w:val="0"/>
        <w:adjustRightInd w:val="0"/>
      </w:pPr>
      <w:r>
        <w:t xml:space="preserve">The Commission recognises the benefits of keeping employees informed of the progress of the business and of involving them in the Commission’s performance.  During the </w:t>
      </w:r>
      <w:r w:rsidR="00176472">
        <w:t>year,</w:t>
      </w:r>
      <w:r>
        <w:t xml:space="preserve"> employees were regularly provided with information regarding the financial and economic factors affecting the performance of the Commission and on other matters of concern to them, as employees</w:t>
      </w:r>
      <w:r w:rsidR="003F0DB2">
        <w:t>,</w:t>
      </w:r>
      <w:r>
        <w:t xml:space="preserve"> through regular staff meetings.  Meetings were also held with employees on the drafting of the Commission’s business plan objectives for </w:t>
      </w:r>
      <w:r w:rsidR="00993DB0">
        <w:t>20</w:t>
      </w:r>
      <w:r w:rsidR="6A3DDA2E">
        <w:t>2</w:t>
      </w:r>
      <w:r w:rsidR="00453F64">
        <w:t>4</w:t>
      </w:r>
      <w:r w:rsidR="00993DB0">
        <w:t>-2</w:t>
      </w:r>
      <w:r w:rsidR="00453F64">
        <w:t>5</w:t>
      </w:r>
      <w:r w:rsidR="00993DB0">
        <w:t xml:space="preserve"> as well as the Commission’s Strategic Plan for 202</w:t>
      </w:r>
      <w:r w:rsidR="00453F64">
        <w:t>5</w:t>
      </w:r>
      <w:r w:rsidR="00993DB0">
        <w:t>-2</w:t>
      </w:r>
      <w:r w:rsidR="00453F64">
        <w:t>8</w:t>
      </w:r>
      <w:r>
        <w:t>.</w:t>
      </w:r>
    </w:p>
    <w:p w14:paraId="68AF826C" w14:textId="77777777" w:rsidR="003F0DB2" w:rsidRDefault="003F0DB2" w:rsidP="00871DB1">
      <w:pPr>
        <w:widowControl w:val="0"/>
        <w:tabs>
          <w:tab w:val="right" w:pos="7371"/>
          <w:tab w:val="right" w:pos="9356"/>
        </w:tabs>
        <w:autoSpaceDE w:val="0"/>
        <w:autoSpaceDN w:val="0"/>
        <w:adjustRightInd w:val="0"/>
      </w:pPr>
    </w:p>
    <w:p w14:paraId="302B57E8" w14:textId="77777777" w:rsidR="003F0DB2" w:rsidRDefault="003F0DB2" w:rsidP="00871DB1">
      <w:pPr>
        <w:widowControl w:val="0"/>
        <w:tabs>
          <w:tab w:val="right" w:pos="7371"/>
          <w:tab w:val="right" w:pos="9356"/>
        </w:tabs>
        <w:autoSpaceDE w:val="0"/>
        <w:autoSpaceDN w:val="0"/>
        <w:adjustRightInd w:val="0"/>
        <w:rPr>
          <w:b/>
        </w:rPr>
      </w:pPr>
      <w:r>
        <w:rPr>
          <w:b/>
        </w:rPr>
        <w:t>Health and Safety</w:t>
      </w:r>
    </w:p>
    <w:p w14:paraId="09D81DA0" w14:textId="77777777" w:rsidR="003F0DB2" w:rsidRDefault="003F0DB2" w:rsidP="00871DB1">
      <w:pPr>
        <w:widowControl w:val="0"/>
        <w:tabs>
          <w:tab w:val="right" w:pos="7371"/>
          <w:tab w:val="right" w:pos="9356"/>
        </w:tabs>
        <w:autoSpaceDE w:val="0"/>
        <w:autoSpaceDN w:val="0"/>
        <w:adjustRightInd w:val="0"/>
        <w:rPr>
          <w:b/>
        </w:rPr>
      </w:pPr>
    </w:p>
    <w:p w14:paraId="42F53B65" w14:textId="77777777" w:rsidR="003F0DB2" w:rsidRPr="003F0DB2" w:rsidRDefault="003F0DB2" w:rsidP="00871DB1">
      <w:pPr>
        <w:widowControl w:val="0"/>
        <w:tabs>
          <w:tab w:val="right" w:pos="7371"/>
          <w:tab w:val="right" w:pos="9356"/>
        </w:tabs>
        <w:autoSpaceDE w:val="0"/>
        <w:autoSpaceDN w:val="0"/>
        <w:adjustRightInd w:val="0"/>
      </w:pPr>
      <w:r>
        <w:t xml:space="preserve">We recognise and accept our legal responsibilities in relation to the health, safety and welfare of our employees and for all people using our premises.  In line with this </w:t>
      </w:r>
      <w:r w:rsidR="00176472">
        <w:t>commitment,</w:t>
      </w:r>
      <w:r>
        <w:t xml:space="preserve"> the Commission has complied with the relevant legislation.</w:t>
      </w:r>
    </w:p>
    <w:p w14:paraId="54F47B57" w14:textId="77777777" w:rsidR="00871DB1" w:rsidRDefault="00871DB1" w:rsidP="00871DB1">
      <w:pPr>
        <w:widowControl w:val="0"/>
        <w:tabs>
          <w:tab w:val="right" w:pos="7371"/>
          <w:tab w:val="right" w:pos="9356"/>
        </w:tabs>
        <w:autoSpaceDE w:val="0"/>
        <w:autoSpaceDN w:val="0"/>
        <w:adjustRightInd w:val="0"/>
      </w:pPr>
    </w:p>
    <w:p w14:paraId="422C96CA" w14:textId="77777777" w:rsidR="00871DB1" w:rsidRDefault="00871DB1" w:rsidP="00871DB1">
      <w:pPr>
        <w:widowControl w:val="0"/>
        <w:tabs>
          <w:tab w:val="right" w:pos="7371"/>
          <w:tab w:val="right" w:pos="9356"/>
        </w:tabs>
        <w:autoSpaceDE w:val="0"/>
        <w:autoSpaceDN w:val="0"/>
        <w:adjustRightInd w:val="0"/>
        <w:rPr>
          <w:b/>
        </w:rPr>
      </w:pPr>
      <w:r>
        <w:rPr>
          <w:b/>
        </w:rPr>
        <w:t>Expenditure on Consultancy</w:t>
      </w:r>
    </w:p>
    <w:p w14:paraId="43A1A996" w14:textId="77777777" w:rsidR="00871DB1" w:rsidRDefault="00871DB1" w:rsidP="00871DB1">
      <w:pPr>
        <w:widowControl w:val="0"/>
        <w:tabs>
          <w:tab w:val="right" w:pos="7371"/>
          <w:tab w:val="right" w:pos="9356"/>
        </w:tabs>
        <w:autoSpaceDE w:val="0"/>
        <w:autoSpaceDN w:val="0"/>
        <w:adjustRightInd w:val="0"/>
        <w:rPr>
          <w:b/>
        </w:rPr>
      </w:pPr>
    </w:p>
    <w:p w14:paraId="2BF3B00B" w14:textId="16FAF83C" w:rsidR="00871DB1" w:rsidRDefault="00871DB1" w:rsidP="00871DB1">
      <w:pPr>
        <w:widowControl w:val="0"/>
        <w:tabs>
          <w:tab w:val="right" w:pos="7371"/>
          <w:tab w:val="right" w:pos="9356"/>
        </w:tabs>
        <w:autoSpaceDE w:val="0"/>
        <w:autoSpaceDN w:val="0"/>
        <w:adjustRightInd w:val="0"/>
      </w:pPr>
      <w:r>
        <w:t>There was no exp</w:t>
      </w:r>
      <w:r w:rsidR="00A80575">
        <w:t xml:space="preserve">enditure on consultancy in </w:t>
      </w:r>
      <w:r w:rsidR="00993DB0">
        <w:t>20</w:t>
      </w:r>
      <w:r w:rsidR="519F0027">
        <w:t>2</w:t>
      </w:r>
      <w:r w:rsidR="00453F64">
        <w:t>4</w:t>
      </w:r>
      <w:r w:rsidR="00993DB0">
        <w:t>-2</w:t>
      </w:r>
      <w:r w:rsidR="00453F64">
        <w:t>5</w:t>
      </w:r>
      <w:r w:rsidR="00A80575">
        <w:t xml:space="preserve"> (</w:t>
      </w:r>
      <w:r w:rsidR="00993DB0">
        <w:t>202</w:t>
      </w:r>
      <w:r w:rsidR="00453F64">
        <w:t>3</w:t>
      </w:r>
      <w:r w:rsidR="00993DB0">
        <w:t>-2</w:t>
      </w:r>
      <w:r w:rsidR="00453F64">
        <w:t>4</w:t>
      </w:r>
      <w:r>
        <w:t>: £nil)</w:t>
      </w:r>
      <w:r w:rsidR="00C606DC">
        <w:t>.</w:t>
      </w:r>
    </w:p>
    <w:p w14:paraId="3EB55396" w14:textId="77777777" w:rsidR="00C606DC" w:rsidRDefault="00C606DC" w:rsidP="00871DB1">
      <w:pPr>
        <w:widowControl w:val="0"/>
        <w:tabs>
          <w:tab w:val="right" w:pos="7371"/>
          <w:tab w:val="right" w:pos="9356"/>
        </w:tabs>
        <w:autoSpaceDE w:val="0"/>
        <w:autoSpaceDN w:val="0"/>
        <w:adjustRightInd w:val="0"/>
      </w:pPr>
    </w:p>
    <w:p w14:paraId="4D54872B" w14:textId="77777777" w:rsidR="00871DB1" w:rsidRDefault="00871DB1" w:rsidP="00871DB1">
      <w:pPr>
        <w:widowControl w:val="0"/>
        <w:tabs>
          <w:tab w:val="right" w:pos="7371"/>
          <w:tab w:val="right" w:pos="9356"/>
        </w:tabs>
        <w:autoSpaceDE w:val="0"/>
        <w:autoSpaceDN w:val="0"/>
        <w:adjustRightInd w:val="0"/>
      </w:pPr>
      <w:r>
        <w:rPr>
          <w:b/>
        </w:rPr>
        <w:t>Off-payroll engagements</w:t>
      </w:r>
    </w:p>
    <w:p w14:paraId="3ED2691E" w14:textId="77777777" w:rsidR="00871DB1" w:rsidRDefault="00871DB1" w:rsidP="00871DB1">
      <w:pPr>
        <w:widowControl w:val="0"/>
        <w:tabs>
          <w:tab w:val="right" w:pos="7371"/>
          <w:tab w:val="right" w:pos="9356"/>
        </w:tabs>
        <w:autoSpaceDE w:val="0"/>
        <w:autoSpaceDN w:val="0"/>
        <w:adjustRightInd w:val="0"/>
      </w:pPr>
    </w:p>
    <w:p w14:paraId="29177E57" w14:textId="29097DC6" w:rsidR="00871DB1" w:rsidRDefault="00871DB1" w:rsidP="00871DB1">
      <w:pPr>
        <w:widowControl w:val="0"/>
        <w:tabs>
          <w:tab w:val="right" w:pos="7371"/>
          <w:tab w:val="right" w:pos="9356"/>
        </w:tabs>
        <w:autoSpaceDE w:val="0"/>
        <w:autoSpaceDN w:val="0"/>
        <w:adjustRightInd w:val="0"/>
      </w:pPr>
      <w:r>
        <w:t xml:space="preserve">There were no </w:t>
      </w:r>
      <w:r w:rsidR="00A80575">
        <w:t xml:space="preserve">off-payroll engagements in </w:t>
      </w:r>
      <w:r w:rsidR="00993DB0">
        <w:t>20</w:t>
      </w:r>
      <w:r w:rsidR="5D652406">
        <w:t>2</w:t>
      </w:r>
      <w:r w:rsidR="0051547B">
        <w:t>4</w:t>
      </w:r>
      <w:r w:rsidR="00993DB0">
        <w:t>-2</w:t>
      </w:r>
      <w:r w:rsidR="0051547B">
        <w:t>5</w:t>
      </w:r>
      <w:r w:rsidR="00A80575">
        <w:t xml:space="preserve"> (</w:t>
      </w:r>
      <w:r w:rsidR="00993DB0">
        <w:t>20</w:t>
      </w:r>
      <w:r w:rsidR="0700DF38">
        <w:t>2</w:t>
      </w:r>
      <w:r w:rsidR="0051547B">
        <w:t>3</w:t>
      </w:r>
      <w:r w:rsidR="00993DB0">
        <w:t>-2</w:t>
      </w:r>
      <w:r w:rsidR="0051547B">
        <w:t>4</w:t>
      </w:r>
      <w:r>
        <w:t>: £nil)</w:t>
      </w:r>
      <w:r w:rsidR="00737D30">
        <w:t>.</w:t>
      </w:r>
    </w:p>
    <w:p w14:paraId="05568C4D" w14:textId="77777777" w:rsidR="00737D30" w:rsidRPr="00871DB1" w:rsidRDefault="00737D30" w:rsidP="00871DB1">
      <w:pPr>
        <w:widowControl w:val="0"/>
        <w:tabs>
          <w:tab w:val="right" w:pos="7371"/>
          <w:tab w:val="right" w:pos="9356"/>
        </w:tabs>
        <w:autoSpaceDE w:val="0"/>
        <w:autoSpaceDN w:val="0"/>
        <w:adjustRightInd w:val="0"/>
      </w:pPr>
    </w:p>
    <w:p w14:paraId="64511E64" w14:textId="77777777" w:rsidR="000C2A54" w:rsidRPr="00D619EC" w:rsidRDefault="00D619EC" w:rsidP="00D619EC">
      <w:pPr>
        <w:widowControl w:val="0"/>
        <w:tabs>
          <w:tab w:val="left" w:pos="0"/>
          <w:tab w:val="right" w:pos="7371"/>
          <w:tab w:val="right" w:pos="9356"/>
        </w:tabs>
        <w:autoSpaceDE w:val="0"/>
        <w:autoSpaceDN w:val="0"/>
        <w:adjustRightInd w:val="0"/>
        <w:ind w:hanging="567"/>
        <w:rPr>
          <w:b/>
          <w:bCs/>
        </w:rPr>
      </w:pPr>
      <w:r>
        <w:rPr>
          <w:b/>
          <w:bCs/>
        </w:rPr>
        <w:tab/>
      </w:r>
      <w:r w:rsidR="000C2A54" w:rsidRPr="00F97E5F">
        <w:rPr>
          <w:b/>
          <w:bCs/>
        </w:rPr>
        <w:t>Reporting of Civil Service and other compensation schemes – exit packages</w:t>
      </w:r>
      <w:r w:rsidR="000C2A54">
        <w:rPr>
          <w:bCs/>
        </w:rPr>
        <w:t xml:space="preserve"> (audited information)</w:t>
      </w:r>
    </w:p>
    <w:p w14:paraId="1707D9EB" w14:textId="77777777" w:rsidR="000C2A54" w:rsidRPr="00F97E5F" w:rsidRDefault="000C2A54" w:rsidP="000C2A54">
      <w:pPr>
        <w:widowControl w:val="0"/>
        <w:tabs>
          <w:tab w:val="left" w:pos="567"/>
          <w:tab w:val="right" w:pos="7371"/>
          <w:tab w:val="right" w:pos="9356"/>
        </w:tabs>
        <w:autoSpaceDE w:val="0"/>
        <w:autoSpaceDN w:val="0"/>
        <w:adjustRightInd w:val="0"/>
        <w:rPr>
          <w:b/>
        </w:rPr>
      </w:pPr>
    </w:p>
    <w:p w14:paraId="233FBBF4" w14:textId="2D29DFA0" w:rsidR="000C2A54" w:rsidRPr="00F97E5F" w:rsidRDefault="000C2A54" w:rsidP="00871DB1">
      <w:pPr>
        <w:widowControl w:val="0"/>
        <w:tabs>
          <w:tab w:val="left" w:pos="567"/>
          <w:tab w:val="right" w:pos="7371"/>
          <w:tab w:val="right" w:pos="9356"/>
        </w:tabs>
        <w:autoSpaceDE w:val="0"/>
        <w:autoSpaceDN w:val="0"/>
        <w:adjustRightInd w:val="0"/>
      </w:pPr>
      <w:r>
        <w:t>Ther</w:t>
      </w:r>
      <w:r w:rsidR="005D69D1">
        <w:t xml:space="preserve">e were no exit packages in </w:t>
      </w:r>
      <w:r w:rsidR="00993DB0">
        <w:t>20</w:t>
      </w:r>
      <w:r w:rsidR="4A33703B">
        <w:t>2</w:t>
      </w:r>
      <w:r w:rsidR="0051547B">
        <w:t>4</w:t>
      </w:r>
      <w:r w:rsidR="00993DB0">
        <w:t>-2</w:t>
      </w:r>
      <w:r w:rsidR="0051547B">
        <w:t>5</w:t>
      </w:r>
      <w:r w:rsidR="005D69D1">
        <w:t xml:space="preserve"> (</w:t>
      </w:r>
      <w:r w:rsidR="00993DB0">
        <w:t>20</w:t>
      </w:r>
      <w:r w:rsidR="16BA5364">
        <w:t>2</w:t>
      </w:r>
      <w:r w:rsidR="0051547B">
        <w:t>3</w:t>
      </w:r>
      <w:r w:rsidR="00993DB0">
        <w:t>-2</w:t>
      </w:r>
      <w:r w:rsidR="0051547B">
        <w:t>4</w:t>
      </w:r>
      <w:r w:rsidR="007B768A">
        <w:t>: £n</w:t>
      </w:r>
      <w:r>
        <w:t xml:space="preserve">il).  </w:t>
      </w:r>
    </w:p>
    <w:p w14:paraId="5F1A403A" w14:textId="77777777" w:rsidR="000C2A54" w:rsidRDefault="000C2A54" w:rsidP="000C2A54">
      <w:pPr>
        <w:autoSpaceDE w:val="0"/>
        <w:autoSpaceDN w:val="0"/>
        <w:adjustRightInd w:val="0"/>
        <w:rPr>
          <w:noProof/>
          <w:lang w:eastAsia="en-GB"/>
        </w:rPr>
      </w:pPr>
    </w:p>
    <w:p w14:paraId="0D1EE0F1" w14:textId="43CF88BC" w:rsidR="001E24FD" w:rsidRDefault="00D94BED" w:rsidP="000C2A54">
      <w:pPr>
        <w:autoSpaceDE w:val="0"/>
        <w:autoSpaceDN w:val="0"/>
        <w:adjustRightInd w:val="0"/>
        <w:rPr>
          <w:noProof/>
          <w:lang w:eastAsia="en-GB"/>
        </w:rPr>
      </w:pPr>
      <w:r>
        <w:rPr>
          <w:noProof/>
        </w:rPr>
        <w:drawing>
          <wp:inline distT="0" distB="0" distL="0" distR="0" wp14:anchorId="0BBD799A" wp14:editId="54157F79">
            <wp:extent cx="1627770" cy="452438"/>
            <wp:effectExtent l="0" t="0" r="0" b="5080"/>
            <wp:docPr id="342244682" name="Picture 342244682"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44682" name="Picture 342244682" descr="A blue signature on a white background&#10;&#10;Description automatically generated"/>
                    <pic:cNvPicPr/>
                  </pic:nvPicPr>
                  <pic:blipFill rotWithShape="1">
                    <a:blip r:embed="rId25" cstate="print">
                      <a:extLst>
                        <a:ext uri="{28A0092B-C50C-407E-A947-70E740481C1C}">
                          <a14:useLocalDpi xmlns:a14="http://schemas.microsoft.com/office/drawing/2010/main" val="0"/>
                        </a:ext>
                      </a:extLst>
                    </a:blip>
                    <a:srcRect t="27943" b="23685"/>
                    <a:stretch/>
                  </pic:blipFill>
                  <pic:spPr bwMode="auto">
                    <a:xfrm>
                      <a:off x="0" y="0"/>
                      <a:ext cx="1718836" cy="477750"/>
                    </a:xfrm>
                    <a:prstGeom prst="rect">
                      <a:avLst/>
                    </a:prstGeom>
                    <a:ln>
                      <a:noFill/>
                    </a:ln>
                    <a:extLst>
                      <a:ext uri="{53640926-AAD7-44D8-BBD7-CCE9431645EC}">
                        <a14:shadowObscured xmlns:a14="http://schemas.microsoft.com/office/drawing/2010/main"/>
                      </a:ext>
                    </a:extLst>
                  </pic:spPr>
                </pic:pic>
              </a:graphicData>
            </a:graphic>
          </wp:inline>
        </w:drawing>
      </w:r>
    </w:p>
    <w:p w14:paraId="324F956C" w14:textId="77777777" w:rsidR="00D94BED" w:rsidRDefault="00D94BED" w:rsidP="000C2A54">
      <w:pPr>
        <w:autoSpaceDE w:val="0"/>
        <w:autoSpaceDN w:val="0"/>
        <w:adjustRightInd w:val="0"/>
        <w:rPr>
          <w:noProof/>
          <w:lang w:eastAsia="en-GB"/>
        </w:rPr>
      </w:pPr>
    </w:p>
    <w:p w14:paraId="74A8384B" w14:textId="77777777" w:rsidR="000C2A54" w:rsidRPr="00D80497" w:rsidRDefault="000C2A54" w:rsidP="000C2A54">
      <w:pPr>
        <w:widowControl w:val="0"/>
        <w:autoSpaceDE w:val="0"/>
        <w:autoSpaceDN w:val="0"/>
        <w:adjustRightInd w:val="0"/>
        <w:rPr>
          <w:b/>
        </w:rPr>
      </w:pPr>
      <w:bookmarkStart w:id="27" w:name="SW0003"/>
      <w:r>
        <w:rPr>
          <w:b/>
        </w:rPr>
        <w:t>Dr David Russell</w:t>
      </w:r>
    </w:p>
    <w:p w14:paraId="74847EAB" w14:textId="6550F4A8" w:rsidR="000C2A54" w:rsidRPr="00D80497" w:rsidRDefault="000C2A54" w:rsidP="000C2A54">
      <w:pPr>
        <w:widowControl w:val="0"/>
        <w:autoSpaceDE w:val="0"/>
        <w:autoSpaceDN w:val="0"/>
        <w:adjustRightInd w:val="0"/>
        <w:rPr>
          <w:b/>
        </w:rPr>
      </w:pPr>
      <w:r w:rsidRPr="00D80497">
        <w:rPr>
          <w:b/>
        </w:rPr>
        <w:t>Accounting Officer</w:t>
      </w:r>
    </w:p>
    <w:p w14:paraId="19FC55D8" w14:textId="77777777" w:rsidR="000C2A54" w:rsidRPr="00D80497" w:rsidRDefault="000C2A54" w:rsidP="000C2A54">
      <w:pPr>
        <w:widowControl w:val="0"/>
        <w:tabs>
          <w:tab w:val="left" w:pos="2802"/>
        </w:tabs>
        <w:autoSpaceDE w:val="0"/>
        <w:autoSpaceDN w:val="0"/>
        <w:adjustRightInd w:val="0"/>
      </w:pPr>
    </w:p>
    <w:p w14:paraId="0075EC5B" w14:textId="635211B3" w:rsidR="000C2A54" w:rsidRPr="00D80497" w:rsidRDefault="000C2A54" w:rsidP="000C2A54">
      <w:pPr>
        <w:widowControl w:val="0"/>
        <w:tabs>
          <w:tab w:val="left" w:pos="851"/>
        </w:tabs>
        <w:autoSpaceDE w:val="0"/>
        <w:autoSpaceDN w:val="0"/>
        <w:adjustRightInd w:val="0"/>
        <w:rPr>
          <w:b/>
        </w:rPr>
      </w:pPr>
      <w:r w:rsidRPr="00D80497">
        <w:rPr>
          <w:b/>
        </w:rPr>
        <w:t xml:space="preserve">Date: </w:t>
      </w:r>
      <w:r w:rsidR="00410296">
        <w:rPr>
          <w:b/>
        </w:rPr>
        <w:t>03 July 202</w:t>
      </w:r>
      <w:r w:rsidR="007A6076">
        <w:rPr>
          <w:b/>
        </w:rPr>
        <w:t>5</w:t>
      </w:r>
    </w:p>
    <w:bookmarkEnd w:id="27"/>
    <w:p w14:paraId="46F90AF7" w14:textId="77777777" w:rsidR="000C2A54" w:rsidRPr="00503D7F" w:rsidRDefault="000C2A54" w:rsidP="008C73A2">
      <w:pPr>
        <w:jc w:val="center"/>
        <w:rPr>
          <w:b/>
          <w:sz w:val="28"/>
          <w:szCs w:val="28"/>
        </w:rPr>
      </w:pPr>
      <w:r>
        <w:rPr>
          <w:b/>
        </w:rPr>
        <w:br w:type="page"/>
      </w:r>
      <w:bookmarkStart w:id="28" w:name="ParliamentaryAccountability"/>
      <w:r w:rsidR="0045027A" w:rsidRPr="00744E70">
        <w:rPr>
          <w:rFonts w:cs="Arial"/>
          <w:b/>
          <w:color w:val="77328A"/>
          <w:sz w:val="30"/>
          <w:szCs w:val="30"/>
        </w:rPr>
        <w:lastRenderedPageBreak/>
        <w:t>Parliamentary Accountability and Audit Report</w:t>
      </w:r>
    </w:p>
    <w:bookmarkEnd w:id="28"/>
    <w:p w14:paraId="5B269081" w14:textId="77777777" w:rsidR="000C2A54" w:rsidRDefault="000C2A54" w:rsidP="000C2A54">
      <w:pPr>
        <w:rPr>
          <w:b/>
        </w:rPr>
      </w:pPr>
    </w:p>
    <w:p w14:paraId="718283F2" w14:textId="358F9522" w:rsidR="00F0089C" w:rsidRDefault="00F0089C" w:rsidP="007A6076">
      <w:pPr>
        <w:pStyle w:val="BodyText"/>
        <w:numPr>
          <w:ilvl w:val="1"/>
          <w:numId w:val="15"/>
        </w:numPr>
        <w:spacing w:after="284" w:line="300" w:lineRule="atLeast"/>
      </w:pPr>
      <w:r w:rsidRPr="00E16658">
        <w:t xml:space="preserve">The accounts of the </w:t>
      </w:r>
      <w:r w:rsidR="00941C81">
        <w:t>Northern Ireland Human Rights Commission</w:t>
      </w:r>
      <w:r w:rsidRPr="00E16658">
        <w:t xml:space="preserve"> are audited by the Comptroller and Auditor General under </w:t>
      </w:r>
      <w:r w:rsidR="00941C81">
        <w:t xml:space="preserve">the Northern Ireland Act 1998. </w:t>
      </w:r>
      <w:r w:rsidRPr="00E16658">
        <w:t>The audit fee charged was £</w:t>
      </w:r>
      <w:r w:rsidR="00744E70">
        <w:t>31</w:t>
      </w:r>
      <w:r w:rsidR="005D69D1">
        <w:t>,</w:t>
      </w:r>
      <w:r w:rsidR="00744E70">
        <w:t>500</w:t>
      </w:r>
      <w:r w:rsidR="00993DB0">
        <w:t xml:space="preserve"> (£</w:t>
      </w:r>
      <w:r w:rsidR="002474A1">
        <w:t>2</w:t>
      </w:r>
      <w:r w:rsidR="00744E70">
        <w:t>6</w:t>
      </w:r>
      <w:r w:rsidR="00737D30">
        <w:t>,</w:t>
      </w:r>
      <w:r w:rsidR="00744E70">
        <w:t>250</w:t>
      </w:r>
      <w:r w:rsidR="00737D30">
        <w:t xml:space="preserve"> in 202</w:t>
      </w:r>
      <w:r w:rsidR="00744E70">
        <w:t>3</w:t>
      </w:r>
      <w:r w:rsidR="00993DB0">
        <w:t>-2</w:t>
      </w:r>
      <w:r w:rsidR="00744E70">
        <w:t>4</w:t>
      </w:r>
      <w:r>
        <w:t>)</w:t>
      </w:r>
      <w:r w:rsidRPr="00E16658">
        <w:t>. The auditors received no fees for non-audit services</w:t>
      </w:r>
      <w:r w:rsidR="007B768A">
        <w:t xml:space="preserve"> (</w:t>
      </w:r>
      <w:r w:rsidR="00993DB0">
        <w:t>20</w:t>
      </w:r>
      <w:r w:rsidR="00737D30">
        <w:t>2</w:t>
      </w:r>
      <w:r w:rsidR="00744E70">
        <w:t>3</w:t>
      </w:r>
      <w:r w:rsidR="00993DB0">
        <w:t>-2</w:t>
      </w:r>
      <w:r w:rsidR="00744E70">
        <w:t>4</w:t>
      </w:r>
      <w:r w:rsidR="007B768A">
        <w:t>: £nil</w:t>
      </w:r>
      <w:r w:rsidR="0072512F">
        <w:t>)</w:t>
      </w:r>
      <w:r w:rsidRPr="00E16658">
        <w:t>. The auditors have been provided with all relevant audit information necessary to complete their audit and the Accounting Officer has taken all the necessary steps to ensure that the auditors are aware of any relevant information.</w:t>
      </w:r>
    </w:p>
    <w:p w14:paraId="1EE80736" w14:textId="1A416465" w:rsidR="001C7663" w:rsidRPr="00C763C2" w:rsidRDefault="001C7663" w:rsidP="007A6076">
      <w:pPr>
        <w:pStyle w:val="BodyText"/>
        <w:numPr>
          <w:ilvl w:val="1"/>
          <w:numId w:val="15"/>
        </w:numPr>
        <w:spacing w:after="284" w:line="300" w:lineRule="atLeast"/>
      </w:pPr>
      <w:r w:rsidRPr="00C763C2">
        <w:t>As part of the Commission’s commitment to support continuous improvement, we are working with our sponsor department to understand which of the government f</w:t>
      </w:r>
      <w:r w:rsidR="00D80963" w:rsidRPr="00C763C2">
        <w:t>unctional</w:t>
      </w:r>
      <w:r w:rsidRPr="00C763C2">
        <w:t xml:space="preserve"> standards are most appropriate for our size and scope, and best meet our business needs.  Once we have agreed with our sponsor department which standards are relevant to our organisation, then we will work to embed the appropriate standards into our business processes.</w:t>
      </w:r>
    </w:p>
    <w:p w14:paraId="370CC803" w14:textId="77777777" w:rsidR="00F0089C" w:rsidRDefault="00F0089C" w:rsidP="007A6076">
      <w:pPr>
        <w:pStyle w:val="BodyText"/>
        <w:numPr>
          <w:ilvl w:val="1"/>
          <w:numId w:val="15"/>
        </w:numPr>
        <w:spacing w:after="284" w:line="300" w:lineRule="atLeast"/>
      </w:pPr>
      <w:r>
        <w:t>All expenditure was applied to the purpose intended by Parliament (audited).</w:t>
      </w:r>
    </w:p>
    <w:p w14:paraId="0061E08D" w14:textId="3D378147" w:rsidR="00F0089C" w:rsidRDefault="00F0089C" w:rsidP="007A6076">
      <w:pPr>
        <w:pStyle w:val="BodyText"/>
        <w:numPr>
          <w:ilvl w:val="1"/>
          <w:numId w:val="15"/>
        </w:numPr>
        <w:spacing w:after="284" w:line="300" w:lineRule="atLeast"/>
      </w:pPr>
      <w:r>
        <w:t xml:space="preserve">No fees or charges were </w:t>
      </w:r>
      <w:r w:rsidR="003C45FA">
        <w:t xml:space="preserve">collected </w:t>
      </w:r>
      <w:r>
        <w:t xml:space="preserve">by </w:t>
      </w:r>
      <w:r w:rsidR="00941C81">
        <w:t>the</w:t>
      </w:r>
      <w:r w:rsidR="00941C81" w:rsidRPr="00E16658">
        <w:t xml:space="preserve"> </w:t>
      </w:r>
      <w:r w:rsidR="00941C81">
        <w:t>Northern Ireland Human Rights Commission</w:t>
      </w:r>
      <w:r>
        <w:t xml:space="preserve"> (audited)</w:t>
      </w:r>
      <w:r w:rsidR="00993DB0">
        <w:t xml:space="preserve"> (20</w:t>
      </w:r>
      <w:r w:rsidR="00A7412A">
        <w:t>2</w:t>
      </w:r>
      <w:r w:rsidR="00744E70">
        <w:t>3</w:t>
      </w:r>
      <w:r w:rsidR="00993DB0">
        <w:t>-2</w:t>
      </w:r>
      <w:r w:rsidR="00744E70">
        <w:t>4</w:t>
      </w:r>
      <w:r w:rsidR="00A7412A">
        <w:t>: £nil)</w:t>
      </w:r>
      <w:r>
        <w:t>.</w:t>
      </w:r>
    </w:p>
    <w:p w14:paraId="45F0434F" w14:textId="48A62B11" w:rsidR="00F0089C" w:rsidRDefault="00F0089C" w:rsidP="007A6076">
      <w:pPr>
        <w:pStyle w:val="BodyText"/>
        <w:numPr>
          <w:ilvl w:val="1"/>
          <w:numId w:val="15"/>
        </w:numPr>
        <w:spacing w:after="284" w:line="300" w:lineRule="atLeast"/>
      </w:pPr>
      <w:r>
        <w:t xml:space="preserve">The </w:t>
      </w:r>
      <w:r w:rsidR="00941C81">
        <w:t>Northern Ireland Human Rights Commission</w:t>
      </w:r>
      <w:r>
        <w:t xml:space="preserve"> has </w:t>
      </w:r>
      <w:r w:rsidR="00BB74EA">
        <w:t>no</w:t>
      </w:r>
      <w:r w:rsidR="00DC0FA7">
        <w:t xml:space="preserve"> </w:t>
      </w:r>
      <w:r w:rsidR="00BB74EA">
        <w:t xml:space="preserve">remote </w:t>
      </w:r>
      <w:r w:rsidR="00DC0FA7">
        <w:t>contingent liabilit</w:t>
      </w:r>
      <w:r w:rsidR="00BB74EA">
        <w:t>ies</w:t>
      </w:r>
      <w:r w:rsidR="00DC0FA7">
        <w:t xml:space="preserve"> </w:t>
      </w:r>
      <w:r>
        <w:t>(audited)</w:t>
      </w:r>
      <w:r w:rsidR="00993DB0">
        <w:t xml:space="preserve"> (20</w:t>
      </w:r>
      <w:r w:rsidR="00A7412A">
        <w:t>2</w:t>
      </w:r>
      <w:r w:rsidR="00744E70">
        <w:t>3</w:t>
      </w:r>
      <w:r w:rsidR="00993DB0">
        <w:t>-2</w:t>
      </w:r>
      <w:r w:rsidR="00744E70">
        <w:t>4</w:t>
      </w:r>
      <w:r w:rsidR="00A7412A">
        <w:t>: £nil)</w:t>
      </w:r>
      <w:r>
        <w:t>.</w:t>
      </w:r>
    </w:p>
    <w:p w14:paraId="2D530F7C" w14:textId="773A8011" w:rsidR="001C06AC" w:rsidRDefault="001C06AC" w:rsidP="007A6076">
      <w:pPr>
        <w:pStyle w:val="BodyText"/>
        <w:numPr>
          <w:ilvl w:val="1"/>
          <w:numId w:val="15"/>
        </w:numPr>
        <w:spacing w:after="284" w:line="300" w:lineRule="atLeast"/>
      </w:pPr>
      <w:r>
        <w:t>The Commission had no losses or special payments (audited)</w:t>
      </w:r>
      <w:r w:rsidR="00993DB0">
        <w:t xml:space="preserve"> (202</w:t>
      </w:r>
      <w:r w:rsidR="00744E70">
        <w:t>3</w:t>
      </w:r>
      <w:r w:rsidR="00993DB0">
        <w:t>-2</w:t>
      </w:r>
      <w:r w:rsidR="00744E70">
        <w:t>4</w:t>
      </w:r>
      <w:r w:rsidR="00A7412A">
        <w:t>: £nil)</w:t>
      </w:r>
      <w:r>
        <w:t>.</w:t>
      </w:r>
    </w:p>
    <w:p w14:paraId="6685CB7B" w14:textId="49F7F987" w:rsidR="00F0089C" w:rsidRDefault="00F0089C" w:rsidP="007A6076">
      <w:pPr>
        <w:pStyle w:val="BodyText"/>
        <w:numPr>
          <w:ilvl w:val="1"/>
          <w:numId w:val="15"/>
        </w:numPr>
        <w:spacing w:after="284" w:line="300" w:lineRule="atLeast"/>
      </w:pPr>
      <w:r>
        <w:t xml:space="preserve">The </w:t>
      </w:r>
      <w:r w:rsidR="00941C81">
        <w:t>Northern Ireland Human Rights Commission’s</w:t>
      </w:r>
      <w:r w:rsidR="00737D30">
        <w:t xml:space="preserve"> total </w:t>
      </w:r>
      <w:r w:rsidR="003D2736">
        <w:t xml:space="preserve">gross operating </w:t>
      </w:r>
      <w:r w:rsidR="00737D30">
        <w:t>expenditure in 202</w:t>
      </w:r>
      <w:r w:rsidR="00744E70">
        <w:t>4</w:t>
      </w:r>
      <w:r w:rsidR="00993DB0">
        <w:t>-2</w:t>
      </w:r>
      <w:r w:rsidR="00744E70">
        <w:t>5</w:t>
      </w:r>
      <w:r>
        <w:t xml:space="preserve"> was</w:t>
      </w:r>
      <w:r w:rsidR="00CA7A47">
        <w:t xml:space="preserve"> £</w:t>
      </w:r>
      <w:r w:rsidR="00F643C2">
        <w:t>2,</w:t>
      </w:r>
      <w:r w:rsidR="00744E70">
        <w:t>900</w:t>
      </w:r>
      <w:r w:rsidR="00F643C2">
        <w:t>,</w:t>
      </w:r>
      <w:r w:rsidR="00744E70">
        <w:t>987</w:t>
      </w:r>
      <w:r>
        <w:t>. The net expenditure for prior years was as follows:</w:t>
      </w:r>
    </w:p>
    <w:p w14:paraId="359ACEFF" w14:textId="77777777" w:rsidR="00560F25" w:rsidRDefault="00560F25">
      <w:pPr>
        <w:rPr>
          <w:rFonts w:eastAsiaTheme="minorHAnsi" w:cstheme="minorBidi"/>
          <w:b/>
          <w:color w:val="auto"/>
        </w:rPr>
      </w:pPr>
      <w:r>
        <w:rPr>
          <w:b/>
          <w:color w:val="auto"/>
        </w:rPr>
        <w:br w:type="page"/>
      </w:r>
    </w:p>
    <w:p w14:paraId="35DC19CE" w14:textId="35A9291B" w:rsidR="00F0089C" w:rsidRPr="004A26CC" w:rsidRDefault="00F0089C" w:rsidP="001730DC">
      <w:pPr>
        <w:pStyle w:val="TableHeading"/>
        <w:rPr>
          <w:rFonts w:ascii="Verdana" w:hAnsi="Verdana"/>
          <w:b/>
          <w:color w:val="auto"/>
          <w:sz w:val="24"/>
        </w:rPr>
      </w:pPr>
      <w:r w:rsidRPr="004A26CC">
        <w:rPr>
          <w:rFonts w:ascii="Verdana" w:hAnsi="Verdana"/>
          <w:b/>
          <w:color w:val="auto"/>
          <w:sz w:val="24"/>
        </w:rPr>
        <w:lastRenderedPageBreak/>
        <w:t>Expenditure and income</w:t>
      </w:r>
    </w:p>
    <w:p w14:paraId="57D6D1CB" w14:textId="77777777" w:rsidR="008474EF" w:rsidRDefault="008474EF" w:rsidP="008474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3"/>
      </w:tblGrid>
      <w:tr w:rsidR="008474EF" w14:paraId="623A0FC9" w14:textId="77777777" w:rsidTr="008474EF">
        <w:tc>
          <w:tcPr>
            <w:tcW w:w="1812" w:type="dxa"/>
          </w:tcPr>
          <w:p w14:paraId="673B5068" w14:textId="77777777" w:rsidR="008474EF" w:rsidRDefault="008474EF" w:rsidP="008474EF"/>
        </w:tc>
        <w:tc>
          <w:tcPr>
            <w:tcW w:w="1812" w:type="dxa"/>
          </w:tcPr>
          <w:p w14:paraId="698882B1" w14:textId="2CA40F50" w:rsidR="008474EF" w:rsidRDefault="00EF4DE1" w:rsidP="008474EF">
            <w:pPr>
              <w:jc w:val="right"/>
              <w:rPr>
                <w:b/>
                <w:sz w:val="20"/>
                <w:szCs w:val="20"/>
              </w:rPr>
            </w:pPr>
            <w:r>
              <w:rPr>
                <w:b/>
                <w:sz w:val="20"/>
                <w:szCs w:val="20"/>
              </w:rPr>
              <w:t>202</w:t>
            </w:r>
            <w:r w:rsidR="00744E70">
              <w:rPr>
                <w:b/>
                <w:sz w:val="20"/>
                <w:szCs w:val="20"/>
              </w:rPr>
              <w:t>4</w:t>
            </w:r>
            <w:r>
              <w:rPr>
                <w:b/>
                <w:sz w:val="20"/>
                <w:szCs w:val="20"/>
              </w:rPr>
              <w:t>-2</w:t>
            </w:r>
            <w:r w:rsidR="00744E70">
              <w:rPr>
                <w:b/>
                <w:sz w:val="20"/>
                <w:szCs w:val="20"/>
              </w:rPr>
              <w:t>5</w:t>
            </w:r>
          </w:p>
          <w:p w14:paraId="350AA322" w14:textId="77777777" w:rsidR="008474EF" w:rsidRPr="008474EF" w:rsidRDefault="008474EF" w:rsidP="008474EF">
            <w:pPr>
              <w:jc w:val="right"/>
              <w:rPr>
                <w:b/>
                <w:sz w:val="20"/>
                <w:szCs w:val="20"/>
              </w:rPr>
            </w:pPr>
            <w:r w:rsidRPr="008474EF">
              <w:rPr>
                <w:b/>
                <w:sz w:val="20"/>
                <w:szCs w:val="20"/>
              </w:rPr>
              <w:t>£000</w:t>
            </w:r>
          </w:p>
        </w:tc>
        <w:tc>
          <w:tcPr>
            <w:tcW w:w="1812" w:type="dxa"/>
          </w:tcPr>
          <w:p w14:paraId="7421193A" w14:textId="6022D67B" w:rsidR="008474EF" w:rsidRDefault="005D69D1" w:rsidP="008474EF">
            <w:pPr>
              <w:jc w:val="right"/>
              <w:rPr>
                <w:b/>
                <w:sz w:val="20"/>
                <w:szCs w:val="20"/>
              </w:rPr>
            </w:pPr>
            <w:r>
              <w:rPr>
                <w:b/>
                <w:sz w:val="20"/>
                <w:szCs w:val="20"/>
              </w:rPr>
              <w:t>20</w:t>
            </w:r>
            <w:r w:rsidR="00EF4DE1">
              <w:rPr>
                <w:b/>
                <w:sz w:val="20"/>
                <w:szCs w:val="20"/>
              </w:rPr>
              <w:t>2</w:t>
            </w:r>
            <w:r w:rsidR="00744E70">
              <w:rPr>
                <w:b/>
                <w:sz w:val="20"/>
                <w:szCs w:val="20"/>
              </w:rPr>
              <w:t>3</w:t>
            </w:r>
            <w:r w:rsidR="00EF4DE1">
              <w:rPr>
                <w:b/>
                <w:sz w:val="20"/>
                <w:szCs w:val="20"/>
              </w:rPr>
              <w:t>-2</w:t>
            </w:r>
            <w:r w:rsidR="00744E70">
              <w:rPr>
                <w:b/>
                <w:sz w:val="20"/>
                <w:szCs w:val="20"/>
              </w:rPr>
              <w:t>4</w:t>
            </w:r>
            <w:r w:rsidR="008474EF" w:rsidRPr="008474EF">
              <w:rPr>
                <w:b/>
                <w:sz w:val="20"/>
                <w:szCs w:val="20"/>
              </w:rPr>
              <w:t xml:space="preserve"> </w:t>
            </w:r>
          </w:p>
          <w:p w14:paraId="34D1CA05" w14:textId="77777777" w:rsidR="008474EF" w:rsidRPr="008474EF" w:rsidRDefault="008474EF" w:rsidP="008474EF">
            <w:pPr>
              <w:jc w:val="right"/>
              <w:rPr>
                <w:b/>
                <w:sz w:val="20"/>
                <w:szCs w:val="20"/>
              </w:rPr>
            </w:pPr>
            <w:r w:rsidRPr="008474EF">
              <w:rPr>
                <w:b/>
                <w:sz w:val="20"/>
                <w:szCs w:val="20"/>
              </w:rPr>
              <w:t>£000</w:t>
            </w:r>
          </w:p>
        </w:tc>
        <w:tc>
          <w:tcPr>
            <w:tcW w:w="1812" w:type="dxa"/>
          </w:tcPr>
          <w:p w14:paraId="6F3FF6B5" w14:textId="1A8AC5C2" w:rsidR="008474EF" w:rsidRDefault="005D69D1" w:rsidP="008474EF">
            <w:pPr>
              <w:jc w:val="right"/>
              <w:rPr>
                <w:b/>
                <w:sz w:val="20"/>
                <w:szCs w:val="20"/>
              </w:rPr>
            </w:pPr>
            <w:r>
              <w:rPr>
                <w:b/>
                <w:sz w:val="20"/>
                <w:szCs w:val="20"/>
              </w:rPr>
              <w:t>20</w:t>
            </w:r>
            <w:r w:rsidR="001C7349">
              <w:rPr>
                <w:b/>
                <w:sz w:val="20"/>
                <w:szCs w:val="20"/>
              </w:rPr>
              <w:t>2</w:t>
            </w:r>
            <w:r w:rsidR="00744E70">
              <w:rPr>
                <w:b/>
                <w:sz w:val="20"/>
                <w:szCs w:val="20"/>
              </w:rPr>
              <w:t>2</w:t>
            </w:r>
            <w:r w:rsidR="00EF4DE1">
              <w:rPr>
                <w:b/>
                <w:sz w:val="20"/>
                <w:szCs w:val="20"/>
              </w:rPr>
              <w:t>-2</w:t>
            </w:r>
            <w:r w:rsidR="00744E70">
              <w:rPr>
                <w:b/>
                <w:sz w:val="20"/>
                <w:szCs w:val="20"/>
              </w:rPr>
              <w:t>3</w:t>
            </w:r>
          </w:p>
          <w:p w14:paraId="03E8763E" w14:textId="77777777" w:rsidR="008474EF" w:rsidRPr="008474EF" w:rsidRDefault="008474EF" w:rsidP="008474EF">
            <w:pPr>
              <w:jc w:val="right"/>
              <w:rPr>
                <w:b/>
                <w:sz w:val="20"/>
                <w:szCs w:val="20"/>
              </w:rPr>
            </w:pPr>
            <w:r w:rsidRPr="008474EF">
              <w:rPr>
                <w:b/>
                <w:sz w:val="20"/>
                <w:szCs w:val="20"/>
              </w:rPr>
              <w:t>£000</w:t>
            </w:r>
          </w:p>
        </w:tc>
        <w:tc>
          <w:tcPr>
            <w:tcW w:w="1813" w:type="dxa"/>
          </w:tcPr>
          <w:p w14:paraId="080CDF00" w14:textId="54347D54" w:rsidR="008474EF" w:rsidRDefault="00EF4DE1" w:rsidP="008474EF">
            <w:pPr>
              <w:jc w:val="right"/>
              <w:rPr>
                <w:b/>
                <w:sz w:val="20"/>
                <w:szCs w:val="20"/>
              </w:rPr>
            </w:pPr>
            <w:r>
              <w:rPr>
                <w:b/>
                <w:sz w:val="20"/>
                <w:szCs w:val="20"/>
              </w:rPr>
              <w:t>20</w:t>
            </w:r>
            <w:r w:rsidR="002474A1">
              <w:rPr>
                <w:b/>
                <w:sz w:val="20"/>
                <w:szCs w:val="20"/>
              </w:rPr>
              <w:t>2</w:t>
            </w:r>
            <w:r w:rsidR="00744E70">
              <w:rPr>
                <w:b/>
                <w:sz w:val="20"/>
                <w:szCs w:val="20"/>
              </w:rPr>
              <w:t>1</w:t>
            </w:r>
            <w:r>
              <w:rPr>
                <w:b/>
                <w:sz w:val="20"/>
                <w:szCs w:val="20"/>
              </w:rPr>
              <w:t>-</w:t>
            </w:r>
            <w:r w:rsidR="001C7349">
              <w:rPr>
                <w:b/>
                <w:sz w:val="20"/>
                <w:szCs w:val="20"/>
              </w:rPr>
              <w:t>2</w:t>
            </w:r>
            <w:r w:rsidR="00744E70">
              <w:rPr>
                <w:b/>
                <w:sz w:val="20"/>
                <w:szCs w:val="20"/>
              </w:rPr>
              <w:t>2</w:t>
            </w:r>
            <w:r w:rsidR="008474EF" w:rsidRPr="008474EF">
              <w:rPr>
                <w:b/>
                <w:sz w:val="20"/>
                <w:szCs w:val="20"/>
              </w:rPr>
              <w:t xml:space="preserve"> </w:t>
            </w:r>
          </w:p>
          <w:p w14:paraId="70D3B87F" w14:textId="77777777" w:rsidR="008474EF" w:rsidRPr="008474EF" w:rsidRDefault="008474EF" w:rsidP="008474EF">
            <w:pPr>
              <w:jc w:val="right"/>
              <w:rPr>
                <w:b/>
                <w:sz w:val="20"/>
                <w:szCs w:val="20"/>
              </w:rPr>
            </w:pPr>
            <w:r w:rsidRPr="008474EF">
              <w:rPr>
                <w:b/>
                <w:sz w:val="20"/>
                <w:szCs w:val="20"/>
              </w:rPr>
              <w:t>£000</w:t>
            </w:r>
          </w:p>
          <w:p w14:paraId="0559D481" w14:textId="77777777" w:rsidR="008474EF" w:rsidRPr="008474EF" w:rsidRDefault="008474EF" w:rsidP="008474EF">
            <w:pPr>
              <w:jc w:val="right"/>
              <w:rPr>
                <w:b/>
                <w:sz w:val="20"/>
                <w:szCs w:val="20"/>
              </w:rPr>
            </w:pPr>
          </w:p>
        </w:tc>
      </w:tr>
      <w:tr w:rsidR="00BE1714" w14:paraId="487553B8" w14:textId="77777777" w:rsidTr="008474EF">
        <w:tc>
          <w:tcPr>
            <w:tcW w:w="1812" w:type="dxa"/>
          </w:tcPr>
          <w:p w14:paraId="687C7154" w14:textId="77777777" w:rsidR="00BE1714" w:rsidRPr="008474EF" w:rsidRDefault="00BE1714" w:rsidP="00BE1714">
            <w:pPr>
              <w:rPr>
                <w:sz w:val="20"/>
                <w:szCs w:val="20"/>
              </w:rPr>
            </w:pPr>
            <w:r w:rsidRPr="008474EF">
              <w:rPr>
                <w:sz w:val="20"/>
                <w:szCs w:val="20"/>
              </w:rPr>
              <w:t>Expenditure</w:t>
            </w:r>
          </w:p>
        </w:tc>
        <w:tc>
          <w:tcPr>
            <w:tcW w:w="1812" w:type="dxa"/>
          </w:tcPr>
          <w:p w14:paraId="09147F28" w14:textId="45A76FCE" w:rsidR="00BE1714" w:rsidRPr="005C2E30" w:rsidRDefault="00F643C2" w:rsidP="00BE1714">
            <w:pPr>
              <w:jc w:val="right"/>
              <w:rPr>
                <w:sz w:val="20"/>
                <w:szCs w:val="20"/>
              </w:rPr>
            </w:pPr>
            <w:r>
              <w:rPr>
                <w:sz w:val="20"/>
                <w:szCs w:val="20"/>
              </w:rPr>
              <w:t>2,</w:t>
            </w:r>
            <w:r w:rsidR="00744E70">
              <w:rPr>
                <w:sz w:val="20"/>
                <w:szCs w:val="20"/>
              </w:rPr>
              <w:t>901</w:t>
            </w:r>
          </w:p>
        </w:tc>
        <w:tc>
          <w:tcPr>
            <w:tcW w:w="1812" w:type="dxa"/>
          </w:tcPr>
          <w:p w14:paraId="725EDAA0" w14:textId="6F706762" w:rsidR="00BE1714" w:rsidRPr="008474EF" w:rsidRDefault="001C7349" w:rsidP="00BE1714">
            <w:pPr>
              <w:jc w:val="right"/>
              <w:rPr>
                <w:sz w:val="20"/>
                <w:szCs w:val="20"/>
              </w:rPr>
            </w:pPr>
            <w:r>
              <w:rPr>
                <w:sz w:val="20"/>
                <w:szCs w:val="20"/>
              </w:rPr>
              <w:t>2,</w:t>
            </w:r>
            <w:r w:rsidR="00744E70">
              <w:rPr>
                <w:sz w:val="20"/>
                <w:szCs w:val="20"/>
              </w:rPr>
              <w:t>734</w:t>
            </w:r>
          </w:p>
        </w:tc>
        <w:tc>
          <w:tcPr>
            <w:tcW w:w="1812" w:type="dxa"/>
          </w:tcPr>
          <w:p w14:paraId="3BF615B3" w14:textId="239A9BE3" w:rsidR="00BE1714" w:rsidRPr="008474EF" w:rsidRDefault="002474A1" w:rsidP="00BE1714">
            <w:pPr>
              <w:jc w:val="right"/>
              <w:rPr>
                <w:sz w:val="20"/>
                <w:szCs w:val="20"/>
              </w:rPr>
            </w:pPr>
            <w:r>
              <w:rPr>
                <w:sz w:val="20"/>
                <w:szCs w:val="20"/>
              </w:rPr>
              <w:t>2,</w:t>
            </w:r>
            <w:r w:rsidR="00744E70">
              <w:rPr>
                <w:sz w:val="20"/>
                <w:szCs w:val="20"/>
              </w:rPr>
              <w:t>480</w:t>
            </w:r>
          </w:p>
        </w:tc>
        <w:tc>
          <w:tcPr>
            <w:tcW w:w="1813" w:type="dxa"/>
          </w:tcPr>
          <w:p w14:paraId="6AAB4B51" w14:textId="5C881FBB" w:rsidR="00BE1714" w:rsidRPr="008474EF" w:rsidRDefault="00744E70" w:rsidP="00BE1714">
            <w:pPr>
              <w:jc w:val="right"/>
              <w:rPr>
                <w:sz w:val="20"/>
                <w:szCs w:val="20"/>
              </w:rPr>
            </w:pPr>
            <w:r>
              <w:rPr>
                <w:sz w:val="20"/>
                <w:szCs w:val="20"/>
              </w:rPr>
              <w:t>2</w:t>
            </w:r>
            <w:r w:rsidR="001C7349">
              <w:rPr>
                <w:sz w:val="20"/>
                <w:szCs w:val="20"/>
              </w:rPr>
              <w:t>,</w:t>
            </w:r>
            <w:r>
              <w:rPr>
                <w:sz w:val="20"/>
                <w:szCs w:val="20"/>
              </w:rPr>
              <w:t>333</w:t>
            </w:r>
          </w:p>
        </w:tc>
      </w:tr>
      <w:tr w:rsidR="00BE1714" w14:paraId="7BF01B3A" w14:textId="77777777" w:rsidTr="008474EF">
        <w:tc>
          <w:tcPr>
            <w:tcW w:w="1812" w:type="dxa"/>
          </w:tcPr>
          <w:p w14:paraId="581985E5" w14:textId="77777777" w:rsidR="00BE1714" w:rsidRPr="008474EF" w:rsidRDefault="00BE1714" w:rsidP="00BE1714">
            <w:pPr>
              <w:rPr>
                <w:sz w:val="20"/>
                <w:szCs w:val="20"/>
              </w:rPr>
            </w:pPr>
            <w:r w:rsidRPr="008474EF">
              <w:rPr>
                <w:sz w:val="20"/>
                <w:szCs w:val="20"/>
              </w:rPr>
              <w:t>Income</w:t>
            </w:r>
          </w:p>
        </w:tc>
        <w:tc>
          <w:tcPr>
            <w:tcW w:w="1812" w:type="dxa"/>
          </w:tcPr>
          <w:p w14:paraId="66328A0A" w14:textId="0F181ED9" w:rsidR="00BE1714" w:rsidRPr="008474EF" w:rsidRDefault="002B1B93" w:rsidP="00737D30">
            <w:pPr>
              <w:jc w:val="right"/>
              <w:rPr>
                <w:sz w:val="20"/>
                <w:szCs w:val="20"/>
                <w:u w:val="single"/>
              </w:rPr>
            </w:pPr>
            <w:r>
              <w:rPr>
                <w:sz w:val="20"/>
                <w:szCs w:val="20"/>
                <w:u w:val="single"/>
              </w:rPr>
              <w:t xml:space="preserve">    </w:t>
            </w:r>
            <w:r w:rsidR="00AD5952">
              <w:rPr>
                <w:sz w:val="20"/>
                <w:szCs w:val="20"/>
                <w:u w:val="single"/>
              </w:rPr>
              <w:t>(</w:t>
            </w:r>
            <w:r w:rsidR="00744E70">
              <w:rPr>
                <w:sz w:val="20"/>
                <w:szCs w:val="20"/>
                <w:u w:val="single"/>
              </w:rPr>
              <w:t>77</w:t>
            </w:r>
            <w:r w:rsidR="002474A1">
              <w:rPr>
                <w:sz w:val="20"/>
                <w:szCs w:val="20"/>
                <w:u w:val="single"/>
              </w:rPr>
              <w:t>)</w:t>
            </w:r>
          </w:p>
        </w:tc>
        <w:tc>
          <w:tcPr>
            <w:tcW w:w="1812" w:type="dxa"/>
          </w:tcPr>
          <w:p w14:paraId="3BE69865" w14:textId="59C8DC4F" w:rsidR="00BE1714" w:rsidRPr="008474EF" w:rsidRDefault="001C06AC" w:rsidP="00EF4DE1">
            <w:pPr>
              <w:jc w:val="right"/>
              <w:rPr>
                <w:sz w:val="20"/>
                <w:szCs w:val="20"/>
                <w:u w:val="single"/>
              </w:rPr>
            </w:pPr>
            <w:r>
              <w:rPr>
                <w:sz w:val="20"/>
                <w:szCs w:val="20"/>
                <w:u w:val="single"/>
              </w:rPr>
              <w:t>_</w:t>
            </w:r>
            <w:r w:rsidR="002474A1">
              <w:rPr>
                <w:sz w:val="20"/>
                <w:szCs w:val="20"/>
                <w:u w:val="single"/>
              </w:rPr>
              <w:t>(</w:t>
            </w:r>
            <w:r w:rsidR="00744E70">
              <w:rPr>
                <w:sz w:val="20"/>
                <w:szCs w:val="20"/>
                <w:u w:val="single"/>
              </w:rPr>
              <w:t>11</w:t>
            </w:r>
            <w:r w:rsidR="002474A1">
              <w:rPr>
                <w:sz w:val="20"/>
                <w:szCs w:val="20"/>
                <w:u w:val="single"/>
              </w:rPr>
              <w:t>)</w:t>
            </w:r>
          </w:p>
        </w:tc>
        <w:tc>
          <w:tcPr>
            <w:tcW w:w="1812" w:type="dxa"/>
          </w:tcPr>
          <w:p w14:paraId="187130B6" w14:textId="5DA62E76" w:rsidR="00BE1714" w:rsidRPr="008474EF" w:rsidRDefault="001C06AC" w:rsidP="00BE1714">
            <w:pPr>
              <w:jc w:val="right"/>
              <w:rPr>
                <w:sz w:val="20"/>
                <w:szCs w:val="20"/>
              </w:rPr>
            </w:pPr>
            <w:r>
              <w:rPr>
                <w:sz w:val="20"/>
                <w:szCs w:val="20"/>
                <w:u w:val="single"/>
              </w:rPr>
              <w:t>_</w:t>
            </w:r>
            <w:r w:rsidR="001C7349">
              <w:rPr>
                <w:sz w:val="20"/>
                <w:szCs w:val="20"/>
                <w:u w:val="single"/>
              </w:rPr>
              <w:t xml:space="preserve">  </w:t>
            </w:r>
            <w:r w:rsidR="00744E70">
              <w:rPr>
                <w:sz w:val="20"/>
                <w:szCs w:val="20"/>
                <w:u w:val="single"/>
              </w:rPr>
              <w:t>(8)</w:t>
            </w:r>
          </w:p>
        </w:tc>
        <w:tc>
          <w:tcPr>
            <w:tcW w:w="1813" w:type="dxa"/>
          </w:tcPr>
          <w:p w14:paraId="49667DAC" w14:textId="5CE0E545" w:rsidR="00BE1714" w:rsidRPr="008474EF" w:rsidRDefault="00BE1714" w:rsidP="00BE1714">
            <w:pPr>
              <w:jc w:val="right"/>
              <w:rPr>
                <w:sz w:val="20"/>
                <w:szCs w:val="20"/>
                <w:u w:val="single"/>
              </w:rPr>
            </w:pPr>
            <w:r w:rsidRPr="008474EF">
              <w:rPr>
                <w:sz w:val="20"/>
                <w:szCs w:val="20"/>
              </w:rPr>
              <w:softHyphen/>
            </w:r>
            <w:r w:rsidRPr="008474EF">
              <w:rPr>
                <w:sz w:val="20"/>
                <w:szCs w:val="20"/>
              </w:rPr>
              <w:softHyphen/>
            </w:r>
            <w:r w:rsidR="001C06AC">
              <w:rPr>
                <w:sz w:val="20"/>
                <w:szCs w:val="20"/>
                <w:u w:val="single"/>
              </w:rPr>
              <w:t>___</w:t>
            </w:r>
            <w:r w:rsidR="002474A1">
              <w:rPr>
                <w:sz w:val="20"/>
                <w:szCs w:val="20"/>
                <w:u w:val="single"/>
              </w:rPr>
              <w:t>0</w:t>
            </w:r>
          </w:p>
        </w:tc>
      </w:tr>
      <w:tr w:rsidR="00BE1714" w14:paraId="4ABE7E2E" w14:textId="77777777" w:rsidTr="008474EF">
        <w:tc>
          <w:tcPr>
            <w:tcW w:w="1812" w:type="dxa"/>
          </w:tcPr>
          <w:p w14:paraId="455187EA" w14:textId="77777777" w:rsidR="00BE1714" w:rsidRPr="008474EF" w:rsidRDefault="00BE1714" w:rsidP="00BE1714">
            <w:pPr>
              <w:rPr>
                <w:sz w:val="20"/>
                <w:szCs w:val="20"/>
              </w:rPr>
            </w:pPr>
          </w:p>
          <w:p w14:paraId="63D801FC" w14:textId="7D8EF9FF" w:rsidR="00BE1714" w:rsidRPr="008474EF" w:rsidRDefault="00BE1714" w:rsidP="00BE1714">
            <w:pPr>
              <w:rPr>
                <w:sz w:val="20"/>
                <w:szCs w:val="20"/>
              </w:rPr>
            </w:pPr>
            <w:r w:rsidRPr="008474EF">
              <w:rPr>
                <w:sz w:val="20"/>
                <w:szCs w:val="20"/>
              </w:rPr>
              <w:t xml:space="preserve">Net </w:t>
            </w:r>
            <w:r w:rsidR="00D80963">
              <w:rPr>
                <w:sz w:val="20"/>
                <w:szCs w:val="20"/>
              </w:rPr>
              <w:t xml:space="preserve">Operating </w:t>
            </w:r>
            <w:r w:rsidRPr="008474EF">
              <w:rPr>
                <w:sz w:val="20"/>
                <w:szCs w:val="20"/>
              </w:rPr>
              <w:t>Expenditure</w:t>
            </w:r>
          </w:p>
        </w:tc>
        <w:tc>
          <w:tcPr>
            <w:tcW w:w="1812" w:type="dxa"/>
          </w:tcPr>
          <w:p w14:paraId="70D1028D" w14:textId="77777777" w:rsidR="005D69D1" w:rsidRDefault="005D69D1" w:rsidP="005D69D1">
            <w:pPr>
              <w:jc w:val="right"/>
              <w:rPr>
                <w:sz w:val="20"/>
                <w:szCs w:val="20"/>
              </w:rPr>
            </w:pPr>
          </w:p>
          <w:p w14:paraId="1D5BCB8B" w14:textId="77777777" w:rsidR="002B1B93" w:rsidRDefault="002B1B93" w:rsidP="005D69D1">
            <w:pPr>
              <w:jc w:val="right"/>
              <w:rPr>
                <w:sz w:val="20"/>
                <w:szCs w:val="20"/>
              </w:rPr>
            </w:pPr>
          </w:p>
          <w:p w14:paraId="659C51C2" w14:textId="08423EBA" w:rsidR="002B1B93" w:rsidRPr="008474EF" w:rsidRDefault="00F643C2" w:rsidP="005D69D1">
            <w:pPr>
              <w:jc w:val="right"/>
              <w:rPr>
                <w:sz w:val="20"/>
                <w:szCs w:val="20"/>
              </w:rPr>
            </w:pPr>
            <w:r>
              <w:rPr>
                <w:sz w:val="20"/>
                <w:szCs w:val="20"/>
              </w:rPr>
              <w:t>2,</w:t>
            </w:r>
            <w:r w:rsidR="00744E70">
              <w:rPr>
                <w:sz w:val="20"/>
                <w:szCs w:val="20"/>
              </w:rPr>
              <w:t>824</w:t>
            </w:r>
          </w:p>
        </w:tc>
        <w:tc>
          <w:tcPr>
            <w:tcW w:w="1812" w:type="dxa"/>
          </w:tcPr>
          <w:p w14:paraId="38F97D82" w14:textId="77777777" w:rsidR="00BE1714" w:rsidRDefault="00BE1714" w:rsidP="00BE1714">
            <w:pPr>
              <w:jc w:val="right"/>
              <w:rPr>
                <w:sz w:val="20"/>
                <w:szCs w:val="20"/>
                <w:u w:val="single"/>
              </w:rPr>
            </w:pPr>
          </w:p>
          <w:p w14:paraId="5650ABA2" w14:textId="77777777" w:rsidR="00BE1714" w:rsidRPr="008474EF" w:rsidRDefault="00BE1714" w:rsidP="00BE1714">
            <w:pPr>
              <w:jc w:val="right"/>
              <w:rPr>
                <w:sz w:val="20"/>
                <w:szCs w:val="20"/>
                <w:u w:val="single"/>
              </w:rPr>
            </w:pPr>
          </w:p>
          <w:p w14:paraId="6FD543A9" w14:textId="2A137EA7" w:rsidR="00BE1714" w:rsidRDefault="001C7349" w:rsidP="00BE1714">
            <w:pPr>
              <w:jc w:val="right"/>
              <w:rPr>
                <w:sz w:val="20"/>
                <w:szCs w:val="20"/>
              </w:rPr>
            </w:pPr>
            <w:r>
              <w:rPr>
                <w:sz w:val="20"/>
                <w:szCs w:val="20"/>
              </w:rPr>
              <w:t>2,</w:t>
            </w:r>
            <w:r w:rsidR="00744E70">
              <w:rPr>
                <w:sz w:val="20"/>
                <w:szCs w:val="20"/>
              </w:rPr>
              <w:t>723</w:t>
            </w:r>
          </w:p>
          <w:p w14:paraId="6391941E" w14:textId="77777777" w:rsidR="005D69D1" w:rsidRPr="008474EF" w:rsidRDefault="005D69D1" w:rsidP="00BE1714">
            <w:pPr>
              <w:jc w:val="right"/>
              <w:rPr>
                <w:sz w:val="20"/>
                <w:szCs w:val="20"/>
              </w:rPr>
            </w:pPr>
          </w:p>
        </w:tc>
        <w:tc>
          <w:tcPr>
            <w:tcW w:w="1812" w:type="dxa"/>
          </w:tcPr>
          <w:p w14:paraId="62EC2820" w14:textId="77777777" w:rsidR="00BE1714" w:rsidRPr="008474EF" w:rsidRDefault="00BE1714" w:rsidP="00BE1714">
            <w:pPr>
              <w:jc w:val="right"/>
              <w:rPr>
                <w:sz w:val="20"/>
                <w:szCs w:val="20"/>
                <w:u w:val="single"/>
              </w:rPr>
            </w:pPr>
          </w:p>
          <w:p w14:paraId="18CC3CAD" w14:textId="77777777" w:rsidR="00BE1714" w:rsidRPr="008474EF" w:rsidRDefault="00BE1714" w:rsidP="00BE1714">
            <w:pPr>
              <w:jc w:val="right"/>
              <w:rPr>
                <w:sz w:val="20"/>
                <w:szCs w:val="20"/>
                <w:u w:val="single"/>
              </w:rPr>
            </w:pPr>
          </w:p>
          <w:p w14:paraId="6E4085A6" w14:textId="2DF076C4" w:rsidR="00BE1714" w:rsidRPr="008474EF" w:rsidRDefault="002474A1" w:rsidP="00BE1714">
            <w:pPr>
              <w:jc w:val="right"/>
              <w:rPr>
                <w:sz w:val="20"/>
                <w:szCs w:val="20"/>
              </w:rPr>
            </w:pPr>
            <w:r>
              <w:rPr>
                <w:sz w:val="20"/>
                <w:szCs w:val="20"/>
              </w:rPr>
              <w:t>2,</w:t>
            </w:r>
            <w:r w:rsidR="00744E70">
              <w:rPr>
                <w:sz w:val="20"/>
                <w:szCs w:val="20"/>
              </w:rPr>
              <w:t>472</w:t>
            </w:r>
          </w:p>
        </w:tc>
        <w:tc>
          <w:tcPr>
            <w:tcW w:w="1813" w:type="dxa"/>
          </w:tcPr>
          <w:p w14:paraId="3C54121D" w14:textId="77777777" w:rsidR="00BE1714" w:rsidRPr="008474EF" w:rsidRDefault="00BE1714" w:rsidP="00BE1714">
            <w:pPr>
              <w:jc w:val="right"/>
              <w:rPr>
                <w:sz w:val="20"/>
                <w:szCs w:val="20"/>
              </w:rPr>
            </w:pPr>
          </w:p>
          <w:p w14:paraId="0047B017" w14:textId="77777777" w:rsidR="00BE1714" w:rsidRPr="008474EF" w:rsidRDefault="00BE1714" w:rsidP="00BE1714">
            <w:pPr>
              <w:jc w:val="right"/>
              <w:rPr>
                <w:sz w:val="20"/>
                <w:szCs w:val="20"/>
              </w:rPr>
            </w:pPr>
          </w:p>
          <w:p w14:paraId="593B15C1" w14:textId="57E7FB19" w:rsidR="00BE1714" w:rsidRPr="008474EF" w:rsidRDefault="00744E70" w:rsidP="00BE1714">
            <w:pPr>
              <w:jc w:val="right"/>
              <w:rPr>
                <w:sz w:val="20"/>
                <w:szCs w:val="20"/>
              </w:rPr>
            </w:pPr>
            <w:r>
              <w:rPr>
                <w:sz w:val="20"/>
                <w:szCs w:val="20"/>
              </w:rPr>
              <w:t>2</w:t>
            </w:r>
            <w:r w:rsidR="00EF4DE1">
              <w:rPr>
                <w:sz w:val="20"/>
                <w:szCs w:val="20"/>
              </w:rPr>
              <w:t>,</w:t>
            </w:r>
            <w:r>
              <w:rPr>
                <w:sz w:val="20"/>
                <w:szCs w:val="20"/>
              </w:rPr>
              <w:t>333</w:t>
            </w:r>
          </w:p>
        </w:tc>
      </w:tr>
    </w:tbl>
    <w:p w14:paraId="36CDA7BA" w14:textId="77777777" w:rsidR="001E24FD" w:rsidRDefault="00DD7949" w:rsidP="00DD7949">
      <w:pPr>
        <w:rPr>
          <w:noProof/>
          <w:lang w:eastAsia="en-GB"/>
        </w:rPr>
      </w:pPr>
      <w:r>
        <w:rPr>
          <w:noProof/>
          <w:lang w:eastAsia="en-GB"/>
        </w:rPr>
        <w:drawing>
          <wp:inline distT="0" distB="0" distL="0" distR="0" wp14:anchorId="3FFDA949" wp14:editId="01541B82">
            <wp:extent cx="2057399" cy="1182188"/>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1">
                      <a:extLst>
                        <a:ext uri="{28A0092B-C50C-407E-A947-70E740481C1C}">
                          <a14:useLocalDpi xmlns:a14="http://schemas.microsoft.com/office/drawing/2010/main" val="0"/>
                        </a:ext>
                      </a:extLst>
                    </a:blip>
                    <a:stretch>
                      <a:fillRect/>
                    </a:stretch>
                  </pic:blipFill>
                  <pic:spPr>
                    <a:xfrm>
                      <a:off x="0" y="0"/>
                      <a:ext cx="2057399" cy="1182188"/>
                    </a:xfrm>
                    <a:prstGeom prst="rect">
                      <a:avLst/>
                    </a:prstGeom>
                  </pic:spPr>
                </pic:pic>
              </a:graphicData>
            </a:graphic>
          </wp:inline>
        </w:drawing>
      </w:r>
    </w:p>
    <w:p w14:paraId="0AA8683C" w14:textId="77777777" w:rsidR="00866B98" w:rsidRPr="00D80497" w:rsidRDefault="00866B98" w:rsidP="00866B98">
      <w:pPr>
        <w:widowControl w:val="0"/>
        <w:autoSpaceDE w:val="0"/>
        <w:autoSpaceDN w:val="0"/>
        <w:adjustRightInd w:val="0"/>
        <w:rPr>
          <w:b/>
        </w:rPr>
      </w:pPr>
      <w:r>
        <w:rPr>
          <w:b/>
        </w:rPr>
        <w:t>Dr David Russell</w:t>
      </w:r>
    </w:p>
    <w:p w14:paraId="79B37B38" w14:textId="6DC6B6B5" w:rsidR="00866B98" w:rsidRPr="00D80497" w:rsidRDefault="00866B98" w:rsidP="00866B98">
      <w:pPr>
        <w:widowControl w:val="0"/>
        <w:autoSpaceDE w:val="0"/>
        <w:autoSpaceDN w:val="0"/>
        <w:adjustRightInd w:val="0"/>
        <w:rPr>
          <w:b/>
        </w:rPr>
      </w:pPr>
      <w:r w:rsidRPr="00D80497">
        <w:rPr>
          <w:b/>
        </w:rPr>
        <w:t>Accounting Officer</w:t>
      </w:r>
    </w:p>
    <w:p w14:paraId="758B00BC" w14:textId="77777777" w:rsidR="00866B98" w:rsidRPr="00D80497" w:rsidRDefault="00866B98" w:rsidP="00866B98">
      <w:pPr>
        <w:widowControl w:val="0"/>
        <w:tabs>
          <w:tab w:val="left" w:pos="2802"/>
        </w:tabs>
        <w:autoSpaceDE w:val="0"/>
        <w:autoSpaceDN w:val="0"/>
        <w:adjustRightInd w:val="0"/>
      </w:pPr>
    </w:p>
    <w:p w14:paraId="70A833FD" w14:textId="5A8C3F85" w:rsidR="00866B98" w:rsidRDefault="00866B98" w:rsidP="00866B98">
      <w:pPr>
        <w:widowControl w:val="0"/>
        <w:tabs>
          <w:tab w:val="left" w:pos="851"/>
        </w:tabs>
        <w:autoSpaceDE w:val="0"/>
        <w:autoSpaceDN w:val="0"/>
        <w:adjustRightInd w:val="0"/>
        <w:rPr>
          <w:b/>
        </w:rPr>
      </w:pPr>
      <w:r w:rsidRPr="00D80497">
        <w:rPr>
          <w:b/>
        </w:rPr>
        <w:t xml:space="preserve">Date: </w:t>
      </w:r>
      <w:r w:rsidR="00410296">
        <w:rPr>
          <w:b/>
        </w:rPr>
        <w:t>03 July 202</w:t>
      </w:r>
      <w:r w:rsidR="007A6076">
        <w:rPr>
          <w:b/>
        </w:rPr>
        <w:t>5</w:t>
      </w:r>
    </w:p>
    <w:p w14:paraId="6C8695E0" w14:textId="77777777" w:rsidR="00F04493" w:rsidRDefault="00F04493" w:rsidP="00866B98">
      <w:pPr>
        <w:widowControl w:val="0"/>
        <w:tabs>
          <w:tab w:val="left" w:pos="851"/>
        </w:tabs>
        <w:autoSpaceDE w:val="0"/>
        <w:autoSpaceDN w:val="0"/>
        <w:adjustRightInd w:val="0"/>
        <w:rPr>
          <w:b/>
        </w:rPr>
      </w:pPr>
    </w:p>
    <w:p w14:paraId="0C5F85D6" w14:textId="77777777" w:rsidR="00F04493" w:rsidRDefault="00F04493" w:rsidP="00866B98">
      <w:pPr>
        <w:widowControl w:val="0"/>
        <w:tabs>
          <w:tab w:val="left" w:pos="851"/>
        </w:tabs>
        <w:autoSpaceDE w:val="0"/>
        <w:autoSpaceDN w:val="0"/>
        <w:adjustRightInd w:val="0"/>
        <w:rPr>
          <w:b/>
        </w:rPr>
      </w:pPr>
    </w:p>
    <w:p w14:paraId="08944C67" w14:textId="77777777" w:rsidR="00F04493" w:rsidRDefault="00F04493" w:rsidP="00866B98">
      <w:pPr>
        <w:widowControl w:val="0"/>
        <w:tabs>
          <w:tab w:val="left" w:pos="851"/>
        </w:tabs>
        <w:autoSpaceDE w:val="0"/>
        <w:autoSpaceDN w:val="0"/>
        <w:adjustRightInd w:val="0"/>
        <w:rPr>
          <w:b/>
        </w:rPr>
      </w:pPr>
    </w:p>
    <w:p w14:paraId="31761B0B" w14:textId="77777777" w:rsidR="00F04493" w:rsidRDefault="00F04493" w:rsidP="00866B98">
      <w:pPr>
        <w:widowControl w:val="0"/>
        <w:tabs>
          <w:tab w:val="left" w:pos="851"/>
        </w:tabs>
        <w:autoSpaceDE w:val="0"/>
        <w:autoSpaceDN w:val="0"/>
        <w:adjustRightInd w:val="0"/>
        <w:rPr>
          <w:b/>
        </w:rPr>
      </w:pPr>
    </w:p>
    <w:p w14:paraId="39E7FF89" w14:textId="77777777" w:rsidR="00F04493" w:rsidRDefault="00F04493" w:rsidP="00866B98">
      <w:pPr>
        <w:widowControl w:val="0"/>
        <w:tabs>
          <w:tab w:val="left" w:pos="851"/>
        </w:tabs>
        <w:autoSpaceDE w:val="0"/>
        <w:autoSpaceDN w:val="0"/>
        <w:adjustRightInd w:val="0"/>
        <w:rPr>
          <w:b/>
        </w:rPr>
      </w:pPr>
    </w:p>
    <w:p w14:paraId="05727210" w14:textId="77777777" w:rsidR="00F04493" w:rsidRDefault="00F04493" w:rsidP="00866B98">
      <w:pPr>
        <w:widowControl w:val="0"/>
        <w:tabs>
          <w:tab w:val="left" w:pos="851"/>
        </w:tabs>
        <w:autoSpaceDE w:val="0"/>
        <w:autoSpaceDN w:val="0"/>
        <w:adjustRightInd w:val="0"/>
        <w:rPr>
          <w:b/>
        </w:rPr>
      </w:pPr>
    </w:p>
    <w:p w14:paraId="44778985" w14:textId="77777777" w:rsidR="00F04493" w:rsidRDefault="00F04493" w:rsidP="00866B98">
      <w:pPr>
        <w:widowControl w:val="0"/>
        <w:tabs>
          <w:tab w:val="left" w:pos="851"/>
        </w:tabs>
        <w:autoSpaceDE w:val="0"/>
        <w:autoSpaceDN w:val="0"/>
        <w:adjustRightInd w:val="0"/>
        <w:rPr>
          <w:b/>
        </w:rPr>
      </w:pPr>
    </w:p>
    <w:p w14:paraId="77665135" w14:textId="77777777" w:rsidR="00F04493" w:rsidRDefault="00F04493" w:rsidP="00866B98">
      <w:pPr>
        <w:widowControl w:val="0"/>
        <w:tabs>
          <w:tab w:val="left" w:pos="851"/>
        </w:tabs>
        <w:autoSpaceDE w:val="0"/>
        <w:autoSpaceDN w:val="0"/>
        <w:adjustRightInd w:val="0"/>
        <w:rPr>
          <w:b/>
        </w:rPr>
      </w:pPr>
    </w:p>
    <w:p w14:paraId="13A31B1D" w14:textId="77777777" w:rsidR="00F04493" w:rsidRDefault="00F04493" w:rsidP="00866B98">
      <w:pPr>
        <w:widowControl w:val="0"/>
        <w:tabs>
          <w:tab w:val="left" w:pos="851"/>
        </w:tabs>
        <w:autoSpaceDE w:val="0"/>
        <w:autoSpaceDN w:val="0"/>
        <w:adjustRightInd w:val="0"/>
        <w:rPr>
          <w:b/>
        </w:rPr>
      </w:pPr>
    </w:p>
    <w:p w14:paraId="6FEECE44" w14:textId="77777777" w:rsidR="00F04493" w:rsidRDefault="00F04493" w:rsidP="00866B98">
      <w:pPr>
        <w:widowControl w:val="0"/>
        <w:tabs>
          <w:tab w:val="left" w:pos="851"/>
        </w:tabs>
        <w:autoSpaceDE w:val="0"/>
        <w:autoSpaceDN w:val="0"/>
        <w:adjustRightInd w:val="0"/>
        <w:rPr>
          <w:b/>
        </w:rPr>
      </w:pPr>
    </w:p>
    <w:p w14:paraId="797F4D9F" w14:textId="77777777" w:rsidR="00F04493" w:rsidRDefault="00F04493" w:rsidP="00866B98">
      <w:pPr>
        <w:widowControl w:val="0"/>
        <w:tabs>
          <w:tab w:val="left" w:pos="851"/>
        </w:tabs>
        <w:autoSpaceDE w:val="0"/>
        <w:autoSpaceDN w:val="0"/>
        <w:adjustRightInd w:val="0"/>
        <w:rPr>
          <w:b/>
        </w:rPr>
      </w:pPr>
    </w:p>
    <w:p w14:paraId="0C518E9E" w14:textId="77777777" w:rsidR="00F04493" w:rsidRDefault="00F04493" w:rsidP="00866B98">
      <w:pPr>
        <w:widowControl w:val="0"/>
        <w:tabs>
          <w:tab w:val="left" w:pos="851"/>
        </w:tabs>
        <w:autoSpaceDE w:val="0"/>
        <w:autoSpaceDN w:val="0"/>
        <w:adjustRightInd w:val="0"/>
        <w:rPr>
          <w:b/>
        </w:rPr>
      </w:pPr>
    </w:p>
    <w:p w14:paraId="26A89829" w14:textId="77777777" w:rsidR="00F04493" w:rsidRDefault="00F04493" w:rsidP="00866B98">
      <w:pPr>
        <w:widowControl w:val="0"/>
        <w:tabs>
          <w:tab w:val="left" w:pos="851"/>
        </w:tabs>
        <w:autoSpaceDE w:val="0"/>
        <w:autoSpaceDN w:val="0"/>
        <w:adjustRightInd w:val="0"/>
        <w:rPr>
          <w:b/>
        </w:rPr>
      </w:pPr>
    </w:p>
    <w:p w14:paraId="12C80F04" w14:textId="77777777" w:rsidR="00F04493" w:rsidRDefault="00F04493" w:rsidP="00866B98">
      <w:pPr>
        <w:widowControl w:val="0"/>
        <w:tabs>
          <w:tab w:val="left" w:pos="851"/>
        </w:tabs>
        <w:autoSpaceDE w:val="0"/>
        <w:autoSpaceDN w:val="0"/>
        <w:adjustRightInd w:val="0"/>
        <w:rPr>
          <w:b/>
        </w:rPr>
      </w:pPr>
    </w:p>
    <w:p w14:paraId="1AAB0159" w14:textId="77777777" w:rsidR="00F04493" w:rsidRDefault="00F04493" w:rsidP="00866B98">
      <w:pPr>
        <w:widowControl w:val="0"/>
        <w:tabs>
          <w:tab w:val="left" w:pos="851"/>
        </w:tabs>
        <w:autoSpaceDE w:val="0"/>
        <w:autoSpaceDN w:val="0"/>
        <w:adjustRightInd w:val="0"/>
        <w:rPr>
          <w:b/>
        </w:rPr>
      </w:pPr>
    </w:p>
    <w:p w14:paraId="6803E153" w14:textId="77777777" w:rsidR="00F04493" w:rsidRDefault="00F04493" w:rsidP="00866B98">
      <w:pPr>
        <w:widowControl w:val="0"/>
        <w:tabs>
          <w:tab w:val="left" w:pos="851"/>
        </w:tabs>
        <w:autoSpaceDE w:val="0"/>
        <w:autoSpaceDN w:val="0"/>
        <w:adjustRightInd w:val="0"/>
        <w:rPr>
          <w:b/>
        </w:rPr>
      </w:pPr>
    </w:p>
    <w:p w14:paraId="30C46851" w14:textId="77777777" w:rsidR="00F04493" w:rsidRDefault="00F04493" w:rsidP="00866B98">
      <w:pPr>
        <w:widowControl w:val="0"/>
        <w:tabs>
          <w:tab w:val="left" w:pos="851"/>
        </w:tabs>
        <w:autoSpaceDE w:val="0"/>
        <w:autoSpaceDN w:val="0"/>
        <w:adjustRightInd w:val="0"/>
        <w:rPr>
          <w:b/>
        </w:rPr>
      </w:pPr>
    </w:p>
    <w:p w14:paraId="0477C902" w14:textId="77777777" w:rsidR="00F04493" w:rsidRDefault="00F04493" w:rsidP="00866B98">
      <w:pPr>
        <w:widowControl w:val="0"/>
        <w:tabs>
          <w:tab w:val="left" w:pos="851"/>
        </w:tabs>
        <w:autoSpaceDE w:val="0"/>
        <w:autoSpaceDN w:val="0"/>
        <w:adjustRightInd w:val="0"/>
        <w:rPr>
          <w:b/>
        </w:rPr>
      </w:pPr>
    </w:p>
    <w:p w14:paraId="7CD1E34B" w14:textId="77777777" w:rsidR="00D36B3C" w:rsidRDefault="00D36B3C" w:rsidP="00866B98">
      <w:pPr>
        <w:widowControl w:val="0"/>
        <w:tabs>
          <w:tab w:val="left" w:pos="851"/>
        </w:tabs>
        <w:autoSpaceDE w:val="0"/>
        <w:autoSpaceDN w:val="0"/>
        <w:adjustRightInd w:val="0"/>
        <w:rPr>
          <w:b/>
        </w:rPr>
      </w:pPr>
    </w:p>
    <w:p w14:paraId="5EAA0E1B" w14:textId="77777777" w:rsidR="00D36B3C" w:rsidRDefault="00D36B3C" w:rsidP="00866B98">
      <w:pPr>
        <w:widowControl w:val="0"/>
        <w:tabs>
          <w:tab w:val="left" w:pos="851"/>
        </w:tabs>
        <w:autoSpaceDE w:val="0"/>
        <w:autoSpaceDN w:val="0"/>
        <w:adjustRightInd w:val="0"/>
        <w:rPr>
          <w:b/>
        </w:rPr>
      </w:pPr>
    </w:p>
    <w:p w14:paraId="46B9E31A" w14:textId="77777777" w:rsidR="00D36B3C" w:rsidRDefault="00D36B3C" w:rsidP="00866B98">
      <w:pPr>
        <w:widowControl w:val="0"/>
        <w:tabs>
          <w:tab w:val="left" w:pos="851"/>
        </w:tabs>
        <w:autoSpaceDE w:val="0"/>
        <w:autoSpaceDN w:val="0"/>
        <w:adjustRightInd w:val="0"/>
        <w:rPr>
          <w:b/>
        </w:rPr>
      </w:pPr>
    </w:p>
    <w:p w14:paraId="4EB5FCF4" w14:textId="77777777" w:rsidR="00F04493" w:rsidRDefault="00F04493" w:rsidP="00866B98">
      <w:pPr>
        <w:widowControl w:val="0"/>
        <w:tabs>
          <w:tab w:val="left" w:pos="851"/>
        </w:tabs>
        <w:autoSpaceDE w:val="0"/>
        <w:autoSpaceDN w:val="0"/>
        <w:adjustRightInd w:val="0"/>
        <w:rPr>
          <w:b/>
        </w:rPr>
      </w:pPr>
    </w:p>
    <w:p w14:paraId="39415805" w14:textId="77777777" w:rsidR="00F04493" w:rsidRDefault="00F04493" w:rsidP="00866B98">
      <w:pPr>
        <w:widowControl w:val="0"/>
        <w:tabs>
          <w:tab w:val="left" w:pos="851"/>
        </w:tabs>
        <w:autoSpaceDE w:val="0"/>
        <w:autoSpaceDN w:val="0"/>
        <w:adjustRightInd w:val="0"/>
        <w:rPr>
          <w:b/>
        </w:rPr>
      </w:pPr>
    </w:p>
    <w:p w14:paraId="322D6D8C" w14:textId="064BF704" w:rsidR="001D45A6" w:rsidRPr="001D45A6" w:rsidRDefault="00DC2DA5" w:rsidP="001D45A6">
      <w:pPr>
        <w:pStyle w:val="Heading1"/>
        <w:rPr>
          <w:rFonts w:ascii="Verdana" w:hAnsi="Verdana"/>
          <w:b w:val="0"/>
          <w:bCs w:val="0"/>
          <w:color w:val="auto"/>
        </w:rPr>
      </w:pPr>
      <w:bookmarkStart w:id="29" w:name="CertificateandReportofComp"/>
      <w:r w:rsidRPr="008456FF">
        <w:rPr>
          <w:rFonts w:ascii="Verdana" w:hAnsi="Verdana"/>
          <w:color w:val="auto"/>
        </w:rPr>
        <w:lastRenderedPageBreak/>
        <w:t xml:space="preserve">THE </w:t>
      </w:r>
      <w:r w:rsidR="008456FF">
        <w:rPr>
          <w:rFonts w:ascii="Verdana" w:hAnsi="Verdana"/>
          <w:color w:val="auto"/>
        </w:rPr>
        <w:t>AUDIT</w:t>
      </w:r>
      <w:r w:rsidRPr="008456FF">
        <w:rPr>
          <w:rFonts w:ascii="Verdana" w:hAnsi="Verdana"/>
          <w:color w:val="auto"/>
        </w:rPr>
        <w:t xml:space="preserve"> </w:t>
      </w:r>
      <w:r w:rsidR="00E20214">
        <w:rPr>
          <w:rFonts w:ascii="Verdana" w:hAnsi="Verdana"/>
          <w:color w:val="auto"/>
        </w:rPr>
        <w:t>CERTIFICATE</w:t>
      </w:r>
      <w:r w:rsidR="00F0017A">
        <w:rPr>
          <w:rFonts w:ascii="Verdana" w:hAnsi="Verdana"/>
          <w:color w:val="auto"/>
        </w:rPr>
        <w:t xml:space="preserve"> AND REPORT</w:t>
      </w:r>
      <w:r w:rsidRPr="008456FF">
        <w:rPr>
          <w:rFonts w:ascii="Verdana" w:hAnsi="Verdana"/>
          <w:color w:val="auto"/>
        </w:rPr>
        <w:t xml:space="preserve"> OF THE COMPTROLLER AND AUDITOR GENERAL TO THE HOUSES OF PARLIAMENT</w:t>
      </w:r>
      <w:bookmarkEnd w:id="29"/>
    </w:p>
    <w:p w14:paraId="38DEF9B8" w14:textId="2C437006" w:rsidR="00852CCF" w:rsidRPr="001D45A6" w:rsidRDefault="00852CCF" w:rsidP="00827D54">
      <w:pPr>
        <w:spacing w:before="100" w:beforeAutospacing="1" w:after="100" w:afterAutospacing="1"/>
        <w:rPr>
          <w:b/>
          <w:bCs/>
        </w:rPr>
      </w:pPr>
      <w:r w:rsidRPr="001D45A6">
        <w:rPr>
          <w:b/>
          <w:bCs/>
        </w:rPr>
        <w:t>Opinion on financial statements</w:t>
      </w:r>
    </w:p>
    <w:p w14:paraId="71107FA1" w14:textId="3A71BFFC" w:rsidR="00DC2DA5" w:rsidRPr="008456FF" w:rsidRDefault="00DC2DA5" w:rsidP="00827D54">
      <w:pPr>
        <w:spacing w:before="100" w:beforeAutospacing="1" w:after="100" w:afterAutospacing="1"/>
      </w:pPr>
      <w:r w:rsidRPr="008456FF">
        <w:t>I have audited the financial statements of the Northern Ireland Human Rights Commission for the year ended 31 March 202</w:t>
      </w:r>
      <w:r w:rsidR="00D36B3C">
        <w:t>5</w:t>
      </w:r>
      <w:r w:rsidRPr="008456FF">
        <w:t xml:space="preserve"> under the Northern Ireland Act 1998.</w:t>
      </w:r>
    </w:p>
    <w:p w14:paraId="20FD39A7" w14:textId="77777777" w:rsidR="00DC2DA5" w:rsidRPr="008456FF" w:rsidRDefault="00DC2DA5" w:rsidP="00827D54">
      <w:pPr>
        <w:spacing w:before="100" w:beforeAutospacing="1" w:after="100" w:afterAutospacing="1"/>
      </w:pPr>
      <w:r w:rsidRPr="008456FF">
        <w:t>The financial statements comprise the Northern Ireland Human Rights Commission’s</w:t>
      </w:r>
    </w:p>
    <w:p w14:paraId="2D998061" w14:textId="69FFC3C7" w:rsidR="00DC2DA5" w:rsidRPr="008456FF" w:rsidRDefault="00DC2DA5" w:rsidP="007A6076">
      <w:pPr>
        <w:pStyle w:val="BodyText"/>
        <w:numPr>
          <w:ilvl w:val="0"/>
          <w:numId w:val="18"/>
        </w:numPr>
        <w:spacing w:before="100" w:beforeAutospacing="1" w:after="100" w:afterAutospacing="1"/>
      </w:pPr>
      <w:r w:rsidRPr="008456FF">
        <w:t>Statement of Financial Position as at 31 March 202</w:t>
      </w:r>
      <w:r w:rsidR="007829D4">
        <w:t>5</w:t>
      </w:r>
      <w:r w:rsidRPr="008456FF">
        <w:t xml:space="preserve">;  </w:t>
      </w:r>
    </w:p>
    <w:p w14:paraId="74DED25E" w14:textId="77777777" w:rsidR="00DC2DA5" w:rsidRPr="008456FF" w:rsidRDefault="00DC2DA5" w:rsidP="007A6076">
      <w:pPr>
        <w:pStyle w:val="BodyText"/>
        <w:numPr>
          <w:ilvl w:val="0"/>
          <w:numId w:val="18"/>
        </w:numPr>
        <w:spacing w:before="100" w:beforeAutospacing="1" w:after="100" w:afterAutospacing="1"/>
      </w:pPr>
      <w:r w:rsidRPr="008456FF">
        <w:t xml:space="preserve">Statement of Comprehensive Net Expenditure, Statement of Cash Flows and Statement of Changes in Taxpayers’ Equity for the year then ended; and </w:t>
      </w:r>
    </w:p>
    <w:p w14:paraId="233944C7" w14:textId="77777777" w:rsidR="00DC2DA5" w:rsidRPr="008456FF" w:rsidRDefault="00DC2DA5" w:rsidP="007A6076">
      <w:pPr>
        <w:pStyle w:val="BodyText"/>
        <w:numPr>
          <w:ilvl w:val="0"/>
          <w:numId w:val="18"/>
        </w:numPr>
        <w:spacing w:before="100" w:beforeAutospacing="1" w:after="100" w:afterAutospacing="1"/>
      </w:pPr>
      <w:r w:rsidRPr="008456FF">
        <w:t>the related notes including the significant accounting policies.</w:t>
      </w:r>
    </w:p>
    <w:p w14:paraId="67105E08" w14:textId="29CC617A" w:rsidR="00DC2DA5" w:rsidRPr="008456FF" w:rsidRDefault="00DC2DA5" w:rsidP="00827D54">
      <w:pPr>
        <w:pStyle w:val="BodyText"/>
        <w:spacing w:before="100" w:beforeAutospacing="1" w:after="100" w:afterAutospacing="1"/>
      </w:pPr>
      <w:r w:rsidRPr="008456FF">
        <w:t xml:space="preserve">The financial reporting framework that has been applied in the preparation of the financial statements is </w:t>
      </w:r>
      <w:r w:rsidRPr="008456FF">
        <w:rPr>
          <w:rFonts w:cs="Arial"/>
        </w:rPr>
        <w:t>applicable law and UK</w:t>
      </w:r>
      <w:r w:rsidR="00234252">
        <w:rPr>
          <w:rFonts w:cs="Arial"/>
        </w:rPr>
        <w:t>-</w:t>
      </w:r>
      <w:r w:rsidRPr="008456FF">
        <w:rPr>
          <w:rFonts w:cs="Arial"/>
        </w:rPr>
        <w:t>adopted</w:t>
      </w:r>
      <w:r w:rsidRPr="008456FF">
        <w:t xml:space="preserve"> </w:t>
      </w:r>
      <w:r w:rsidR="00067504">
        <w:t>i</w:t>
      </w:r>
      <w:r w:rsidRPr="008456FF">
        <w:t xml:space="preserve">nternational </w:t>
      </w:r>
      <w:r w:rsidR="00067504">
        <w:t>a</w:t>
      </w:r>
      <w:r w:rsidRPr="008456FF">
        <w:t xml:space="preserve">ccounting </w:t>
      </w:r>
      <w:r w:rsidR="00067504">
        <w:t>s</w:t>
      </w:r>
      <w:r w:rsidRPr="008456FF">
        <w:t xml:space="preserve">tandards.  </w:t>
      </w:r>
    </w:p>
    <w:p w14:paraId="79F44DA4" w14:textId="77777777" w:rsidR="00DC2DA5" w:rsidRPr="008456FF" w:rsidRDefault="00DC2DA5" w:rsidP="00827D54">
      <w:pPr>
        <w:spacing w:before="100" w:beforeAutospacing="1" w:after="100" w:afterAutospacing="1"/>
      </w:pPr>
      <w:r w:rsidRPr="008456FF">
        <w:t>In my opinion, the financial statements:</w:t>
      </w:r>
    </w:p>
    <w:p w14:paraId="2C538CA2" w14:textId="45966D46" w:rsidR="00DC2DA5" w:rsidRPr="008456FF" w:rsidRDefault="00DC2DA5" w:rsidP="007A6076">
      <w:pPr>
        <w:numPr>
          <w:ilvl w:val="0"/>
          <w:numId w:val="17"/>
        </w:numPr>
        <w:spacing w:before="100" w:beforeAutospacing="1" w:after="100" w:afterAutospacing="1"/>
      </w:pPr>
      <w:r w:rsidRPr="008456FF">
        <w:t>give a true and fair view of the state of the Northern Ireland Human Rights Commission’s affairs as at 31 March 202</w:t>
      </w:r>
      <w:r w:rsidR="002A5378">
        <w:t>5</w:t>
      </w:r>
      <w:r w:rsidRPr="008456FF">
        <w:t xml:space="preserve"> and its net</w:t>
      </w:r>
      <w:r w:rsidR="00BF7ED8" w:rsidRPr="008456FF">
        <w:t xml:space="preserve"> </w:t>
      </w:r>
      <w:r w:rsidR="000D5D96" w:rsidRPr="008456FF">
        <w:t xml:space="preserve">operating </w:t>
      </w:r>
      <w:r w:rsidRPr="008456FF">
        <w:t>expenditure for the year then ended; and</w:t>
      </w:r>
    </w:p>
    <w:p w14:paraId="1C46E6AA" w14:textId="77777777" w:rsidR="00DC2DA5" w:rsidRPr="008456FF" w:rsidRDefault="00DC2DA5" w:rsidP="007A6076">
      <w:pPr>
        <w:numPr>
          <w:ilvl w:val="0"/>
          <w:numId w:val="17"/>
        </w:numPr>
        <w:spacing w:before="100" w:beforeAutospacing="1" w:after="100" w:afterAutospacing="1"/>
      </w:pPr>
      <w:r w:rsidRPr="008456FF">
        <w:t>have been properly prepared in accordance with the Northern Ireland Act 1998 and Secretary of State directions issued thereunder.</w:t>
      </w:r>
    </w:p>
    <w:p w14:paraId="4A5104FE" w14:textId="36818DDB" w:rsidR="00DC2DA5" w:rsidRPr="008456FF" w:rsidRDefault="00DC2DA5" w:rsidP="00632319">
      <w:pPr>
        <w:pStyle w:val="Heading2"/>
        <w:spacing w:before="100" w:beforeAutospacing="1" w:after="100" w:afterAutospacing="1"/>
        <w:rPr>
          <w:rFonts w:ascii="Verdana" w:hAnsi="Verdana"/>
          <w:b w:val="0"/>
          <w:bCs w:val="0"/>
          <w:i w:val="0"/>
          <w:iCs w:val="0"/>
          <w:color w:val="auto"/>
          <w:sz w:val="24"/>
          <w:szCs w:val="24"/>
        </w:rPr>
      </w:pPr>
      <w:r w:rsidRPr="008456FF">
        <w:rPr>
          <w:rFonts w:ascii="Verdana" w:hAnsi="Verdana"/>
          <w:i w:val="0"/>
          <w:iCs w:val="0"/>
          <w:color w:val="auto"/>
          <w:sz w:val="24"/>
          <w:szCs w:val="24"/>
        </w:rPr>
        <w:t>Opinion on regularity</w:t>
      </w:r>
    </w:p>
    <w:p w14:paraId="21395772" w14:textId="77777777" w:rsidR="00DC2DA5" w:rsidRPr="008456FF" w:rsidRDefault="00DC2DA5" w:rsidP="00827D54">
      <w:pPr>
        <w:spacing w:before="100" w:beforeAutospacing="1" w:after="100" w:afterAutospacing="1"/>
      </w:pPr>
      <w:r w:rsidRPr="008456FF">
        <w:t>In my opinion, in all material respects, the income and expenditure recorded in the financial statements have been applied to the purposes intended by Parliament and the financial transactions recorded in the financial statements conform to the authorities which govern them.</w:t>
      </w:r>
    </w:p>
    <w:p w14:paraId="38830A60" w14:textId="232BCF32" w:rsidR="00DC2DA5" w:rsidRPr="008456FF" w:rsidRDefault="00DC2DA5" w:rsidP="00632319">
      <w:pPr>
        <w:pStyle w:val="Heading2"/>
        <w:spacing w:before="100" w:beforeAutospacing="1" w:after="100" w:afterAutospacing="1"/>
        <w:rPr>
          <w:rFonts w:ascii="Verdana" w:hAnsi="Verdana"/>
          <w:b w:val="0"/>
          <w:bCs w:val="0"/>
          <w:i w:val="0"/>
          <w:iCs w:val="0"/>
          <w:color w:val="auto"/>
          <w:sz w:val="24"/>
          <w:szCs w:val="24"/>
        </w:rPr>
      </w:pPr>
      <w:r w:rsidRPr="008456FF">
        <w:rPr>
          <w:rFonts w:ascii="Verdana" w:hAnsi="Verdana"/>
          <w:i w:val="0"/>
          <w:iCs w:val="0"/>
          <w:color w:val="auto"/>
          <w:sz w:val="24"/>
          <w:szCs w:val="24"/>
        </w:rPr>
        <w:t>Basis for opinions</w:t>
      </w:r>
    </w:p>
    <w:p w14:paraId="1631D820" w14:textId="02A5D7B0" w:rsidR="00DC2DA5" w:rsidRPr="008456FF" w:rsidRDefault="00DC2DA5" w:rsidP="00827D54">
      <w:pPr>
        <w:spacing w:before="100" w:beforeAutospacing="1" w:after="100" w:afterAutospacing="1"/>
      </w:pPr>
      <w:bookmarkStart w:id="30" w:name="_Hlk535919225"/>
      <w:r w:rsidRPr="008456FF">
        <w:t xml:space="preserve">I conducted my audit in accordance with International Standards on Auditing (UK) (ISAs UK), applicable law and Practice Note 10 </w:t>
      </w:r>
      <w:r w:rsidRPr="008456FF">
        <w:rPr>
          <w:i/>
          <w:iCs/>
        </w:rPr>
        <w:t xml:space="preserve">Audit of Financial Statements and </w:t>
      </w:r>
      <w:r w:rsidR="00EE402C" w:rsidRPr="008456FF">
        <w:rPr>
          <w:i/>
          <w:iCs/>
        </w:rPr>
        <w:t>R</w:t>
      </w:r>
      <w:r w:rsidRPr="008456FF">
        <w:rPr>
          <w:i/>
          <w:iCs/>
        </w:rPr>
        <w:t xml:space="preserve">egularity of Public Sector </w:t>
      </w:r>
      <w:r w:rsidR="000345BC" w:rsidRPr="008456FF">
        <w:rPr>
          <w:i/>
          <w:iCs/>
        </w:rPr>
        <w:t>Bodies</w:t>
      </w:r>
      <w:r w:rsidRPr="008456FF">
        <w:rPr>
          <w:i/>
          <w:iCs/>
        </w:rPr>
        <w:t xml:space="preserve"> in the United Kingdom</w:t>
      </w:r>
      <w:r w:rsidR="00CE4F1A" w:rsidRPr="008456FF">
        <w:rPr>
          <w:i/>
          <w:iCs/>
        </w:rPr>
        <w:t xml:space="preserve"> (202</w:t>
      </w:r>
      <w:r w:rsidR="00471A5C">
        <w:rPr>
          <w:i/>
          <w:iCs/>
        </w:rPr>
        <w:t>2</w:t>
      </w:r>
      <w:r w:rsidR="00CE4F1A" w:rsidRPr="008456FF">
        <w:rPr>
          <w:i/>
          <w:iCs/>
        </w:rPr>
        <w:t>)</w:t>
      </w:r>
      <w:r w:rsidRPr="008456FF">
        <w:t xml:space="preserve">. My responsibilities under those standards are further described in the </w:t>
      </w:r>
      <w:r w:rsidRPr="008456FF">
        <w:rPr>
          <w:i/>
          <w:iCs/>
        </w:rPr>
        <w:t>Auditor’s responsibilities for the audit of the financial statements</w:t>
      </w:r>
      <w:r w:rsidRPr="008456FF">
        <w:t xml:space="preserve"> section of my </w:t>
      </w:r>
      <w:r w:rsidR="00CA67B9">
        <w:t>certificate</w:t>
      </w:r>
      <w:r w:rsidRPr="008456FF">
        <w:t>.</w:t>
      </w:r>
    </w:p>
    <w:p w14:paraId="113CEF89" w14:textId="65178870" w:rsidR="00DC2DA5" w:rsidRPr="008456FF" w:rsidRDefault="00DC2DA5" w:rsidP="00827D54">
      <w:pPr>
        <w:spacing w:before="100" w:beforeAutospacing="1" w:after="100" w:afterAutospacing="1"/>
      </w:pPr>
      <w:r w:rsidRPr="008456FF">
        <w:lastRenderedPageBreak/>
        <w:t xml:space="preserve">Those standards require me and my staff to comply with the Financial Reporting Council’s </w:t>
      </w:r>
      <w:r w:rsidRPr="008456FF">
        <w:rPr>
          <w:i/>
          <w:iCs/>
        </w:rPr>
        <w:t>Revised Ethical Standard 2019</w:t>
      </w:r>
      <w:r w:rsidRPr="008456FF">
        <w:t xml:space="preserve">. I am independent of the Northern Ireland Human Rights Commission in accordance with the ethical requirements that are relevant to my audit of the financial statements in the UK. My staff and I have fulfilled our other ethical responsibilities in accordance with these requirements. </w:t>
      </w:r>
    </w:p>
    <w:p w14:paraId="69BE1F2D" w14:textId="77777777" w:rsidR="00DC2DA5" w:rsidRPr="008456FF" w:rsidRDefault="00DC2DA5" w:rsidP="00827D54">
      <w:pPr>
        <w:spacing w:before="100" w:beforeAutospacing="1" w:after="100" w:afterAutospacing="1"/>
      </w:pPr>
      <w:r w:rsidRPr="008456FF">
        <w:t>I believe that the audit evidence I have obtained is sufficient and appropriate to provide a basis for my opinion.</w:t>
      </w:r>
    </w:p>
    <w:p w14:paraId="62BCBAA0" w14:textId="62B87353" w:rsidR="00DC2DA5" w:rsidRPr="008456FF" w:rsidRDefault="00DC2DA5" w:rsidP="00632319">
      <w:pPr>
        <w:pStyle w:val="Heading2"/>
        <w:spacing w:before="100" w:beforeAutospacing="1" w:after="100" w:afterAutospacing="1"/>
        <w:rPr>
          <w:rFonts w:ascii="Verdana" w:hAnsi="Verdana"/>
          <w:b w:val="0"/>
          <w:i w:val="0"/>
          <w:iCs w:val="0"/>
          <w:color w:val="auto"/>
          <w:sz w:val="24"/>
          <w:szCs w:val="24"/>
        </w:rPr>
      </w:pPr>
      <w:r w:rsidRPr="008456FF">
        <w:rPr>
          <w:rFonts w:ascii="Verdana" w:hAnsi="Verdana"/>
          <w:i w:val="0"/>
          <w:iCs w:val="0"/>
          <w:color w:val="auto"/>
          <w:sz w:val="24"/>
          <w:szCs w:val="24"/>
        </w:rPr>
        <w:t xml:space="preserve">Conclusions relating to going concern </w:t>
      </w:r>
    </w:p>
    <w:p w14:paraId="7D5088A7" w14:textId="77777777" w:rsidR="00DC2DA5" w:rsidRPr="008456FF" w:rsidRDefault="00DC2DA5" w:rsidP="00827D54">
      <w:pPr>
        <w:pStyle w:val="BodyText"/>
        <w:spacing w:before="100" w:beforeAutospacing="1" w:after="100" w:afterAutospacing="1"/>
      </w:pPr>
      <w:r w:rsidRPr="008456FF">
        <w:t xml:space="preserve">In auditing the financial statements, I have concluded that the Northern Ireland Human Right Commission’s use of the going concern basis of accounting in the preparation of the financial statements is appropriate. </w:t>
      </w:r>
    </w:p>
    <w:p w14:paraId="15976A87" w14:textId="77777777" w:rsidR="00DC2DA5" w:rsidRPr="008456FF" w:rsidRDefault="00DC2DA5" w:rsidP="00827D54">
      <w:pPr>
        <w:pStyle w:val="BodyText"/>
        <w:spacing w:before="100" w:beforeAutospacing="1" w:after="100" w:afterAutospacing="1"/>
      </w:pPr>
      <w:r w:rsidRPr="008456FF">
        <w:t xml:space="preserve">Based on the work I have performed, I have not identified any material uncertainties relating to events or conditions that, individually or collectively, may cast significant doubt on the Northern Ireland Human Rights Commission’s ability to continue as a going concern for a period of at least twelve months from when the financial statements are authorised for issue. </w:t>
      </w:r>
    </w:p>
    <w:p w14:paraId="6CDE7A42" w14:textId="78530246" w:rsidR="00DC2DA5" w:rsidRPr="008456FF" w:rsidRDefault="00DC2DA5" w:rsidP="00827D54">
      <w:pPr>
        <w:pStyle w:val="BodyText"/>
        <w:spacing w:before="100" w:beforeAutospacing="1" w:after="100" w:afterAutospacing="1"/>
      </w:pPr>
      <w:r w:rsidRPr="008456FF">
        <w:t>My responsibilities and the responsibilities of the Accounting Officer</w:t>
      </w:r>
      <w:r w:rsidRPr="008456FF">
        <w:rPr>
          <w:b/>
          <w:bCs/>
        </w:rPr>
        <w:t xml:space="preserve"> </w:t>
      </w:r>
      <w:r w:rsidRPr="008456FF">
        <w:t xml:space="preserve">with respect to going concern are described in the relevant sections of this </w:t>
      </w:r>
      <w:r w:rsidR="001056F9">
        <w:t>certificate</w:t>
      </w:r>
      <w:r w:rsidRPr="008456FF">
        <w:t>.</w:t>
      </w:r>
    </w:p>
    <w:p w14:paraId="2E051F2D" w14:textId="26EB4946" w:rsidR="00DC2DA5" w:rsidRPr="008456FF" w:rsidRDefault="00DC2DA5" w:rsidP="00827D54">
      <w:pPr>
        <w:pStyle w:val="BodyText"/>
        <w:spacing w:before="100" w:beforeAutospacing="1" w:after="100" w:afterAutospacing="1"/>
        <w:rPr>
          <w:iCs/>
          <w:vertAlign w:val="superscript"/>
        </w:rPr>
      </w:pPr>
      <w:r w:rsidRPr="008456FF">
        <w:t>The going concern basis of accounting for the Northern Ireland Human Rights Commission is adopted in consideration of the requirements set out in HM Treasury’s Government Financial Reporting Manual, which require</w:t>
      </w:r>
      <w:r w:rsidR="009011FC" w:rsidRPr="008456FF">
        <w:t>s</w:t>
      </w:r>
      <w:r w:rsidRPr="008456FF">
        <w:t xml:space="preserve"> entities to adopt the going concern basis of accounting in the preparation of the financial statements where it </w:t>
      </w:r>
      <w:r w:rsidR="00844592" w:rsidRPr="008456FF">
        <w:t xml:space="preserve">is </w:t>
      </w:r>
      <w:r w:rsidRPr="008456FF">
        <w:t>anticipated that the services which they provide will continue into the future.</w:t>
      </w:r>
    </w:p>
    <w:p w14:paraId="64CD108E" w14:textId="592D1FE7" w:rsidR="00DC2DA5" w:rsidRPr="008456FF" w:rsidRDefault="00DC2DA5" w:rsidP="00632319">
      <w:pPr>
        <w:pStyle w:val="Heading2"/>
        <w:spacing w:before="100" w:beforeAutospacing="1" w:after="100" w:afterAutospacing="1"/>
        <w:rPr>
          <w:rFonts w:ascii="Verdana" w:hAnsi="Verdana"/>
          <w:b w:val="0"/>
          <w:i w:val="0"/>
          <w:iCs w:val="0"/>
          <w:color w:val="auto"/>
          <w:sz w:val="24"/>
          <w:szCs w:val="24"/>
        </w:rPr>
      </w:pPr>
      <w:r w:rsidRPr="008456FF">
        <w:rPr>
          <w:rFonts w:ascii="Verdana" w:hAnsi="Verdana"/>
          <w:i w:val="0"/>
          <w:iCs w:val="0"/>
          <w:color w:val="auto"/>
          <w:sz w:val="24"/>
          <w:szCs w:val="24"/>
        </w:rPr>
        <w:t>Other Information</w:t>
      </w:r>
    </w:p>
    <w:bookmarkEnd w:id="30"/>
    <w:p w14:paraId="2A010C40" w14:textId="34C65089" w:rsidR="00DC2DA5" w:rsidRPr="008456FF" w:rsidRDefault="00DC2DA5" w:rsidP="00827D54">
      <w:pPr>
        <w:pStyle w:val="BodyText"/>
        <w:spacing w:before="100" w:beforeAutospacing="1" w:after="100" w:afterAutospacing="1"/>
      </w:pPr>
      <w:r w:rsidRPr="008456FF">
        <w:t>The other information comprises information included in the Annual Report</w:t>
      </w:r>
      <w:r w:rsidR="00CE4F1A" w:rsidRPr="008456FF">
        <w:t>,</w:t>
      </w:r>
      <w:r w:rsidRPr="008456FF">
        <w:t xml:space="preserve"> but does not include the financial statements </w:t>
      </w:r>
      <w:r w:rsidR="002418C6">
        <w:t>and</w:t>
      </w:r>
      <w:r w:rsidRPr="008456FF">
        <w:t xml:space="preserve"> my auditor’s </w:t>
      </w:r>
      <w:r w:rsidR="002418C6">
        <w:t>certificate</w:t>
      </w:r>
      <w:r w:rsidR="0080633D">
        <w:t xml:space="preserve"> and report</w:t>
      </w:r>
      <w:r w:rsidR="000D3886">
        <w:t xml:space="preserve"> thereon</w:t>
      </w:r>
      <w:r w:rsidRPr="008456FF">
        <w:t>. The Accounting Officer is responsible for the other information.</w:t>
      </w:r>
    </w:p>
    <w:p w14:paraId="053FC5FA" w14:textId="4405969E" w:rsidR="00DC2DA5" w:rsidRPr="008456FF" w:rsidRDefault="00DC2DA5" w:rsidP="00827D54">
      <w:pPr>
        <w:pStyle w:val="BodyText"/>
        <w:spacing w:before="100" w:beforeAutospacing="1" w:after="100" w:afterAutospacing="1"/>
      </w:pPr>
      <w:r w:rsidRPr="008456FF">
        <w:t xml:space="preserve">My opinion on the financial statements does not cover the other information and, except to the extent otherwise explicitly stated in my </w:t>
      </w:r>
      <w:r w:rsidR="0080633D">
        <w:t>certificate</w:t>
      </w:r>
      <w:r w:rsidRPr="008456FF">
        <w:t xml:space="preserve">, I do not express any form of assurance conclusion thereon. </w:t>
      </w:r>
    </w:p>
    <w:p w14:paraId="7A9AA94F" w14:textId="013D1E54" w:rsidR="00DC2DA5" w:rsidRPr="008456FF" w:rsidRDefault="00CE4F1A" w:rsidP="00827D54">
      <w:pPr>
        <w:pStyle w:val="BodyText"/>
        <w:spacing w:before="100" w:beforeAutospacing="1" w:after="100" w:afterAutospacing="1"/>
      </w:pPr>
      <w:r w:rsidRPr="008456FF">
        <w:t>M</w:t>
      </w:r>
      <w:r w:rsidR="00DC2DA5" w:rsidRPr="008456FF">
        <w:t>y responsibility is to read the other information and, in doing so, consider whether the other information is materially inconsistent with the financial statements or my knowledge obtained in the audit</w:t>
      </w:r>
      <w:r w:rsidRPr="008456FF">
        <w:t>,</w:t>
      </w:r>
      <w:r w:rsidR="00DC2DA5" w:rsidRPr="008456FF">
        <w:t xml:space="preserve"> or otherwise appears to be materially misstated. </w:t>
      </w:r>
    </w:p>
    <w:p w14:paraId="1A5E4352" w14:textId="77777777" w:rsidR="00DC2DA5" w:rsidRPr="008456FF" w:rsidRDefault="00DC2DA5" w:rsidP="00827D54">
      <w:pPr>
        <w:pStyle w:val="BodyText"/>
        <w:spacing w:before="100" w:beforeAutospacing="1" w:after="100" w:afterAutospacing="1"/>
      </w:pPr>
      <w:r w:rsidRPr="008456FF">
        <w:lastRenderedPageBreak/>
        <w:t xml:space="preserve">If I identify such material inconsistencies or apparent material misstatements, I am required to determine whether this gives rise to a material misstatement in the financial statements themselves. If, based on the work I have performed, I conclude that there is a material misstatement of this other information, I am required to report that fact. </w:t>
      </w:r>
    </w:p>
    <w:p w14:paraId="2D4971F0" w14:textId="7488DC33" w:rsidR="00DC2DA5" w:rsidRPr="008456FF" w:rsidRDefault="00DC2DA5" w:rsidP="00827D54">
      <w:pPr>
        <w:pStyle w:val="BodyText"/>
        <w:spacing w:before="100" w:beforeAutospacing="1" w:after="100" w:afterAutospacing="1"/>
      </w:pPr>
      <w:r w:rsidRPr="008456FF">
        <w:t>I have nothing to report in this regard</w:t>
      </w:r>
      <w:r w:rsidR="00CE4F1A" w:rsidRPr="008456FF">
        <w:t>.</w:t>
      </w:r>
    </w:p>
    <w:p w14:paraId="4F45B6F7" w14:textId="430158E9" w:rsidR="00DC2DA5" w:rsidRPr="008456FF" w:rsidRDefault="00DC2DA5" w:rsidP="00632319">
      <w:pPr>
        <w:pStyle w:val="Heading2"/>
        <w:spacing w:before="100" w:beforeAutospacing="1" w:after="100" w:afterAutospacing="1"/>
        <w:rPr>
          <w:rFonts w:ascii="Verdana" w:hAnsi="Verdana"/>
          <w:b w:val="0"/>
          <w:i w:val="0"/>
          <w:iCs w:val="0"/>
          <w:color w:val="auto"/>
          <w:sz w:val="24"/>
          <w:szCs w:val="24"/>
        </w:rPr>
      </w:pPr>
      <w:r w:rsidRPr="008456FF">
        <w:rPr>
          <w:rFonts w:ascii="Verdana" w:hAnsi="Verdana"/>
          <w:i w:val="0"/>
          <w:iCs w:val="0"/>
          <w:color w:val="auto"/>
          <w:sz w:val="24"/>
          <w:szCs w:val="24"/>
        </w:rPr>
        <w:t>Opinion on other matters</w:t>
      </w:r>
    </w:p>
    <w:p w14:paraId="4089114D" w14:textId="77777777" w:rsidR="00DC2DA5" w:rsidRPr="008456FF" w:rsidRDefault="00DC2DA5" w:rsidP="00827D54">
      <w:pPr>
        <w:spacing w:before="100" w:beforeAutospacing="1" w:after="100" w:afterAutospacing="1"/>
      </w:pPr>
      <w:r w:rsidRPr="008456FF">
        <w:t xml:space="preserve">In my opinion the part of the Remuneration and Staff Report to be audited has been properly prepared in accordance with Secretary of State </w:t>
      </w:r>
      <w:r w:rsidRPr="008456FF">
        <w:rPr>
          <w:rFonts w:cs="Arial"/>
        </w:rPr>
        <w:t xml:space="preserve">directions issued under the Northern Ireland Act 1998: </w:t>
      </w:r>
      <w:r w:rsidRPr="008456FF">
        <w:t xml:space="preserve"> </w:t>
      </w:r>
    </w:p>
    <w:p w14:paraId="65697C34" w14:textId="77777777" w:rsidR="00DC2DA5" w:rsidRPr="008456FF" w:rsidRDefault="00DC2DA5" w:rsidP="00827D54">
      <w:pPr>
        <w:spacing w:before="100" w:beforeAutospacing="1" w:after="100" w:afterAutospacing="1"/>
      </w:pPr>
      <w:r w:rsidRPr="008456FF">
        <w:t>In my opinion, based on the work undertaken in the course of the audit:</w:t>
      </w:r>
    </w:p>
    <w:p w14:paraId="1ACED0CD" w14:textId="77777777" w:rsidR="00DC2DA5" w:rsidRPr="008456FF" w:rsidRDefault="00DC2DA5" w:rsidP="007A6076">
      <w:pPr>
        <w:pStyle w:val="BodyText"/>
        <w:numPr>
          <w:ilvl w:val="0"/>
          <w:numId w:val="19"/>
        </w:numPr>
        <w:spacing w:before="100" w:beforeAutospacing="1" w:after="100" w:afterAutospacing="1"/>
      </w:pPr>
      <w:r w:rsidRPr="008456FF">
        <w:t>the parts of the Accountability Report subject to audit</w:t>
      </w:r>
      <w:r w:rsidRPr="008456FF">
        <w:rPr>
          <w:rStyle w:val="FootnoteReference"/>
        </w:rPr>
        <w:t xml:space="preserve"> </w:t>
      </w:r>
      <w:r w:rsidRPr="008456FF">
        <w:t xml:space="preserve">have been properly prepared in accordance with Secretary of State directions made under the Northern Ireland Act 1998; and </w:t>
      </w:r>
    </w:p>
    <w:p w14:paraId="5AD567E7" w14:textId="1DBBF84A" w:rsidR="00DC2DA5" w:rsidRPr="008456FF" w:rsidRDefault="00DC2DA5" w:rsidP="007A6076">
      <w:pPr>
        <w:pStyle w:val="BodyText"/>
        <w:numPr>
          <w:ilvl w:val="0"/>
          <w:numId w:val="19"/>
        </w:numPr>
        <w:spacing w:before="100" w:beforeAutospacing="1" w:after="100" w:afterAutospacing="1"/>
      </w:pPr>
      <w:r w:rsidRPr="008456FF">
        <w:rPr>
          <w:rFonts w:cs="Arial"/>
        </w:rPr>
        <w:t xml:space="preserve">the information given in the Performance </w:t>
      </w:r>
      <w:r w:rsidR="00064883" w:rsidRPr="008456FF">
        <w:rPr>
          <w:rFonts w:cs="Arial"/>
        </w:rPr>
        <w:t xml:space="preserve">Report </w:t>
      </w:r>
      <w:r w:rsidRPr="008456FF">
        <w:rPr>
          <w:rFonts w:cs="Arial"/>
        </w:rPr>
        <w:t xml:space="preserve">and </w:t>
      </w:r>
      <w:r w:rsidR="00064883" w:rsidRPr="008456FF">
        <w:rPr>
          <w:rFonts w:cs="Arial"/>
        </w:rPr>
        <w:t xml:space="preserve">the </w:t>
      </w:r>
      <w:r w:rsidRPr="008456FF">
        <w:rPr>
          <w:rFonts w:cs="Arial"/>
        </w:rPr>
        <w:t>Accountability Report</w:t>
      </w:r>
      <w:r w:rsidR="000F49DE" w:rsidRPr="008456FF">
        <w:rPr>
          <w:rFonts w:cs="Arial"/>
        </w:rPr>
        <w:t>s</w:t>
      </w:r>
      <w:r w:rsidRPr="008456FF">
        <w:rPr>
          <w:rFonts w:cs="Arial"/>
        </w:rPr>
        <w:t xml:space="preserve"> for the financial year for which the financial statements are prepared is consistent with the financial statements and is in accordance with the applicable legal requirements. </w:t>
      </w:r>
    </w:p>
    <w:p w14:paraId="3DF5E64C" w14:textId="25BCCA92" w:rsidR="00DC2DA5" w:rsidRPr="008456FF" w:rsidRDefault="00DC2DA5" w:rsidP="00632319">
      <w:pPr>
        <w:pStyle w:val="Heading2"/>
        <w:spacing w:before="100" w:beforeAutospacing="1" w:after="100" w:afterAutospacing="1"/>
        <w:rPr>
          <w:rFonts w:ascii="Verdana" w:hAnsi="Verdana"/>
          <w:b w:val="0"/>
          <w:i w:val="0"/>
          <w:iCs w:val="0"/>
          <w:color w:val="auto"/>
          <w:sz w:val="24"/>
          <w:szCs w:val="24"/>
        </w:rPr>
      </w:pPr>
      <w:r w:rsidRPr="008456FF">
        <w:rPr>
          <w:rFonts w:ascii="Verdana" w:hAnsi="Verdana"/>
          <w:i w:val="0"/>
          <w:iCs w:val="0"/>
          <w:color w:val="auto"/>
          <w:sz w:val="24"/>
          <w:szCs w:val="24"/>
        </w:rPr>
        <w:t>Matters on which I report by exception</w:t>
      </w:r>
    </w:p>
    <w:p w14:paraId="1D90C216" w14:textId="644E5AE2" w:rsidR="00DC2DA5" w:rsidRPr="008456FF" w:rsidRDefault="00DC2DA5" w:rsidP="00827D54">
      <w:pPr>
        <w:pStyle w:val="BodyText"/>
        <w:spacing w:before="100" w:beforeAutospacing="1" w:after="100" w:afterAutospacing="1"/>
      </w:pPr>
      <w:r w:rsidRPr="008456FF">
        <w:t xml:space="preserve">In the light of the knowledge and understanding of the Northern Ireland Human Rights Commission and its environment obtained in the course of the audit, I have not identified material misstatements in the </w:t>
      </w:r>
      <w:r w:rsidR="00E24397" w:rsidRPr="008456FF">
        <w:t xml:space="preserve">Statutory </w:t>
      </w:r>
      <w:r w:rsidRPr="008456FF">
        <w:t>Performance</w:t>
      </w:r>
      <w:r w:rsidR="00E24397" w:rsidRPr="008456FF">
        <w:t xml:space="preserve"> Report</w:t>
      </w:r>
      <w:r w:rsidRPr="008456FF">
        <w:t xml:space="preserve"> and Accountability Report</w:t>
      </w:r>
      <w:r w:rsidR="001E7E4C" w:rsidRPr="008456FF">
        <w:t>s</w:t>
      </w:r>
      <w:r w:rsidRPr="008456FF">
        <w:t>.</w:t>
      </w:r>
    </w:p>
    <w:p w14:paraId="55727C9D" w14:textId="77777777" w:rsidR="00DC2DA5" w:rsidRPr="008456FF" w:rsidRDefault="00DC2DA5" w:rsidP="00827D54">
      <w:pPr>
        <w:pStyle w:val="BodyText"/>
        <w:spacing w:before="100" w:beforeAutospacing="1" w:after="100" w:afterAutospacing="1"/>
      </w:pPr>
      <w:r w:rsidRPr="008456FF">
        <w:t>I have nothing to report in respect of the following matters which I report to you if, in my opinion:</w:t>
      </w:r>
    </w:p>
    <w:p w14:paraId="53FE09A7" w14:textId="2ECEB4E2" w:rsidR="00FD79AD" w:rsidRPr="008456FF" w:rsidRDefault="00692527" w:rsidP="007A6076">
      <w:pPr>
        <w:pStyle w:val="BodyText"/>
        <w:numPr>
          <w:ilvl w:val="0"/>
          <w:numId w:val="20"/>
        </w:numPr>
        <w:spacing w:before="100" w:beforeAutospacing="1" w:after="100" w:afterAutospacing="1"/>
      </w:pPr>
      <w:r>
        <w:t>a</w:t>
      </w:r>
      <w:r w:rsidR="00FD79AD" w:rsidRPr="008456FF">
        <w:t>dequate accounting records have not been kept by the Northern Ireland Human Rights Commission or returns adequate for my audit have not been received from branches not visited by my staff; or</w:t>
      </w:r>
    </w:p>
    <w:p w14:paraId="24237CD6" w14:textId="29198B34" w:rsidR="00DC2DA5" w:rsidRPr="008456FF" w:rsidRDefault="00DC2DA5" w:rsidP="007A6076">
      <w:pPr>
        <w:pStyle w:val="BodyText"/>
        <w:numPr>
          <w:ilvl w:val="0"/>
          <w:numId w:val="20"/>
        </w:numPr>
        <w:spacing w:before="100" w:beforeAutospacing="1" w:after="100" w:afterAutospacing="1"/>
      </w:pPr>
      <w:r w:rsidRPr="008456FF">
        <w:t>I have not received all of the information and explanations I require for my audit; or</w:t>
      </w:r>
    </w:p>
    <w:p w14:paraId="38BC8376" w14:textId="77777777" w:rsidR="00DC2DA5" w:rsidRPr="008456FF" w:rsidRDefault="00DC2DA5" w:rsidP="007A6076">
      <w:pPr>
        <w:pStyle w:val="BodyText"/>
        <w:numPr>
          <w:ilvl w:val="0"/>
          <w:numId w:val="20"/>
        </w:numPr>
        <w:spacing w:before="100" w:beforeAutospacing="1" w:after="100" w:afterAutospacing="1"/>
      </w:pPr>
      <w:r w:rsidRPr="008456FF">
        <w:t>the financial statements and the parts of the Accountability Report subject to audit are not in agreement with the accounting records and returns; or</w:t>
      </w:r>
    </w:p>
    <w:p w14:paraId="7C741666" w14:textId="20437CC0" w:rsidR="00FD79AD" w:rsidRPr="008456FF" w:rsidRDefault="00DC2DA5" w:rsidP="007A6076">
      <w:pPr>
        <w:pStyle w:val="BodyText"/>
        <w:numPr>
          <w:ilvl w:val="0"/>
          <w:numId w:val="20"/>
        </w:numPr>
        <w:spacing w:before="100" w:beforeAutospacing="1" w:after="100" w:afterAutospacing="1"/>
      </w:pPr>
      <w:r w:rsidRPr="008456FF">
        <w:rPr>
          <w:rFonts w:cs="Arial"/>
        </w:rPr>
        <w:t xml:space="preserve">certain disclosures of remuneration specified by HM Treasury’s Government Financial Reporting Manual have not been made or parts of the Remuneration and Staff Report to be audited </w:t>
      </w:r>
      <w:r w:rsidR="00B170B8" w:rsidRPr="008456FF">
        <w:rPr>
          <w:rFonts w:cs="Arial"/>
        </w:rPr>
        <w:t>is</w:t>
      </w:r>
      <w:r w:rsidRPr="008456FF">
        <w:rPr>
          <w:rFonts w:cs="Arial"/>
        </w:rPr>
        <w:t xml:space="preserve"> not in agreement with the accounting records and returns; or</w:t>
      </w:r>
    </w:p>
    <w:p w14:paraId="7529B7A9" w14:textId="540F4D64" w:rsidR="00DC2DA5" w:rsidRPr="008456FF" w:rsidRDefault="00DC2DA5" w:rsidP="007A6076">
      <w:pPr>
        <w:pStyle w:val="BodyText"/>
        <w:numPr>
          <w:ilvl w:val="0"/>
          <w:numId w:val="20"/>
        </w:numPr>
        <w:spacing w:before="100" w:beforeAutospacing="1" w:after="100" w:afterAutospacing="1"/>
      </w:pPr>
      <w:r w:rsidRPr="008456FF">
        <w:t>the Governance Statement does not reflect compliance with HM Treasury’s guidance.</w:t>
      </w:r>
    </w:p>
    <w:p w14:paraId="7C180B7F" w14:textId="6A18E51E" w:rsidR="00DC2DA5" w:rsidRPr="008456FF" w:rsidRDefault="00DC2DA5" w:rsidP="00632319">
      <w:pPr>
        <w:pStyle w:val="Heading2"/>
        <w:spacing w:before="100" w:beforeAutospacing="1" w:after="100" w:afterAutospacing="1"/>
        <w:rPr>
          <w:rFonts w:ascii="Verdana" w:hAnsi="Verdana"/>
          <w:b w:val="0"/>
          <w:bCs w:val="0"/>
          <w:i w:val="0"/>
          <w:iCs w:val="0"/>
          <w:color w:val="auto"/>
          <w:sz w:val="24"/>
          <w:szCs w:val="24"/>
        </w:rPr>
      </w:pPr>
      <w:r w:rsidRPr="008456FF">
        <w:rPr>
          <w:rFonts w:ascii="Verdana" w:hAnsi="Verdana"/>
          <w:i w:val="0"/>
          <w:iCs w:val="0"/>
          <w:color w:val="auto"/>
          <w:sz w:val="24"/>
          <w:szCs w:val="24"/>
        </w:rPr>
        <w:lastRenderedPageBreak/>
        <w:t>Responsibilities of the Accounting Officer for the financial statements</w:t>
      </w:r>
    </w:p>
    <w:p w14:paraId="417E0790" w14:textId="77777777" w:rsidR="00DC2DA5" w:rsidRPr="008456FF" w:rsidRDefault="00DC2DA5" w:rsidP="00827D54">
      <w:pPr>
        <w:pStyle w:val="BodyText"/>
        <w:spacing w:before="100" w:beforeAutospacing="1" w:after="100" w:afterAutospacing="1"/>
      </w:pPr>
      <w:r w:rsidRPr="008456FF">
        <w:t xml:space="preserve">As explained more fully in the Statement of Accounting Officer’s Responsibilities, the Accounting Officer is responsible for:  </w:t>
      </w:r>
    </w:p>
    <w:p w14:paraId="1AF5060B" w14:textId="77777777" w:rsidR="00DC2DA5" w:rsidRPr="008456FF" w:rsidRDefault="00DC2DA5" w:rsidP="007A6076">
      <w:pPr>
        <w:pStyle w:val="BodyText"/>
        <w:numPr>
          <w:ilvl w:val="0"/>
          <w:numId w:val="21"/>
        </w:numPr>
        <w:spacing w:before="100" w:beforeAutospacing="1" w:after="100" w:afterAutospacing="1"/>
      </w:pPr>
      <w:r w:rsidRPr="008456FF">
        <w:t xml:space="preserve">maintaining proper accounting records; </w:t>
      </w:r>
    </w:p>
    <w:p w14:paraId="57D3CC91" w14:textId="1843C33F" w:rsidR="00FD79AD" w:rsidRPr="008456FF" w:rsidRDefault="00FD79AD" w:rsidP="007A6076">
      <w:pPr>
        <w:pStyle w:val="BodyText"/>
        <w:numPr>
          <w:ilvl w:val="0"/>
          <w:numId w:val="21"/>
        </w:numPr>
        <w:spacing w:before="100" w:beforeAutospacing="1" w:after="100" w:afterAutospacing="1"/>
      </w:pPr>
      <w:r w:rsidRPr="008456FF">
        <w:t>providing the C&amp;AG with access to all information of which management is aware that is relevant to the preparation of the financial statements such as records, documentation and other matters;</w:t>
      </w:r>
    </w:p>
    <w:p w14:paraId="41829EE5" w14:textId="5BFE5A34" w:rsidR="00FD79AD" w:rsidRPr="008456FF" w:rsidRDefault="00FD79AD" w:rsidP="007A6076">
      <w:pPr>
        <w:pStyle w:val="BodyText"/>
        <w:numPr>
          <w:ilvl w:val="0"/>
          <w:numId w:val="21"/>
        </w:numPr>
        <w:spacing w:before="100" w:beforeAutospacing="1" w:after="100" w:afterAutospacing="1"/>
      </w:pPr>
      <w:r w:rsidRPr="008456FF">
        <w:t>providing the C&amp;AG with additional information and explanations needed for his audit;</w:t>
      </w:r>
    </w:p>
    <w:p w14:paraId="472D2586" w14:textId="18569DE9" w:rsidR="00FD79AD" w:rsidRPr="008456FF" w:rsidRDefault="00FD79AD" w:rsidP="007A6076">
      <w:pPr>
        <w:pStyle w:val="BodyText"/>
        <w:numPr>
          <w:ilvl w:val="0"/>
          <w:numId w:val="21"/>
        </w:numPr>
        <w:spacing w:before="100" w:beforeAutospacing="1" w:after="100" w:afterAutospacing="1"/>
      </w:pPr>
      <w:r w:rsidRPr="008456FF">
        <w:t>providing the C&amp;AG with unrestricted access to persons within the Northern Ireland Human Rights Commission from whom the auditor determines it necessary to obtain audit evidence;</w:t>
      </w:r>
    </w:p>
    <w:p w14:paraId="71775024" w14:textId="72086A07" w:rsidR="00FD79AD" w:rsidRPr="008456FF" w:rsidRDefault="00FD79AD" w:rsidP="007A6076">
      <w:pPr>
        <w:pStyle w:val="BodyText"/>
        <w:numPr>
          <w:ilvl w:val="0"/>
          <w:numId w:val="21"/>
        </w:numPr>
        <w:spacing w:before="100" w:beforeAutospacing="1" w:after="100" w:afterAutospacing="1"/>
      </w:pPr>
      <w:r w:rsidRPr="008456FF">
        <w:t>ensuring such internal controls are in place as deemed necessary to enable the preparation of financial statements to be free from material misstatement, whether due to fraud or error;</w:t>
      </w:r>
    </w:p>
    <w:p w14:paraId="73C87213" w14:textId="15F822C8" w:rsidR="00FD79AD" w:rsidRPr="008456FF" w:rsidRDefault="005C26D2" w:rsidP="007A6076">
      <w:pPr>
        <w:pStyle w:val="BodyText"/>
        <w:numPr>
          <w:ilvl w:val="0"/>
          <w:numId w:val="21"/>
        </w:numPr>
        <w:spacing w:before="100" w:beforeAutospacing="1" w:after="100" w:afterAutospacing="1"/>
      </w:pPr>
      <w:r w:rsidRPr="008456FF">
        <w:t>preparing</w:t>
      </w:r>
      <w:r w:rsidR="00FD79AD" w:rsidRPr="008456FF">
        <w:t xml:space="preserve"> financial statements</w:t>
      </w:r>
      <w:r w:rsidR="00DD1E90" w:rsidRPr="008456FF">
        <w:t xml:space="preserve"> which</w:t>
      </w:r>
      <w:r w:rsidR="00FD79AD" w:rsidRPr="008456FF">
        <w:t xml:space="preserve"> give a true and fair view in accordance with Secretary of State directions made under the Northern Ireland Act 1998;</w:t>
      </w:r>
    </w:p>
    <w:p w14:paraId="22D4776D" w14:textId="3A783F0E" w:rsidR="00FD79AD" w:rsidRPr="008456FF" w:rsidRDefault="007F0D37" w:rsidP="007A6076">
      <w:pPr>
        <w:pStyle w:val="BodyText"/>
        <w:numPr>
          <w:ilvl w:val="0"/>
          <w:numId w:val="21"/>
        </w:numPr>
        <w:spacing w:before="100" w:beforeAutospacing="1" w:after="100" w:afterAutospacing="1"/>
      </w:pPr>
      <w:r w:rsidRPr="008456FF">
        <w:t>preparing</w:t>
      </w:r>
      <w:r w:rsidR="00FD79AD" w:rsidRPr="008456FF">
        <w:t xml:space="preserve"> the annual report, which includes the Remuneration and Staff Report, in accordance with Secretary of State directions made under the Northern Ireland Act 1998; and</w:t>
      </w:r>
    </w:p>
    <w:p w14:paraId="1D563605" w14:textId="3D4EA62A" w:rsidR="00DC2DA5" w:rsidRPr="008456FF" w:rsidRDefault="00DC2DA5" w:rsidP="007A6076">
      <w:pPr>
        <w:numPr>
          <w:ilvl w:val="0"/>
          <w:numId w:val="21"/>
        </w:numPr>
        <w:spacing w:before="100" w:beforeAutospacing="1" w:after="100" w:afterAutospacing="1"/>
        <w:ind w:left="1134"/>
      </w:pPr>
      <w:r w:rsidRPr="008456FF">
        <w:t>assessing the Northern Ireland Human Rights Commission’s ability to continue as a going concern, disclosing, as applicable, matters related to going concern and using the going concern basis of accounting unless the Accounting Officer anticipates that the services provided by the Northern Ireland Human Rights Commission will not continue to be provided in the future</w:t>
      </w:r>
      <w:r w:rsidR="00FD79AD" w:rsidRPr="008456FF">
        <w:t>.</w:t>
      </w:r>
    </w:p>
    <w:p w14:paraId="69F3D560" w14:textId="17585B68" w:rsidR="00DC2DA5" w:rsidRPr="008456FF" w:rsidRDefault="00DC2DA5" w:rsidP="00632319">
      <w:pPr>
        <w:pStyle w:val="Heading2"/>
        <w:spacing w:before="100" w:beforeAutospacing="1" w:after="100" w:afterAutospacing="1"/>
        <w:rPr>
          <w:rFonts w:ascii="Verdana" w:hAnsi="Verdana"/>
          <w:b w:val="0"/>
          <w:i w:val="0"/>
          <w:iCs w:val="0"/>
          <w:color w:val="auto"/>
          <w:sz w:val="24"/>
          <w:szCs w:val="24"/>
        </w:rPr>
      </w:pPr>
      <w:r w:rsidRPr="008456FF">
        <w:rPr>
          <w:rFonts w:ascii="Verdana" w:hAnsi="Verdana"/>
          <w:i w:val="0"/>
          <w:iCs w:val="0"/>
          <w:color w:val="auto"/>
          <w:sz w:val="24"/>
          <w:szCs w:val="24"/>
        </w:rPr>
        <w:t>Auditor’s responsibilities for the audit of the financial statements</w:t>
      </w:r>
    </w:p>
    <w:p w14:paraId="4A4DC32E" w14:textId="77777777" w:rsidR="00DC2DA5" w:rsidRPr="008456FF" w:rsidRDefault="00DC2DA5" w:rsidP="00827D54">
      <w:pPr>
        <w:pStyle w:val="BodyText"/>
        <w:spacing w:before="100" w:beforeAutospacing="1" w:after="100" w:afterAutospacing="1"/>
      </w:pPr>
      <w:r w:rsidRPr="008456FF">
        <w:t>My responsibility is to audit, certify and report on the financial statements in accordance with the Northern Ireland Act 1998.</w:t>
      </w:r>
    </w:p>
    <w:p w14:paraId="1BE9EBD7" w14:textId="76A88274" w:rsidR="00632319" w:rsidRPr="008456FF" w:rsidRDefault="00DC2DA5" w:rsidP="00FD79AD">
      <w:pPr>
        <w:pStyle w:val="BodyText"/>
        <w:spacing w:before="100" w:beforeAutospacing="1" w:after="100" w:afterAutospacing="1"/>
      </w:pPr>
      <w:r w:rsidRPr="008456FF">
        <w:t>My objectives are to obtain reasonable assurance about whether the financial statements as a whole are free from material misstatement, whether due to fraud or error, and to issue a certificate that includes my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1A454DE4" w14:textId="33B7594F" w:rsidR="00DC2DA5" w:rsidRPr="0011035F" w:rsidRDefault="00DC2DA5" w:rsidP="00827D54">
      <w:pPr>
        <w:pStyle w:val="Subtitle"/>
        <w:spacing w:before="100" w:beforeAutospacing="1" w:after="100" w:afterAutospacing="1"/>
        <w:rPr>
          <w:rFonts w:ascii="Verdana" w:hAnsi="Verdana"/>
          <w:color w:val="auto"/>
          <w:sz w:val="24"/>
          <w:szCs w:val="24"/>
          <w:u w:val="single"/>
        </w:rPr>
      </w:pPr>
      <w:r w:rsidRPr="0011035F">
        <w:rPr>
          <w:rFonts w:ascii="Verdana" w:eastAsia="Times New Roman" w:hAnsi="Verdana" w:cs="Arial"/>
          <w:color w:val="auto"/>
          <w:spacing w:val="0"/>
          <w:sz w:val="24"/>
          <w:szCs w:val="24"/>
          <w:u w:val="single"/>
        </w:rPr>
        <w:lastRenderedPageBreak/>
        <w:t>Extent to which the audit was considered capable of detecting non-compliance with laws and regulations including fraud</w:t>
      </w:r>
    </w:p>
    <w:p w14:paraId="30AB5699" w14:textId="78095D29" w:rsidR="00DC2DA5" w:rsidRPr="008456FF" w:rsidRDefault="00DC2DA5" w:rsidP="00827D54">
      <w:pPr>
        <w:pStyle w:val="BodyText"/>
        <w:spacing w:before="100" w:beforeAutospacing="1" w:after="100" w:afterAutospacing="1"/>
        <w:rPr>
          <w:rFonts w:cs="Arial"/>
        </w:rPr>
      </w:pPr>
      <w:r w:rsidRPr="008456FF">
        <w:rPr>
          <w:rFonts w:cs="Arial"/>
        </w:rPr>
        <w:t>I design procedures in line with my responsibilities, outlined above, to detect material misstatements in respect of non-compliance with laws and regulations, including fraud. The extent to which my procedures are capable of detecting non-compliance with laws and regulations, including fraud is detailed below.</w:t>
      </w:r>
    </w:p>
    <w:p w14:paraId="382608B8" w14:textId="77777777" w:rsidR="00DC2DA5" w:rsidRPr="00F846D5" w:rsidRDefault="00DC2DA5" w:rsidP="00827D54">
      <w:pPr>
        <w:pStyle w:val="Subtitle"/>
        <w:spacing w:before="100" w:beforeAutospacing="1" w:after="100" w:afterAutospacing="1"/>
        <w:rPr>
          <w:rFonts w:ascii="Verdana" w:eastAsia="Times New Roman" w:hAnsi="Verdana" w:cs="Arial"/>
          <w:color w:val="auto"/>
          <w:spacing w:val="0"/>
          <w:sz w:val="24"/>
          <w:szCs w:val="24"/>
          <w:u w:val="single"/>
        </w:rPr>
      </w:pPr>
      <w:r w:rsidRPr="00F846D5">
        <w:rPr>
          <w:rFonts w:ascii="Verdana" w:eastAsia="Times New Roman" w:hAnsi="Verdana" w:cs="Arial"/>
          <w:color w:val="auto"/>
          <w:spacing w:val="0"/>
          <w:sz w:val="24"/>
          <w:szCs w:val="24"/>
          <w:u w:val="single"/>
        </w:rPr>
        <w:t xml:space="preserve">Identifying and assessing potential risks related to non-compliance with laws and regulations, including fraud </w:t>
      </w:r>
    </w:p>
    <w:p w14:paraId="014D21FD" w14:textId="77777777" w:rsidR="00FD79AD" w:rsidRPr="008456FF" w:rsidRDefault="00DC2DA5" w:rsidP="00827D54">
      <w:pPr>
        <w:pStyle w:val="BodyText"/>
        <w:spacing w:before="100" w:beforeAutospacing="1" w:after="100" w:afterAutospacing="1"/>
        <w:rPr>
          <w:rFonts w:cs="Arial"/>
        </w:rPr>
      </w:pPr>
      <w:r w:rsidRPr="008456FF">
        <w:rPr>
          <w:rFonts w:cs="Arial"/>
        </w:rPr>
        <w:t xml:space="preserve">In identifying and assessing risks of material misstatement in respect of non-compliance with laws and regulations, including fraud, </w:t>
      </w:r>
      <w:r w:rsidR="00FD79AD" w:rsidRPr="008456FF">
        <w:rPr>
          <w:rFonts w:cs="Arial"/>
        </w:rPr>
        <w:t>I:</w:t>
      </w:r>
    </w:p>
    <w:p w14:paraId="01209A8D" w14:textId="03666162" w:rsidR="00FD79AD" w:rsidRPr="008456FF" w:rsidRDefault="00FD79AD" w:rsidP="007A6076">
      <w:pPr>
        <w:pStyle w:val="BodyText"/>
        <w:numPr>
          <w:ilvl w:val="0"/>
          <w:numId w:val="23"/>
        </w:numPr>
        <w:spacing w:before="100" w:beforeAutospacing="1" w:after="100" w:afterAutospacing="1"/>
        <w:rPr>
          <w:rFonts w:cs="Arial"/>
        </w:rPr>
      </w:pPr>
      <w:r w:rsidRPr="008456FF">
        <w:rPr>
          <w:rFonts w:cs="Arial"/>
        </w:rPr>
        <w:t xml:space="preserve">considered </w:t>
      </w:r>
      <w:r w:rsidR="00DC2DA5" w:rsidRPr="008456FF">
        <w:rPr>
          <w:rFonts w:cs="Arial"/>
        </w:rPr>
        <w:t>the nature of the sector, control environment and operational performance including the design of the Northern Ireland Human Rights Commission’s accounting policies</w:t>
      </w:r>
      <w:r w:rsidR="00095094">
        <w:rPr>
          <w:rFonts w:cs="Arial"/>
        </w:rPr>
        <w:t xml:space="preserve">, key </w:t>
      </w:r>
      <w:r w:rsidR="0011131D">
        <w:rPr>
          <w:rFonts w:cs="Arial"/>
        </w:rPr>
        <w:t>performance indicators and performance incentives</w:t>
      </w:r>
      <w:r w:rsidR="005D28AA">
        <w:rPr>
          <w:rFonts w:cs="Arial"/>
        </w:rPr>
        <w:t>.</w:t>
      </w:r>
      <w:r w:rsidR="00DC2DA5" w:rsidRPr="008456FF">
        <w:rPr>
          <w:rFonts w:cs="Arial"/>
        </w:rPr>
        <w:t xml:space="preserve">  </w:t>
      </w:r>
    </w:p>
    <w:p w14:paraId="3C497FA2" w14:textId="021B6434" w:rsidR="00DC2DA5" w:rsidRPr="008456FF" w:rsidRDefault="00205BCD" w:rsidP="007A6076">
      <w:pPr>
        <w:pStyle w:val="BodyText"/>
        <w:numPr>
          <w:ilvl w:val="0"/>
          <w:numId w:val="23"/>
        </w:numPr>
        <w:spacing w:before="100" w:beforeAutospacing="1" w:after="100" w:afterAutospacing="1"/>
        <w:rPr>
          <w:rFonts w:cs="Arial"/>
        </w:rPr>
      </w:pPr>
      <w:r w:rsidRPr="008456FF">
        <w:rPr>
          <w:rFonts w:cs="Arial"/>
        </w:rPr>
        <w:t>i</w:t>
      </w:r>
      <w:r w:rsidR="00DC2DA5" w:rsidRPr="008456FF">
        <w:rPr>
          <w:rFonts w:cs="Arial"/>
        </w:rPr>
        <w:t>nquir</w:t>
      </w:r>
      <w:r w:rsidR="000C1E05" w:rsidRPr="008456FF">
        <w:rPr>
          <w:rFonts w:cs="Arial"/>
        </w:rPr>
        <w:t>ed</w:t>
      </w:r>
      <w:r w:rsidR="00DC2DA5" w:rsidRPr="008456FF">
        <w:rPr>
          <w:rFonts w:cs="Arial"/>
        </w:rPr>
        <w:t xml:space="preserve"> of management, </w:t>
      </w:r>
      <w:r w:rsidR="000C1E05" w:rsidRPr="008456FF">
        <w:rPr>
          <w:rFonts w:cs="Arial"/>
        </w:rPr>
        <w:t xml:space="preserve">the </w:t>
      </w:r>
      <w:r w:rsidR="00DC2DA5" w:rsidRPr="008456FF">
        <w:t>Northern Ireland Human Rights Commission</w:t>
      </w:r>
      <w:r w:rsidR="00DC2DA5" w:rsidRPr="008456FF">
        <w:rPr>
          <w:rFonts w:cs="Arial"/>
        </w:rPr>
        <w:t xml:space="preserve">’s head of internal audit and those charged with governance, including obtaining and reviewing supporting documentation relating to the </w:t>
      </w:r>
      <w:r w:rsidR="00DC2DA5" w:rsidRPr="008456FF">
        <w:t>Northern Ireland Human Rights Commission</w:t>
      </w:r>
      <w:r w:rsidR="00DC2DA5" w:rsidRPr="008456FF">
        <w:rPr>
          <w:rFonts w:cs="Arial"/>
        </w:rPr>
        <w:t xml:space="preserve">’s policies and procedures </w:t>
      </w:r>
      <w:r w:rsidR="00FD79AD" w:rsidRPr="008456FF">
        <w:rPr>
          <w:rFonts w:cs="Arial"/>
        </w:rPr>
        <w:t>on</w:t>
      </w:r>
      <w:r w:rsidR="00DC2DA5" w:rsidRPr="008456FF">
        <w:rPr>
          <w:rFonts w:cs="Arial"/>
        </w:rPr>
        <w:t xml:space="preserve">: </w:t>
      </w:r>
    </w:p>
    <w:p w14:paraId="6AB2341A" w14:textId="45431731" w:rsidR="00DC2DA5" w:rsidRPr="008456FF" w:rsidRDefault="00DC2DA5" w:rsidP="007A6076">
      <w:pPr>
        <w:pStyle w:val="BodyText"/>
        <w:numPr>
          <w:ilvl w:val="1"/>
          <w:numId w:val="23"/>
        </w:numPr>
        <w:spacing w:before="100" w:beforeAutospacing="1" w:after="100" w:afterAutospacing="1"/>
        <w:rPr>
          <w:rFonts w:cs="Arial"/>
        </w:rPr>
      </w:pPr>
      <w:r w:rsidRPr="008456FF">
        <w:rPr>
          <w:rFonts w:cs="Arial"/>
        </w:rPr>
        <w:t>identifying, evaluating and complying with laws and regulations</w:t>
      </w:r>
      <w:r w:rsidR="005D28AA">
        <w:rPr>
          <w:rFonts w:cs="Arial"/>
        </w:rPr>
        <w:t>;</w:t>
      </w:r>
    </w:p>
    <w:p w14:paraId="5185C9DF" w14:textId="5C1BDC5B" w:rsidR="00DC2DA5" w:rsidRPr="008456FF" w:rsidRDefault="00DC2DA5" w:rsidP="007A6076">
      <w:pPr>
        <w:pStyle w:val="BodyText"/>
        <w:numPr>
          <w:ilvl w:val="1"/>
          <w:numId w:val="23"/>
        </w:numPr>
        <w:spacing w:before="100" w:beforeAutospacing="1" w:after="100" w:afterAutospacing="1"/>
        <w:rPr>
          <w:rFonts w:cs="Arial"/>
        </w:rPr>
      </w:pPr>
      <w:r w:rsidRPr="008456FF">
        <w:rPr>
          <w:rFonts w:cs="Arial"/>
        </w:rPr>
        <w:t>detecting and responding to the risks of fraud; and</w:t>
      </w:r>
    </w:p>
    <w:p w14:paraId="149E5697" w14:textId="7F4F51D0" w:rsidR="00DC2DA5" w:rsidRPr="008456FF" w:rsidRDefault="00DC2DA5" w:rsidP="007A6076">
      <w:pPr>
        <w:pStyle w:val="BodyText"/>
        <w:numPr>
          <w:ilvl w:val="1"/>
          <w:numId w:val="23"/>
        </w:numPr>
        <w:spacing w:before="100" w:beforeAutospacing="1" w:after="100" w:afterAutospacing="1"/>
        <w:rPr>
          <w:rFonts w:cs="Arial"/>
        </w:rPr>
      </w:pPr>
      <w:r w:rsidRPr="008456FF">
        <w:rPr>
          <w:rFonts w:cs="Arial"/>
        </w:rPr>
        <w:t xml:space="preserve">the internal controls established to mitigate risks related to fraud or non-compliance with laws and regulations including </w:t>
      </w:r>
      <w:r w:rsidR="00742BD7" w:rsidRPr="008456FF">
        <w:rPr>
          <w:rFonts w:cs="Arial"/>
        </w:rPr>
        <w:t xml:space="preserve">the Northern Ireland Human Rights Commission’s controls relating to the Northern Ireland Human Rights Commission’s compliance with </w:t>
      </w:r>
      <w:r w:rsidRPr="008456FF">
        <w:rPr>
          <w:rFonts w:cs="Arial"/>
        </w:rPr>
        <w:t xml:space="preserve">the </w:t>
      </w:r>
      <w:r w:rsidRPr="008456FF">
        <w:t>Northern Ireland Act 1998</w:t>
      </w:r>
      <w:r w:rsidRPr="008456FF">
        <w:rPr>
          <w:rFonts w:cs="Arial"/>
        </w:rPr>
        <w:t xml:space="preserve"> and Managing Public Money;</w:t>
      </w:r>
    </w:p>
    <w:p w14:paraId="751CABA6" w14:textId="7C9012E7" w:rsidR="00742BD7" w:rsidRPr="008456FF" w:rsidRDefault="00C53A2B" w:rsidP="007A6076">
      <w:pPr>
        <w:pStyle w:val="BodyText"/>
        <w:numPr>
          <w:ilvl w:val="0"/>
          <w:numId w:val="23"/>
        </w:numPr>
        <w:spacing w:before="100" w:beforeAutospacing="1" w:after="100" w:afterAutospacing="1"/>
        <w:rPr>
          <w:rFonts w:cs="Arial"/>
        </w:rPr>
      </w:pPr>
      <w:r w:rsidRPr="008456FF">
        <w:rPr>
          <w:rFonts w:cs="Arial"/>
        </w:rPr>
        <w:t>i</w:t>
      </w:r>
      <w:r w:rsidR="00742BD7" w:rsidRPr="008456FF">
        <w:rPr>
          <w:rFonts w:cs="Arial"/>
        </w:rPr>
        <w:t>nquired o</w:t>
      </w:r>
      <w:r w:rsidR="000C1E05" w:rsidRPr="008456FF">
        <w:rPr>
          <w:rFonts w:cs="Arial"/>
        </w:rPr>
        <w:t>f</w:t>
      </w:r>
      <w:r w:rsidR="00742BD7" w:rsidRPr="008456FF">
        <w:rPr>
          <w:rFonts w:cs="Arial"/>
        </w:rPr>
        <w:t xml:space="preserve"> management, the Northern Ireland Human Rights Commission’s head of internal audit and those charged with governance whether:</w:t>
      </w:r>
    </w:p>
    <w:p w14:paraId="33C29163" w14:textId="37B72F1D" w:rsidR="00742BD7" w:rsidRPr="008456FF" w:rsidRDefault="00363543" w:rsidP="007A6076">
      <w:pPr>
        <w:pStyle w:val="BodyText"/>
        <w:numPr>
          <w:ilvl w:val="1"/>
          <w:numId w:val="23"/>
        </w:numPr>
        <w:spacing w:before="100" w:beforeAutospacing="1" w:after="100" w:afterAutospacing="1"/>
        <w:rPr>
          <w:rFonts w:cs="Arial"/>
        </w:rPr>
      </w:pPr>
      <w:r w:rsidRPr="008456FF">
        <w:rPr>
          <w:rFonts w:cs="Arial"/>
        </w:rPr>
        <w:t>t</w:t>
      </w:r>
      <w:r w:rsidR="00742BD7" w:rsidRPr="008456FF">
        <w:rPr>
          <w:rFonts w:cs="Arial"/>
        </w:rPr>
        <w:t xml:space="preserve">hey were aware of any instances of non-compliance with laws and regulations; </w:t>
      </w:r>
    </w:p>
    <w:p w14:paraId="47B4E0DE" w14:textId="56FA8F86" w:rsidR="00742BD7" w:rsidRPr="008456FF" w:rsidRDefault="00363543" w:rsidP="007A6076">
      <w:pPr>
        <w:pStyle w:val="BodyText"/>
        <w:numPr>
          <w:ilvl w:val="1"/>
          <w:numId w:val="23"/>
        </w:numPr>
        <w:spacing w:before="100" w:beforeAutospacing="1" w:after="100" w:afterAutospacing="1"/>
        <w:rPr>
          <w:rFonts w:cs="Arial"/>
        </w:rPr>
      </w:pPr>
      <w:r w:rsidRPr="008456FF">
        <w:rPr>
          <w:rFonts w:cs="Arial"/>
        </w:rPr>
        <w:t>t</w:t>
      </w:r>
      <w:r w:rsidR="00742BD7" w:rsidRPr="008456FF">
        <w:rPr>
          <w:rFonts w:cs="Arial"/>
        </w:rPr>
        <w:t>hey had any knowledge of any actual, suspected, or alleged fraud;</w:t>
      </w:r>
    </w:p>
    <w:p w14:paraId="196CABE2" w14:textId="30193344" w:rsidR="00DC2DA5" w:rsidRPr="008456FF" w:rsidRDefault="00DC2DA5" w:rsidP="007A6076">
      <w:pPr>
        <w:pStyle w:val="BodyText"/>
        <w:numPr>
          <w:ilvl w:val="0"/>
          <w:numId w:val="24"/>
        </w:numPr>
        <w:spacing w:before="100" w:beforeAutospacing="1" w:after="100" w:afterAutospacing="1"/>
        <w:rPr>
          <w:rFonts w:cs="Arial"/>
        </w:rPr>
      </w:pPr>
      <w:r w:rsidRPr="008456FF">
        <w:rPr>
          <w:rFonts w:cs="Arial"/>
        </w:rPr>
        <w:t>discuss</w:t>
      </w:r>
      <w:r w:rsidR="000C1E05" w:rsidRPr="008456FF">
        <w:rPr>
          <w:rFonts w:cs="Arial"/>
        </w:rPr>
        <w:t>ed</w:t>
      </w:r>
      <w:r w:rsidRPr="008456FF">
        <w:rPr>
          <w:rFonts w:cs="Arial"/>
        </w:rPr>
        <w:t xml:space="preserve"> </w:t>
      </w:r>
      <w:r w:rsidR="008460F6" w:rsidRPr="008456FF">
        <w:rPr>
          <w:rFonts w:cs="Arial"/>
        </w:rPr>
        <w:t>with</w:t>
      </w:r>
      <w:r w:rsidRPr="008456FF">
        <w:rPr>
          <w:rFonts w:cs="Arial"/>
        </w:rPr>
        <w:t xml:space="preserve"> the engagement team </w:t>
      </w:r>
      <w:r w:rsidR="00742BD7" w:rsidRPr="008456FF">
        <w:rPr>
          <w:rFonts w:cs="Arial"/>
        </w:rPr>
        <w:t xml:space="preserve">regarding </w:t>
      </w:r>
      <w:r w:rsidRPr="008456FF">
        <w:rPr>
          <w:rFonts w:cs="Arial"/>
        </w:rPr>
        <w:t xml:space="preserve">how and where fraud might occur in the financial statements and any potential indicators of fraud. </w:t>
      </w:r>
    </w:p>
    <w:p w14:paraId="790ACC73" w14:textId="05982272" w:rsidR="00DC2DA5" w:rsidRPr="008456FF" w:rsidRDefault="00DC2DA5" w:rsidP="00827D54">
      <w:pPr>
        <w:pStyle w:val="BodyText"/>
        <w:spacing w:before="100" w:beforeAutospacing="1" w:after="100" w:afterAutospacing="1"/>
        <w:rPr>
          <w:rFonts w:cs="Arial"/>
        </w:rPr>
      </w:pPr>
      <w:r w:rsidRPr="008456FF">
        <w:rPr>
          <w:rFonts w:cs="Arial"/>
        </w:rPr>
        <w:t xml:space="preserve">As a result of these procedures, I considered the opportunities and incentives that may exist within the Northern Ireland Human Rights Commission for fraud and identified the greatest potential for fraud in the following areas: </w:t>
      </w:r>
      <w:r w:rsidR="002420AB" w:rsidRPr="008456FF">
        <w:rPr>
          <w:rFonts w:cs="Arial"/>
        </w:rPr>
        <w:t xml:space="preserve">revenue recognition, </w:t>
      </w:r>
      <w:r w:rsidRPr="008456FF">
        <w:rPr>
          <w:rFonts w:cs="Arial"/>
        </w:rPr>
        <w:t xml:space="preserve">posting of unusual journals, complex </w:t>
      </w:r>
      <w:r w:rsidRPr="008456FF">
        <w:rPr>
          <w:rFonts w:cs="Arial"/>
        </w:rPr>
        <w:lastRenderedPageBreak/>
        <w:t>transactions</w:t>
      </w:r>
      <w:r w:rsidR="000C1E05" w:rsidRPr="008456FF">
        <w:rPr>
          <w:rFonts w:cs="Arial"/>
        </w:rPr>
        <w:t xml:space="preserve"> and</w:t>
      </w:r>
      <w:r w:rsidRPr="008456FF">
        <w:rPr>
          <w:rFonts w:cs="Arial"/>
        </w:rPr>
        <w:t xml:space="preserve"> bias in management estimates. In common with all audits under ISAs (UK), I am required to perform specific procedures to respond to the risk of management override.</w:t>
      </w:r>
    </w:p>
    <w:p w14:paraId="2454548E" w14:textId="0AFDB954" w:rsidR="00DC2DA5" w:rsidRPr="008456FF" w:rsidRDefault="00DC2DA5" w:rsidP="00827D54">
      <w:pPr>
        <w:pStyle w:val="BodyText"/>
        <w:spacing w:before="100" w:beforeAutospacing="1" w:after="100" w:afterAutospacing="1"/>
        <w:rPr>
          <w:rFonts w:cs="Arial"/>
        </w:rPr>
      </w:pPr>
      <w:r w:rsidRPr="008456FF">
        <w:rPr>
          <w:rFonts w:cs="Arial"/>
        </w:rPr>
        <w:t>I obtained an understanding of the Northern Ireland Human Rights Commission’s framework of authority a</w:t>
      </w:r>
      <w:r w:rsidR="00742BD7" w:rsidRPr="008456FF">
        <w:rPr>
          <w:rFonts w:cs="Arial"/>
        </w:rPr>
        <w:t>nd</w:t>
      </w:r>
      <w:r w:rsidRPr="008456FF">
        <w:rPr>
          <w:rFonts w:cs="Arial"/>
        </w:rPr>
        <w:t xml:space="preserve"> other legal and regulatory frameworks in which the Northern Ireland Human Rights Commission operates</w:t>
      </w:r>
      <w:r w:rsidR="00742BD7" w:rsidRPr="008456FF">
        <w:rPr>
          <w:rFonts w:cs="Arial"/>
        </w:rPr>
        <w:t>. I</w:t>
      </w:r>
      <w:r w:rsidRPr="008456FF">
        <w:rPr>
          <w:rFonts w:cs="Arial"/>
        </w:rPr>
        <w:t xml:space="preserve"> focus</w:t>
      </w:r>
      <w:r w:rsidR="00742BD7" w:rsidRPr="008456FF">
        <w:rPr>
          <w:rFonts w:cs="Arial"/>
        </w:rPr>
        <w:t>ed</w:t>
      </w:r>
      <w:r w:rsidRPr="008456FF">
        <w:rPr>
          <w:rFonts w:cs="Arial"/>
        </w:rPr>
        <w:t xml:space="preserve"> on those laws and regulations that had a direct effect on material amounts and disclosures in the financial statements or that had a fundamental effect on the operations of the Northern Ireland Human Rights Commission. The key laws and regulations I considered in this context included </w:t>
      </w:r>
      <w:r w:rsidRPr="008456FF">
        <w:t>Northern Ireland Act 1998,</w:t>
      </w:r>
      <w:r w:rsidR="000C1E05" w:rsidRPr="008456FF">
        <w:t xml:space="preserve"> </w:t>
      </w:r>
      <w:r w:rsidRPr="008456FF">
        <w:rPr>
          <w:rFonts w:cs="Arial"/>
        </w:rPr>
        <w:t>Managing Public Money, employment law</w:t>
      </w:r>
      <w:r w:rsidR="000C1E05" w:rsidRPr="008456FF">
        <w:rPr>
          <w:rFonts w:cs="Arial"/>
        </w:rPr>
        <w:t>, pension legislation and</w:t>
      </w:r>
      <w:r w:rsidRPr="008456FF">
        <w:rPr>
          <w:rFonts w:cs="Arial"/>
        </w:rPr>
        <w:t xml:space="preserve"> tax </w:t>
      </w:r>
      <w:r w:rsidR="00742BD7" w:rsidRPr="008456FF">
        <w:rPr>
          <w:rFonts w:cs="Arial"/>
        </w:rPr>
        <w:t>l</w:t>
      </w:r>
      <w:r w:rsidRPr="008456FF">
        <w:rPr>
          <w:rFonts w:cs="Arial"/>
        </w:rPr>
        <w:t>egislation.</w:t>
      </w:r>
    </w:p>
    <w:p w14:paraId="523C99A9" w14:textId="77777777" w:rsidR="00DC2DA5" w:rsidRPr="00483B62" w:rsidRDefault="00DC2DA5" w:rsidP="00827D54">
      <w:pPr>
        <w:pStyle w:val="Subtitle"/>
        <w:spacing w:before="100" w:beforeAutospacing="1" w:after="100" w:afterAutospacing="1"/>
        <w:rPr>
          <w:rFonts w:ascii="Verdana" w:eastAsia="Times New Roman" w:hAnsi="Verdana" w:cs="Arial"/>
          <w:color w:val="auto"/>
          <w:spacing w:val="0"/>
          <w:sz w:val="24"/>
          <w:szCs w:val="24"/>
          <w:u w:val="single"/>
        </w:rPr>
      </w:pPr>
      <w:r w:rsidRPr="00483B62">
        <w:rPr>
          <w:rFonts w:ascii="Verdana" w:eastAsia="Times New Roman" w:hAnsi="Verdana" w:cs="Arial"/>
          <w:color w:val="auto"/>
          <w:spacing w:val="0"/>
          <w:sz w:val="24"/>
          <w:szCs w:val="24"/>
          <w:u w:val="single"/>
        </w:rPr>
        <w:t xml:space="preserve">Audit response to identified risk </w:t>
      </w:r>
    </w:p>
    <w:p w14:paraId="79DFCC92" w14:textId="2C712355" w:rsidR="00DC2DA5" w:rsidRPr="008456FF" w:rsidRDefault="00742BD7" w:rsidP="00827D54">
      <w:pPr>
        <w:spacing w:before="100" w:beforeAutospacing="1" w:after="100" w:afterAutospacing="1"/>
        <w:rPr>
          <w:rFonts w:cs="Arial"/>
        </w:rPr>
      </w:pPr>
      <w:r w:rsidRPr="008456FF">
        <w:rPr>
          <w:rFonts w:cs="Arial"/>
        </w:rPr>
        <w:t>T</w:t>
      </w:r>
      <w:r w:rsidR="00DC2DA5" w:rsidRPr="008456FF">
        <w:rPr>
          <w:rFonts w:cs="Arial"/>
        </w:rPr>
        <w:t xml:space="preserve">o respond to identified risks </w:t>
      </w:r>
      <w:r w:rsidRPr="008456FF">
        <w:rPr>
          <w:rFonts w:cs="Arial"/>
        </w:rPr>
        <w:t>resulting from the above procedures</w:t>
      </w:r>
      <w:r w:rsidR="00DC2DA5" w:rsidRPr="008456FF">
        <w:rPr>
          <w:rFonts w:cs="Arial"/>
        </w:rPr>
        <w:t xml:space="preserve">: </w:t>
      </w:r>
    </w:p>
    <w:p w14:paraId="19B7F7A0" w14:textId="1F2B8552" w:rsidR="00DC2DA5" w:rsidRPr="008456FF" w:rsidRDefault="00742BD7" w:rsidP="007A6076">
      <w:pPr>
        <w:pStyle w:val="BodyText"/>
        <w:numPr>
          <w:ilvl w:val="0"/>
          <w:numId w:val="22"/>
        </w:numPr>
        <w:spacing w:before="100" w:beforeAutospacing="1" w:after="100" w:afterAutospacing="1"/>
        <w:rPr>
          <w:rFonts w:cs="Arial"/>
        </w:rPr>
      </w:pPr>
      <w:r w:rsidRPr="008456FF">
        <w:rPr>
          <w:rFonts w:cs="Arial"/>
        </w:rPr>
        <w:t xml:space="preserve">I </w:t>
      </w:r>
      <w:r w:rsidR="00DC2DA5" w:rsidRPr="008456FF">
        <w:rPr>
          <w:rFonts w:cs="Arial"/>
        </w:rPr>
        <w:t>review</w:t>
      </w:r>
      <w:r w:rsidRPr="008456FF">
        <w:rPr>
          <w:rFonts w:cs="Arial"/>
        </w:rPr>
        <w:t>ed</w:t>
      </w:r>
      <w:r w:rsidR="00DC2DA5" w:rsidRPr="008456FF">
        <w:rPr>
          <w:rFonts w:cs="Arial"/>
        </w:rPr>
        <w:t xml:space="preserve"> the financial statement disclosures and test</w:t>
      </w:r>
      <w:r w:rsidR="000C1E05" w:rsidRPr="008456FF">
        <w:rPr>
          <w:rFonts w:cs="Arial"/>
        </w:rPr>
        <w:t>ed</w:t>
      </w:r>
      <w:r w:rsidR="00DC2DA5" w:rsidRPr="008456FF">
        <w:rPr>
          <w:rFonts w:cs="Arial"/>
        </w:rPr>
        <w:t xml:space="preserve"> to supporting documentation to assess compliance with provisions of relevant laws and regulations described above as having direct effect on the financial statements;</w:t>
      </w:r>
    </w:p>
    <w:p w14:paraId="41A36EE5" w14:textId="37E2FBEF" w:rsidR="00DC2DA5" w:rsidRPr="008456FF" w:rsidRDefault="00742BD7" w:rsidP="007A6076">
      <w:pPr>
        <w:pStyle w:val="BodyText"/>
        <w:numPr>
          <w:ilvl w:val="0"/>
          <w:numId w:val="22"/>
        </w:numPr>
        <w:spacing w:before="100" w:beforeAutospacing="1" w:after="100" w:afterAutospacing="1"/>
        <w:rPr>
          <w:rFonts w:cs="Arial"/>
        </w:rPr>
      </w:pPr>
      <w:r w:rsidRPr="008456FF">
        <w:rPr>
          <w:rFonts w:cs="Arial"/>
        </w:rPr>
        <w:t xml:space="preserve">I </w:t>
      </w:r>
      <w:r w:rsidR="00DC2DA5" w:rsidRPr="008456FF">
        <w:rPr>
          <w:rFonts w:cs="Arial"/>
        </w:rPr>
        <w:t>enquir</w:t>
      </w:r>
      <w:r w:rsidRPr="008456FF">
        <w:rPr>
          <w:rFonts w:cs="Arial"/>
        </w:rPr>
        <w:t>ed</w:t>
      </w:r>
      <w:r w:rsidR="00DC2DA5" w:rsidRPr="008456FF">
        <w:rPr>
          <w:rFonts w:cs="Arial"/>
        </w:rPr>
        <w:t xml:space="preserve"> of management, the Audit and Risk Committee</w:t>
      </w:r>
      <w:r w:rsidR="00FF4B97" w:rsidRPr="008456FF">
        <w:rPr>
          <w:rFonts w:cs="Arial"/>
        </w:rPr>
        <w:t xml:space="preserve"> </w:t>
      </w:r>
      <w:r w:rsidR="00DC2DA5" w:rsidRPr="008456FF">
        <w:rPr>
          <w:rFonts w:cs="Arial"/>
        </w:rPr>
        <w:t xml:space="preserve">concerning actual and potential litigation and claims; </w:t>
      </w:r>
    </w:p>
    <w:p w14:paraId="35E222C1" w14:textId="423BE59D" w:rsidR="00DC2DA5" w:rsidRPr="008456FF" w:rsidRDefault="00742BD7" w:rsidP="007A6076">
      <w:pPr>
        <w:pStyle w:val="BodyText"/>
        <w:numPr>
          <w:ilvl w:val="0"/>
          <w:numId w:val="22"/>
        </w:numPr>
        <w:spacing w:before="100" w:beforeAutospacing="1" w:after="100" w:afterAutospacing="1"/>
        <w:rPr>
          <w:rFonts w:cs="Arial"/>
        </w:rPr>
      </w:pPr>
      <w:r w:rsidRPr="008456FF">
        <w:rPr>
          <w:rFonts w:cs="Arial"/>
        </w:rPr>
        <w:t xml:space="preserve">I </w:t>
      </w:r>
      <w:r w:rsidR="00DC2DA5" w:rsidRPr="008456FF">
        <w:rPr>
          <w:rFonts w:cs="Arial"/>
        </w:rPr>
        <w:t>review</w:t>
      </w:r>
      <w:r w:rsidRPr="008456FF">
        <w:rPr>
          <w:rFonts w:cs="Arial"/>
        </w:rPr>
        <w:t>ed</w:t>
      </w:r>
      <w:r w:rsidR="00DC2DA5" w:rsidRPr="008456FF">
        <w:rPr>
          <w:rFonts w:cs="Arial"/>
        </w:rPr>
        <w:t xml:space="preserve"> minutes of meetings of those charged with governance and the </w:t>
      </w:r>
      <w:r w:rsidR="00714871" w:rsidRPr="008456FF">
        <w:rPr>
          <w:rFonts w:cs="Arial"/>
        </w:rPr>
        <w:t>Commission</w:t>
      </w:r>
      <w:r w:rsidRPr="008456FF">
        <w:rPr>
          <w:rFonts w:cs="Arial"/>
        </w:rPr>
        <w:t xml:space="preserve"> </w:t>
      </w:r>
      <w:r w:rsidR="00DC2DA5" w:rsidRPr="008456FF">
        <w:rPr>
          <w:rFonts w:cs="Arial"/>
        </w:rPr>
        <w:t>and internal audit reports; and</w:t>
      </w:r>
    </w:p>
    <w:p w14:paraId="3F5C1E9B" w14:textId="79A43680" w:rsidR="00DC2DA5" w:rsidRPr="008456FF" w:rsidRDefault="00F32285" w:rsidP="007A6076">
      <w:pPr>
        <w:pStyle w:val="BodyText"/>
        <w:numPr>
          <w:ilvl w:val="0"/>
          <w:numId w:val="22"/>
        </w:numPr>
        <w:spacing w:before="100" w:beforeAutospacing="1" w:after="100" w:afterAutospacing="1"/>
        <w:rPr>
          <w:rFonts w:cs="Arial"/>
        </w:rPr>
      </w:pPr>
      <w:r w:rsidRPr="008456FF">
        <w:rPr>
          <w:rFonts w:cs="Arial"/>
        </w:rPr>
        <w:t xml:space="preserve">I </w:t>
      </w:r>
      <w:r w:rsidR="00DC2DA5" w:rsidRPr="008456FF">
        <w:rPr>
          <w:rFonts w:cs="Arial"/>
        </w:rPr>
        <w:t>address</w:t>
      </w:r>
      <w:r w:rsidRPr="008456FF">
        <w:rPr>
          <w:rFonts w:cs="Arial"/>
        </w:rPr>
        <w:t>ed</w:t>
      </w:r>
      <w:r w:rsidR="00DC2DA5" w:rsidRPr="008456FF">
        <w:rPr>
          <w:rFonts w:cs="Arial"/>
        </w:rPr>
        <w:t xml:space="preserve"> the risk of fraud through management override of controls</w:t>
      </w:r>
      <w:r w:rsidRPr="008456FF">
        <w:rPr>
          <w:rFonts w:cs="Arial"/>
        </w:rPr>
        <w:t xml:space="preserve"> by</w:t>
      </w:r>
      <w:r w:rsidR="00742BD7" w:rsidRPr="008456FF">
        <w:rPr>
          <w:rFonts w:cs="Arial"/>
        </w:rPr>
        <w:t xml:space="preserve"> </w:t>
      </w:r>
      <w:r w:rsidR="00DC2DA5" w:rsidRPr="008456FF">
        <w:rPr>
          <w:rFonts w:cs="Arial"/>
        </w:rPr>
        <w:t>test</w:t>
      </w:r>
      <w:r w:rsidRPr="008456FF">
        <w:rPr>
          <w:rFonts w:cs="Arial"/>
        </w:rPr>
        <w:t>ing</w:t>
      </w:r>
      <w:r w:rsidR="00DC2DA5" w:rsidRPr="008456FF">
        <w:rPr>
          <w:rFonts w:cs="Arial"/>
        </w:rPr>
        <w:t xml:space="preserve"> the appropriateness of journal entries and other adjustments; assess</w:t>
      </w:r>
      <w:r w:rsidR="00BB0F77">
        <w:rPr>
          <w:rFonts w:cs="Arial"/>
        </w:rPr>
        <w:t>ing</w:t>
      </w:r>
      <w:r w:rsidR="00DC2DA5" w:rsidRPr="008456FF">
        <w:rPr>
          <w:rFonts w:cs="Arial"/>
        </w:rPr>
        <w:t xml:space="preserve"> whether the judgements </w:t>
      </w:r>
      <w:r w:rsidR="003C726F" w:rsidRPr="008456FF">
        <w:rPr>
          <w:rFonts w:cs="Arial"/>
        </w:rPr>
        <w:t xml:space="preserve">on </w:t>
      </w:r>
      <w:r w:rsidR="00DC2DA5" w:rsidRPr="008456FF">
        <w:rPr>
          <w:rFonts w:cs="Arial"/>
        </w:rPr>
        <w:t>estimates are indicative of a potential bias; and evaluat</w:t>
      </w:r>
      <w:r w:rsidR="009E695E" w:rsidRPr="008456FF">
        <w:rPr>
          <w:rFonts w:cs="Arial"/>
        </w:rPr>
        <w:t>ing</w:t>
      </w:r>
      <w:r w:rsidR="00DC2DA5" w:rsidRPr="008456FF">
        <w:rPr>
          <w:rFonts w:cs="Arial"/>
        </w:rPr>
        <w:t xml:space="preserve"> the business rationale of any significant transactions that are unusual or outside the normal course of business.</w:t>
      </w:r>
    </w:p>
    <w:p w14:paraId="2AB22724" w14:textId="69B6E65B" w:rsidR="005A53F8" w:rsidRPr="008456FF" w:rsidRDefault="001F3AD0" w:rsidP="001F3AD0">
      <w:pPr>
        <w:pStyle w:val="BodyText"/>
      </w:pPr>
      <w:r w:rsidRPr="008456FF">
        <w:t xml:space="preserve">I </w:t>
      </w:r>
      <w:r w:rsidR="005A53F8" w:rsidRPr="008456FF">
        <w:t xml:space="preserve">communicated relevant identified laws and regulations and potential </w:t>
      </w:r>
      <w:r w:rsidR="009B1E4A" w:rsidRPr="008456FF">
        <w:t xml:space="preserve">risks of </w:t>
      </w:r>
      <w:r w:rsidR="005A53F8" w:rsidRPr="008456FF">
        <w:t xml:space="preserve">fraud to all engagement team members and remained alert to any indicators of fraud or non-compliance with laws and regulations throughout the audit. </w:t>
      </w:r>
    </w:p>
    <w:p w14:paraId="72D9556B" w14:textId="72C8147C" w:rsidR="00DC2DA5" w:rsidRPr="008456FF" w:rsidRDefault="00DC2DA5" w:rsidP="00827D54">
      <w:pPr>
        <w:pStyle w:val="BodyText"/>
        <w:spacing w:before="100" w:beforeAutospacing="1" w:after="100" w:afterAutospacing="1"/>
      </w:pPr>
      <w:r w:rsidRPr="008456FF">
        <w:t xml:space="preserve">A further description of my responsibilities for the audit of the financial statements is located on the Financial Reporting Council’s website at: </w:t>
      </w:r>
      <w:hyperlink r:id="rId32" w:history="1">
        <w:r w:rsidRPr="008456FF">
          <w:rPr>
            <w:rStyle w:val="Hyperlink"/>
            <w:rFonts w:cs="Arial"/>
            <w:color w:val="auto"/>
          </w:rPr>
          <w:t>www.frc.org.uk/auditorsresponsibilities</w:t>
        </w:r>
      </w:hyperlink>
      <w:r w:rsidRPr="008456FF">
        <w:t xml:space="preserve">. This description forms part of my certificate. </w:t>
      </w:r>
    </w:p>
    <w:p w14:paraId="4E038D89" w14:textId="7B751A8B" w:rsidR="000C1E05" w:rsidRPr="00AD49EC" w:rsidRDefault="000C1E05" w:rsidP="000C1E05">
      <w:pPr>
        <w:pStyle w:val="Subtitle"/>
        <w:spacing w:before="100" w:beforeAutospacing="1" w:after="100" w:afterAutospacing="1"/>
        <w:rPr>
          <w:rFonts w:ascii="Verdana" w:eastAsia="Times New Roman" w:hAnsi="Verdana" w:cs="Arial"/>
          <w:color w:val="auto"/>
          <w:spacing w:val="0"/>
          <w:sz w:val="24"/>
          <w:szCs w:val="24"/>
          <w:u w:val="single"/>
        </w:rPr>
      </w:pPr>
      <w:r w:rsidRPr="00AD49EC">
        <w:rPr>
          <w:rFonts w:ascii="Verdana" w:eastAsia="Times New Roman" w:hAnsi="Verdana" w:cs="Arial"/>
          <w:color w:val="auto"/>
          <w:spacing w:val="0"/>
          <w:sz w:val="24"/>
          <w:szCs w:val="24"/>
          <w:u w:val="single"/>
        </w:rPr>
        <w:t>Other auditor’s responsibilities</w:t>
      </w:r>
    </w:p>
    <w:p w14:paraId="02C1A057" w14:textId="154817F0" w:rsidR="000C1E05" w:rsidRPr="008456FF" w:rsidRDefault="000C1E05" w:rsidP="000C1E05">
      <w:pPr>
        <w:rPr>
          <w:lang w:eastAsia="en-GB" w:bidi="ne-NP"/>
        </w:rPr>
      </w:pPr>
      <w:r w:rsidRPr="008456FF">
        <w:rPr>
          <w:lang w:eastAsia="en-GB" w:bidi="ne-NP"/>
        </w:rPr>
        <w:t xml:space="preserve">I am required to obtain </w:t>
      </w:r>
      <w:r w:rsidR="00232522">
        <w:rPr>
          <w:lang w:eastAsia="en-GB" w:bidi="ne-NP"/>
        </w:rPr>
        <w:t xml:space="preserve">sufficient </w:t>
      </w:r>
      <w:r w:rsidR="005A5842" w:rsidRPr="008456FF">
        <w:rPr>
          <w:lang w:eastAsia="en-GB" w:bidi="ne-NP"/>
        </w:rPr>
        <w:t xml:space="preserve">appropriate audit </w:t>
      </w:r>
      <w:r w:rsidRPr="008456FF">
        <w:rPr>
          <w:lang w:eastAsia="en-GB" w:bidi="ne-NP"/>
        </w:rPr>
        <w:t xml:space="preserve">evidence to give reasonable assurance that the expenditure and income recorded in the financial statements have been applied to the purposes intended by </w:t>
      </w:r>
      <w:r w:rsidRPr="008456FF">
        <w:rPr>
          <w:lang w:eastAsia="en-GB" w:bidi="ne-NP"/>
        </w:rPr>
        <w:lastRenderedPageBreak/>
        <w:t>Parliament and the financial transaction</w:t>
      </w:r>
      <w:r w:rsidR="00EA6094" w:rsidRPr="008456FF">
        <w:rPr>
          <w:lang w:eastAsia="en-GB" w:bidi="ne-NP"/>
        </w:rPr>
        <w:t>s</w:t>
      </w:r>
      <w:r w:rsidRPr="008456FF">
        <w:rPr>
          <w:lang w:eastAsia="en-GB" w:bidi="ne-NP"/>
        </w:rPr>
        <w:t xml:space="preserve"> recorded in the financial statements conform to the authorities which govern them.</w:t>
      </w:r>
    </w:p>
    <w:p w14:paraId="00C6C5D9" w14:textId="433B8F6C" w:rsidR="000C1E05" w:rsidRDefault="000C1E05" w:rsidP="000C1E05">
      <w:pPr>
        <w:rPr>
          <w:lang w:eastAsia="en-GB" w:bidi="ne-NP"/>
        </w:rPr>
      </w:pPr>
      <w:r w:rsidRPr="008456FF">
        <w:rPr>
          <w:lang w:eastAsia="en-GB" w:bidi="ne-NP"/>
        </w:rPr>
        <w:t>I communicate with those charged with governance regarding, among other matters, the planned scope and timing of the audit and significant audit findings, including any significant deficiencies in internal control I identify during my audit</w:t>
      </w:r>
      <w:r w:rsidR="00521110" w:rsidRPr="008456FF">
        <w:rPr>
          <w:lang w:eastAsia="en-GB" w:bidi="ne-NP"/>
        </w:rPr>
        <w:t>.</w:t>
      </w:r>
    </w:p>
    <w:p w14:paraId="3908A266" w14:textId="77777777" w:rsidR="00B67083" w:rsidRDefault="00B67083" w:rsidP="000C1E05">
      <w:pPr>
        <w:rPr>
          <w:lang w:eastAsia="en-GB" w:bidi="ne-NP"/>
        </w:rPr>
      </w:pPr>
    </w:p>
    <w:p w14:paraId="2827DF9B" w14:textId="73DB4C1D" w:rsidR="00B67083" w:rsidRDefault="00B67083" w:rsidP="000C1E05">
      <w:pPr>
        <w:rPr>
          <w:b/>
          <w:bCs/>
          <w:lang w:eastAsia="en-GB" w:bidi="ne-NP"/>
        </w:rPr>
      </w:pPr>
      <w:r>
        <w:rPr>
          <w:b/>
          <w:bCs/>
          <w:lang w:eastAsia="en-GB" w:bidi="ne-NP"/>
        </w:rPr>
        <w:t>Report</w:t>
      </w:r>
    </w:p>
    <w:p w14:paraId="15CB08AB" w14:textId="77777777" w:rsidR="00B67083" w:rsidRDefault="00B67083" w:rsidP="000C1E05">
      <w:pPr>
        <w:rPr>
          <w:lang w:eastAsia="en-GB" w:bidi="ne-NP"/>
        </w:rPr>
      </w:pPr>
    </w:p>
    <w:p w14:paraId="23E974C7" w14:textId="71D04354" w:rsidR="00B67083" w:rsidRPr="00B67083" w:rsidRDefault="00B67083" w:rsidP="000C1E05">
      <w:pPr>
        <w:rPr>
          <w:lang w:eastAsia="en-GB" w:bidi="ne-NP"/>
        </w:rPr>
      </w:pPr>
      <w:r>
        <w:rPr>
          <w:lang w:eastAsia="en-GB" w:bidi="ne-NP"/>
        </w:rPr>
        <w:t xml:space="preserve">I have no observations to make </w:t>
      </w:r>
      <w:r w:rsidR="00AE2051">
        <w:rPr>
          <w:lang w:eastAsia="en-GB" w:bidi="ne-NP"/>
        </w:rPr>
        <w:t>on these financial statements.</w:t>
      </w:r>
    </w:p>
    <w:p w14:paraId="3A5E7B41" w14:textId="77777777" w:rsidR="00DC2DA5" w:rsidRPr="008456FF" w:rsidRDefault="00DC2DA5" w:rsidP="00DC2DA5"/>
    <w:p w14:paraId="55AB3F2F" w14:textId="0F2F1C7A" w:rsidR="00DC2DA5" w:rsidRPr="008456FF" w:rsidRDefault="00DC2DA5" w:rsidP="00DC2DA5">
      <w:pPr>
        <w:rPr>
          <w:b/>
        </w:rPr>
      </w:pPr>
      <w:r w:rsidRPr="008456FF">
        <w:rPr>
          <w:b/>
        </w:rPr>
        <w:t>Gareth Davies</w:t>
      </w:r>
      <w:r w:rsidRPr="008456FF">
        <w:rPr>
          <w:b/>
        </w:rPr>
        <w:tab/>
      </w:r>
      <w:r w:rsidRPr="008456FF">
        <w:rPr>
          <w:b/>
        </w:rPr>
        <w:tab/>
      </w:r>
      <w:r w:rsidRPr="008456FF">
        <w:rPr>
          <w:b/>
        </w:rPr>
        <w:tab/>
      </w:r>
      <w:r w:rsidRPr="008456FF">
        <w:rPr>
          <w:b/>
        </w:rPr>
        <w:tab/>
      </w:r>
      <w:r w:rsidRPr="008456FF">
        <w:rPr>
          <w:b/>
        </w:rPr>
        <w:tab/>
      </w:r>
      <w:r w:rsidRPr="008456FF">
        <w:rPr>
          <w:b/>
        </w:rPr>
        <w:tab/>
        <w:t>Date</w:t>
      </w:r>
      <w:r w:rsidR="004A60FF" w:rsidRPr="008456FF">
        <w:rPr>
          <w:b/>
        </w:rPr>
        <w:t xml:space="preserve"> </w:t>
      </w:r>
      <w:r w:rsidR="00544736">
        <w:rPr>
          <w:b/>
        </w:rPr>
        <w:t>4</w:t>
      </w:r>
      <w:r w:rsidR="009867A9" w:rsidRPr="008456FF">
        <w:rPr>
          <w:b/>
        </w:rPr>
        <w:t xml:space="preserve"> </w:t>
      </w:r>
      <w:r w:rsidR="00544736">
        <w:rPr>
          <w:b/>
        </w:rPr>
        <w:t>July</w:t>
      </w:r>
      <w:r w:rsidR="00671DA5" w:rsidRPr="008456FF">
        <w:rPr>
          <w:b/>
        </w:rPr>
        <w:t xml:space="preserve"> 20</w:t>
      </w:r>
      <w:r w:rsidR="001F3AD0" w:rsidRPr="008456FF">
        <w:rPr>
          <w:b/>
        </w:rPr>
        <w:t>2</w:t>
      </w:r>
      <w:r w:rsidR="00584C1D">
        <w:rPr>
          <w:b/>
        </w:rPr>
        <w:t>5</w:t>
      </w:r>
    </w:p>
    <w:p w14:paraId="25A3CE5C" w14:textId="77777777" w:rsidR="00DC2DA5" w:rsidRPr="008456FF" w:rsidRDefault="00DC2DA5" w:rsidP="00DC2DA5">
      <w:pPr>
        <w:rPr>
          <w:b/>
        </w:rPr>
      </w:pPr>
      <w:r w:rsidRPr="008456FF">
        <w:rPr>
          <w:b/>
        </w:rPr>
        <w:t>Comptroller and Auditor General</w:t>
      </w:r>
    </w:p>
    <w:p w14:paraId="1830628F" w14:textId="77777777" w:rsidR="00DC2DA5" w:rsidRPr="008456FF" w:rsidRDefault="00DC2DA5" w:rsidP="00DC2DA5"/>
    <w:p w14:paraId="1341D833" w14:textId="77777777" w:rsidR="00DC2DA5" w:rsidRPr="008456FF" w:rsidRDefault="00DC2DA5" w:rsidP="00DC2DA5">
      <w:r w:rsidRPr="008456FF">
        <w:t>National Audit Office</w:t>
      </w:r>
    </w:p>
    <w:p w14:paraId="600FE49B" w14:textId="77777777" w:rsidR="00DC2DA5" w:rsidRPr="008456FF" w:rsidRDefault="00DC2DA5" w:rsidP="00DC2DA5">
      <w:r w:rsidRPr="008456FF">
        <w:t>157-197 Buckingham Palace Road</w:t>
      </w:r>
    </w:p>
    <w:p w14:paraId="5CC20478" w14:textId="77777777" w:rsidR="00DC2DA5" w:rsidRPr="008456FF" w:rsidRDefault="00DC2DA5" w:rsidP="00DC2DA5">
      <w:r w:rsidRPr="008456FF">
        <w:t>Victoria</w:t>
      </w:r>
    </w:p>
    <w:p w14:paraId="1A325A98" w14:textId="77777777" w:rsidR="00DC2DA5" w:rsidRPr="008456FF" w:rsidRDefault="00DC2DA5" w:rsidP="00DC2DA5">
      <w:r w:rsidRPr="008456FF">
        <w:t>London</w:t>
      </w:r>
    </w:p>
    <w:p w14:paraId="18CA3B62" w14:textId="77777777" w:rsidR="00DC2DA5" w:rsidRPr="00822CD0" w:rsidRDefault="00DC2DA5" w:rsidP="00DC2DA5">
      <w:r w:rsidRPr="008456FF">
        <w:t>SW1W 9SP</w:t>
      </w:r>
    </w:p>
    <w:p w14:paraId="2154E0FD" w14:textId="77777777" w:rsidR="00DC2DA5" w:rsidRPr="00822CD0" w:rsidRDefault="00DC2DA5" w:rsidP="00DC2DA5">
      <w:pPr>
        <w:spacing w:after="120" w:line="276" w:lineRule="auto"/>
        <w:jc w:val="both"/>
      </w:pPr>
    </w:p>
    <w:p w14:paraId="50482133" w14:textId="77777777" w:rsidR="00DC2DA5" w:rsidRPr="00822CD0" w:rsidRDefault="00DC2DA5" w:rsidP="00DC2DA5">
      <w:pPr>
        <w:spacing w:after="120" w:line="276" w:lineRule="auto"/>
        <w:jc w:val="both"/>
      </w:pPr>
    </w:p>
    <w:p w14:paraId="7A2E92D1" w14:textId="77777777" w:rsidR="00DC2DA5" w:rsidRPr="00822CD0" w:rsidRDefault="00DC2DA5" w:rsidP="00DC2DA5">
      <w:pPr>
        <w:spacing w:after="120" w:line="276" w:lineRule="auto"/>
        <w:jc w:val="both"/>
      </w:pPr>
    </w:p>
    <w:p w14:paraId="67C34E57" w14:textId="77777777" w:rsidR="00DC2DA5" w:rsidRPr="00822CD0" w:rsidRDefault="00DC2DA5" w:rsidP="00DC2DA5">
      <w:pPr>
        <w:spacing w:after="120" w:line="276" w:lineRule="auto"/>
        <w:jc w:val="both"/>
      </w:pPr>
    </w:p>
    <w:p w14:paraId="2ED4BBD9" w14:textId="77777777" w:rsidR="000C2A54" w:rsidRDefault="000C2A54" w:rsidP="000C2A54">
      <w:pPr>
        <w:jc w:val="center"/>
        <w:rPr>
          <w:b/>
          <w:color w:val="auto"/>
          <w:sz w:val="28"/>
          <w:szCs w:val="28"/>
        </w:rPr>
        <w:sectPr w:rsidR="000C2A54" w:rsidSect="00AE0E5D">
          <w:headerReference w:type="even" r:id="rId33"/>
          <w:headerReference w:type="default" r:id="rId34"/>
          <w:footerReference w:type="even" r:id="rId35"/>
          <w:footerReference w:type="default" r:id="rId36"/>
          <w:headerReference w:type="first" r:id="rId37"/>
          <w:pgSz w:w="11907" w:h="16840" w:code="9"/>
          <w:pgMar w:top="1418" w:right="1418" w:bottom="851" w:left="1418" w:header="709" w:footer="709" w:gutter="0"/>
          <w:pgNumType w:start="5"/>
          <w:cols w:space="708"/>
          <w:docGrid w:linePitch="360"/>
        </w:sectPr>
      </w:pPr>
    </w:p>
    <w:p w14:paraId="3E282C2A" w14:textId="2701D685" w:rsidR="004A14D8" w:rsidRPr="004A14D8" w:rsidRDefault="000C2A54" w:rsidP="004A14D8">
      <w:pPr>
        <w:widowControl w:val="0"/>
        <w:autoSpaceDE w:val="0"/>
        <w:autoSpaceDN w:val="0"/>
        <w:adjustRightInd w:val="0"/>
        <w:ind w:left="-567" w:right="-567"/>
        <w:jc w:val="center"/>
        <w:rPr>
          <w:rFonts w:cs="Arial"/>
          <w:b/>
          <w:color w:val="77328A"/>
          <w:sz w:val="30"/>
          <w:szCs w:val="30"/>
        </w:rPr>
      </w:pPr>
      <w:r w:rsidRPr="001C4D92">
        <w:rPr>
          <w:b/>
          <w:sz w:val="32"/>
          <w:szCs w:val="32"/>
        </w:rPr>
        <w:lastRenderedPageBreak/>
        <w:t xml:space="preserve"> </w:t>
      </w:r>
      <w:bookmarkStart w:id="31" w:name="FinancialStatements"/>
      <w:r w:rsidR="008C73A2">
        <w:rPr>
          <w:rFonts w:cs="Arial"/>
          <w:b/>
          <w:color w:val="77328A"/>
          <w:sz w:val="30"/>
          <w:szCs w:val="30"/>
        </w:rPr>
        <w:t>Financial Statements</w:t>
      </w:r>
      <w:r w:rsidR="008D0E8C">
        <w:rPr>
          <w:rFonts w:cs="Arial"/>
          <w:b/>
          <w:color w:val="77328A"/>
          <w:sz w:val="30"/>
          <w:szCs w:val="30"/>
        </w:rPr>
        <w:t xml:space="preserve"> for the Year Ended 31 March 202</w:t>
      </w:r>
      <w:bookmarkEnd w:id="31"/>
      <w:r w:rsidR="00744E70">
        <w:rPr>
          <w:rFonts w:cs="Arial"/>
          <w:b/>
          <w:color w:val="77328A"/>
          <w:sz w:val="30"/>
          <w:szCs w:val="30"/>
        </w:rPr>
        <w:t>5</w:t>
      </w:r>
    </w:p>
    <w:p w14:paraId="09CEE928" w14:textId="77777777" w:rsidR="000C2A54" w:rsidRDefault="000C2A54" w:rsidP="000C2A54">
      <w:pPr>
        <w:widowControl w:val="0"/>
        <w:autoSpaceDE w:val="0"/>
        <w:autoSpaceDN w:val="0"/>
        <w:adjustRightInd w:val="0"/>
        <w:ind w:left="-567" w:right="-567"/>
        <w:jc w:val="center"/>
      </w:pPr>
    </w:p>
    <w:p w14:paraId="61D36A43" w14:textId="753ACAD1" w:rsidR="000C2A54" w:rsidRDefault="008C73A2" w:rsidP="000C2A54">
      <w:pPr>
        <w:widowControl w:val="0"/>
        <w:autoSpaceDE w:val="0"/>
        <w:autoSpaceDN w:val="0"/>
        <w:adjustRightInd w:val="0"/>
        <w:ind w:left="-567" w:right="-567"/>
        <w:jc w:val="center"/>
        <w:rPr>
          <w:b/>
          <w:sz w:val="28"/>
          <w:szCs w:val="28"/>
        </w:rPr>
      </w:pPr>
      <w:bookmarkStart w:id="32" w:name="StatementofComprehensiveNetExpenditure"/>
      <w:r>
        <w:rPr>
          <w:rFonts w:cs="Arial"/>
          <w:b/>
          <w:color w:val="77328A"/>
          <w:sz w:val="30"/>
          <w:szCs w:val="30"/>
        </w:rPr>
        <w:t>Statement of Comprehensive Net Expenditure for the Year End</w:t>
      </w:r>
      <w:r w:rsidR="008D0E8C">
        <w:rPr>
          <w:rFonts w:cs="Arial"/>
          <w:b/>
          <w:color w:val="77328A"/>
          <w:sz w:val="30"/>
          <w:szCs w:val="30"/>
        </w:rPr>
        <w:t>ed 31 March 202</w:t>
      </w:r>
      <w:r w:rsidR="00744E70">
        <w:rPr>
          <w:rFonts w:cs="Arial"/>
          <w:b/>
          <w:color w:val="77328A"/>
          <w:sz w:val="30"/>
          <w:szCs w:val="30"/>
        </w:rPr>
        <w:t>5</w:t>
      </w:r>
    </w:p>
    <w:bookmarkEnd w:id="32"/>
    <w:p w14:paraId="06A0782A" w14:textId="77777777" w:rsidR="000C2A54" w:rsidRPr="00AC49A1" w:rsidRDefault="000C2A54" w:rsidP="000C2A54">
      <w:pPr>
        <w:widowControl w:val="0"/>
        <w:tabs>
          <w:tab w:val="right" w:pos="7371"/>
          <w:tab w:val="right" w:pos="9071"/>
        </w:tabs>
        <w:autoSpaceDE w:val="0"/>
        <w:autoSpaceDN w:val="0"/>
        <w:adjustRightInd w:val="0"/>
        <w:rPr>
          <w:rFonts w:cs="Arial"/>
          <w:b/>
          <w:bCs/>
          <w:sz w:val="22"/>
          <w:szCs w:val="22"/>
        </w:rPr>
      </w:pPr>
    </w:p>
    <w:p w14:paraId="552EA558" w14:textId="27698EA7" w:rsidR="000C2A54" w:rsidRPr="003061F1" w:rsidRDefault="000C2A54" w:rsidP="000C2A54">
      <w:pPr>
        <w:widowControl w:val="0"/>
        <w:tabs>
          <w:tab w:val="right" w:pos="7371"/>
          <w:tab w:val="right" w:pos="9071"/>
        </w:tabs>
        <w:autoSpaceDE w:val="0"/>
        <w:autoSpaceDN w:val="0"/>
        <w:adjustRightInd w:val="0"/>
        <w:rPr>
          <w:rFonts w:cs="Arial"/>
          <w:b/>
          <w:bCs/>
          <w:sz w:val="20"/>
          <w:szCs w:val="20"/>
        </w:rPr>
      </w:pPr>
      <w:r w:rsidRPr="00AC49A1">
        <w:rPr>
          <w:rFonts w:cs="Arial"/>
          <w:b/>
          <w:bCs/>
          <w:sz w:val="22"/>
          <w:szCs w:val="22"/>
        </w:rPr>
        <w:tab/>
      </w:r>
      <w:r w:rsidR="003A3109">
        <w:rPr>
          <w:rFonts w:cs="Arial"/>
          <w:b/>
          <w:bCs/>
          <w:sz w:val="20"/>
          <w:szCs w:val="20"/>
        </w:rPr>
        <w:t>202</w:t>
      </w:r>
      <w:r w:rsidR="00744E70">
        <w:rPr>
          <w:rFonts w:cs="Arial"/>
          <w:b/>
          <w:bCs/>
          <w:sz w:val="20"/>
          <w:szCs w:val="20"/>
        </w:rPr>
        <w:t>4</w:t>
      </w:r>
      <w:r w:rsidR="003A3109">
        <w:rPr>
          <w:rFonts w:cs="Arial"/>
          <w:b/>
          <w:bCs/>
          <w:sz w:val="20"/>
          <w:szCs w:val="20"/>
        </w:rPr>
        <w:t>-2</w:t>
      </w:r>
      <w:r w:rsidR="00744E70">
        <w:rPr>
          <w:rFonts w:cs="Arial"/>
          <w:b/>
          <w:bCs/>
          <w:sz w:val="20"/>
          <w:szCs w:val="20"/>
        </w:rPr>
        <w:t>5</w:t>
      </w:r>
      <w:r w:rsidRPr="003061F1">
        <w:rPr>
          <w:rFonts w:cs="Arial"/>
          <w:b/>
          <w:bCs/>
          <w:sz w:val="20"/>
          <w:szCs w:val="20"/>
        </w:rPr>
        <w:tab/>
      </w:r>
      <w:r w:rsidR="003A3109">
        <w:rPr>
          <w:rFonts w:cs="Arial"/>
          <w:b/>
          <w:bCs/>
          <w:sz w:val="20"/>
          <w:szCs w:val="20"/>
        </w:rPr>
        <w:t>202</w:t>
      </w:r>
      <w:r w:rsidR="00744E70">
        <w:rPr>
          <w:rFonts w:cs="Arial"/>
          <w:b/>
          <w:bCs/>
          <w:sz w:val="20"/>
          <w:szCs w:val="20"/>
        </w:rPr>
        <w:t>3</w:t>
      </w:r>
      <w:r w:rsidR="003A3109">
        <w:rPr>
          <w:rFonts w:cs="Arial"/>
          <w:b/>
          <w:bCs/>
          <w:sz w:val="20"/>
          <w:szCs w:val="20"/>
        </w:rPr>
        <w:t>-2</w:t>
      </w:r>
      <w:r w:rsidR="00744E70">
        <w:rPr>
          <w:rFonts w:cs="Arial"/>
          <w:b/>
          <w:bCs/>
          <w:sz w:val="20"/>
          <w:szCs w:val="20"/>
        </w:rPr>
        <w:t>4</w:t>
      </w:r>
    </w:p>
    <w:p w14:paraId="798A02BF" w14:textId="77777777" w:rsidR="000C2A54" w:rsidRPr="003061F1" w:rsidRDefault="000C2A54" w:rsidP="000C2A54">
      <w:pPr>
        <w:widowControl w:val="0"/>
        <w:tabs>
          <w:tab w:val="center" w:pos="5580"/>
          <w:tab w:val="right" w:pos="7371"/>
          <w:tab w:val="right" w:pos="9072"/>
        </w:tabs>
        <w:autoSpaceDE w:val="0"/>
        <w:autoSpaceDN w:val="0"/>
        <w:adjustRightInd w:val="0"/>
        <w:rPr>
          <w:b/>
          <w:sz w:val="20"/>
          <w:szCs w:val="20"/>
        </w:rPr>
      </w:pPr>
      <w:r w:rsidRPr="003061F1">
        <w:rPr>
          <w:b/>
          <w:sz w:val="20"/>
          <w:szCs w:val="20"/>
        </w:rPr>
        <w:tab/>
        <w:t>Notes</w:t>
      </w:r>
      <w:r w:rsidRPr="003061F1">
        <w:rPr>
          <w:b/>
          <w:sz w:val="20"/>
          <w:szCs w:val="20"/>
        </w:rPr>
        <w:tab/>
        <w:t>£</w:t>
      </w:r>
      <w:r w:rsidRPr="003061F1">
        <w:rPr>
          <w:b/>
          <w:sz w:val="20"/>
          <w:szCs w:val="20"/>
        </w:rPr>
        <w:tab/>
        <w:t>£</w:t>
      </w:r>
    </w:p>
    <w:p w14:paraId="3E985B2A" w14:textId="77777777" w:rsidR="000C2A54" w:rsidRPr="003061F1" w:rsidRDefault="000C2A54" w:rsidP="000C2A54">
      <w:pPr>
        <w:widowControl w:val="0"/>
        <w:tabs>
          <w:tab w:val="center" w:pos="5580"/>
        </w:tabs>
        <w:autoSpaceDE w:val="0"/>
        <w:autoSpaceDN w:val="0"/>
        <w:adjustRightInd w:val="0"/>
        <w:rPr>
          <w:rFonts w:cs="Arial"/>
          <w:b/>
          <w:bCs/>
          <w:sz w:val="20"/>
          <w:szCs w:val="20"/>
        </w:rPr>
      </w:pPr>
    </w:p>
    <w:p w14:paraId="75EE24CF"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rPr>
      </w:pPr>
      <w:r w:rsidRPr="003061F1">
        <w:rPr>
          <w:rFonts w:cs="Arial"/>
          <w:b/>
          <w:bCs/>
          <w:sz w:val="20"/>
          <w:szCs w:val="20"/>
        </w:rPr>
        <w:t>Expenditure</w:t>
      </w:r>
    </w:p>
    <w:p w14:paraId="4C070F23" w14:textId="19EDEAC1" w:rsidR="000C2A54" w:rsidRPr="003061F1" w:rsidRDefault="000C2A54" w:rsidP="000C2A54">
      <w:pPr>
        <w:widowControl w:val="0"/>
        <w:tabs>
          <w:tab w:val="center" w:pos="5580"/>
          <w:tab w:val="right" w:pos="7371"/>
          <w:tab w:val="left" w:pos="7695"/>
          <w:tab w:val="right" w:pos="9071"/>
        </w:tabs>
        <w:autoSpaceDE w:val="0"/>
        <w:autoSpaceDN w:val="0"/>
        <w:adjustRightInd w:val="0"/>
        <w:rPr>
          <w:rFonts w:cs="Arial"/>
          <w:sz w:val="20"/>
          <w:szCs w:val="20"/>
        </w:rPr>
      </w:pPr>
      <w:r w:rsidRPr="003061F1">
        <w:rPr>
          <w:rFonts w:cs="Arial"/>
          <w:sz w:val="20"/>
          <w:szCs w:val="20"/>
        </w:rPr>
        <w:t>Staff costs</w:t>
      </w:r>
      <w:r w:rsidRPr="003061F1">
        <w:rPr>
          <w:rFonts w:cs="Arial"/>
          <w:sz w:val="20"/>
          <w:szCs w:val="20"/>
        </w:rPr>
        <w:tab/>
      </w:r>
      <w:r w:rsidRPr="003061F1">
        <w:rPr>
          <w:rFonts w:cs="Arial"/>
          <w:b/>
          <w:bCs/>
          <w:sz w:val="20"/>
          <w:szCs w:val="20"/>
        </w:rPr>
        <w:t>3</w:t>
      </w:r>
      <w:r w:rsidR="0087285C">
        <w:rPr>
          <w:rFonts w:cs="Arial"/>
          <w:bCs/>
          <w:sz w:val="20"/>
          <w:szCs w:val="20"/>
        </w:rPr>
        <w:tab/>
      </w:r>
      <w:r w:rsidR="00C274F5">
        <w:rPr>
          <w:rFonts w:cs="Arial"/>
          <w:bCs/>
          <w:sz w:val="20"/>
          <w:szCs w:val="20"/>
        </w:rPr>
        <w:t>2</w:t>
      </w:r>
      <w:r w:rsidR="003A3109">
        <w:rPr>
          <w:rFonts w:cs="Arial"/>
          <w:bCs/>
          <w:sz w:val="20"/>
          <w:szCs w:val="20"/>
        </w:rPr>
        <w:t>,</w:t>
      </w:r>
      <w:r w:rsidR="00C274F5">
        <w:rPr>
          <w:rFonts w:cs="Arial"/>
          <w:bCs/>
          <w:sz w:val="20"/>
          <w:szCs w:val="20"/>
        </w:rPr>
        <w:t>031</w:t>
      </w:r>
      <w:r w:rsidR="004A14D8">
        <w:rPr>
          <w:rFonts w:cs="Arial"/>
          <w:bCs/>
          <w:sz w:val="20"/>
          <w:szCs w:val="20"/>
        </w:rPr>
        <w:t>,</w:t>
      </w:r>
      <w:r w:rsidR="00C274F5">
        <w:rPr>
          <w:rFonts w:cs="Arial"/>
          <w:bCs/>
          <w:sz w:val="20"/>
          <w:szCs w:val="20"/>
        </w:rPr>
        <w:t>775</w:t>
      </w:r>
      <w:r w:rsidRPr="003061F1">
        <w:rPr>
          <w:rFonts w:cs="Arial"/>
          <w:bCs/>
          <w:sz w:val="20"/>
          <w:szCs w:val="20"/>
        </w:rPr>
        <w:tab/>
      </w:r>
      <w:r w:rsidRPr="003061F1">
        <w:rPr>
          <w:rFonts w:cs="Arial"/>
          <w:bCs/>
          <w:sz w:val="20"/>
          <w:szCs w:val="20"/>
        </w:rPr>
        <w:tab/>
      </w:r>
      <w:r w:rsidR="004A14D8">
        <w:rPr>
          <w:rFonts w:cs="Arial"/>
          <w:bCs/>
          <w:sz w:val="20"/>
          <w:szCs w:val="20"/>
        </w:rPr>
        <w:t>1,</w:t>
      </w:r>
      <w:r w:rsidR="00744E70">
        <w:rPr>
          <w:rFonts w:cs="Arial"/>
          <w:bCs/>
          <w:sz w:val="20"/>
          <w:szCs w:val="20"/>
        </w:rPr>
        <w:t>881</w:t>
      </w:r>
      <w:r w:rsidR="00545EEE">
        <w:rPr>
          <w:rFonts w:cs="Arial"/>
          <w:bCs/>
          <w:sz w:val="20"/>
          <w:szCs w:val="20"/>
        </w:rPr>
        <w:t>,</w:t>
      </w:r>
      <w:r w:rsidR="00744E70">
        <w:rPr>
          <w:rFonts w:cs="Arial"/>
          <w:bCs/>
          <w:sz w:val="20"/>
          <w:szCs w:val="20"/>
        </w:rPr>
        <w:t>352</w:t>
      </w:r>
    </w:p>
    <w:p w14:paraId="45DC87F5" w14:textId="26BF50F3" w:rsidR="000C2A54" w:rsidRDefault="007B768A" w:rsidP="000C2A54">
      <w:pPr>
        <w:widowControl w:val="0"/>
        <w:tabs>
          <w:tab w:val="center" w:pos="5580"/>
          <w:tab w:val="right" w:pos="7371"/>
          <w:tab w:val="right" w:pos="9071"/>
        </w:tabs>
        <w:autoSpaceDE w:val="0"/>
        <w:autoSpaceDN w:val="0"/>
        <w:adjustRightInd w:val="0"/>
        <w:rPr>
          <w:rFonts w:cs="Arial"/>
          <w:bCs/>
          <w:sz w:val="20"/>
          <w:szCs w:val="20"/>
        </w:rPr>
      </w:pPr>
      <w:r>
        <w:rPr>
          <w:rFonts w:cs="Arial"/>
          <w:sz w:val="20"/>
          <w:szCs w:val="20"/>
        </w:rPr>
        <w:t>Other o</w:t>
      </w:r>
      <w:r w:rsidR="000C2A54" w:rsidRPr="003061F1">
        <w:rPr>
          <w:rFonts w:cs="Arial"/>
          <w:sz w:val="20"/>
          <w:szCs w:val="20"/>
        </w:rPr>
        <w:t>perating costs</w:t>
      </w:r>
      <w:r w:rsidR="000C2A54" w:rsidRPr="003061F1">
        <w:rPr>
          <w:rFonts w:cs="Arial"/>
          <w:sz w:val="20"/>
          <w:szCs w:val="20"/>
        </w:rPr>
        <w:tab/>
      </w:r>
      <w:r w:rsidR="000C2A54" w:rsidRPr="003061F1">
        <w:rPr>
          <w:rFonts w:cs="Arial"/>
          <w:b/>
          <w:bCs/>
          <w:sz w:val="20"/>
          <w:szCs w:val="20"/>
        </w:rPr>
        <w:t>4</w:t>
      </w:r>
      <w:r w:rsidR="000C2A54" w:rsidRPr="003061F1">
        <w:rPr>
          <w:rFonts w:cs="Arial"/>
          <w:bCs/>
          <w:sz w:val="20"/>
          <w:szCs w:val="20"/>
        </w:rPr>
        <w:tab/>
      </w:r>
      <w:r w:rsidR="00B55E87">
        <w:rPr>
          <w:rFonts w:cs="Arial"/>
          <w:bCs/>
          <w:sz w:val="20"/>
          <w:szCs w:val="20"/>
        </w:rPr>
        <w:t>6</w:t>
      </w:r>
      <w:r w:rsidR="00C274F5">
        <w:rPr>
          <w:rFonts w:cs="Arial"/>
          <w:bCs/>
          <w:sz w:val="20"/>
          <w:szCs w:val="20"/>
        </w:rPr>
        <w:t>87</w:t>
      </w:r>
      <w:r w:rsidR="009D6D7C">
        <w:rPr>
          <w:rFonts w:cs="Arial"/>
          <w:bCs/>
          <w:sz w:val="20"/>
          <w:szCs w:val="20"/>
        </w:rPr>
        <w:t>,</w:t>
      </w:r>
      <w:r w:rsidR="00C274F5">
        <w:rPr>
          <w:rFonts w:cs="Arial"/>
          <w:bCs/>
          <w:sz w:val="20"/>
          <w:szCs w:val="20"/>
        </w:rPr>
        <w:t>088</w:t>
      </w:r>
      <w:r w:rsidR="000C2A54" w:rsidRPr="003061F1">
        <w:rPr>
          <w:rFonts w:cs="Arial"/>
          <w:bCs/>
          <w:sz w:val="20"/>
          <w:szCs w:val="20"/>
        </w:rPr>
        <w:tab/>
      </w:r>
      <w:r w:rsidR="004A14D8">
        <w:rPr>
          <w:rFonts w:cs="Arial"/>
          <w:bCs/>
          <w:sz w:val="20"/>
          <w:szCs w:val="20"/>
        </w:rPr>
        <w:t>6</w:t>
      </w:r>
      <w:r w:rsidR="00744E70">
        <w:rPr>
          <w:rFonts w:cs="Arial"/>
          <w:bCs/>
          <w:sz w:val="20"/>
          <w:szCs w:val="20"/>
        </w:rPr>
        <w:t>71</w:t>
      </w:r>
      <w:r w:rsidR="00545EEE">
        <w:rPr>
          <w:rFonts w:cs="Arial"/>
          <w:bCs/>
          <w:sz w:val="20"/>
          <w:szCs w:val="20"/>
        </w:rPr>
        <w:t>,</w:t>
      </w:r>
      <w:r w:rsidR="00744E70">
        <w:rPr>
          <w:rFonts w:cs="Arial"/>
          <w:bCs/>
          <w:sz w:val="20"/>
          <w:szCs w:val="20"/>
        </w:rPr>
        <w:t>686</w:t>
      </w:r>
    </w:p>
    <w:p w14:paraId="38589E77" w14:textId="03E5B5DD" w:rsidR="000C2A54" w:rsidRDefault="007B768A" w:rsidP="000C2A54">
      <w:pPr>
        <w:widowControl w:val="0"/>
        <w:tabs>
          <w:tab w:val="center" w:pos="5580"/>
          <w:tab w:val="right" w:pos="7371"/>
          <w:tab w:val="right" w:pos="9071"/>
        </w:tabs>
        <w:autoSpaceDE w:val="0"/>
        <w:autoSpaceDN w:val="0"/>
        <w:adjustRightInd w:val="0"/>
        <w:rPr>
          <w:rFonts w:cs="Arial"/>
          <w:bCs/>
          <w:sz w:val="20"/>
          <w:szCs w:val="20"/>
        </w:rPr>
      </w:pPr>
      <w:r>
        <w:rPr>
          <w:rFonts w:cs="Arial"/>
          <w:sz w:val="20"/>
          <w:szCs w:val="20"/>
        </w:rPr>
        <w:t>Depreciation, amortisation and i</w:t>
      </w:r>
      <w:r w:rsidR="000C2A54" w:rsidRPr="003061F1">
        <w:rPr>
          <w:rFonts w:cs="Arial"/>
          <w:sz w:val="20"/>
          <w:szCs w:val="20"/>
        </w:rPr>
        <w:t>mpairment</w:t>
      </w:r>
      <w:r w:rsidR="000C2A54" w:rsidRPr="003061F1">
        <w:rPr>
          <w:rFonts w:cs="Arial"/>
          <w:sz w:val="20"/>
          <w:szCs w:val="20"/>
        </w:rPr>
        <w:tab/>
      </w:r>
      <w:r w:rsidR="000C2A54" w:rsidRPr="003061F1">
        <w:rPr>
          <w:rFonts w:cs="Arial"/>
          <w:b/>
          <w:bCs/>
          <w:sz w:val="20"/>
          <w:szCs w:val="20"/>
        </w:rPr>
        <w:t>4</w:t>
      </w:r>
      <w:r w:rsidR="000C2A54" w:rsidRPr="003061F1">
        <w:rPr>
          <w:rFonts w:cs="Arial"/>
          <w:bCs/>
          <w:sz w:val="20"/>
          <w:szCs w:val="20"/>
        </w:rPr>
        <w:tab/>
      </w:r>
      <w:r w:rsidR="004A14D8">
        <w:rPr>
          <w:rFonts w:cs="Arial"/>
          <w:bCs/>
          <w:sz w:val="20"/>
          <w:szCs w:val="20"/>
        </w:rPr>
        <w:t>10</w:t>
      </w:r>
      <w:r w:rsidR="00C274F5">
        <w:rPr>
          <w:rFonts w:cs="Arial"/>
          <w:bCs/>
          <w:sz w:val="20"/>
          <w:szCs w:val="20"/>
        </w:rPr>
        <w:t>6</w:t>
      </w:r>
      <w:r w:rsidR="004A14D8">
        <w:rPr>
          <w:rFonts w:cs="Arial"/>
          <w:bCs/>
          <w:sz w:val="20"/>
          <w:szCs w:val="20"/>
        </w:rPr>
        <w:t>,</w:t>
      </w:r>
      <w:r w:rsidR="00C274F5">
        <w:rPr>
          <w:rFonts w:cs="Arial"/>
          <w:bCs/>
          <w:sz w:val="20"/>
          <w:szCs w:val="20"/>
        </w:rPr>
        <w:t>727</w:t>
      </w:r>
      <w:r w:rsidR="000C2A54" w:rsidRPr="003061F1">
        <w:rPr>
          <w:rFonts w:cs="Arial"/>
          <w:bCs/>
          <w:sz w:val="20"/>
          <w:szCs w:val="20"/>
        </w:rPr>
        <w:tab/>
      </w:r>
      <w:r w:rsidR="00545EEE">
        <w:rPr>
          <w:rFonts w:cs="Arial"/>
          <w:bCs/>
          <w:sz w:val="20"/>
          <w:szCs w:val="20"/>
        </w:rPr>
        <w:t>10</w:t>
      </w:r>
      <w:r w:rsidR="00744E70">
        <w:rPr>
          <w:rFonts w:cs="Arial"/>
          <w:bCs/>
          <w:sz w:val="20"/>
          <w:szCs w:val="20"/>
        </w:rPr>
        <w:t>5</w:t>
      </w:r>
      <w:r w:rsidR="00545EEE">
        <w:rPr>
          <w:rFonts w:cs="Arial"/>
          <w:bCs/>
          <w:sz w:val="20"/>
          <w:szCs w:val="20"/>
        </w:rPr>
        <w:t>,</w:t>
      </w:r>
      <w:r w:rsidR="00744E70">
        <w:rPr>
          <w:rFonts w:cs="Arial"/>
          <w:bCs/>
          <w:sz w:val="20"/>
          <w:szCs w:val="20"/>
        </w:rPr>
        <w:t>149</w:t>
      </w:r>
    </w:p>
    <w:p w14:paraId="00F07D64" w14:textId="794B370F" w:rsidR="004A14D8" w:rsidRPr="004A14D8" w:rsidRDefault="004A14D8" w:rsidP="000C2A54">
      <w:pPr>
        <w:widowControl w:val="0"/>
        <w:tabs>
          <w:tab w:val="center" w:pos="5580"/>
          <w:tab w:val="right" w:pos="7371"/>
          <w:tab w:val="right" w:pos="9071"/>
        </w:tabs>
        <w:autoSpaceDE w:val="0"/>
        <w:autoSpaceDN w:val="0"/>
        <w:adjustRightInd w:val="0"/>
        <w:rPr>
          <w:rFonts w:cs="Arial"/>
          <w:bCs/>
          <w:sz w:val="20"/>
          <w:szCs w:val="20"/>
        </w:rPr>
      </w:pPr>
      <w:r>
        <w:rPr>
          <w:rFonts w:cs="Arial"/>
          <w:bCs/>
          <w:sz w:val="20"/>
          <w:szCs w:val="20"/>
        </w:rPr>
        <w:t>Depreciation on Right-of-Use Assets</w:t>
      </w:r>
      <w:r>
        <w:rPr>
          <w:rFonts w:cs="Arial"/>
          <w:bCs/>
          <w:sz w:val="20"/>
          <w:szCs w:val="20"/>
        </w:rPr>
        <w:tab/>
      </w:r>
      <w:r w:rsidR="0048054A">
        <w:rPr>
          <w:rFonts w:cs="Arial"/>
          <w:b/>
          <w:sz w:val="20"/>
          <w:szCs w:val="20"/>
        </w:rPr>
        <w:t>4</w:t>
      </w:r>
      <w:r>
        <w:rPr>
          <w:rFonts w:cs="Arial"/>
          <w:b/>
          <w:sz w:val="20"/>
          <w:szCs w:val="20"/>
        </w:rPr>
        <w:tab/>
      </w:r>
      <w:r w:rsidR="009D6D7C">
        <w:rPr>
          <w:rFonts w:cs="Arial"/>
          <w:bCs/>
          <w:sz w:val="20"/>
          <w:szCs w:val="20"/>
        </w:rPr>
        <w:t>75,</w:t>
      </w:r>
      <w:r w:rsidR="00C274F5">
        <w:rPr>
          <w:rFonts w:cs="Arial"/>
          <w:bCs/>
          <w:sz w:val="20"/>
          <w:szCs w:val="20"/>
        </w:rPr>
        <w:t>397</w:t>
      </w:r>
      <w:r>
        <w:rPr>
          <w:rFonts w:cs="Arial"/>
          <w:bCs/>
          <w:sz w:val="20"/>
          <w:szCs w:val="20"/>
        </w:rPr>
        <w:tab/>
      </w:r>
      <w:r w:rsidR="00545EEE">
        <w:rPr>
          <w:rFonts w:cs="Arial"/>
          <w:bCs/>
          <w:sz w:val="20"/>
          <w:szCs w:val="20"/>
        </w:rPr>
        <w:t>75,431</w:t>
      </w:r>
    </w:p>
    <w:p w14:paraId="103DDBA5"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301FFDEB" w14:textId="7F2B6818" w:rsidR="000C2A54" w:rsidRPr="003061F1" w:rsidRDefault="000C2A54" w:rsidP="000C2A54">
      <w:pPr>
        <w:widowControl w:val="0"/>
        <w:tabs>
          <w:tab w:val="center" w:pos="5580"/>
          <w:tab w:val="right" w:pos="7371"/>
          <w:tab w:val="right" w:pos="9071"/>
        </w:tabs>
        <w:autoSpaceDE w:val="0"/>
        <w:autoSpaceDN w:val="0"/>
        <w:adjustRightInd w:val="0"/>
        <w:rPr>
          <w:rFonts w:cs="Arial"/>
          <w:b/>
          <w:sz w:val="20"/>
          <w:szCs w:val="20"/>
        </w:rPr>
      </w:pPr>
      <w:r w:rsidRPr="003061F1">
        <w:rPr>
          <w:rFonts w:cs="Arial"/>
          <w:b/>
          <w:bCs/>
          <w:sz w:val="20"/>
          <w:szCs w:val="20"/>
        </w:rPr>
        <w:t xml:space="preserve">Total </w:t>
      </w:r>
      <w:r w:rsidR="007B768A">
        <w:rPr>
          <w:rFonts w:cs="Arial"/>
          <w:b/>
          <w:bCs/>
          <w:sz w:val="20"/>
          <w:szCs w:val="20"/>
        </w:rPr>
        <w:t xml:space="preserve">operating </w:t>
      </w:r>
      <w:r w:rsidRPr="003061F1">
        <w:rPr>
          <w:rFonts w:cs="Arial"/>
          <w:b/>
          <w:bCs/>
          <w:sz w:val="20"/>
          <w:szCs w:val="20"/>
        </w:rPr>
        <w:t>expenditure</w:t>
      </w:r>
      <w:r w:rsidRPr="003061F1">
        <w:rPr>
          <w:rFonts w:cs="Arial"/>
          <w:b/>
          <w:bCs/>
          <w:sz w:val="20"/>
          <w:szCs w:val="20"/>
        </w:rPr>
        <w:tab/>
      </w:r>
      <w:r w:rsidRPr="003061F1">
        <w:rPr>
          <w:rFonts w:cs="Arial"/>
          <w:b/>
          <w:bCs/>
          <w:sz w:val="20"/>
          <w:szCs w:val="20"/>
        </w:rPr>
        <w:tab/>
      </w:r>
      <w:r w:rsidR="00B55E87" w:rsidRPr="00CF630D">
        <w:rPr>
          <w:rFonts w:cs="Arial"/>
          <w:b/>
          <w:bCs/>
          <w:sz w:val="20"/>
          <w:szCs w:val="20"/>
        </w:rPr>
        <w:t>2,</w:t>
      </w:r>
      <w:r w:rsidR="00C274F5">
        <w:rPr>
          <w:rFonts w:cs="Arial"/>
          <w:b/>
          <w:bCs/>
          <w:sz w:val="20"/>
          <w:szCs w:val="20"/>
        </w:rPr>
        <w:t>900</w:t>
      </w:r>
      <w:r w:rsidR="009D6D7C" w:rsidRPr="00CF630D">
        <w:rPr>
          <w:rFonts w:cs="Arial"/>
          <w:b/>
          <w:bCs/>
          <w:sz w:val="20"/>
          <w:szCs w:val="20"/>
        </w:rPr>
        <w:t>,</w:t>
      </w:r>
      <w:r w:rsidR="00C274F5">
        <w:rPr>
          <w:rFonts w:cs="Arial"/>
          <w:b/>
          <w:bCs/>
          <w:sz w:val="20"/>
          <w:szCs w:val="20"/>
        </w:rPr>
        <w:t>987</w:t>
      </w:r>
      <w:r w:rsidRPr="003061F1">
        <w:rPr>
          <w:rFonts w:cs="Arial"/>
          <w:b/>
          <w:bCs/>
          <w:sz w:val="20"/>
          <w:szCs w:val="20"/>
        </w:rPr>
        <w:tab/>
      </w:r>
      <w:r w:rsidR="004A14D8" w:rsidRPr="00CC7273">
        <w:rPr>
          <w:rFonts w:cs="Arial"/>
          <w:b/>
          <w:bCs/>
          <w:sz w:val="20"/>
          <w:szCs w:val="20"/>
        </w:rPr>
        <w:t>2,</w:t>
      </w:r>
      <w:r w:rsidR="00744E70">
        <w:rPr>
          <w:rFonts w:cs="Arial"/>
          <w:b/>
          <w:bCs/>
          <w:sz w:val="20"/>
          <w:szCs w:val="20"/>
        </w:rPr>
        <w:t>733</w:t>
      </w:r>
      <w:r w:rsidR="00545EEE" w:rsidRPr="00CC7273">
        <w:rPr>
          <w:rFonts w:cs="Arial"/>
          <w:b/>
          <w:bCs/>
          <w:sz w:val="20"/>
          <w:szCs w:val="20"/>
        </w:rPr>
        <w:t>,</w:t>
      </w:r>
      <w:r w:rsidR="00744E70">
        <w:rPr>
          <w:rFonts w:cs="Arial"/>
          <w:b/>
          <w:bCs/>
          <w:sz w:val="20"/>
          <w:szCs w:val="20"/>
        </w:rPr>
        <w:t>618</w:t>
      </w:r>
    </w:p>
    <w:p w14:paraId="565CE3F5"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44A201B3"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highlight w:val="yellow"/>
        </w:rPr>
      </w:pPr>
    </w:p>
    <w:p w14:paraId="162805C0"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rPr>
      </w:pPr>
      <w:r w:rsidRPr="003061F1">
        <w:rPr>
          <w:rFonts w:cs="Arial"/>
          <w:b/>
          <w:bCs/>
          <w:sz w:val="20"/>
          <w:szCs w:val="20"/>
        </w:rPr>
        <w:t>Income</w:t>
      </w:r>
    </w:p>
    <w:p w14:paraId="18714270" w14:textId="17799274" w:rsidR="000C2A54" w:rsidRPr="003061F1" w:rsidRDefault="000C2A54" w:rsidP="000C2A54">
      <w:pPr>
        <w:widowControl w:val="0"/>
        <w:tabs>
          <w:tab w:val="center" w:pos="5580"/>
          <w:tab w:val="right" w:pos="7371"/>
          <w:tab w:val="right" w:pos="9071"/>
        </w:tabs>
        <w:autoSpaceDE w:val="0"/>
        <w:autoSpaceDN w:val="0"/>
        <w:adjustRightInd w:val="0"/>
        <w:rPr>
          <w:rFonts w:cs="Arial"/>
          <w:sz w:val="20"/>
          <w:szCs w:val="20"/>
        </w:rPr>
      </w:pPr>
      <w:r w:rsidRPr="003061F1">
        <w:rPr>
          <w:rFonts w:cs="Arial"/>
          <w:sz w:val="20"/>
          <w:szCs w:val="20"/>
        </w:rPr>
        <w:t xml:space="preserve">Other income </w:t>
      </w:r>
      <w:r w:rsidRPr="003061F1">
        <w:rPr>
          <w:rFonts w:cs="Arial"/>
          <w:sz w:val="20"/>
          <w:szCs w:val="20"/>
        </w:rPr>
        <w:tab/>
      </w:r>
      <w:r w:rsidRPr="003061F1">
        <w:rPr>
          <w:rFonts w:cs="Arial"/>
          <w:b/>
          <w:bCs/>
          <w:sz w:val="20"/>
          <w:szCs w:val="20"/>
        </w:rPr>
        <w:t>5</w:t>
      </w:r>
      <w:r w:rsidRPr="003061F1">
        <w:rPr>
          <w:rFonts w:cs="Arial"/>
          <w:bCs/>
          <w:sz w:val="20"/>
          <w:szCs w:val="20"/>
        </w:rPr>
        <w:tab/>
      </w:r>
      <w:r w:rsidR="004A14D8">
        <w:rPr>
          <w:rFonts w:cs="Arial"/>
          <w:bCs/>
          <w:sz w:val="20"/>
          <w:szCs w:val="20"/>
        </w:rPr>
        <w:t>(</w:t>
      </w:r>
      <w:r w:rsidR="00C274F5">
        <w:rPr>
          <w:rFonts w:cs="Arial"/>
          <w:bCs/>
          <w:sz w:val="20"/>
          <w:szCs w:val="20"/>
        </w:rPr>
        <w:t>77</w:t>
      </w:r>
      <w:r w:rsidR="008460D1">
        <w:rPr>
          <w:rFonts w:cs="Arial"/>
          <w:bCs/>
          <w:sz w:val="20"/>
          <w:szCs w:val="20"/>
        </w:rPr>
        <w:t>,</w:t>
      </w:r>
      <w:r w:rsidR="002C5BFB">
        <w:rPr>
          <w:rFonts w:cs="Arial"/>
          <w:bCs/>
          <w:sz w:val="20"/>
          <w:szCs w:val="20"/>
        </w:rPr>
        <w:t>3</w:t>
      </w:r>
      <w:r w:rsidR="00C274F5">
        <w:rPr>
          <w:rFonts w:cs="Arial"/>
          <w:bCs/>
          <w:sz w:val="20"/>
          <w:szCs w:val="20"/>
        </w:rPr>
        <w:t>78</w:t>
      </w:r>
      <w:r w:rsidR="004A14D8">
        <w:rPr>
          <w:rFonts w:cs="Arial"/>
          <w:bCs/>
          <w:sz w:val="20"/>
          <w:szCs w:val="20"/>
        </w:rPr>
        <w:t>)</w:t>
      </w:r>
      <w:r w:rsidR="003A3109">
        <w:rPr>
          <w:rFonts w:cs="Arial"/>
          <w:bCs/>
          <w:sz w:val="20"/>
          <w:szCs w:val="20"/>
        </w:rPr>
        <w:tab/>
      </w:r>
      <w:r w:rsidR="00545EEE">
        <w:rPr>
          <w:rFonts w:cs="Arial"/>
          <w:bCs/>
          <w:sz w:val="20"/>
          <w:szCs w:val="20"/>
        </w:rPr>
        <w:t>(</w:t>
      </w:r>
      <w:r w:rsidR="00744E70">
        <w:rPr>
          <w:rFonts w:cs="Arial"/>
          <w:bCs/>
          <w:sz w:val="20"/>
          <w:szCs w:val="20"/>
        </w:rPr>
        <w:t>11</w:t>
      </w:r>
      <w:r w:rsidR="00545EEE">
        <w:rPr>
          <w:rFonts w:cs="Arial"/>
          <w:bCs/>
          <w:sz w:val="20"/>
          <w:szCs w:val="20"/>
        </w:rPr>
        <w:t>,</w:t>
      </w:r>
      <w:r w:rsidR="00744E70">
        <w:rPr>
          <w:rFonts w:cs="Arial"/>
          <w:bCs/>
          <w:sz w:val="20"/>
          <w:szCs w:val="20"/>
        </w:rPr>
        <w:t>301</w:t>
      </w:r>
      <w:r w:rsidR="00545EEE">
        <w:rPr>
          <w:rFonts w:cs="Arial"/>
          <w:bCs/>
          <w:sz w:val="20"/>
          <w:szCs w:val="20"/>
        </w:rPr>
        <w:t>)</w:t>
      </w:r>
    </w:p>
    <w:p w14:paraId="4C0E7231"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42CA6476" w14:textId="54C89938" w:rsidR="008460D1" w:rsidRPr="008460D1" w:rsidRDefault="000C2A54" w:rsidP="000C2A54">
      <w:pPr>
        <w:widowControl w:val="0"/>
        <w:tabs>
          <w:tab w:val="center" w:pos="5580"/>
          <w:tab w:val="right" w:pos="7371"/>
          <w:tab w:val="right" w:pos="9071"/>
        </w:tabs>
        <w:autoSpaceDE w:val="0"/>
        <w:autoSpaceDN w:val="0"/>
        <w:adjustRightInd w:val="0"/>
        <w:rPr>
          <w:rFonts w:cs="Arial"/>
          <w:b/>
          <w:bCs/>
          <w:sz w:val="20"/>
          <w:szCs w:val="20"/>
        </w:rPr>
      </w:pPr>
      <w:r w:rsidRPr="003061F1">
        <w:rPr>
          <w:rFonts w:cs="Arial"/>
          <w:b/>
          <w:bCs/>
          <w:sz w:val="20"/>
          <w:szCs w:val="20"/>
        </w:rPr>
        <w:t xml:space="preserve">Total </w:t>
      </w:r>
      <w:r w:rsidR="007B768A">
        <w:rPr>
          <w:rFonts w:cs="Arial"/>
          <w:b/>
          <w:bCs/>
          <w:sz w:val="20"/>
          <w:szCs w:val="20"/>
        </w:rPr>
        <w:t xml:space="preserve">operating </w:t>
      </w:r>
      <w:r w:rsidRPr="003061F1">
        <w:rPr>
          <w:rFonts w:cs="Arial"/>
          <w:b/>
          <w:bCs/>
          <w:sz w:val="20"/>
          <w:szCs w:val="20"/>
        </w:rPr>
        <w:t xml:space="preserve">income </w:t>
      </w:r>
      <w:r w:rsidRPr="003061F1">
        <w:rPr>
          <w:rFonts w:cs="Arial"/>
          <w:b/>
          <w:bCs/>
          <w:sz w:val="20"/>
          <w:szCs w:val="20"/>
        </w:rPr>
        <w:tab/>
      </w:r>
      <w:r w:rsidRPr="003061F1">
        <w:rPr>
          <w:rFonts w:cs="Arial"/>
          <w:b/>
          <w:bCs/>
          <w:sz w:val="20"/>
          <w:szCs w:val="20"/>
        </w:rPr>
        <w:tab/>
      </w:r>
      <w:r w:rsidR="004A14D8">
        <w:rPr>
          <w:rFonts w:cs="Arial"/>
          <w:b/>
          <w:bCs/>
          <w:sz w:val="20"/>
          <w:szCs w:val="20"/>
        </w:rPr>
        <w:t>(</w:t>
      </w:r>
      <w:r w:rsidR="00C274F5">
        <w:rPr>
          <w:rFonts w:cs="Arial"/>
          <w:b/>
          <w:bCs/>
          <w:sz w:val="20"/>
          <w:szCs w:val="20"/>
        </w:rPr>
        <w:t>77</w:t>
      </w:r>
      <w:r w:rsidR="008460D1">
        <w:rPr>
          <w:rFonts w:cs="Arial"/>
          <w:b/>
          <w:bCs/>
          <w:sz w:val="20"/>
          <w:szCs w:val="20"/>
        </w:rPr>
        <w:t>,</w:t>
      </w:r>
      <w:r w:rsidR="002C5BFB">
        <w:rPr>
          <w:rFonts w:cs="Arial"/>
          <w:b/>
          <w:bCs/>
          <w:sz w:val="20"/>
          <w:szCs w:val="20"/>
        </w:rPr>
        <w:t>3</w:t>
      </w:r>
      <w:r w:rsidR="00C274F5">
        <w:rPr>
          <w:rFonts w:cs="Arial"/>
          <w:b/>
          <w:bCs/>
          <w:sz w:val="20"/>
          <w:szCs w:val="20"/>
        </w:rPr>
        <w:t>78</w:t>
      </w:r>
      <w:r w:rsidR="004A14D8">
        <w:rPr>
          <w:rFonts w:cs="Arial"/>
          <w:b/>
          <w:bCs/>
          <w:sz w:val="20"/>
          <w:szCs w:val="20"/>
        </w:rPr>
        <w:t>)</w:t>
      </w:r>
      <w:r w:rsidR="003A3109">
        <w:rPr>
          <w:rFonts w:cs="Arial"/>
          <w:b/>
          <w:bCs/>
          <w:sz w:val="20"/>
          <w:szCs w:val="20"/>
        </w:rPr>
        <w:tab/>
      </w:r>
      <w:r w:rsidR="00545EEE">
        <w:rPr>
          <w:rFonts w:cs="Arial"/>
          <w:b/>
          <w:bCs/>
          <w:sz w:val="20"/>
          <w:szCs w:val="20"/>
        </w:rPr>
        <w:t>(</w:t>
      </w:r>
      <w:r w:rsidR="00744E70">
        <w:rPr>
          <w:rFonts w:cs="Arial"/>
          <w:b/>
          <w:bCs/>
          <w:sz w:val="20"/>
          <w:szCs w:val="20"/>
        </w:rPr>
        <w:t>11</w:t>
      </w:r>
      <w:r w:rsidR="00545EEE">
        <w:rPr>
          <w:rFonts w:cs="Arial"/>
          <w:b/>
          <w:bCs/>
          <w:sz w:val="20"/>
          <w:szCs w:val="20"/>
        </w:rPr>
        <w:t>,</w:t>
      </w:r>
      <w:r w:rsidR="00744E70">
        <w:rPr>
          <w:rFonts w:cs="Arial"/>
          <w:b/>
          <w:bCs/>
          <w:sz w:val="20"/>
          <w:szCs w:val="20"/>
        </w:rPr>
        <w:t>301</w:t>
      </w:r>
      <w:r w:rsidR="00545EEE">
        <w:rPr>
          <w:rFonts w:cs="Arial"/>
          <w:b/>
          <w:bCs/>
          <w:sz w:val="20"/>
          <w:szCs w:val="20"/>
        </w:rPr>
        <w:t>)</w:t>
      </w:r>
    </w:p>
    <w:p w14:paraId="612E69A5" w14:textId="77777777" w:rsidR="000C2A54" w:rsidRPr="003061F1" w:rsidRDefault="000C2A54" w:rsidP="000C2A54">
      <w:pPr>
        <w:widowControl w:val="0"/>
        <w:tabs>
          <w:tab w:val="center" w:pos="5580"/>
          <w:tab w:val="right" w:pos="7371"/>
          <w:tab w:val="right" w:pos="9072"/>
        </w:tabs>
        <w:autoSpaceDE w:val="0"/>
        <w:autoSpaceDN w:val="0"/>
        <w:adjustRightInd w:val="0"/>
        <w:rPr>
          <w:rFonts w:cs="Arial"/>
          <w:sz w:val="20"/>
          <w:szCs w:val="20"/>
        </w:rPr>
      </w:pPr>
    </w:p>
    <w:p w14:paraId="4C97BFAC"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74A1166D" w14:textId="5CCEE737" w:rsidR="000C2A54" w:rsidRPr="003061F1" w:rsidRDefault="00503D7F" w:rsidP="000C2A54">
      <w:pPr>
        <w:widowControl w:val="0"/>
        <w:tabs>
          <w:tab w:val="center" w:pos="5580"/>
          <w:tab w:val="right" w:pos="7371"/>
          <w:tab w:val="right" w:pos="9072"/>
        </w:tabs>
        <w:autoSpaceDE w:val="0"/>
        <w:autoSpaceDN w:val="0"/>
        <w:adjustRightInd w:val="0"/>
        <w:rPr>
          <w:b/>
          <w:sz w:val="20"/>
          <w:szCs w:val="20"/>
        </w:rPr>
      </w:pPr>
      <w:r>
        <w:rPr>
          <w:b/>
          <w:sz w:val="20"/>
          <w:szCs w:val="20"/>
        </w:rPr>
        <w:t>Net</w:t>
      </w:r>
      <w:r w:rsidR="007B768A">
        <w:rPr>
          <w:b/>
          <w:sz w:val="20"/>
          <w:szCs w:val="20"/>
        </w:rPr>
        <w:t xml:space="preserve"> operating e</w:t>
      </w:r>
      <w:r w:rsidR="000C2A54" w:rsidRPr="003061F1">
        <w:rPr>
          <w:b/>
          <w:sz w:val="20"/>
          <w:szCs w:val="20"/>
        </w:rPr>
        <w:t>xpenditure</w:t>
      </w:r>
      <w:r w:rsidR="000C2A54" w:rsidRPr="003061F1">
        <w:rPr>
          <w:b/>
          <w:sz w:val="20"/>
          <w:szCs w:val="20"/>
        </w:rPr>
        <w:tab/>
      </w:r>
      <w:r w:rsidR="000C2A54" w:rsidRPr="003061F1">
        <w:rPr>
          <w:b/>
          <w:sz w:val="20"/>
          <w:szCs w:val="20"/>
        </w:rPr>
        <w:tab/>
      </w:r>
      <w:r w:rsidR="00B55E87">
        <w:rPr>
          <w:b/>
          <w:sz w:val="20"/>
          <w:szCs w:val="20"/>
        </w:rPr>
        <w:t>2,</w:t>
      </w:r>
      <w:r w:rsidR="00C274F5">
        <w:rPr>
          <w:b/>
          <w:sz w:val="20"/>
          <w:szCs w:val="20"/>
        </w:rPr>
        <w:t>823</w:t>
      </w:r>
      <w:r w:rsidR="009D6D7C">
        <w:rPr>
          <w:b/>
          <w:sz w:val="20"/>
          <w:szCs w:val="20"/>
        </w:rPr>
        <w:t>,</w:t>
      </w:r>
      <w:r w:rsidR="00C274F5">
        <w:rPr>
          <w:b/>
          <w:sz w:val="20"/>
          <w:szCs w:val="20"/>
        </w:rPr>
        <w:t>609</w:t>
      </w:r>
      <w:r w:rsidR="000C2A54" w:rsidRPr="003061F1">
        <w:rPr>
          <w:b/>
          <w:sz w:val="20"/>
          <w:szCs w:val="20"/>
        </w:rPr>
        <w:tab/>
      </w:r>
      <w:r w:rsidR="004A14D8">
        <w:rPr>
          <w:b/>
          <w:sz w:val="20"/>
          <w:szCs w:val="20"/>
        </w:rPr>
        <w:t>2,</w:t>
      </w:r>
      <w:r w:rsidR="00744E70">
        <w:rPr>
          <w:b/>
          <w:sz w:val="20"/>
          <w:szCs w:val="20"/>
        </w:rPr>
        <w:t>722</w:t>
      </w:r>
      <w:r w:rsidR="00545EEE">
        <w:rPr>
          <w:b/>
          <w:sz w:val="20"/>
          <w:szCs w:val="20"/>
        </w:rPr>
        <w:t>,</w:t>
      </w:r>
      <w:r w:rsidR="00744E70">
        <w:rPr>
          <w:b/>
          <w:sz w:val="20"/>
          <w:szCs w:val="20"/>
        </w:rPr>
        <w:t>317</w:t>
      </w:r>
    </w:p>
    <w:p w14:paraId="62E657D8" w14:textId="6CF866C6" w:rsidR="000C2A54" w:rsidRDefault="000C2A54" w:rsidP="000C2A54">
      <w:pPr>
        <w:widowControl w:val="0"/>
        <w:tabs>
          <w:tab w:val="center" w:pos="5580"/>
          <w:tab w:val="right" w:pos="7371"/>
          <w:tab w:val="right" w:pos="9072"/>
        </w:tabs>
        <w:autoSpaceDE w:val="0"/>
        <w:autoSpaceDN w:val="0"/>
        <w:adjustRightInd w:val="0"/>
        <w:rPr>
          <w:rFonts w:cs="Arial"/>
          <w:sz w:val="22"/>
          <w:szCs w:val="22"/>
        </w:rPr>
      </w:pPr>
      <w:r w:rsidRPr="003061F1">
        <w:rPr>
          <w:b/>
          <w:sz w:val="20"/>
          <w:szCs w:val="20"/>
        </w:rPr>
        <w:t>for the year ended 31 March</w:t>
      </w:r>
      <w:r w:rsidR="003A3109">
        <w:rPr>
          <w:b/>
          <w:sz w:val="20"/>
          <w:szCs w:val="20"/>
        </w:rPr>
        <w:t xml:space="preserve"> 202</w:t>
      </w:r>
      <w:r w:rsidR="00C274F5">
        <w:rPr>
          <w:b/>
          <w:sz w:val="20"/>
          <w:szCs w:val="20"/>
        </w:rPr>
        <w:t>5</w:t>
      </w:r>
      <w:r w:rsidRPr="003061F1">
        <w:rPr>
          <w:rFonts w:cs="Arial"/>
          <w:b/>
          <w:bCs/>
          <w:sz w:val="20"/>
          <w:szCs w:val="20"/>
        </w:rPr>
        <w:tab/>
      </w:r>
      <w:r w:rsidRPr="003061F1">
        <w:rPr>
          <w:rFonts w:cs="Arial"/>
          <w:b/>
          <w:bCs/>
          <w:sz w:val="20"/>
          <w:szCs w:val="20"/>
        </w:rPr>
        <w:tab/>
      </w:r>
      <w:r w:rsidRPr="003061F1">
        <w:rPr>
          <w:rFonts w:cs="Arial"/>
          <w:sz w:val="20"/>
          <w:szCs w:val="20"/>
        </w:rPr>
        <w:t>─────────</w:t>
      </w:r>
      <w:r w:rsidRPr="00EB5423">
        <w:rPr>
          <w:rFonts w:cs="Arial"/>
          <w:sz w:val="22"/>
          <w:szCs w:val="22"/>
        </w:rPr>
        <w:tab/>
        <w:t>─────────</w:t>
      </w:r>
    </w:p>
    <w:p w14:paraId="3E0A307C" w14:textId="77777777" w:rsidR="008460D1" w:rsidRDefault="008460D1" w:rsidP="000C2A54">
      <w:pPr>
        <w:widowControl w:val="0"/>
        <w:tabs>
          <w:tab w:val="center" w:pos="5580"/>
          <w:tab w:val="right" w:pos="7371"/>
          <w:tab w:val="right" w:pos="9072"/>
        </w:tabs>
        <w:autoSpaceDE w:val="0"/>
        <w:autoSpaceDN w:val="0"/>
        <w:adjustRightInd w:val="0"/>
        <w:rPr>
          <w:rFonts w:cs="Arial"/>
          <w:sz w:val="22"/>
          <w:szCs w:val="22"/>
        </w:rPr>
      </w:pPr>
    </w:p>
    <w:p w14:paraId="0437C915" w14:textId="57CB8763" w:rsidR="008460D1" w:rsidRPr="008460D1" w:rsidRDefault="008460D1" w:rsidP="000C2A54">
      <w:pPr>
        <w:widowControl w:val="0"/>
        <w:tabs>
          <w:tab w:val="center" w:pos="5580"/>
          <w:tab w:val="right" w:pos="7371"/>
          <w:tab w:val="right" w:pos="9072"/>
        </w:tabs>
        <w:autoSpaceDE w:val="0"/>
        <w:autoSpaceDN w:val="0"/>
        <w:adjustRightInd w:val="0"/>
        <w:rPr>
          <w:rFonts w:cs="Arial"/>
          <w:b/>
          <w:bCs/>
          <w:sz w:val="20"/>
          <w:szCs w:val="20"/>
        </w:rPr>
      </w:pPr>
      <w:r w:rsidRPr="008460D1">
        <w:rPr>
          <w:rFonts w:cs="Arial"/>
          <w:b/>
          <w:bCs/>
          <w:sz w:val="20"/>
          <w:szCs w:val="20"/>
        </w:rPr>
        <w:t>Finance Income</w:t>
      </w:r>
    </w:p>
    <w:p w14:paraId="63CC8A16" w14:textId="3B72B6FC" w:rsidR="008460D1" w:rsidRDefault="008460D1" w:rsidP="000C2A54">
      <w:pPr>
        <w:widowControl w:val="0"/>
        <w:tabs>
          <w:tab w:val="center" w:pos="5580"/>
          <w:tab w:val="right" w:pos="7371"/>
          <w:tab w:val="right" w:pos="9072"/>
        </w:tabs>
        <w:autoSpaceDE w:val="0"/>
        <w:autoSpaceDN w:val="0"/>
        <w:adjustRightInd w:val="0"/>
        <w:rPr>
          <w:rFonts w:cs="Arial"/>
          <w:sz w:val="20"/>
          <w:szCs w:val="20"/>
        </w:rPr>
      </w:pPr>
      <w:r w:rsidRPr="008460D1">
        <w:rPr>
          <w:rFonts w:cs="Arial"/>
          <w:sz w:val="20"/>
          <w:szCs w:val="20"/>
        </w:rPr>
        <w:t>Interest Receiv</w:t>
      </w:r>
      <w:r w:rsidR="00B87AE3">
        <w:rPr>
          <w:rFonts w:cs="Arial"/>
          <w:sz w:val="20"/>
          <w:szCs w:val="20"/>
        </w:rPr>
        <w:t>ed</w:t>
      </w:r>
      <w:r w:rsidRPr="008460D1">
        <w:rPr>
          <w:rFonts w:cs="Arial"/>
          <w:sz w:val="20"/>
          <w:szCs w:val="20"/>
        </w:rPr>
        <w:tab/>
      </w:r>
      <w:r w:rsidRPr="008460D1">
        <w:rPr>
          <w:rFonts w:cs="Arial"/>
          <w:sz w:val="20"/>
          <w:szCs w:val="20"/>
        </w:rPr>
        <w:tab/>
      </w:r>
      <w:r>
        <w:rPr>
          <w:rFonts w:cs="Arial"/>
          <w:sz w:val="20"/>
          <w:szCs w:val="20"/>
        </w:rPr>
        <w:t>(</w:t>
      </w:r>
      <w:r w:rsidR="002C5BFB">
        <w:rPr>
          <w:rFonts w:cs="Arial"/>
          <w:sz w:val="20"/>
          <w:szCs w:val="20"/>
        </w:rPr>
        <w:t>2</w:t>
      </w:r>
      <w:r w:rsidR="00C274F5">
        <w:rPr>
          <w:rFonts w:cs="Arial"/>
          <w:sz w:val="20"/>
          <w:szCs w:val="20"/>
        </w:rPr>
        <w:t>9</w:t>
      </w:r>
      <w:r>
        <w:rPr>
          <w:rFonts w:cs="Arial"/>
          <w:sz w:val="20"/>
          <w:szCs w:val="20"/>
        </w:rPr>
        <w:t>,</w:t>
      </w:r>
      <w:r w:rsidR="00C274F5">
        <w:rPr>
          <w:rFonts w:cs="Arial"/>
          <w:sz w:val="20"/>
          <w:szCs w:val="20"/>
        </w:rPr>
        <w:t>959</w:t>
      </w:r>
      <w:r>
        <w:rPr>
          <w:rFonts w:cs="Arial"/>
          <w:sz w:val="20"/>
          <w:szCs w:val="20"/>
        </w:rPr>
        <w:t>)</w:t>
      </w:r>
      <w:r w:rsidRPr="008460D1">
        <w:rPr>
          <w:rFonts w:cs="Arial"/>
          <w:sz w:val="20"/>
          <w:szCs w:val="20"/>
        </w:rPr>
        <w:tab/>
      </w:r>
      <w:r w:rsidR="00545EEE">
        <w:rPr>
          <w:rFonts w:cs="Arial"/>
          <w:sz w:val="20"/>
          <w:szCs w:val="20"/>
        </w:rPr>
        <w:t>(</w:t>
      </w:r>
      <w:r w:rsidR="00744E70">
        <w:rPr>
          <w:rFonts w:cs="Arial"/>
          <w:sz w:val="20"/>
          <w:szCs w:val="20"/>
        </w:rPr>
        <w:t>26</w:t>
      </w:r>
      <w:r w:rsidR="00545EEE">
        <w:rPr>
          <w:rFonts w:cs="Arial"/>
          <w:sz w:val="20"/>
          <w:szCs w:val="20"/>
        </w:rPr>
        <w:t>,</w:t>
      </w:r>
      <w:r w:rsidR="00744E70">
        <w:rPr>
          <w:rFonts w:cs="Arial"/>
          <w:sz w:val="20"/>
          <w:szCs w:val="20"/>
        </w:rPr>
        <w:t>433</w:t>
      </w:r>
      <w:r w:rsidR="00545EEE">
        <w:rPr>
          <w:rFonts w:cs="Arial"/>
          <w:sz w:val="20"/>
          <w:szCs w:val="20"/>
        </w:rPr>
        <w:t>)</w:t>
      </w:r>
    </w:p>
    <w:p w14:paraId="6C5496D2" w14:textId="77777777" w:rsidR="008460D1" w:rsidRDefault="008460D1" w:rsidP="000C2A54">
      <w:pPr>
        <w:widowControl w:val="0"/>
        <w:tabs>
          <w:tab w:val="center" w:pos="5580"/>
          <w:tab w:val="right" w:pos="7371"/>
          <w:tab w:val="right" w:pos="9072"/>
        </w:tabs>
        <w:autoSpaceDE w:val="0"/>
        <w:autoSpaceDN w:val="0"/>
        <w:adjustRightInd w:val="0"/>
        <w:rPr>
          <w:rFonts w:cs="Arial"/>
          <w:sz w:val="20"/>
          <w:szCs w:val="20"/>
        </w:rPr>
      </w:pPr>
    </w:p>
    <w:p w14:paraId="45D875CD" w14:textId="58076687" w:rsidR="008460D1" w:rsidRPr="008460D1" w:rsidRDefault="008460D1" w:rsidP="000C2A54">
      <w:pPr>
        <w:widowControl w:val="0"/>
        <w:tabs>
          <w:tab w:val="center" w:pos="5580"/>
          <w:tab w:val="right" w:pos="7371"/>
          <w:tab w:val="right" w:pos="9072"/>
        </w:tabs>
        <w:autoSpaceDE w:val="0"/>
        <w:autoSpaceDN w:val="0"/>
        <w:adjustRightInd w:val="0"/>
        <w:rPr>
          <w:rFonts w:cs="Arial"/>
          <w:b/>
          <w:bCs/>
          <w:sz w:val="20"/>
          <w:szCs w:val="20"/>
        </w:rPr>
      </w:pPr>
      <w:r w:rsidRPr="008460D1">
        <w:rPr>
          <w:rFonts w:cs="Arial"/>
          <w:b/>
          <w:bCs/>
          <w:sz w:val="20"/>
          <w:szCs w:val="20"/>
        </w:rPr>
        <w:t>Finance Expense</w:t>
      </w:r>
    </w:p>
    <w:p w14:paraId="0802EF90" w14:textId="362390A0" w:rsidR="008460D1" w:rsidRPr="008460D1" w:rsidRDefault="008460D1" w:rsidP="008460D1">
      <w:pPr>
        <w:widowControl w:val="0"/>
        <w:tabs>
          <w:tab w:val="center" w:pos="5580"/>
          <w:tab w:val="left" w:pos="6195"/>
          <w:tab w:val="right" w:pos="7371"/>
          <w:tab w:val="left" w:pos="7605"/>
          <w:tab w:val="right" w:pos="9072"/>
        </w:tabs>
        <w:autoSpaceDE w:val="0"/>
        <w:autoSpaceDN w:val="0"/>
        <w:adjustRightInd w:val="0"/>
        <w:rPr>
          <w:rFonts w:cs="Arial"/>
          <w:b/>
          <w:bCs/>
          <w:sz w:val="20"/>
          <w:szCs w:val="20"/>
        </w:rPr>
      </w:pPr>
      <w:r>
        <w:rPr>
          <w:rFonts w:cs="Arial"/>
          <w:sz w:val="20"/>
          <w:szCs w:val="20"/>
        </w:rPr>
        <w:t>Finance expense on lease liabilit</w:t>
      </w:r>
      <w:r w:rsidR="002D47AF">
        <w:rPr>
          <w:rFonts w:cs="Arial"/>
          <w:sz w:val="20"/>
          <w:szCs w:val="20"/>
        </w:rPr>
        <w:t>ies</w:t>
      </w:r>
      <w:r>
        <w:rPr>
          <w:rFonts w:cs="Arial"/>
          <w:sz w:val="20"/>
          <w:szCs w:val="20"/>
        </w:rPr>
        <w:tab/>
      </w:r>
      <w:r w:rsidR="0048054A">
        <w:rPr>
          <w:rFonts w:cs="Arial"/>
          <w:b/>
          <w:bCs/>
          <w:sz w:val="20"/>
          <w:szCs w:val="20"/>
        </w:rPr>
        <w:t>4</w:t>
      </w:r>
      <w:r>
        <w:rPr>
          <w:rFonts w:cs="Arial"/>
          <w:sz w:val="20"/>
          <w:szCs w:val="20"/>
        </w:rPr>
        <w:tab/>
      </w:r>
      <w:r w:rsidRPr="008460D1">
        <w:rPr>
          <w:rFonts w:cs="Arial"/>
          <w:sz w:val="20"/>
          <w:szCs w:val="20"/>
          <w:u w:val="single"/>
        </w:rPr>
        <w:tab/>
      </w:r>
      <w:r w:rsidR="00C274F5">
        <w:rPr>
          <w:rFonts w:cs="Arial"/>
          <w:sz w:val="20"/>
          <w:szCs w:val="20"/>
          <w:u w:val="single"/>
        </w:rPr>
        <w:t>5</w:t>
      </w:r>
      <w:r w:rsidR="009D6D7C">
        <w:rPr>
          <w:rFonts w:cs="Arial"/>
          <w:sz w:val="20"/>
          <w:szCs w:val="20"/>
          <w:u w:val="single"/>
        </w:rPr>
        <w:t>,</w:t>
      </w:r>
      <w:r w:rsidR="00C274F5">
        <w:rPr>
          <w:rFonts w:cs="Arial"/>
          <w:sz w:val="20"/>
          <w:szCs w:val="20"/>
          <w:u w:val="single"/>
        </w:rPr>
        <w:t>903</w:t>
      </w:r>
      <w:r w:rsidRPr="008460D1">
        <w:rPr>
          <w:rFonts w:cs="Arial"/>
          <w:sz w:val="20"/>
          <w:szCs w:val="20"/>
        </w:rPr>
        <w:tab/>
      </w:r>
      <w:r>
        <w:rPr>
          <w:rFonts w:cs="Arial"/>
          <w:sz w:val="20"/>
          <w:szCs w:val="20"/>
          <w:u w:val="single"/>
        </w:rPr>
        <w:tab/>
      </w:r>
      <w:r w:rsidR="00744E70">
        <w:rPr>
          <w:rFonts w:cs="Arial"/>
          <w:sz w:val="20"/>
          <w:szCs w:val="20"/>
          <w:u w:val="single"/>
        </w:rPr>
        <w:t>6</w:t>
      </w:r>
      <w:r w:rsidR="00545EEE">
        <w:rPr>
          <w:rFonts w:cs="Arial"/>
          <w:sz w:val="20"/>
          <w:szCs w:val="20"/>
          <w:u w:val="single"/>
        </w:rPr>
        <w:t>,</w:t>
      </w:r>
      <w:r w:rsidR="00744E70">
        <w:rPr>
          <w:rFonts w:cs="Arial"/>
          <w:sz w:val="20"/>
          <w:szCs w:val="20"/>
          <w:u w:val="single"/>
        </w:rPr>
        <w:t>651</w:t>
      </w:r>
    </w:p>
    <w:p w14:paraId="39C4EA3D" w14:textId="11E5E383" w:rsidR="000C2A54" w:rsidRPr="008460D1" w:rsidRDefault="008460D1" w:rsidP="000C2A54">
      <w:pPr>
        <w:widowControl w:val="0"/>
        <w:tabs>
          <w:tab w:val="center" w:pos="5529"/>
          <w:tab w:val="right" w:pos="7371"/>
          <w:tab w:val="right" w:pos="9356"/>
        </w:tabs>
        <w:autoSpaceDE w:val="0"/>
        <w:autoSpaceDN w:val="0"/>
        <w:adjustRightInd w:val="0"/>
        <w:rPr>
          <w:b/>
          <w:bCs/>
          <w:sz w:val="20"/>
          <w:szCs w:val="20"/>
        </w:rPr>
      </w:pPr>
      <w:r>
        <w:rPr>
          <w:b/>
          <w:bCs/>
          <w:sz w:val="20"/>
          <w:szCs w:val="20"/>
        </w:rPr>
        <w:t xml:space="preserve">Net Expenditure for the year  </w:t>
      </w:r>
      <w:r>
        <w:rPr>
          <w:b/>
          <w:bCs/>
          <w:sz w:val="20"/>
          <w:szCs w:val="20"/>
        </w:rPr>
        <w:tab/>
      </w:r>
      <w:r>
        <w:rPr>
          <w:b/>
          <w:bCs/>
          <w:sz w:val="20"/>
          <w:szCs w:val="20"/>
        </w:rPr>
        <w:tab/>
      </w:r>
      <w:r w:rsidRPr="00012388">
        <w:rPr>
          <w:b/>
          <w:bCs/>
          <w:sz w:val="20"/>
          <w:szCs w:val="20"/>
        </w:rPr>
        <w:t>2,</w:t>
      </w:r>
      <w:r w:rsidR="002C5BFB" w:rsidRPr="00012388">
        <w:rPr>
          <w:b/>
          <w:bCs/>
          <w:sz w:val="20"/>
          <w:szCs w:val="20"/>
        </w:rPr>
        <w:t>7</w:t>
      </w:r>
      <w:r w:rsidR="00C274F5">
        <w:rPr>
          <w:b/>
          <w:bCs/>
          <w:sz w:val="20"/>
          <w:szCs w:val="20"/>
        </w:rPr>
        <w:t>99</w:t>
      </w:r>
      <w:r w:rsidR="009D6D7C" w:rsidRPr="00012388">
        <w:rPr>
          <w:b/>
          <w:bCs/>
          <w:sz w:val="20"/>
          <w:szCs w:val="20"/>
        </w:rPr>
        <w:t>,</w:t>
      </w:r>
      <w:r w:rsidR="002C5BFB" w:rsidRPr="00012388">
        <w:rPr>
          <w:b/>
          <w:bCs/>
          <w:sz w:val="20"/>
          <w:szCs w:val="20"/>
        </w:rPr>
        <w:t>5</w:t>
      </w:r>
      <w:r w:rsidR="00C274F5">
        <w:rPr>
          <w:b/>
          <w:bCs/>
          <w:sz w:val="20"/>
          <w:szCs w:val="20"/>
        </w:rPr>
        <w:t>53</w:t>
      </w:r>
      <w:r>
        <w:rPr>
          <w:b/>
          <w:bCs/>
          <w:sz w:val="20"/>
          <w:szCs w:val="20"/>
        </w:rPr>
        <w:tab/>
        <w:t>2,</w:t>
      </w:r>
      <w:r w:rsidR="00744E70">
        <w:rPr>
          <w:b/>
          <w:bCs/>
          <w:sz w:val="20"/>
          <w:szCs w:val="20"/>
        </w:rPr>
        <w:t>702</w:t>
      </w:r>
      <w:r w:rsidR="00545EEE">
        <w:rPr>
          <w:b/>
          <w:bCs/>
          <w:sz w:val="20"/>
          <w:szCs w:val="20"/>
        </w:rPr>
        <w:t>,</w:t>
      </w:r>
      <w:r w:rsidR="00744E70">
        <w:rPr>
          <w:b/>
          <w:bCs/>
          <w:sz w:val="20"/>
          <w:szCs w:val="20"/>
        </w:rPr>
        <w:t>535</w:t>
      </w:r>
    </w:p>
    <w:p w14:paraId="0BC19698" w14:textId="77777777" w:rsidR="008460D1" w:rsidRDefault="008460D1" w:rsidP="000C2A54">
      <w:pPr>
        <w:widowControl w:val="0"/>
        <w:tabs>
          <w:tab w:val="center" w:pos="5529"/>
          <w:tab w:val="right" w:pos="7371"/>
          <w:tab w:val="right" w:pos="9356"/>
        </w:tabs>
        <w:autoSpaceDE w:val="0"/>
        <w:autoSpaceDN w:val="0"/>
        <w:adjustRightInd w:val="0"/>
        <w:rPr>
          <w:sz w:val="22"/>
          <w:szCs w:val="22"/>
        </w:rPr>
      </w:pPr>
    </w:p>
    <w:p w14:paraId="525AE7CC" w14:textId="77777777" w:rsidR="00A80D37" w:rsidRPr="00251E9E" w:rsidRDefault="00A80D37" w:rsidP="000C2A54">
      <w:pPr>
        <w:widowControl w:val="0"/>
        <w:tabs>
          <w:tab w:val="center" w:pos="5529"/>
          <w:tab w:val="right" w:pos="7371"/>
          <w:tab w:val="right" w:pos="9356"/>
        </w:tabs>
        <w:autoSpaceDE w:val="0"/>
        <w:autoSpaceDN w:val="0"/>
        <w:adjustRightInd w:val="0"/>
        <w:rPr>
          <w:b/>
          <w:color w:val="auto"/>
          <w:sz w:val="20"/>
          <w:szCs w:val="20"/>
        </w:rPr>
      </w:pPr>
      <w:r w:rsidRPr="00251E9E">
        <w:rPr>
          <w:b/>
          <w:color w:val="auto"/>
          <w:sz w:val="20"/>
          <w:szCs w:val="20"/>
        </w:rPr>
        <w:t>Other comprehensive net expenditure</w:t>
      </w:r>
    </w:p>
    <w:p w14:paraId="047B5B73" w14:textId="77777777" w:rsidR="00A80D37" w:rsidRPr="00251E9E" w:rsidRDefault="00A80D37" w:rsidP="000C2A54">
      <w:pPr>
        <w:widowControl w:val="0"/>
        <w:tabs>
          <w:tab w:val="center" w:pos="5529"/>
          <w:tab w:val="right" w:pos="7371"/>
          <w:tab w:val="right" w:pos="9356"/>
        </w:tabs>
        <w:autoSpaceDE w:val="0"/>
        <w:autoSpaceDN w:val="0"/>
        <w:adjustRightInd w:val="0"/>
        <w:rPr>
          <w:b/>
          <w:color w:val="auto"/>
          <w:sz w:val="20"/>
          <w:szCs w:val="20"/>
        </w:rPr>
      </w:pPr>
    </w:p>
    <w:p w14:paraId="0B6FF231" w14:textId="7063B1B2" w:rsidR="00503D7F" w:rsidRPr="007544D5" w:rsidRDefault="00A80D37" w:rsidP="000C2A54">
      <w:pPr>
        <w:widowControl w:val="0"/>
        <w:tabs>
          <w:tab w:val="right" w:pos="7371"/>
          <w:tab w:val="right" w:pos="9071"/>
        </w:tabs>
        <w:autoSpaceDE w:val="0"/>
        <w:autoSpaceDN w:val="0"/>
        <w:adjustRightInd w:val="0"/>
        <w:rPr>
          <w:rFonts w:cs="Arial"/>
          <w:b/>
          <w:color w:val="auto"/>
          <w:sz w:val="20"/>
          <w:szCs w:val="20"/>
        </w:rPr>
      </w:pPr>
      <w:r w:rsidRPr="00251E9E">
        <w:rPr>
          <w:rFonts w:cs="Arial"/>
          <w:bCs/>
          <w:color w:val="auto"/>
          <w:sz w:val="20"/>
          <w:szCs w:val="20"/>
        </w:rPr>
        <w:t xml:space="preserve">Net </w:t>
      </w:r>
      <w:r w:rsidR="00737D30">
        <w:rPr>
          <w:rFonts w:cs="Arial"/>
          <w:bCs/>
          <w:color w:val="auto"/>
          <w:sz w:val="20"/>
          <w:szCs w:val="20"/>
        </w:rPr>
        <w:t>(gain)/</w:t>
      </w:r>
      <w:r w:rsidRPr="00251E9E">
        <w:rPr>
          <w:rFonts w:cs="Arial"/>
          <w:bCs/>
          <w:color w:val="auto"/>
          <w:sz w:val="20"/>
          <w:szCs w:val="20"/>
        </w:rPr>
        <w:t xml:space="preserve">loss on revaluation of property, plant and </w:t>
      </w:r>
      <w:r w:rsidR="007544D5">
        <w:rPr>
          <w:rFonts w:cs="Arial"/>
          <w:bCs/>
          <w:color w:val="auto"/>
          <w:sz w:val="20"/>
          <w:szCs w:val="20"/>
        </w:rPr>
        <w:t xml:space="preserve"> </w:t>
      </w:r>
      <w:r w:rsidR="007544D5">
        <w:rPr>
          <w:rFonts w:cs="Arial"/>
          <w:b/>
          <w:color w:val="auto"/>
          <w:sz w:val="20"/>
          <w:szCs w:val="20"/>
        </w:rPr>
        <w:t>6</w:t>
      </w:r>
    </w:p>
    <w:p w14:paraId="60AB0A1B" w14:textId="706CF891" w:rsidR="00654B06" w:rsidRDefault="00503D7F" w:rsidP="00201F9C">
      <w:pPr>
        <w:widowControl w:val="0"/>
        <w:tabs>
          <w:tab w:val="right" w:pos="7371"/>
          <w:tab w:val="right" w:pos="9071"/>
        </w:tabs>
        <w:autoSpaceDE w:val="0"/>
        <w:autoSpaceDN w:val="0"/>
        <w:adjustRightInd w:val="0"/>
        <w:rPr>
          <w:rFonts w:cs="Arial"/>
          <w:bCs/>
          <w:color w:val="auto"/>
          <w:sz w:val="20"/>
          <w:szCs w:val="20"/>
        </w:rPr>
      </w:pPr>
      <w:r w:rsidRPr="00251E9E">
        <w:rPr>
          <w:rFonts w:cs="Arial"/>
          <w:bCs/>
          <w:color w:val="auto"/>
          <w:sz w:val="20"/>
          <w:szCs w:val="20"/>
        </w:rPr>
        <w:t>E</w:t>
      </w:r>
      <w:r w:rsidR="00654B06">
        <w:rPr>
          <w:rFonts w:cs="Arial"/>
          <w:bCs/>
          <w:color w:val="auto"/>
          <w:sz w:val="20"/>
          <w:szCs w:val="20"/>
        </w:rPr>
        <w:t>quipment</w:t>
      </w:r>
      <w:r w:rsidR="00654B06" w:rsidRPr="00251E9E">
        <w:rPr>
          <w:rFonts w:cs="Arial"/>
          <w:bCs/>
          <w:color w:val="auto"/>
          <w:sz w:val="20"/>
          <w:szCs w:val="20"/>
        </w:rPr>
        <w:t xml:space="preserve">                                          </w:t>
      </w:r>
      <w:r w:rsidR="008D0E8C">
        <w:rPr>
          <w:rFonts w:cs="Arial"/>
          <w:bCs/>
          <w:color w:val="auto"/>
          <w:sz w:val="20"/>
          <w:szCs w:val="20"/>
        </w:rPr>
        <w:t xml:space="preserve">                    </w:t>
      </w:r>
      <w:r w:rsidR="00654B06" w:rsidRPr="00201F9C">
        <w:rPr>
          <w:rFonts w:cs="Arial"/>
          <w:b/>
          <w:bCs/>
          <w:color w:val="auto"/>
          <w:sz w:val="20"/>
          <w:szCs w:val="20"/>
        </w:rPr>
        <w:t xml:space="preserve">         </w:t>
      </w:r>
      <w:r w:rsidR="003A3109">
        <w:rPr>
          <w:rFonts w:cs="Arial"/>
          <w:b/>
          <w:bCs/>
          <w:color w:val="auto"/>
          <w:sz w:val="20"/>
          <w:szCs w:val="20"/>
          <w:u w:val="single"/>
        </w:rPr>
        <w:t xml:space="preserve">    </w:t>
      </w:r>
      <w:r w:rsidR="00654B06" w:rsidRPr="00201F9C">
        <w:rPr>
          <w:rFonts w:cs="Arial"/>
          <w:bCs/>
          <w:color w:val="auto"/>
          <w:sz w:val="20"/>
          <w:szCs w:val="20"/>
          <w:u w:val="single"/>
        </w:rPr>
        <w:t xml:space="preserve"> </w:t>
      </w:r>
      <w:r w:rsidR="00654B06" w:rsidRPr="00201F9C">
        <w:rPr>
          <w:rFonts w:cs="Arial"/>
          <w:bCs/>
          <w:color w:val="auto"/>
          <w:sz w:val="20"/>
          <w:szCs w:val="20"/>
          <w:u w:val="single"/>
        </w:rPr>
        <w:tab/>
      </w:r>
      <w:r w:rsidR="0027305F">
        <w:rPr>
          <w:rFonts w:cs="Arial"/>
          <w:bCs/>
          <w:color w:val="auto"/>
          <w:sz w:val="20"/>
          <w:szCs w:val="20"/>
          <w:u w:val="single"/>
        </w:rPr>
        <w:t xml:space="preserve">  </w:t>
      </w:r>
      <w:r w:rsidR="003A3109">
        <w:rPr>
          <w:rFonts w:cs="Arial"/>
          <w:bCs/>
          <w:color w:val="auto"/>
          <w:sz w:val="20"/>
          <w:szCs w:val="20"/>
          <w:u w:val="single"/>
        </w:rPr>
        <w:t>(</w:t>
      </w:r>
      <w:r w:rsidR="002C5BFB">
        <w:rPr>
          <w:rFonts w:cs="Arial"/>
          <w:bCs/>
          <w:color w:val="auto"/>
          <w:sz w:val="20"/>
          <w:szCs w:val="20"/>
          <w:u w:val="single"/>
        </w:rPr>
        <w:t>4</w:t>
      </w:r>
      <w:r w:rsidR="004A14D8">
        <w:rPr>
          <w:rFonts w:cs="Arial"/>
          <w:bCs/>
          <w:color w:val="auto"/>
          <w:sz w:val="20"/>
          <w:szCs w:val="20"/>
          <w:u w:val="single"/>
        </w:rPr>
        <w:t>,</w:t>
      </w:r>
      <w:r w:rsidR="00C274F5">
        <w:rPr>
          <w:rFonts w:cs="Arial"/>
          <w:bCs/>
          <w:color w:val="auto"/>
          <w:sz w:val="20"/>
          <w:szCs w:val="20"/>
          <w:u w:val="single"/>
        </w:rPr>
        <w:t>294</w:t>
      </w:r>
      <w:r w:rsidR="003A3109">
        <w:rPr>
          <w:rFonts w:cs="Arial"/>
          <w:bCs/>
          <w:color w:val="auto"/>
          <w:sz w:val="20"/>
          <w:szCs w:val="20"/>
          <w:u w:val="single"/>
        </w:rPr>
        <w:t>)</w:t>
      </w:r>
      <w:r w:rsidR="00201F9C" w:rsidRPr="00201F9C">
        <w:rPr>
          <w:rFonts w:cs="Arial"/>
          <w:bCs/>
          <w:color w:val="auto"/>
          <w:sz w:val="20"/>
          <w:szCs w:val="20"/>
          <w:u w:val="single"/>
        </w:rPr>
        <w:tab/>
      </w:r>
      <w:r w:rsidR="004A14D8">
        <w:rPr>
          <w:rFonts w:cs="Arial"/>
          <w:bCs/>
          <w:color w:val="auto"/>
          <w:sz w:val="20"/>
          <w:szCs w:val="20"/>
          <w:u w:val="single"/>
        </w:rPr>
        <w:t>(</w:t>
      </w:r>
      <w:r w:rsidR="00744E70">
        <w:rPr>
          <w:rFonts w:cs="Arial"/>
          <w:bCs/>
          <w:color w:val="auto"/>
          <w:sz w:val="20"/>
          <w:szCs w:val="20"/>
          <w:u w:val="single"/>
        </w:rPr>
        <w:t>14</w:t>
      </w:r>
      <w:r w:rsidR="00545EEE">
        <w:rPr>
          <w:rFonts w:cs="Arial"/>
          <w:bCs/>
          <w:color w:val="auto"/>
          <w:sz w:val="20"/>
          <w:szCs w:val="20"/>
          <w:u w:val="single"/>
        </w:rPr>
        <w:t>,</w:t>
      </w:r>
      <w:r w:rsidR="00744E70">
        <w:rPr>
          <w:rFonts w:cs="Arial"/>
          <w:bCs/>
          <w:color w:val="auto"/>
          <w:sz w:val="20"/>
          <w:szCs w:val="20"/>
          <w:u w:val="single"/>
        </w:rPr>
        <w:t>976</w:t>
      </w:r>
      <w:r w:rsidR="004A14D8">
        <w:rPr>
          <w:rFonts w:cs="Arial"/>
          <w:bCs/>
          <w:color w:val="auto"/>
          <w:sz w:val="20"/>
          <w:szCs w:val="20"/>
          <w:u w:val="single"/>
        </w:rPr>
        <w:t>)</w:t>
      </w:r>
      <w:r w:rsidR="00654B06" w:rsidRPr="00251E9E">
        <w:rPr>
          <w:rFonts w:cs="Arial"/>
          <w:bCs/>
          <w:color w:val="auto"/>
          <w:sz w:val="20"/>
          <w:szCs w:val="20"/>
          <w:u w:val="single"/>
        </w:rPr>
        <w:t xml:space="preserve">    </w:t>
      </w:r>
    </w:p>
    <w:p w14:paraId="1CAF9284" w14:textId="77777777" w:rsidR="00A80D37" w:rsidRDefault="00503D7F" w:rsidP="000C2A54">
      <w:pPr>
        <w:widowControl w:val="0"/>
        <w:tabs>
          <w:tab w:val="right" w:pos="7371"/>
          <w:tab w:val="right" w:pos="9071"/>
        </w:tabs>
        <w:autoSpaceDE w:val="0"/>
        <w:autoSpaceDN w:val="0"/>
        <w:adjustRightInd w:val="0"/>
        <w:rPr>
          <w:rFonts w:cs="Arial"/>
          <w:bCs/>
          <w:color w:val="auto"/>
          <w:sz w:val="20"/>
          <w:szCs w:val="20"/>
        </w:rPr>
      </w:pPr>
      <w:r w:rsidRPr="00251E9E">
        <w:rPr>
          <w:rFonts w:cs="Arial"/>
          <w:bCs/>
          <w:color w:val="auto"/>
          <w:sz w:val="20"/>
          <w:szCs w:val="20"/>
          <w:u w:val="single"/>
        </w:rPr>
        <w:t xml:space="preserve">  </w:t>
      </w:r>
      <w:r w:rsidR="00251E9E">
        <w:rPr>
          <w:rFonts w:cs="Arial"/>
          <w:bCs/>
          <w:color w:val="auto"/>
          <w:sz w:val="20"/>
          <w:szCs w:val="20"/>
        </w:rPr>
        <w:br/>
      </w:r>
    </w:p>
    <w:p w14:paraId="16948A3A" w14:textId="1B61B2A9" w:rsidR="000C2A54" w:rsidRDefault="00A80D37" w:rsidP="000C2A54">
      <w:pPr>
        <w:widowControl w:val="0"/>
        <w:tabs>
          <w:tab w:val="right" w:pos="7371"/>
          <w:tab w:val="right" w:pos="9071"/>
        </w:tabs>
        <w:autoSpaceDE w:val="0"/>
        <w:autoSpaceDN w:val="0"/>
        <w:adjustRightInd w:val="0"/>
        <w:rPr>
          <w:rFonts w:cs="Arial"/>
          <w:b/>
          <w:bCs/>
          <w:sz w:val="20"/>
          <w:szCs w:val="20"/>
        </w:rPr>
      </w:pPr>
      <w:r w:rsidRPr="00251E9E">
        <w:rPr>
          <w:b/>
          <w:color w:val="auto"/>
          <w:sz w:val="20"/>
          <w:szCs w:val="20"/>
        </w:rPr>
        <w:t>Comprehensive net expenditure for the year</w:t>
      </w:r>
      <w:r w:rsidR="00503D7F" w:rsidRPr="00251E9E">
        <w:rPr>
          <w:b/>
          <w:color w:val="auto"/>
          <w:sz w:val="20"/>
          <w:szCs w:val="20"/>
        </w:rPr>
        <w:t xml:space="preserve">  </w:t>
      </w:r>
      <w:r w:rsidR="00503D7F" w:rsidRPr="00251E9E">
        <w:rPr>
          <w:b/>
          <w:color w:val="auto"/>
          <w:sz w:val="20"/>
          <w:szCs w:val="20"/>
        </w:rPr>
        <w:tab/>
      </w:r>
      <w:r w:rsidR="004A14D8">
        <w:rPr>
          <w:b/>
          <w:color w:val="auto"/>
          <w:sz w:val="20"/>
          <w:szCs w:val="20"/>
        </w:rPr>
        <w:t xml:space="preserve">  </w:t>
      </w:r>
      <w:r w:rsidR="00A672F7" w:rsidRPr="000A5E1D">
        <w:rPr>
          <w:b/>
          <w:color w:val="auto"/>
          <w:sz w:val="20"/>
          <w:szCs w:val="20"/>
          <w:u w:val="single"/>
        </w:rPr>
        <w:t>2,</w:t>
      </w:r>
      <w:r w:rsidR="00C274F5">
        <w:rPr>
          <w:b/>
          <w:color w:val="auto"/>
          <w:sz w:val="20"/>
          <w:szCs w:val="20"/>
          <w:u w:val="single"/>
        </w:rPr>
        <w:t>795</w:t>
      </w:r>
      <w:r w:rsidR="004A14D8" w:rsidRPr="000A5E1D">
        <w:rPr>
          <w:b/>
          <w:color w:val="auto"/>
          <w:sz w:val="20"/>
          <w:szCs w:val="20"/>
          <w:u w:val="single"/>
        </w:rPr>
        <w:t>,</w:t>
      </w:r>
      <w:r w:rsidR="00C274F5">
        <w:rPr>
          <w:b/>
          <w:color w:val="auto"/>
          <w:sz w:val="20"/>
          <w:szCs w:val="20"/>
          <w:u w:val="single"/>
        </w:rPr>
        <w:t>259</w:t>
      </w:r>
      <w:r w:rsidR="000C2A54" w:rsidRPr="00251E9E">
        <w:rPr>
          <w:rFonts w:cs="Arial"/>
          <w:b/>
          <w:bCs/>
          <w:color w:val="auto"/>
          <w:sz w:val="22"/>
          <w:szCs w:val="22"/>
        </w:rPr>
        <w:tab/>
      </w:r>
      <w:r w:rsidR="004A14D8">
        <w:rPr>
          <w:rFonts w:cs="Arial"/>
          <w:b/>
          <w:bCs/>
          <w:color w:val="auto"/>
          <w:sz w:val="20"/>
          <w:szCs w:val="20"/>
          <w:u w:val="single"/>
        </w:rPr>
        <w:t>2,</w:t>
      </w:r>
      <w:r w:rsidR="00744E70">
        <w:rPr>
          <w:rFonts w:cs="Arial"/>
          <w:b/>
          <w:bCs/>
          <w:color w:val="auto"/>
          <w:sz w:val="20"/>
          <w:szCs w:val="20"/>
          <w:u w:val="single"/>
        </w:rPr>
        <w:t>687</w:t>
      </w:r>
      <w:r w:rsidR="00545EEE">
        <w:rPr>
          <w:rFonts w:cs="Arial"/>
          <w:b/>
          <w:bCs/>
          <w:color w:val="auto"/>
          <w:sz w:val="20"/>
          <w:szCs w:val="20"/>
          <w:u w:val="single"/>
        </w:rPr>
        <w:t>,</w:t>
      </w:r>
      <w:r w:rsidR="00744E70">
        <w:rPr>
          <w:rFonts w:cs="Arial"/>
          <w:b/>
          <w:bCs/>
          <w:color w:val="auto"/>
          <w:sz w:val="20"/>
          <w:szCs w:val="20"/>
          <w:u w:val="single"/>
        </w:rPr>
        <w:t>559</w:t>
      </w:r>
    </w:p>
    <w:p w14:paraId="5B87965B" w14:textId="77777777" w:rsidR="00600AD1" w:rsidRPr="00600AD1" w:rsidRDefault="00600AD1" w:rsidP="000C2A54">
      <w:pPr>
        <w:widowControl w:val="0"/>
        <w:tabs>
          <w:tab w:val="right" w:pos="7371"/>
          <w:tab w:val="right" w:pos="9071"/>
        </w:tabs>
        <w:autoSpaceDE w:val="0"/>
        <w:autoSpaceDN w:val="0"/>
        <w:adjustRightInd w:val="0"/>
        <w:rPr>
          <w:b/>
          <w:color w:val="FF0000"/>
          <w:sz w:val="20"/>
          <w:szCs w:val="20"/>
        </w:rPr>
      </w:pPr>
    </w:p>
    <w:p w14:paraId="7B9FFF3D" w14:textId="77777777" w:rsidR="000C2A54" w:rsidRPr="00AC49A1" w:rsidRDefault="00600AD1" w:rsidP="000C2A54">
      <w:pPr>
        <w:widowControl w:val="0"/>
        <w:tabs>
          <w:tab w:val="center" w:pos="5529"/>
          <w:tab w:val="right" w:pos="7371"/>
          <w:tab w:val="right" w:pos="9356"/>
        </w:tabs>
        <w:autoSpaceDE w:val="0"/>
        <w:autoSpaceDN w:val="0"/>
        <w:adjustRightInd w:val="0"/>
        <w:rPr>
          <w:sz w:val="22"/>
          <w:szCs w:val="22"/>
        </w:rPr>
      </w:pPr>
      <w:r>
        <w:rPr>
          <w:sz w:val="22"/>
          <w:szCs w:val="22"/>
        </w:rPr>
        <w:tab/>
      </w:r>
      <w:r>
        <w:rPr>
          <w:sz w:val="22"/>
          <w:szCs w:val="22"/>
        </w:rPr>
        <w:tab/>
      </w:r>
    </w:p>
    <w:p w14:paraId="440FD3BA" w14:textId="77777777" w:rsidR="000C2A54" w:rsidRPr="00EB5423" w:rsidRDefault="000C2A54" w:rsidP="000C2A54">
      <w:pPr>
        <w:widowControl w:val="0"/>
        <w:tabs>
          <w:tab w:val="center" w:pos="5529"/>
          <w:tab w:val="right" w:pos="7371"/>
          <w:tab w:val="right" w:pos="9356"/>
        </w:tabs>
        <w:autoSpaceDE w:val="0"/>
        <w:autoSpaceDN w:val="0"/>
        <w:adjustRightInd w:val="0"/>
        <w:rPr>
          <w:sz w:val="22"/>
          <w:szCs w:val="22"/>
        </w:rPr>
      </w:pPr>
      <w:r w:rsidRPr="00EB5423">
        <w:rPr>
          <w:sz w:val="22"/>
          <w:szCs w:val="22"/>
        </w:rPr>
        <w:t>All amounts above relate to continuing activities.</w:t>
      </w:r>
    </w:p>
    <w:p w14:paraId="2E3A571F" w14:textId="77777777" w:rsidR="000C2A54" w:rsidRPr="00EB5423" w:rsidRDefault="000C2A54" w:rsidP="000C2A54">
      <w:pPr>
        <w:widowControl w:val="0"/>
        <w:tabs>
          <w:tab w:val="center" w:pos="5529"/>
          <w:tab w:val="right" w:pos="7371"/>
          <w:tab w:val="right" w:pos="9356"/>
        </w:tabs>
        <w:autoSpaceDE w:val="0"/>
        <w:autoSpaceDN w:val="0"/>
        <w:adjustRightInd w:val="0"/>
        <w:rPr>
          <w:sz w:val="22"/>
          <w:szCs w:val="22"/>
        </w:rPr>
      </w:pPr>
    </w:p>
    <w:p w14:paraId="0F2CFDDB" w14:textId="2F543400"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916359">
        <w:rPr>
          <w:sz w:val="22"/>
          <w:szCs w:val="22"/>
        </w:rPr>
        <w:t>77</w:t>
      </w:r>
      <w:r w:rsidR="00863A80" w:rsidRPr="00EB5423">
        <w:rPr>
          <w:sz w:val="22"/>
          <w:szCs w:val="22"/>
        </w:rPr>
        <w:t xml:space="preserve"> </w:t>
      </w:r>
      <w:r w:rsidR="00C529B8">
        <w:rPr>
          <w:sz w:val="22"/>
          <w:szCs w:val="22"/>
        </w:rPr>
        <w:t xml:space="preserve">to </w:t>
      </w:r>
      <w:r w:rsidR="00916359">
        <w:rPr>
          <w:sz w:val="22"/>
          <w:szCs w:val="22"/>
        </w:rPr>
        <w:t>97</w:t>
      </w:r>
      <w:r w:rsidR="00863A80" w:rsidRPr="00EB5423">
        <w:rPr>
          <w:sz w:val="22"/>
          <w:szCs w:val="22"/>
        </w:rPr>
        <w:t xml:space="preserve"> </w:t>
      </w:r>
      <w:r w:rsidRPr="00EB5423">
        <w:rPr>
          <w:sz w:val="22"/>
          <w:szCs w:val="22"/>
        </w:rPr>
        <w:t>form part of the financial statements.</w:t>
      </w:r>
    </w:p>
    <w:p w14:paraId="4C1379DF" w14:textId="77777777" w:rsidR="000C2A54" w:rsidRDefault="000C2A54" w:rsidP="000C2A54">
      <w:pPr>
        <w:jc w:val="center"/>
      </w:pPr>
      <w:r w:rsidRPr="00351DFE">
        <w:rPr>
          <w:b/>
        </w:rPr>
        <w:br w:type="page"/>
      </w:r>
    </w:p>
    <w:p w14:paraId="22374C83" w14:textId="0EDE0033" w:rsidR="000C2A54" w:rsidRPr="00EB5423" w:rsidRDefault="008C73A2" w:rsidP="000C2A54">
      <w:pPr>
        <w:jc w:val="center"/>
        <w:rPr>
          <w:b/>
        </w:rPr>
      </w:pPr>
      <w:bookmarkStart w:id="33" w:name="StatementofFinancialPosition"/>
      <w:r>
        <w:rPr>
          <w:rFonts w:cs="Arial"/>
          <w:b/>
          <w:color w:val="77328A"/>
          <w:sz w:val="30"/>
          <w:szCs w:val="30"/>
        </w:rPr>
        <w:lastRenderedPageBreak/>
        <w:t>Statement of Finan</w:t>
      </w:r>
      <w:r w:rsidR="008D0E8C">
        <w:rPr>
          <w:rFonts w:cs="Arial"/>
          <w:b/>
          <w:color w:val="77328A"/>
          <w:sz w:val="30"/>
          <w:szCs w:val="30"/>
        </w:rPr>
        <w:t>cial Position as at 31 March 202</w:t>
      </w:r>
      <w:r w:rsidR="00C274F5">
        <w:rPr>
          <w:rFonts w:cs="Arial"/>
          <w:b/>
          <w:color w:val="77328A"/>
          <w:sz w:val="30"/>
          <w:szCs w:val="30"/>
        </w:rPr>
        <w:t>5</w:t>
      </w:r>
    </w:p>
    <w:bookmarkEnd w:id="33"/>
    <w:p w14:paraId="3E7EF1AA" w14:textId="77777777" w:rsidR="000C2A54" w:rsidRPr="00024A9C" w:rsidRDefault="000C2A54" w:rsidP="000C2A54">
      <w:pPr>
        <w:jc w:val="center"/>
        <w:rPr>
          <w:b/>
        </w:rPr>
      </w:pPr>
    </w:p>
    <w:tbl>
      <w:tblPr>
        <w:tblW w:w="9072" w:type="dxa"/>
        <w:jc w:val="center"/>
        <w:tblLayout w:type="fixed"/>
        <w:tblLook w:val="01E0" w:firstRow="1" w:lastRow="1" w:firstColumn="1" w:lastColumn="1" w:noHBand="0" w:noVBand="0"/>
      </w:tblPr>
      <w:tblGrid>
        <w:gridCol w:w="2800"/>
        <w:gridCol w:w="641"/>
        <w:gridCol w:w="181"/>
        <w:gridCol w:w="282"/>
        <w:gridCol w:w="437"/>
        <w:gridCol w:w="1080"/>
        <w:gridCol w:w="1260"/>
        <w:gridCol w:w="974"/>
        <w:gridCol w:w="109"/>
        <w:gridCol w:w="1308"/>
      </w:tblGrid>
      <w:tr w:rsidR="000C2A54" w:rsidRPr="00287A60" w14:paraId="0C916425" w14:textId="77777777" w:rsidTr="00545EEE">
        <w:trPr>
          <w:jc w:val="center"/>
        </w:trPr>
        <w:tc>
          <w:tcPr>
            <w:tcW w:w="3441" w:type="dxa"/>
            <w:gridSpan w:val="2"/>
          </w:tcPr>
          <w:p w14:paraId="2709E9D1" w14:textId="77777777" w:rsidR="000C2A54" w:rsidRPr="00B90FC7" w:rsidRDefault="000C2A54" w:rsidP="000C2A54">
            <w:pPr>
              <w:rPr>
                <w:b/>
                <w:sz w:val="20"/>
                <w:szCs w:val="20"/>
              </w:rPr>
            </w:pPr>
          </w:p>
        </w:tc>
        <w:tc>
          <w:tcPr>
            <w:tcW w:w="900" w:type="dxa"/>
            <w:gridSpan w:val="3"/>
          </w:tcPr>
          <w:p w14:paraId="425BAF59" w14:textId="77777777" w:rsidR="000C2A54" w:rsidRPr="00B90FC7" w:rsidRDefault="000C2A54" w:rsidP="000C2A54">
            <w:pPr>
              <w:rPr>
                <w:b/>
                <w:sz w:val="20"/>
                <w:szCs w:val="20"/>
              </w:rPr>
            </w:pPr>
          </w:p>
        </w:tc>
        <w:tc>
          <w:tcPr>
            <w:tcW w:w="2340" w:type="dxa"/>
            <w:gridSpan w:val="2"/>
          </w:tcPr>
          <w:p w14:paraId="5262BA8E" w14:textId="67EAFA1A" w:rsidR="000C2A54" w:rsidRPr="00B90FC7" w:rsidRDefault="008D0E8C" w:rsidP="000C2A54">
            <w:pPr>
              <w:jc w:val="center"/>
              <w:rPr>
                <w:b/>
                <w:sz w:val="20"/>
                <w:szCs w:val="20"/>
              </w:rPr>
            </w:pPr>
            <w:r>
              <w:rPr>
                <w:b/>
                <w:sz w:val="20"/>
                <w:szCs w:val="20"/>
              </w:rPr>
              <w:t>31 March 202</w:t>
            </w:r>
            <w:r w:rsidR="00C274F5">
              <w:rPr>
                <w:b/>
                <w:sz w:val="20"/>
                <w:szCs w:val="20"/>
              </w:rPr>
              <w:t>5</w:t>
            </w:r>
          </w:p>
        </w:tc>
        <w:tc>
          <w:tcPr>
            <w:tcW w:w="2391" w:type="dxa"/>
            <w:gridSpan w:val="3"/>
          </w:tcPr>
          <w:p w14:paraId="309BAF88" w14:textId="0902ADB6" w:rsidR="000C2A54" w:rsidRDefault="000C2A54" w:rsidP="000C2A54">
            <w:pPr>
              <w:jc w:val="center"/>
              <w:rPr>
                <w:b/>
                <w:sz w:val="20"/>
                <w:szCs w:val="20"/>
              </w:rPr>
            </w:pPr>
            <w:r>
              <w:rPr>
                <w:b/>
                <w:sz w:val="20"/>
                <w:szCs w:val="20"/>
              </w:rPr>
              <w:t xml:space="preserve">31 March </w:t>
            </w:r>
            <w:r w:rsidR="003A3109">
              <w:rPr>
                <w:b/>
                <w:sz w:val="20"/>
                <w:szCs w:val="20"/>
              </w:rPr>
              <w:t>202</w:t>
            </w:r>
            <w:r w:rsidR="00C274F5">
              <w:rPr>
                <w:b/>
                <w:sz w:val="20"/>
                <w:szCs w:val="20"/>
              </w:rPr>
              <w:t>4</w:t>
            </w:r>
          </w:p>
          <w:p w14:paraId="5FA9B4FE" w14:textId="77777777" w:rsidR="000C2A54" w:rsidRPr="00B90FC7" w:rsidRDefault="000C2A54" w:rsidP="000C2A54">
            <w:pPr>
              <w:jc w:val="center"/>
              <w:rPr>
                <w:b/>
                <w:sz w:val="20"/>
                <w:szCs w:val="20"/>
              </w:rPr>
            </w:pPr>
          </w:p>
        </w:tc>
      </w:tr>
      <w:tr w:rsidR="000C2A54" w:rsidRPr="00287A60" w14:paraId="270FCEF9" w14:textId="77777777" w:rsidTr="00545EEE">
        <w:trPr>
          <w:jc w:val="center"/>
        </w:trPr>
        <w:tc>
          <w:tcPr>
            <w:tcW w:w="3441" w:type="dxa"/>
            <w:gridSpan w:val="2"/>
          </w:tcPr>
          <w:p w14:paraId="40BB9A2F" w14:textId="77777777" w:rsidR="000C2A54" w:rsidRPr="00B90FC7" w:rsidRDefault="000C2A54" w:rsidP="000C2A54">
            <w:pPr>
              <w:rPr>
                <w:b/>
                <w:sz w:val="20"/>
                <w:szCs w:val="20"/>
              </w:rPr>
            </w:pPr>
          </w:p>
        </w:tc>
        <w:tc>
          <w:tcPr>
            <w:tcW w:w="900" w:type="dxa"/>
            <w:gridSpan w:val="3"/>
          </w:tcPr>
          <w:p w14:paraId="7816E67F" w14:textId="77777777" w:rsidR="000C2A54" w:rsidRPr="00B90FC7" w:rsidRDefault="000C2A54" w:rsidP="000C2A54">
            <w:pPr>
              <w:rPr>
                <w:b/>
                <w:sz w:val="20"/>
                <w:szCs w:val="20"/>
              </w:rPr>
            </w:pPr>
            <w:r w:rsidRPr="00B90FC7">
              <w:rPr>
                <w:b/>
                <w:sz w:val="20"/>
                <w:szCs w:val="20"/>
              </w:rPr>
              <w:t>Notes</w:t>
            </w:r>
          </w:p>
        </w:tc>
        <w:tc>
          <w:tcPr>
            <w:tcW w:w="1080" w:type="dxa"/>
          </w:tcPr>
          <w:p w14:paraId="219585C8" w14:textId="4CBB72FE" w:rsidR="000C2A54" w:rsidRPr="00B90FC7" w:rsidRDefault="000C2A54" w:rsidP="000C2A54">
            <w:pPr>
              <w:jc w:val="right"/>
              <w:rPr>
                <w:b/>
                <w:sz w:val="20"/>
                <w:szCs w:val="20"/>
              </w:rPr>
            </w:pPr>
          </w:p>
        </w:tc>
        <w:tc>
          <w:tcPr>
            <w:tcW w:w="1260" w:type="dxa"/>
          </w:tcPr>
          <w:p w14:paraId="003A1603" w14:textId="77777777" w:rsidR="000C2A54" w:rsidRPr="00B90FC7" w:rsidRDefault="000C2A54" w:rsidP="000C2A54">
            <w:pPr>
              <w:jc w:val="right"/>
              <w:rPr>
                <w:b/>
                <w:sz w:val="20"/>
                <w:szCs w:val="20"/>
              </w:rPr>
            </w:pPr>
            <w:r w:rsidRPr="00B90FC7">
              <w:rPr>
                <w:b/>
                <w:sz w:val="20"/>
                <w:szCs w:val="20"/>
              </w:rPr>
              <w:t>£</w:t>
            </w:r>
          </w:p>
        </w:tc>
        <w:tc>
          <w:tcPr>
            <w:tcW w:w="1083" w:type="dxa"/>
            <w:gridSpan w:val="2"/>
          </w:tcPr>
          <w:p w14:paraId="4F6B2816" w14:textId="10594BBE" w:rsidR="000C2A54" w:rsidRPr="00B90FC7" w:rsidRDefault="000C2A54" w:rsidP="000C2A54">
            <w:pPr>
              <w:jc w:val="right"/>
              <w:rPr>
                <w:b/>
                <w:sz w:val="20"/>
                <w:szCs w:val="20"/>
              </w:rPr>
            </w:pPr>
          </w:p>
        </w:tc>
        <w:tc>
          <w:tcPr>
            <w:tcW w:w="1308" w:type="dxa"/>
          </w:tcPr>
          <w:p w14:paraId="5CEDBA45" w14:textId="77777777" w:rsidR="000C2A54" w:rsidRPr="00B90FC7" w:rsidRDefault="000C2A54" w:rsidP="000C2A54">
            <w:pPr>
              <w:jc w:val="right"/>
              <w:rPr>
                <w:b/>
                <w:sz w:val="20"/>
                <w:szCs w:val="20"/>
              </w:rPr>
            </w:pPr>
            <w:r w:rsidRPr="00B90FC7">
              <w:rPr>
                <w:b/>
                <w:sz w:val="20"/>
                <w:szCs w:val="20"/>
              </w:rPr>
              <w:t>£</w:t>
            </w:r>
          </w:p>
        </w:tc>
      </w:tr>
      <w:tr w:rsidR="000C2A54" w:rsidRPr="00287A60" w14:paraId="42FB4B8E" w14:textId="77777777" w:rsidTr="00545EEE">
        <w:trPr>
          <w:jc w:val="center"/>
        </w:trPr>
        <w:tc>
          <w:tcPr>
            <w:tcW w:w="3622" w:type="dxa"/>
            <w:gridSpan w:val="3"/>
          </w:tcPr>
          <w:p w14:paraId="2483DB22" w14:textId="77777777" w:rsidR="000C2A54" w:rsidRPr="00B90FC7" w:rsidRDefault="000C2A54" w:rsidP="000C2A54">
            <w:pPr>
              <w:widowControl w:val="0"/>
              <w:tabs>
                <w:tab w:val="center" w:pos="3969"/>
                <w:tab w:val="center" w:pos="5245"/>
                <w:tab w:val="right" w:pos="5670"/>
                <w:tab w:val="center" w:pos="6379"/>
                <w:tab w:val="right" w:pos="6804"/>
                <w:tab w:val="center" w:pos="7513"/>
                <w:tab w:val="right" w:pos="7938"/>
                <w:tab w:val="center" w:pos="8647"/>
              </w:tabs>
              <w:autoSpaceDE w:val="0"/>
              <w:autoSpaceDN w:val="0"/>
              <w:adjustRightInd w:val="0"/>
              <w:rPr>
                <w:rFonts w:cs="Arial"/>
                <w:b/>
                <w:bCs/>
                <w:sz w:val="20"/>
                <w:szCs w:val="20"/>
              </w:rPr>
            </w:pPr>
            <w:r w:rsidRPr="00B90FC7">
              <w:rPr>
                <w:rFonts w:cs="Arial"/>
                <w:b/>
                <w:bCs/>
                <w:sz w:val="20"/>
                <w:szCs w:val="20"/>
              </w:rPr>
              <w:t>Non</w:t>
            </w:r>
            <w:r>
              <w:rPr>
                <w:rFonts w:cs="Arial"/>
                <w:b/>
                <w:bCs/>
                <w:sz w:val="20"/>
                <w:szCs w:val="20"/>
                <w:lang w:val="fr-FR"/>
              </w:rPr>
              <w:t>-</w:t>
            </w:r>
            <w:r w:rsidRPr="00B90FC7">
              <w:rPr>
                <w:rFonts w:cs="Arial"/>
                <w:b/>
                <w:bCs/>
                <w:sz w:val="20"/>
                <w:szCs w:val="20"/>
              </w:rPr>
              <w:t>current assets:</w:t>
            </w:r>
          </w:p>
        </w:tc>
        <w:tc>
          <w:tcPr>
            <w:tcW w:w="282" w:type="dxa"/>
          </w:tcPr>
          <w:p w14:paraId="717A756D" w14:textId="77777777" w:rsidR="000C2A54" w:rsidRPr="00B90FC7" w:rsidRDefault="000C2A54" w:rsidP="000C2A54">
            <w:pPr>
              <w:rPr>
                <w:b/>
                <w:sz w:val="20"/>
                <w:szCs w:val="20"/>
              </w:rPr>
            </w:pPr>
          </w:p>
        </w:tc>
        <w:tc>
          <w:tcPr>
            <w:tcW w:w="1517" w:type="dxa"/>
            <w:gridSpan w:val="2"/>
          </w:tcPr>
          <w:p w14:paraId="01F7BAC8" w14:textId="77777777" w:rsidR="000C2A54" w:rsidRPr="00B90FC7" w:rsidRDefault="000C2A54" w:rsidP="000C2A54">
            <w:pPr>
              <w:jc w:val="right"/>
              <w:rPr>
                <w:sz w:val="20"/>
                <w:szCs w:val="20"/>
              </w:rPr>
            </w:pPr>
          </w:p>
        </w:tc>
        <w:tc>
          <w:tcPr>
            <w:tcW w:w="1260" w:type="dxa"/>
          </w:tcPr>
          <w:p w14:paraId="17C53897" w14:textId="77777777" w:rsidR="000C2A54" w:rsidRPr="00B90FC7" w:rsidRDefault="000C2A54" w:rsidP="000C2A54">
            <w:pPr>
              <w:jc w:val="right"/>
              <w:rPr>
                <w:sz w:val="20"/>
                <w:szCs w:val="20"/>
              </w:rPr>
            </w:pPr>
          </w:p>
        </w:tc>
        <w:tc>
          <w:tcPr>
            <w:tcW w:w="1083" w:type="dxa"/>
            <w:gridSpan w:val="2"/>
          </w:tcPr>
          <w:p w14:paraId="0418B99A" w14:textId="77777777" w:rsidR="000C2A54" w:rsidRPr="00B90FC7" w:rsidRDefault="000C2A54" w:rsidP="000C2A54">
            <w:pPr>
              <w:jc w:val="right"/>
              <w:rPr>
                <w:sz w:val="20"/>
                <w:szCs w:val="20"/>
              </w:rPr>
            </w:pPr>
          </w:p>
        </w:tc>
        <w:tc>
          <w:tcPr>
            <w:tcW w:w="1308" w:type="dxa"/>
          </w:tcPr>
          <w:p w14:paraId="4394EAAA" w14:textId="77777777" w:rsidR="000C2A54" w:rsidRPr="00B90FC7" w:rsidRDefault="000C2A54" w:rsidP="000C2A54">
            <w:pPr>
              <w:jc w:val="right"/>
              <w:rPr>
                <w:sz w:val="20"/>
                <w:szCs w:val="20"/>
              </w:rPr>
            </w:pPr>
          </w:p>
        </w:tc>
      </w:tr>
      <w:tr w:rsidR="000C2A54" w:rsidRPr="00287A60" w14:paraId="598A5026" w14:textId="77777777" w:rsidTr="00545EEE">
        <w:trPr>
          <w:jc w:val="center"/>
        </w:trPr>
        <w:tc>
          <w:tcPr>
            <w:tcW w:w="3441" w:type="dxa"/>
            <w:gridSpan w:val="2"/>
          </w:tcPr>
          <w:p w14:paraId="3D8E7196" w14:textId="77777777" w:rsidR="000C2A54" w:rsidRPr="00B90FC7" w:rsidRDefault="000C2A54" w:rsidP="000C2A54">
            <w:pPr>
              <w:rPr>
                <w:b/>
                <w:sz w:val="20"/>
                <w:szCs w:val="20"/>
              </w:rPr>
            </w:pPr>
            <w:r w:rsidRPr="00B90FC7">
              <w:rPr>
                <w:rFonts w:cs="Arial"/>
                <w:sz w:val="20"/>
                <w:szCs w:val="20"/>
              </w:rPr>
              <w:t>Property, plant and equipment</w:t>
            </w:r>
          </w:p>
        </w:tc>
        <w:tc>
          <w:tcPr>
            <w:tcW w:w="900" w:type="dxa"/>
            <w:gridSpan w:val="3"/>
          </w:tcPr>
          <w:p w14:paraId="1CA849A8" w14:textId="77777777" w:rsidR="000C2A54" w:rsidRPr="00B90FC7" w:rsidRDefault="000C2A54" w:rsidP="000C2A54">
            <w:pPr>
              <w:jc w:val="center"/>
              <w:rPr>
                <w:b/>
                <w:sz w:val="20"/>
                <w:szCs w:val="20"/>
              </w:rPr>
            </w:pPr>
            <w:r>
              <w:rPr>
                <w:b/>
                <w:sz w:val="20"/>
                <w:szCs w:val="20"/>
              </w:rPr>
              <w:t>6</w:t>
            </w:r>
          </w:p>
        </w:tc>
        <w:tc>
          <w:tcPr>
            <w:tcW w:w="1080" w:type="dxa"/>
          </w:tcPr>
          <w:p w14:paraId="7F1E746A" w14:textId="77777777" w:rsidR="000C2A54" w:rsidRPr="00B90FC7" w:rsidRDefault="000C2A54" w:rsidP="000C2A54">
            <w:pPr>
              <w:jc w:val="right"/>
              <w:rPr>
                <w:sz w:val="20"/>
                <w:szCs w:val="20"/>
              </w:rPr>
            </w:pPr>
          </w:p>
        </w:tc>
        <w:tc>
          <w:tcPr>
            <w:tcW w:w="1260" w:type="dxa"/>
          </w:tcPr>
          <w:p w14:paraId="4E650429" w14:textId="13ADA42E" w:rsidR="000C2A54" w:rsidRPr="00B90FC7" w:rsidRDefault="00C274F5" w:rsidP="000C2A54">
            <w:pPr>
              <w:jc w:val="right"/>
              <w:rPr>
                <w:sz w:val="20"/>
                <w:szCs w:val="20"/>
              </w:rPr>
            </w:pPr>
            <w:r>
              <w:rPr>
                <w:sz w:val="20"/>
                <w:szCs w:val="20"/>
              </w:rPr>
              <w:t>326</w:t>
            </w:r>
            <w:r w:rsidR="00BE575E">
              <w:rPr>
                <w:sz w:val="20"/>
                <w:szCs w:val="20"/>
              </w:rPr>
              <w:t>,</w:t>
            </w:r>
            <w:r w:rsidR="0025644E">
              <w:rPr>
                <w:sz w:val="20"/>
                <w:szCs w:val="20"/>
              </w:rPr>
              <w:t>3</w:t>
            </w:r>
            <w:r>
              <w:rPr>
                <w:sz w:val="20"/>
                <w:szCs w:val="20"/>
              </w:rPr>
              <w:t>17</w:t>
            </w:r>
          </w:p>
        </w:tc>
        <w:tc>
          <w:tcPr>
            <w:tcW w:w="1083" w:type="dxa"/>
            <w:gridSpan w:val="2"/>
          </w:tcPr>
          <w:p w14:paraId="145D8A44" w14:textId="77777777" w:rsidR="000C2A54" w:rsidRPr="00B90FC7" w:rsidRDefault="000C2A54" w:rsidP="000C2A54">
            <w:pPr>
              <w:jc w:val="right"/>
              <w:rPr>
                <w:sz w:val="20"/>
                <w:szCs w:val="20"/>
              </w:rPr>
            </w:pPr>
          </w:p>
        </w:tc>
        <w:tc>
          <w:tcPr>
            <w:tcW w:w="1308" w:type="dxa"/>
          </w:tcPr>
          <w:p w14:paraId="638DFF5C" w14:textId="3EFE3019" w:rsidR="000C2A54" w:rsidRPr="005B6801" w:rsidRDefault="00545EEE" w:rsidP="000C2A54">
            <w:pPr>
              <w:jc w:val="right"/>
              <w:rPr>
                <w:sz w:val="20"/>
                <w:szCs w:val="20"/>
              </w:rPr>
            </w:pPr>
            <w:r>
              <w:rPr>
                <w:sz w:val="20"/>
                <w:szCs w:val="20"/>
              </w:rPr>
              <w:t>4</w:t>
            </w:r>
            <w:r w:rsidR="00C274F5">
              <w:rPr>
                <w:sz w:val="20"/>
                <w:szCs w:val="20"/>
              </w:rPr>
              <w:t>19</w:t>
            </w:r>
            <w:r>
              <w:rPr>
                <w:sz w:val="20"/>
                <w:szCs w:val="20"/>
              </w:rPr>
              <w:t>,</w:t>
            </w:r>
            <w:r w:rsidR="00C274F5">
              <w:rPr>
                <w:sz w:val="20"/>
                <w:szCs w:val="20"/>
              </w:rPr>
              <w:t>363</w:t>
            </w:r>
          </w:p>
        </w:tc>
      </w:tr>
      <w:tr w:rsidR="004A14D8" w:rsidRPr="00287A60" w14:paraId="1740BDA0" w14:textId="77777777" w:rsidTr="00545EEE">
        <w:trPr>
          <w:jc w:val="center"/>
        </w:trPr>
        <w:tc>
          <w:tcPr>
            <w:tcW w:w="3441" w:type="dxa"/>
            <w:gridSpan w:val="2"/>
          </w:tcPr>
          <w:p w14:paraId="6170FEC1" w14:textId="637E3BC3" w:rsidR="004A14D8" w:rsidRDefault="004A14D8" w:rsidP="000C2A54">
            <w:pPr>
              <w:rPr>
                <w:rFonts w:cs="Arial"/>
                <w:sz w:val="20"/>
                <w:szCs w:val="20"/>
              </w:rPr>
            </w:pPr>
            <w:r>
              <w:rPr>
                <w:rFonts w:cs="Arial"/>
                <w:sz w:val="20"/>
                <w:szCs w:val="20"/>
              </w:rPr>
              <w:t>Right-of-Use assets</w:t>
            </w:r>
          </w:p>
        </w:tc>
        <w:tc>
          <w:tcPr>
            <w:tcW w:w="900" w:type="dxa"/>
            <w:gridSpan w:val="3"/>
          </w:tcPr>
          <w:p w14:paraId="46EA2833" w14:textId="5126D937" w:rsidR="004A14D8" w:rsidRPr="004A14D8" w:rsidRDefault="004A14D8" w:rsidP="000C2A54">
            <w:pPr>
              <w:jc w:val="center"/>
              <w:rPr>
                <w:b/>
                <w:sz w:val="20"/>
                <w:szCs w:val="20"/>
              </w:rPr>
            </w:pPr>
            <w:r>
              <w:rPr>
                <w:b/>
                <w:sz w:val="20"/>
                <w:szCs w:val="20"/>
              </w:rPr>
              <w:t>7</w:t>
            </w:r>
          </w:p>
        </w:tc>
        <w:tc>
          <w:tcPr>
            <w:tcW w:w="1080" w:type="dxa"/>
          </w:tcPr>
          <w:p w14:paraId="2015108F" w14:textId="77777777" w:rsidR="004A14D8" w:rsidRPr="00B90FC7" w:rsidRDefault="004A14D8" w:rsidP="000C2A54">
            <w:pPr>
              <w:jc w:val="right"/>
              <w:rPr>
                <w:sz w:val="20"/>
                <w:szCs w:val="20"/>
              </w:rPr>
            </w:pPr>
          </w:p>
        </w:tc>
        <w:tc>
          <w:tcPr>
            <w:tcW w:w="1260" w:type="dxa"/>
          </w:tcPr>
          <w:p w14:paraId="6329043B" w14:textId="706E2F6B" w:rsidR="004A14D8" w:rsidRDefault="00C274F5" w:rsidP="00600AD1">
            <w:pPr>
              <w:jc w:val="right"/>
              <w:rPr>
                <w:sz w:val="20"/>
                <w:szCs w:val="20"/>
              </w:rPr>
            </w:pPr>
            <w:r>
              <w:rPr>
                <w:sz w:val="20"/>
                <w:szCs w:val="20"/>
              </w:rPr>
              <w:t>373</w:t>
            </w:r>
            <w:r w:rsidR="00F96687">
              <w:rPr>
                <w:sz w:val="20"/>
                <w:szCs w:val="20"/>
              </w:rPr>
              <w:t>,</w:t>
            </w:r>
            <w:r>
              <w:rPr>
                <w:sz w:val="20"/>
                <w:szCs w:val="20"/>
              </w:rPr>
              <w:t>380</w:t>
            </w:r>
          </w:p>
        </w:tc>
        <w:tc>
          <w:tcPr>
            <w:tcW w:w="1083" w:type="dxa"/>
            <w:gridSpan w:val="2"/>
          </w:tcPr>
          <w:p w14:paraId="379433CF" w14:textId="77777777" w:rsidR="004A14D8" w:rsidRPr="00B90FC7" w:rsidRDefault="004A14D8" w:rsidP="000C2A54">
            <w:pPr>
              <w:jc w:val="right"/>
              <w:rPr>
                <w:sz w:val="20"/>
                <w:szCs w:val="20"/>
              </w:rPr>
            </w:pPr>
          </w:p>
        </w:tc>
        <w:tc>
          <w:tcPr>
            <w:tcW w:w="1308" w:type="dxa"/>
          </w:tcPr>
          <w:p w14:paraId="4B946703" w14:textId="6F92EF72" w:rsidR="004A14D8" w:rsidRPr="00375309" w:rsidRDefault="00C274F5" w:rsidP="000C2A54">
            <w:pPr>
              <w:jc w:val="right"/>
              <w:rPr>
                <w:sz w:val="20"/>
                <w:szCs w:val="20"/>
              </w:rPr>
            </w:pPr>
            <w:r>
              <w:rPr>
                <w:sz w:val="20"/>
                <w:szCs w:val="20"/>
              </w:rPr>
              <w:t>445</w:t>
            </w:r>
            <w:r w:rsidR="00545EEE">
              <w:rPr>
                <w:sz w:val="20"/>
                <w:szCs w:val="20"/>
              </w:rPr>
              <w:t>,</w:t>
            </w:r>
            <w:r>
              <w:rPr>
                <w:sz w:val="20"/>
                <w:szCs w:val="20"/>
              </w:rPr>
              <w:t>021</w:t>
            </w:r>
          </w:p>
        </w:tc>
      </w:tr>
      <w:tr w:rsidR="00545EEE" w:rsidRPr="00287A60" w14:paraId="6E91877E" w14:textId="77777777" w:rsidTr="00545EEE">
        <w:trPr>
          <w:jc w:val="center"/>
        </w:trPr>
        <w:tc>
          <w:tcPr>
            <w:tcW w:w="3441" w:type="dxa"/>
            <w:gridSpan w:val="2"/>
          </w:tcPr>
          <w:p w14:paraId="2A31B8F1" w14:textId="77777777" w:rsidR="00545EEE" w:rsidRPr="00B90FC7" w:rsidRDefault="00545EEE" w:rsidP="00545EEE">
            <w:pPr>
              <w:rPr>
                <w:rFonts w:cs="Arial"/>
                <w:sz w:val="20"/>
                <w:szCs w:val="20"/>
              </w:rPr>
            </w:pPr>
            <w:r>
              <w:rPr>
                <w:rFonts w:cs="Arial"/>
                <w:sz w:val="20"/>
                <w:szCs w:val="20"/>
              </w:rPr>
              <w:t>Intangible assets</w:t>
            </w:r>
          </w:p>
        </w:tc>
        <w:tc>
          <w:tcPr>
            <w:tcW w:w="900" w:type="dxa"/>
            <w:gridSpan w:val="3"/>
          </w:tcPr>
          <w:p w14:paraId="5090C80C" w14:textId="613F9716" w:rsidR="00545EEE" w:rsidRDefault="00545EEE" w:rsidP="00545EEE">
            <w:pPr>
              <w:jc w:val="center"/>
              <w:rPr>
                <w:b/>
                <w:sz w:val="20"/>
                <w:szCs w:val="20"/>
              </w:rPr>
            </w:pPr>
            <w:r>
              <w:rPr>
                <w:b/>
                <w:sz w:val="20"/>
                <w:szCs w:val="20"/>
              </w:rPr>
              <w:t>8</w:t>
            </w:r>
          </w:p>
        </w:tc>
        <w:tc>
          <w:tcPr>
            <w:tcW w:w="1080" w:type="dxa"/>
          </w:tcPr>
          <w:p w14:paraId="5D574DAC" w14:textId="77777777" w:rsidR="00545EEE" w:rsidRPr="00B90FC7" w:rsidRDefault="00545EEE" w:rsidP="00545EEE">
            <w:pPr>
              <w:jc w:val="right"/>
              <w:rPr>
                <w:sz w:val="20"/>
                <w:szCs w:val="20"/>
              </w:rPr>
            </w:pPr>
          </w:p>
        </w:tc>
        <w:tc>
          <w:tcPr>
            <w:tcW w:w="1260" w:type="dxa"/>
          </w:tcPr>
          <w:p w14:paraId="794BAD1A" w14:textId="74749ED5" w:rsidR="00545EEE" w:rsidRDefault="00C274F5" w:rsidP="00545EEE">
            <w:pPr>
              <w:jc w:val="right"/>
              <w:rPr>
                <w:sz w:val="20"/>
                <w:szCs w:val="20"/>
              </w:rPr>
            </w:pPr>
            <w:r>
              <w:rPr>
                <w:sz w:val="20"/>
                <w:szCs w:val="20"/>
              </w:rPr>
              <w:t>0</w:t>
            </w:r>
          </w:p>
        </w:tc>
        <w:tc>
          <w:tcPr>
            <w:tcW w:w="1083" w:type="dxa"/>
            <w:gridSpan w:val="2"/>
          </w:tcPr>
          <w:p w14:paraId="673CB4AE" w14:textId="77777777" w:rsidR="00545EEE" w:rsidRPr="00B90FC7" w:rsidRDefault="00545EEE" w:rsidP="00545EEE">
            <w:pPr>
              <w:jc w:val="right"/>
              <w:rPr>
                <w:sz w:val="20"/>
                <w:szCs w:val="20"/>
              </w:rPr>
            </w:pPr>
          </w:p>
        </w:tc>
        <w:tc>
          <w:tcPr>
            <w:tcW w:w="1308" w:type="dxa"/>
            <w:tcBorders>
              <w:bottom w:val="single" w:sz="4" w:space="0" w:color="auto"/>
            </w:tcBorders>
          </w:tcPr>
          <w:p w14:paraId="1EEC6954" w14:textId="2FEF1BEA" w:rsidR="00545EEE" w:rsidRPr="00545EEE" w:rsidRDefault="00C274F5" w:rsidP="00545EEE">
            <w:pPr>
              <w:jc w:val="right"/>
              <w:rPr>
                <w:sz w:val="20"/>
                <w:szCs w:val="20"/>
              </w:rPr>
            </w:pPr>
            <w:r>
              <w:rPr>
                <w:sz w:val="20"/>
                <w:szCs w:val="20"/>
              </w:rPr>
              <w:t>315</w:t>
            </w:r>
          </w:p>
        </w:tc>
      </w:tr>
      <w:tr w:rsidR="00545EEE" w:rsidRPr="00287A60" w14:paraId="23908ED2" w14:textId="77777777" w:rsidTr="00545EEE">
        <w:trPr>
          <w:jc w:val="center"/>
        </w:trPr>
        <w:tc>
          <w:tcPr>
            <w:tcW w:w="3622" w:type="dxa"/>
            <w:gridSpan w:val="3"/>
          </w:tcPr>
          <w:p w14:paraId="6007CDA7" w14:textId="77777777" w:rsidR="00545EEE" w:rsidRPr="00B90FC7" w:rsidRDefault="00545EEE" w:rsidP="00545EEE">
            <w:pPr>
              <w:rPr>
                <w:b/>
                <w:sz w:val="20"/>
                <w:szCs w:val="20"/>
              </w:rPr>
            </w:pPr>
            <w:r w:rsidRPr="00B90FC7">
              <w:rPr>
                <w:rFonts w:cs="Arial"/>
                <w:b/>
                <w:bCs/>
                <w:sz w:val="20"/>
                <w:szCs w:val="20"/>
              </w:rPr>
              <w:t>Total non</w:t>
            </w:r>
            <w:r>
              <w:rPr>
                <w:rFonts w:cs="Arial"/>
                <w:b/>
                <w:bCs/>
                <w:sz w:val="20"/>
                <w:szCs w:val="20"/>
                <w:lang w:val="fr-FR"/>
              </w:rPr>
              <w:t>-</w:t>
            </w:r>
            <w:r w:rsidRPr="00B90FC7">
              <w:rPr>
                <w:rFonts w:cs="Arial"/>
                <w:b/>
                <w:bCs/>
                <w:sz w:val="20"/>
                <w:szCs w:val="20"/>
              </w:rPr>
              <w:t>current assets</w:t>
            </w:r>
          </w:p>
        </w:tc>
        <w:tc>
          <w:tcPr>
            <w:tcW w:w="282" w:type="dxa"/>
          </w:tcPr>
          <w:p w14:paraId="26697AA1" w14:textId="77777777" w:rsidR="00545EEE" w:rsidRPr="00B90FC7" w:rsidRDefault="00545EEE" w:rsidP="00545EEE">
            <w:pPr>
              <w:rPr>
                <w:b/>
                <w:sz w:val="20"/>
                <w:szCs w:val="20"/>
              </w:rPr>
            </w:pPr>
          </w:p>
        </w:tc>
        <w:tc>
          <w:tcPr>
            <w:tcW w:w="1517" w:type="dxa"/>
            <w:gridSpan w:val="2"/>
          </w:tcPr>
          <w:p w14:paraId="379228BD" w14:textId="77777777" w:rsidR="00545EEE" w:rsidRPr="00B90FC7" w:rsidRDefault="00545EEE" w:rsidP="00545EEE">
            <w:pPr>
              <w:jc w:val="right"/>
              <w:rPr>
                <w:sz w:val="20"/>
                <w:szCs w:val="20"/>
              </w:rPr>
            </w:pPr>
          </w:p>
        </w:tc>
        <w:tc>
          <w:tcPr>
            <w:tcW w:w="1260" w:type="dxa"/>
            <w:tcBorders>
              <w:top w:val="single" w:sz="4" w:space="0" w:color="auto"/>
            </w:tcBorders>
          </w:tcPr>
          <w:p w14:paraId="7D31A19D" w14:textId="05459D96" w:rsidR="00545EEE" w:rsidRPr="00B90FC7" w:rsidRDefault="00C274F5" w:rsidP="00545EEE">
            <w:pPr>
              <w:jc w:val="right"/>
              <w:rPr>
                <w:sz w:val="20"/>
                <w:szCs w:val="20"/>
              </w:rPr>
            </w:pPr>
            <w:r>
              <w:rPr>
                <w:sz w:val="20"/>
                <w:szCs w:val="20"/>
              </w:rPr>
              <w:t>699</w:t>
            </w:r>
            <w:r w:rsidR="00545EEE" w:rsidRPr="00D66239">
              <w:rPr>
                <w:sz w:val="20"/>
                <w:szCs w:val="20"/>
              </w:rPr>
              <w:t>,</w:t>
            </w:r>
            <w:r>
              <w:rPr>
                <w:sz w:val="20"/>
                <w:szCs w:val="20"/>
              </w:rPr>
              <w:t>697</w:t>
            </w:r>
          </w:p>
        </w:tc>
        <w:tc>
          <w:tcPr>
            <w:tcW w:w="1083" w:type="dxa"/>
            <w:gridSpan w:val="2"/>
          </w:tcPr>
          <w:p w14:paraId="741204C2" w14:textId="77777777" w:rsidR="00545EEE" w:rsidRPr="00B90FC7" w:rsidRDefault="00545EEE" w:rsidP="00545EEE">
            <w:pPr>
              <w:jc w:val="right"/>
              <w:rPr>
                <w:sz w:val="20"/>
                <w:szCs w:val="20"/>
              </w:rPr>
            </w:pPr>
          </w:p>
        </w:tc>
        <w:tc>
          <w:tcPr>
            <w:tcW w:w="1308" w:type="dxa"/>
            <w:tcBorders>
              <w:top w:val="single" w:sz="4" w:space="0" w:color="auto"/>
            </w:tcBorders>
          </w:tcPr>
          <w:p w14:paraId="724D8913" w14:textId="307AA536" w:rsidR="00545EEE" w:rsidRPr="00B90FC7" w:rsidRDefault="00C274F5" w:rsidP="00C274F5">
            <w:pPr>
              <w:jc w:val="right"/>
              <w:rPr>
                <w:sz w:val="20"/>
                <w:szCs w:val="20"/>
              </w:rPr>
            </w:pPr>
            <w:r>
              <w:rPr>
                <w:sz w:val="20"/>
                <w:szCs w:val="20"/>
              </w:rPr>
              <w:t>864</w:t>
            </w:r>
            <w:r w:rsidR="00545EEE">
              <w:rPr>
                <w:sz w:val="20"/>
                <w:szCs w:val="20"/>
              </w:rPr>
              <w:t>,</w:t>
            </w:r>
            <w:r>
              <w:rPr>
                <w:sz w:val="20"/>
                <w:szCs w:val="20"/>
              </w:rPr>
              <w:t>699</w:t>
            </w:r>
          </w:p>
        </w:tc>
      </w:tr>
      <w:tr w:rsidR="00545EEE" w:rsidRPr="00287A60" w14:paraId="6DE384C6" w14:textId="77777777" w:rsidTr="00545EEE">
        <w:trPr>
          <w:jc w:val="center"/>
        </w:trPr>
        <w:tc>
          <w:tcPr>
            <w:tcW w:w="2800" w:type="dxa"/>
          </w:tcPr>
          <w:p w14:paraId="7BC3DDEF" w14:textId="77777777" w:rsidR="00545EEE" w:rsidRDefault="00545EEE" w:rsidP="00545EEE">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p>
          <w:p w14:paraId="24261D40" w14:textId="77777777" w:rsidR="00545EEE" w:rsidRPr="00B90FC7" w:rsidRDefault="00545EEE" w:rsidP="00545EEE">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r w:rsidRPr="00B90FC7">
              <w:rPr>
                <w:rFonts w:cs="Arial"/>
                <w:b/>
                <w:bCs/>
                <w:sz w:val="20"/>
                <w:szCs w:val="20"/>
              </w:rPr>
              <w:t>Current assets:</w:t>
            </w:r>
          </w:p>
        </w:tc>
        <w:tc>
          <w:tcPr>
            <w:tcW w:w="1541" w:type="dxa"/>
            <w:gridSpan w:val="4"/>
          </w:tcPr>
          <w:p w14:paraId="653CEACD" w14:textId="77777777" w:rsidR="00545EEE" w:rsidRPr="00B90FC7" w:rsidRDefault="00545EEE" w:rsidP="00545EEE">
            <w:pPr>
              <w:rPr>
                <w:b/>
                <w:sz w:val="20"/>
                <w:szCs w:val="20"/>
              </w:rPr>
            </w:pPr>
          </w:p>
        </w:tc>
        <w:tc>
          <w:tcPr>
            <w:tcW w:w="1080" w:type="dxa"/>
          </w:tcPr>
          <w:p w14:paraId="6D08B068" w14:textId="77777777" w:rsidR="00545EEE" w:rsidRPr="00B90FC7" w:rsidRDefault="00545EEE" w:rsidP="00545EEE">
            <w:pPr>
              <w:jc w:val="right"/>
              <w:rPr>
                <w:sz w:val="20"/>
                <w:szCs w:val="20"/>
              </w:rPr>
            </w:pPr>
          </w:p>
        </w:tc>
        <w:tc>
          <w:tcPr>
            <w:tcW w:w="1260" w:type="dxa"/>
          </w:tcPr>
          <w:p w14:paraId="0164823E" w14:textId="77777777" w:rsidR="00545EEE" w:rsidRPr="00B90FC7" w:rsidRDefault="00545EEE" w:rsidP="00545EEE">
            <w:pPr>
              <w:jc w:val="right"/>
              <w:rPr>
                <w:sz w:val="20"/>
                <w:szCs w:val="20"/>
              </w:rPr>
            </w:pPr>
          </w:p>
        </w:tc>
        <w:tc>
          <w:tcPr>
            <w:tcW w:w="1083" w:type="dxa"/>
            <w:gridSpan w:val="2"/>
          </w:tcPr>
          <w:p w14:paraId="07E52CC4" w14:textId="77777777" w:rsidR="00545EEE" w:rsidRPr="00B90FC7" w:rsidRDefault="00545EEE" w:rsidP="00545EEE">
            <w:pPr>
              <w:jc w:val="right"/>
              <w:rPr>
                <w:sz w:val="20"/>
                <w:szCs w:val="20"/>
              </w:rPr>
            </w:pPr>
          </w:p>
        </w:tc>
        <w:tc>
          <w:tcPr>
            <w:tcW w:w="1308" w:type="dxa"/>
          </w:tcPr>
          <w:p w14:paraId="7DF2FD12" w14:textId="77777777" w:rsidR="00545EEE" w:rsidRPr="00B90FC7" w:rsidRDefault="00545EEE" w:rsidP="00545EEE">
            <w:pPr>
              <w:jc w:val="right"/>
              <w:rPr>
                <w:sz w:val="20"/>
                <w:szCs w:val="20"/>
              </w:rPr>
            </w:pPr>
          </w:p>
        </w:tc>
      </w:tr>
      <w:tr w:rsidR="00833527" w:rsidRPr="00287A60" w14:paraId="4A6C7033" w14:textId="77777777" w:rsidTr="00833527">
        <w:trPr>
          <w:jc w:val="center"/>
        </w:trPr>
        <w:tc>
          <w:tcPr>
            <w:tcW w:w="3441" w:type="dxa"/>
            <w:gridSpan w:val="2"/>
          </w:tcPr>
          <w:p w14:paraId="4C699172" w14:textId="77777777" w:rsidR="00833527" w:rsidRPr="00B90FC7" w:rsidRDefault="00833527" w:rsidP="00833527">
            <w:pPr>
              <w:rPr>
                <w:b/>
                <w:sz w:val="20"/>
                <w:szCs w:val="20"/>
              </w:rPr>
            </w:pPr>
            <w:r w:rsidRPr="00B90FC7">
              <w:rPr>
                <w:rFonts w:cs="Arial"/>
                <w:sz w:val="20"/>
                <w:szCs w:val="20"/>
              </w:rPr>
              <w:t>Trade and other receivables</w:t>
            </w:r>
          </w:p>
        </w:tc>
        <w:tc>
          <w:tcPr>
            <w:tcW w:w="900" w:type="dxa"/>
            <w:gridSpan w:val="3"/>
          </w:tcPr>
          <w:p w14:paraId="08FDA373" w14:textId="1A53E261" w:rsidR="00833527" w:rsidRPr="00B90FC7" w:rsidRDefault="00833527" w:rsidP="00833527">
            <w:pPr>
              <w:jc w:val="center"/>
              <w:rPr>
                <w:b/>
                <w:sz w:val="20"/>
                <w:szCs w:val="20"/>
              </w:rPr>
            </w:pPr>
            <w:r>
              <w:rPr>
                <w:b/>
                <w:sz w:val="20"/>
                <w:szCs w:val="20"/>
              </w:rPr>
              <w:t>10</w:t>
            </w:r>
          </w:p>
        </w:tc>
        <w:tc>
          <w:tcPr>
            <w:tcW w:w="1080" w:type="dxa"/>
          </w:tcPr>
          <w:p w14:paraId="05742EE0" w14:textId="6EA41A62" w:rsidR="00833527" w:rsidRPr="00B90FC7" w:rsidRDefault="00833527" w:rsidP="00833527">
            <w:pPr>
              <w:jc w:val="center"/>
              <w:rPr>
                <w:sz w:val="20"/>
                <w:szCs w:val="20"/>
              </w:rPr>
            </w:pPr>
          </w:p>
        </w:tc>
        <w:tc>
          <w:tcPr>
            <w:tcW w:w="1260" w:type="dxa"/>
          </w:tcPr>
          <w:p w14:paraId="5536EE69" w14:textId="42C684FB" w:rsidR="00833527" w:rsidRPr="00B90FC7" w:rsidRDefault="00833527" w:rsidP="00833527">
            <w:pPr>
              <w:jc w:val="right"/>
              <w:rPr>
                <w:sz w:val="20"/>
                <w:szCs w:val="20"/>
              </w:rPr>
            </w:pPr>
            <w:r>
              <w:rPr>
                <w:sz w:val="20"/>
                <w:szCs w:val="20"/>
              </w:rPr>
              <w:t>49,648</w:t>
            </w:r>
          </w:p>
        </w:tc>
        <w:tc>
          <w:tcPr>
            <w:tcW w:w="1083" w:type="dxa"/>
            <w:gridSpan w:val="2"/>
          </w:tcPr>
          <w:p w14:paraId="37652456" w14:textId="7FB65149" w:rsidR="00833527" w:rsidRPr="00B90FC7" w:rsidRDefault="00833527" w:rsidP="00833527">
            <w:pPr>
              <w:jc w:val="right"/>
              <w:rPr>
                <w:sz w:val="20"/>
                <w:szCs w:val="20"/>
              </w:rPr>
            </w:pPr>
          </w:p>
        </w:tc>
        <w:tc>
          <w:tcPr>
            <w:tcW w:w="1308" w:type="dxa"/>
          </w:tcPr>
          <w:p w14:paraId="3E2FCA30" w14:textId="561950F5" w:rsidR="00833527" w:rsidRPr="00B90FC7" w:rsidRDefault="00833527" w:rsidP="00833527">
            <w:pPr>
              <w:jc w:val="right"/>
              <w:rPr>
                <w:sz w:val="20"/>
                <w:szCs w:val="20"/>
              </w:rPr>
            </w:pPr>
            <w:r>
              <w:rPr>
                <w:sz w:val="20"/>
                <w:szCs w:val="20"/>
              </w:rPr>
              <w:t>43,882</w:t>
            </w:r>
          </w:p>
        </w:tc>
      </w:tr>
      <w:tr w:rsidR="00833527" w:rsidRPr="00287A60" w14:paraId="5C74451A" w14:textId="77777777" w:rsidTr="00833527">
        <w:trPr>
          <w:jc w:val="center"/>
        </w:trPr>
        <w:tc>
          <w:tcPr>
            <w:tcW w:w="3441" w:type="dxa"/>
            <w:gridSpan w:val="2"/>
          </w:tcPr>
          <w:p w14:paraId="3D19296C" w14:textId="77777777" w:rsidR="00833527" w:rsidRPr="00B90FC7" w:rsidRDefault="00833527" w:rsidP="00833527">
            <w:pPr>
              <w:rPr>
                <w:b/>
                <w:sz w:val="20"/>
                <w:szCs w:val="20"/>
              </w:rPr>
            </w:pPr>
            <w:r w:rsidRPr="00B90FC7">
              <w:rPr>
                <w:rFonts w:cs="Arial"/>
                <w:sz w:val="20"/>
                <w:szCs w:val="20"/>
              </w:rPr>
              <w:t>Cash and cash equivalents</w:t>
            </w:r>
          </w:p>
        </w:tc>
        <w:tc>
          <w:tcPr>
            <w:tcW w:w="900" w:type="dxa"/>
            <w:gridSpan w:val="3"/>
          </w:tcPr>
          <w:p w14:paraId="0956E65C" w14:textId="66412AB1" w:rsidR="00833527" w:rsidRPr="00B90FC7" w:rsidRDefault="00833527" w:rsidP="00833527">
            <w:pPr>
              <w:jc w:val="center"/>
              <w:rPr>
                <w:b/>
                <w:sz w:val="20"/>
                <w:szCs w:val="20"/>
              </w:rPr>
            </w:pPr>
            <w:r>
              <w:rPr>
                <w:b/>
                <w:sz w:val="20"/>
                <w:szCs w:val="20"/>
              </w:rPr>
              <w:t>11</w:t>
            </w:r>
          </w:p>
        </w:tc>
        <w:tc>
          <w:tcPr>
            <w:tcW w:w="1080" w:type="dxa"/>
          </w:tcPr>
          <w:p w14:paraId="65D00DE5" w14:textId="698102C5" w:rsidR="00833527" w:rsidRPr="00B90FC7" w:rsidRDefault="00833527" w:rsidP="00833527">
            <w:pPr>
              <w:jc w:val="right"/>
              <w:rPr>
                <w:sz w:val="20"/>
                <w:szCs w:val="20"/>
              </w:rPr>
            </w:pPr>
          </w:p>
        </w:tc>
        <w:tc>
          <w:tcPr>
            <w:tcW w:w="1260" w:type="dxa"/>
            <w:tcBorders>
              <w:bottom w:val="single" w:sz="4" w:space="0" w:color="auto"/>
            </w:tcBorders>
          </w:tcPr>
          <w:p w14:paraId="79B1E60D" w14:textId="54E8579E" w:rsidR="00833527" w:rsidRPr="00B90FC7" w:rsidRDefault="00833527" w:rsidP="00833527">
            <w:pPr>
              <w:jc w:val="right"/>
              <w:rPr>
                <w:sz w:val="20"/>
                <w:szCs w:val="20"/>
              </w:rPr>
            </w:pPr>
            <w:r>
              <w:rPr>
                <w:sz w:val="20"/>
                <w:szCs w:val="20"/>
              </w:rPr>
              <w:t>920,893</w:t>
            </w:r>
          </w:p>
        </w:tc>
        <w:tc>
          <w:tcPr>
            <w:tcW w:w="1083" w:type="dxa"/>
            <w:gridSpan w:val="2"/>
          </w:tcPr>
          <w:p w14:paraId="38D37516" w14:textId="69047908" w:rsidR="00833527" w:rsidRPr="00B90FC7" w:rsidRDefault="00833527" w:rsidP="00833527">
            <w:pPr>
              <w:jc w:val="right"/>
              <w:rPr>
                <w:sz w:val="20"/>
                <w:szCs w:val="20"/>
              </w:rPr>
            </w:pPr>
          </w:p>
        </w:tc>
        <w:tc>
          <w:tcPr>
            <w:tcW w:w="1308" w:type="dxa"/>
            <w:tcBorders>
              <w:bottom w:val="single" w:sz="4" w:space="0" w:color="auto"/>
            </w:tcBorders>
          </w:tcPr>
          <w:p w14:paraId="233FAA48" w14:textId="24439874" w:rsidR="00833527" w:rsidRPr="00B90FC7" w:rsidRDefault="00833527" w:rsidP="00833527">
            <w:pPr>
              <w:jc w:val="right"/>
              <w:rPr>
                <w:sz w:val="20"/>
                <w:szCs w:val="20"/>
              </w:rPr>
            </w:pPr>
            <w:r>
              <w:rPr>
                <w:sz w:val="20"/>
                <w:szCs w:val="20"/>
              </w:rPr>
              <w:t>990,019</w:t>
            </w:r>
          </w:p>
        </w:tc>
      </w:tr>
      <w:tr w:rsidR="00833527" w:rsidRPr="00287A60" w14:paraId="700C26D7" w14:textId="77777777" w:rsidTr="00833527">
        <w:trPr>
          <w:jc w:val="center"/>
        </w:trPr>
        <w:tc>
          <w:tcPr>
            <w:tcW w:w="3622" w:type="dxa"/>
            <w:gridSpan w:val="3"/>
          </w:tcPr>
          <w:p w14:paraId="738BD214" w14:textId="77777777" w:rsidR="00833527" w:rsidRPr="00B90FC7" w:rsidRDefault="00833527" w:rsidP="00833527">
            <w:pPr>
              <w:rPr>
                <w:rFonts w:cs="Arial"/>
                <w:b/>
                <w:sz w:val="20"/>
                <w:szCs w:val="20"/>
              </w:rPr>
            </w:pPr>
            <w:r w:rsidRPr="00B90FC7">
              <w:rPr>
                <w:rFonts w:cs="Arial"/>
                <w:b/>
                <w:sz w:val="20"/>
                <w:szCs w:val="20"/>
              </w:rPr>
              <w:t>Total current assets</w:t>
            </w:r>
          </w:p>
          <w:p w14:paraId="56074F16" w14:textId="77777777" w:rsidR="00833527" w:rsidRPr="00B90FC7" w:rsidRDefault="00833527" w:rsidP="00833527">
            <w:pPr>
              <w:rPr>
                <w:b/>
                <w:sz w:val="20"/>
                <w:szCs w:val="20"/>
              </w:rPr>
            </w:pPr>
          </w:p>
        </w:tc>
        <w:tc>
          <w:tcPr>
            <w:tcW w:w="719" w:type="dxa"/>
            <w:gridSpan w:val="2"/>
          </w:tcPr>
          <w:p w14:paraId="7171E8B7" w14:textId="77777777" w:rsidR="00833527" w:rsidRPr="00B90FC7" w:rsidRDefault="00833527" w:rsidP="00833527">
            <w:pPr>
              <w:rPr>
                <w:b/>
                <w:sz w:val="20"/>
                <w:szCs w:val="20"/>
              </w:rPr>
            </w:pPr>
          </w:p>
        </w:tc>
        <w:tc>
          <w:tcPr>
            <w:tcW w:w="1080" w:type="dxa"/>
          </w:tcPr>
          <w:p w14:paraId="39F999A2" w14:textId="77777777" w:rsidR="00833527" w:rsidRPr="00B90FC7" w:rsidRDefault="00833527" w:rsidP="00833527">
            <w:pPr>
              <w:jc w:val="right"/>
              <w:rPr>
                <w:sz w:val="20"/>
                <w:szCs w:val="20"/>
              </w:rPr>
            </w:pPr>
          </w:p>
        </w:tc>
        <w:tc>
          <w:tcPr>
            <w:tcW w:w="1260" w:type="dxa"/>
            <w:tcBorders>
              <w:top w:val="single" w:sz="4" w:space="0" w:color="auto"/>
              <w:bottom w:val="single" w:sz="4" w:space="0" w:color="auto"/>
            </w:tcBorders>
          </w:tcPr>
          <w:p w14:paraId="3787BE15" w14:textId="1E0FFA95" w:rsidR="00833527" w:rsidRPr="0070445C" w:rsidRDefault="00833527" w:rsidP="00833527">
            <w:pPr>
              <w:jc w:val="right"/>
              <w:rPr>
                <w:sz w:val="20"/>
                <w:szCs w:val="20"/>
              </w:rPr>
            </w:pPr>
            <w:r>
              <w:rPr>
                <w:sz w:val="20"/>
                <w:szCs w:val="20"/>
              </w:rPr>
              <w:t>970</w:t>
            </w:r>
            <w:r w:rsidRPr="0070445C">
              <w:rPr>
                <w:sz w:val="20"/>
                <w:szCs w:val="20"/>
              </w:rPr>
              <w:t>,</w:t>
            </w:r>
            <w:r>
              <w:rPr>
                <w:sz w:val="20"/>
                <w:szCs w:val="20"/>
              </w:rPr>
              <w:t>541</w:t>
            </w:r>
          </w:p>
        </w:tc>
        <w:tc>
          <w:tcPr>
            <w:tcW w:w="1083" w:type="dxa"/>
            <w:gridSpan w:val="2"/>
          </w:tcPr>
          <w:p w14:paraId="6D940A7C" w14:textId="77777777" w:rsidR="00833527" w:rsidRPr="00B90FC7" w:rsidRDefault="00833527" w:rsidP="00833527">
            <w:pPr>
              <w:jc w:val="right"/>
              <w:rPr>
                <w:sz w:val="20"/>
                <w:szCs w:val="20"/>
              </w:rPr>
            </w:pPr>
          </w:p>
        </w:tc>
        <w:tc>
          <w:tcPr>
            <w:tcW w:w="1308" w:type="dxa"/>
            <w:tcBorders>
              <w:top w:val="single" w:sz="4" w:space="0" w:color="auto"/>
              <w:bottom w:val="single" w:sz="4" w:space="0" w:color="auto"/>
            </w:tcBorders>
          </w:tcPr>
          <w:p w14:paraId="63633599" w14:textId="1DD9A8C3" w:rsidR="00833527" w:rsidRPr="00B90FC7" w:rsidRDefault="00833527" w:rsidP="00833527">
            <w:pPr>
              <w:jc w:val="right"/>
              <w:rPr>
                <w:sz w:val="20"/>
                <w:szCs w:val="20"/>
              </w:rPr>
            </w:pPr>
            <w:r>
              <w:rPr>
                <w:sz w:val="20"/>
                <w:szCs w:val="20"/>
              </w:rPr>
              <w:t>1,033,901</w:t>
            </w:r>
          </w:p>
        </w:tc>
      </w:tr>
      <w:tr w:rsidR="00833527" w:rsidRPr="00287A60" w14:paraId="1349EBF0" w14:textId="77777777" w:rsidTr="00545EEE">
        <w:trPr>
          <w:jc w:val="center"/>
        </w:trPr>
        <w:tc>
          <w:tcPr>
            <w:tcW w:w="3441" w:type="dxa"/>
            <w:gridSpan w:val="2"/>
          </w:tcPr>
          <w:p w14:paraId="1D3AF467" w14:textId="77777777" w:rsidR="00833527" w:rsidRPr="00B90FC7" w:rsidRDefault="00833527" w:rsidP="00833527">
            <w:pPr>
              <w:rPr>
                <w:rFonts w:cs="Arial"/>
                <w:b/>
                <w:bCs/>
                <w:sz w:val="20"/>
                <w:szCs w:val="20"/>
              </w:rPr>
            </w:pPr>
          </w:p>
          <w:p w14:paraId="79BED547" w14:textId="77777777" w:rsidR="00833527" w:rsidRPr="00B90FC7" w:rsidRDefault="00833527" w:rsidP="00833527">
            <w:pPr>
              <w:rPr>
                <w:b/>
                <w:sz w:val="20"/>
                <w:szCs w:val="20"/>
              </w:rPr>
            </w:pPr>
            <w:r w:rsidRPr="00B90FC7">
              <w:rPr>
                <w:rFonts w:cs="Arial"/>
                <w:b/>
                <w:bCs/>
                <w:sz w:val="20"/>
                <w:szCs w:val="20"/>
              </w:rPr>
              <w:t>Total assets</w:t>
            </w:r>
          </w:p>
        </w:tc>
        <w:tc>
          <w:tcPr>
            <w:tcW w:w="900" w:type="dxa"/>
            <w:gridSpan w:val="3"/>
          </w:tcPr>
          <w:p w14:paraId="2908F809" w14:textId="77777777" w:rsidR="00833527" w:rsidRPr="00B90FC7" w:rsidRDefault="00833527" w:rsidP="00833527">
            <w:pPr>
              <w:rPr>
                <w:b/>
                <w:sz w:val="20"/>
                <w:szCs w:val="20"/>
              </w:rPr>
            </w:pPr>
          </w:p>
        </w:tc>
        <w:tc>
          <w:tcPr>
            <w:tcW w:w="1080" w:type="dxa"/>
          </w:tcPr>
          <w:p w14:paraId="582032D5" w14:textId="77777777" w:rsidR="00833527" w:rsidRPr="00B90FC7" w:rsidRDefault="00833527" w:rsidP="00833527">
            <w:pPr>
              <w:jc w:val="right"/>
              <w:rPr>
                <w:sz w:val="20"/>
                <w:szCs w:val="20"/>
              </w:rPr>
            </w:pPr>
          </w:p>
        </w:tc>
        <w:tc>
          <w:tcPr>
            <w:tcW w:w="1260" w:type="dxa"/>
            <w:tcBorders>
              <w:top w:val="single" w:sz="4" w:space="0" w:color="auto"/>
              <w:bottom w:val="single" w:sz="4" w:space="0" w:color="auto"/>
            </w:tcBorders>
          </w:tcPr>
          <w:p w14:paraId="664AECBE" w14:textId="77777777" w:rsidR="00833527" w:rsidRDefault="00833527" w:rsidP="00833527">
            <w:pPr>
              <w:jc w:val="right"/>
              <w:rPr>
                <w:sz w:val="20"/>
                <w:szCs w:val="20"/>
              </w:rPr>
            </w:pPr>
          </w:p>
          <w:p w14:paraId="63692D48" w14:textId="577C2C17" w:rsidR="00833527" w:rsidRPr="00B90FC7" w:rsidRDefault="00833527" w:rsidP="00833527">
            <w:pPr>
              <w:jc w:val="right"/>
              <w:rPr>
                <w:sz w:val="20"/>
                <w:szCs w:val="20"/>
              </w:rPr>
            </w:pPr>
            <w:r>
              <w:rPr>
                <w:sz w:val="20"/>
                <w:szCs w:val="20"/>
              </w:rPr>
              <w:t>1,670,238</w:t>
            </w:r>
          </w:p>
        </w:tc>
        <w:tc>
          <w:tcPr>
            <w:tcW w:w="974" w:type="dxa"/>
          </w:tcPr>
          <w:p w14:paraId="54FB1173" w14:textId="77777777" w:rsidR="00833527" w:rsidRPr="00B90FC7" w:rsidRDefault="00833527" w:rsidP="00833527">
            <w:pPr>
              <w:jc w:val="right"/>
              <w:rPr>
                <w:sz w:val="20"/>
                <w:szCs w:val="20"/>
              </w:rPr>
            </w:pPr>
          </w:p>
        </w:tc>
        <w:tc>
          <w:tcPr>
            <w:tcW w:w="1417" w:type="dxa"/>
            <w:gridSpan w:val="2"/>
            <w:tcBorders>
              <w:top w:val="single" w:sz="4" w:space="0" w:color="auto"/>
              <w:bottom w:val="single" w:sz="4" w:space="0" w:color="auto"/>
            </w:tcBorders>
          </w:tcPr>
          <w:p w14:paraId="147DD779" w14:textId="77777777" w:rsidR="00833527" w:rsidRDefault="00833527" w:rsidP="00833527">
            <w:pPr>
              <w:rPr>
                <w:sz w:val="20"/>
                <w:szCs w:val="20"/>
              </w:rPr>
            </w:pPr>
          </w:p>
          <w:p w14:paraId="3205603E" w14:textId="20F0A0AC" w:rsidR="00833527" w:rsidRPr="003B42D9" w:rsidRDefault="00833527" w:rsidP="00833527">
            <w:pPr>
              <w:jc w:val="right"/>
              <w:rPr>
                <w:sz w:val="20"/>
                <w:szCs w:val="20"/>
              </w:rPr>
            </w:pPr>
            <w:r>
              <w:rPr>
                <w:sz w:val="20"/>
                <w:szCs w:val="20"/>
              </w:rPr>
              <w:t>1,898,600</w:t>
            </w:r>
          </w:p>
        </w:tc>
      </w:tr>
      <w:tr w:rsidR="00833527" w:rsidRPr="00287A60" w14:paraId="445138B1" w14:textId="77777777" w:rsidTr="00545EEE">
        <w:trPr>
          <w:jc w:val="center"/>
        </w:trPr>
        <w:tc>
          <w:tcPr>
            <w:tcW w:w="3441" w:type="dxa"/>
            <w:gridSpan w:val="2"/>
          </w:tcPr>
          <w:p w14:paraId="15ED1F9F" w14:textId="77777777" w:rsidR="00833527" w:rsidRDefault="00833527" w:rsidP="00833527">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p>
          <w:p w14:paraId="44E2CA8A" w14:textId="77777777" w:rsidR="00833527" w:rsidRPr="00B90FC7" w:rsidRDefault="00833527" w:rsidP="00833527">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r w:rsidRPr="00B90FC7">
              <w:rPr>
                <w:rFonts w:cs="Arial"/>
                <w:b/>
                <w:bCs/>
                <w:sz w:val="20"/>
                <w:szCs w:val="20"/>
              </w:rPr>
              <w:t>Current liabilities:</w:t>
            </w:r>
          </w:p>
        </w:tc>
        <w:tc>
          <w:tcPr>
            <w:tcW w:w="900" w:type="dxa"/>
            <w:gridSpan w:val="3"/>
          </w:tcPr>
          <w:p w14:paraId="4B80D750" w14:textId="77777777" w:rsidR="00833527" w:rsidRPr="00B90FC7" w:rsidRDefault="00833527" w:rsidP="00833527">
            <w:pPr>
              <w:rPr>
                <w:b/>
                <w:sz w:val="20"/>
                <w:szCs w:val="20"/>
              </w:rPr>
            </w:pPr>
          </w:p>
        </w:tc>
        <w:tc>
          <w:tcPr>
            <w:tcW w:w="1080" w:type="dxa"/>
          </w:tcPr>
          <w:p w14:paraId="28D10755" w14:textId="77777777" w:rsidR="00833527" w:rsidRPr="00B90FC7" w:rsidRDefault="00833527" w:rsidP="00833527">
            <w:pPr>
              <w:jc w:val="right"/>
              <w:rPr>
                <w:sz w:val="20"/>
                <w:szCs w:val="20"/>
              </w:rPr>
            </w:pPr>
          </w:p>
        </w:tc>
        <w:tc>
          <w:tcPr>
            <w:tcW w:w="1260" w:type="dxa"/>
            <w:tcBorders>
              <w:top w:val="single" w:sz="4" w:space="0" w:color="auto"/>
            </w:tcBorders>
          </w:tcPr>
          <w:p w14:paraId="7613179A" w14:textId="77777777" w:rsidR="00833527" w:rsidRPr="00B90FC7" w:rsidRDefault="00833527" w:rsidP="00833527">
            <w:pPr>
              <w:jc w:val="right"/>
              <w:rPr>
                <w:sz w:val="20"/>
                <w:szCs w:val="20"/>
              </w:rPr>
            </w:pPr>
          </w:p>
        </w:tc>
        <w:tc>
          <w:tcPr>
            <w:tcW w:w="1083" w:type="dxa"/>
            <w:gridSpan w:val="2"/>
          </w:tcPr>
          <w:p w14:paraId="557D52F9" w14:textId="77777777" w:rsidR="00833527" w:rsidRPr="00B90FC7" w:rsidRDefault="00833527" w:rsidP="00833527">
            <w:pPr>
              <w:jc w:val="right"/>
              <w:rPr>
                <w:sz w:val="20"/>
                <w:szCs w:val="20"/>
              </w:rPr>
            </w:pPr>
          </w:p>
        </w:tc>
        <w:tc>
          <w:tcPr>
            <w:tcW w:w="1308" w:type="dxa"/>
            <w:tcBorders>
              <w:top w:val="single" w:sz="4" w:space="0" w:color="auto"/>
            </w:tcBorders>
          </w:tcPr>
          <w:p w14:paraId="43E5072E" w14:textId="77777777" w:rsidR="00833527" w:rsidRPr="00B90FC7" w:rsidRDefault="00833527" w:rsidP="00833527">
            <w:pPr>
              <w:jc w:val="right"/>
              <w:rPr>
                <w:sz w:val="20"/>
                <w:szCs w:val="20"/>
              </w:rPr>
            </w:pPr>
          </w:p>
        </w:tc>
      </w:tr>
      <w:tr w:rsidR="00833527" w:rsidRPr="00287A60" w14:paraId="750BE1E4" w14:textId="77777777" w:rsidTr="00545EEE">
        <w:trPr>
          <w:jc w:val="center"/>
        </w:trPr>
        <w:tc>
          <w:tcPr>
            <w:tcW w:w="3441" w:type="dxa"/>
            <w:gridSpan w:val="2"/>
          </w:tcPr>
          <w:p w14:paraId="7AF8B4FD" w14:textId="77777777" w:rsidR="00833527" w:rsidRPr="00737D30" w:rsidRDefault="00833527" w:rsidP="00833527">
            <w:pPr>
              <w:rPr>
                <w:rFonts w:cs="Arial"/>
                <w:sz w:val="20"/>
                <w:szCs w:val="20"/>
              </w:rPr>
            </w:pPr>
            <w:r w:rsidRPr="00B90FC7">
              <w:rPr>
                <w:rFonts w:cs="Arial"/>
                <w:sz w:val="20"/>
                <w:szCs w:val="20"/>
              </w:rPr>
              <w:t>Trade and other payables</w:t>
            </w:r>
          </w:p>
        </w:tc>
        <w:tc>
          <w:tcPr>
            <w:tcW w:w="900" w:type="dxa"/>
            <w:gridSpan w:val="3"/>
          </w:tcPr>
          <w:p w14:paraId="3244542F" w14:textId="62CDD155" w:rsidR="00833527" w:rsidRPr="00B90FC7" w:rsidRDefault="00833527" w:rsidP="00833527">
            <w:pPr>
              <w:jc w:val="center"/>
              <w:rPr>
                <w:b/>
                <w:sz w:val="20"/>
                <w:szCs w:val="20"/>
              </w:rPr>
            </w:pPr>
            <w:r>
              <w:rPr>
                <w:b/>
                <w:sz w:val="20"/>
                <w:szCs w:val="20"/>
              </w:rPr>
              <w:t>12</w:t>
            </w:r>
          </w:p>
        </w:tc>
        <w:tc>
          <w:tcPr>
            <w:tcW w:w="1080" w:type="dxa"/>
          </w:tcPr>
          <w:p w14:paraId="025E55BC" w14:textId="77777777" w:rsidR="00833527" w:rsidRPr="00B90FC7" w:rsidRDefault="00833527" w:rsidP="00833527">
            <w:pPr>
              <w:jc w:val="right"/>
              <w:rPr>
                <w:sz w:val="20"/>
                <w:szCs w:val="20"/>
              </w:rPr>
            </w:pPr>
          </w:p>
        </w:tc>
        <w:tc>
          <w:tcPr>
            <w:tcW w:w="1260" w:type="dxa"/>
            <w:tcBorders>
              <w:bottom w:val="single" w:sz="4" w:space="0" w:color="auto"/>
            </w:tcBorders>
          </w:tcPr>
          <w:p w14:paraId="780BCBC9" w14:textId="76EFF84B" w:rsidR="00833527" w:rsidRPr="00B90FC7" w:rsidRDefault="00833527" w:rsidP="00833527">
            <w:pPr>
              <w:jc w:val="right"/>
              <w:rPr>
                <w:sz w:val="20"/>
                <w:szCs w:val="20"/>
              </w:rPr>
            </w:pPr>
            <w:r>
              <w:rPr>
                <w:sz w:val="20"/>
                <w:szCs w:val="20"/>
              </w:rPr>
              <w:t>305,768</w:t>
            </w:r>
          </w:p>
        </w:tc>
        <w:tc>
          <w:tcPr>
            <w:tcW w:w="1083" w:type="dxa"/>
            <w:gridSpan w:val="2"/>
          </w:tcPr>
          <w:p w14:paraId="7795CA97" w14:textId="77777777" w:rsidR="00833527" w:rsidRPr="00B90FC7" w:rsidRDefault="00833527" w:rsidP="00833527">
            <w:pPr>
              <w:jc w:val="center"/>
              <w:rPr>
                <w:sz w:val="20"/>
                <w:szCs w:val="20"/>
              </w:rPr>
            </w:pPr>
          </w:p>
        </w:tc>
        <w:tc>
          <w:tcPr>
            <w:tcW w:w="1308" w:type="dxa"/>
            <w:tcBorders>
              <w:bottom w:val="single" w:sz="4" w:space="0" w:color="auto"/>
            </w:tcBorders>
          </w:tcPr>
          <w:p w14:paraId="4889FB44" w14:textId="5EC74D38" w:rsidR="00833527" w:rsidRDefault="00833527" w:rsidP="00833527">
            <w:pPr>
              <w:jc w:val="right"/>
              <w:rPr>
                <w:sz w:val="20"/>
                <w:szCs w:val="20"/>
              </w:rPr>
            </w:pPr>
            <w:r>
              <w:rPr>
                <w:sz w:val="20"/>
                <w:szCs w:val="20"/>
              </w:rPr>
              <w:t>456,336</w:t>
            </w:r>
          </w:p>
          <w:p w14:paraId="707935A5" w14:textId="77777777" w:rsidR="00833527" w:rsidRPr="00B90FC7" w:rsidRDefault="00833527" w:rsidP="00833527">
            <w:pPr>
              <w:jc w:val="right"/>
              <w:rPr>
                <w:sz w:val="20"/>
                <w:szCs w:val="20"/>
              </w:rPr>
            </w:pPr>
          </w:p>
        </w:tc>
      </w:tr>
      <w:tr w:rsidR="00833527" w:rsidRPr="00394E89" w14:paraId="14D95293" w14:textId="77777777" w:rsidTr="00545EEE">
        <w:trPr>
          <w:jc w:val="center"/>
        </w:trPr>
        <w:tc>
          <w:tcPr>
            <w:tcW w:w="3622" w:type="dxa"/>
            <w:gridSpan w:val="3"/>
          </w:tcPr>
          <w:p w14:paraId="63E5D7D8" w14:textId="77777777" w:rsidR="00833527" w:rsidRPr="003902AD" w:rsidRDefault="00833527" w:rsidP="00833527">
            <w:pPr>
              <w:rPr>
                <w:rFonts w:cs="Arial"/>
                <w:b/>
                <w:bCs/>
                <w:sz w:val="20"/>
                <w:szCs w:val="20"/>
              </w:rPr>
            </w:pPr>
            <w:r w:rsidRPr="00B90FC7">
              <w:rPr>
                <w:rFonts w:cs="Arial"/>
                <w:b/>
                <w:sz w:val="20"/>
                <w:szCs w:val="20"/>
              </w:rPr>
              <w:t xml:space="preserve">Total current </w:t>
            </w:r>
            <w:r w:rsidRPr="00B90FC7">
              <w:rPr>
                <w:rFonts w:cs="Arial"/>
                <w:b/>
                <w:bCs/>
                <w:sz w:val="20"/>
                <w:szCs w:val="20"/>
              </w:rPr>
              <w:t>liabilities</w:t>
            </w:r>
          </w:p>
        </w:tc>
        <w:tc>
          <w:tcPr>
            <w:tcW w:w="719" w:type="dxa"/>
            <w:gridSpan w:val="2"/>
          </w:tcPr>
          <w:p w14:paraId="03966897" w14:textId="77777777" w:rsidR="00833527" w:rsidRPr="00B90FC7" w:rsidRDefault="00833527" w:rsidP="00833527">
            <w:pPr>
              <w:rPr>
                <w:b/>
                <w:sz w:val="20"/>
                <w:szCs w:val="20"/>
              </w:rPr>
            </w:pPr>
          </w:p>
        </w:tc>
        <w:tc>
          <w:tcPr>
            <w:tcW w:w="1080" w:type="dxa"/>
          </w:tcPr>
          <w:p w14:paraId="3C372AA5" w14:textId="77777777" w:rsidR="00833527" w:rsidRPr="00B90FC7" w:rsidRDefault="00833527" w:rsidP="00833527">
            <w:pPr>
              <w:jc w:val="right"/>
              <w:rPr>
                <w:sz w:val="20"/>
                <w:szCs w:val="20"/>
              </w:rPr>
            </w:pPr>
          </w:p>
        </w:tc>
        <w:tc>
          <w:tcPr>
            <w:tcW w:w="1260" w:type="dxa"/>
            <w:tcBorders>
              <w:top w:val="single" w:sz="4" w:space="0" w:color="auto"/>
              <w:bottom w:val="single" w:sz="4" w:space="0" w:color="auto"/>
            </w:tcBorders>
          </w:tcPr>
          <w:p w14:paraId="2B6BC1DA" w14:textId="3D01513D" w:rsidR="00833527" w:rsidRPr="00B90FC7" w:rsidRDefault="00833527" w:rsidP="00833527">
            <w:pPr>
              <w:jc w:val="right"/>
              <w:rPr>
                <w:sz w:val="20"/>
                <w:szCs w:val="20"/>
              </w:rPr>
            </w:pPr>
            <w:r>
              <w:rPr>
                <w:sz w:val="20"/>
                <w:szCs w:val="20"/>
              </w:rPr>
              <w:t>305,768</w:t>
            </w:r>
          </w:p>
        </w:tc>
        <w:tc>
          <w:tcPr>
            <w:tcW w:w="1083" w:type="dxa"/>
            <w:gridSpan w:val="2"/>
          </w:tcPr>
          <w:p w14:paraId="5FF88DBA" w14:textId="77777777" w:rsidR="00833527" w:rsidRPr="00B90FC7" w:rsidRDefault="00833527" w:rsidP="00833527">
            <w:pPr>
              <w:jc w:val="right"/>
              <w:rPr>
                <w:sz w:val="20"/>
                <w:szCs w:val="20"/>
              </w:rPr>
            </w:pPr>
          </w:p>
        </w:tc>
        <w:tc>
          <w:tcPr>
            <w:tcW w:w="1308" w:type="dxa"/>
            <w:tcBorders>
              <w:top w:val="single" w:sz="4" w:space="0" w:color="auto"/>
              <w:bottom w:val="single" w:sz="4" w:space="0" w:color="auto"/>
            </w:tcBorders>
          </w:tcPr>
          <w:p w14:paraId="5D6207FD" w14:textId="4FA5DE09" w:rsidR="00833527" w:rsidRPr="00B90FC7" w:rsidRDefault="00833527" w:rsidP="00833527">
            <w:pPr>
              <w:jc w:val="right"/>
              <w:rPr>
                <w:sz w:val="20"/>
                <w:szCs w:val="20"/>
              </w:rPr>
            </w:pPr>
            <w:r>
              <w:rPr>
                <w:sz w:val="20"/>
                <w:szCs w:val="20"/>
              </w:rPr>
              <w:t>456,336</w:t>
            </w:r>
          </w:p>
        </w:tc>
      </w:tr>
      <w:tr w:rsidR="00833527" w:rsidRPr="00287A60" w14:paraId="50EB0AF7" w14:textId="77777777" w:rsidTr="00545EEE">
        <w:trPr>
          <w:jc w:val="center"/>
        </w:trPr>
        <w:tc>
          <w:tcPr>
            <w:tcW w:w="3622" w:type="dxa"/>
            <w:gridSpan w:val="3"/>
          </w:tcPr>
          <w:p w14:paraId="704186D3" w14:textId="77777777" w:rsidR="00833527" w:rsidRDefault="00833527" w:rsidP="00833527">
            <w:pPr>
              <w:rPr>
                <w:rFonts w:cs="Arial"/>
                <w:b/>
                <w:sz w:val="20"/>
                <w:szCs w:val="20"/>
                <w:lang w:val="fr-FR"/>
              </w:rPr>
            </w:pPr>
          </w:p>
          <w:p w14:paraId="1CDE3A0D" w14:textId="4BC9C8C9" w:rsidR="00833527" w:rsidRDefault="00833527" w:rsidP="00833527">
            <w:pPr>
              <w:rPr>
                <w:rFonts w:cs="Arial"/>
                <w:b/>
                <w:sz w:val="20"/>
                <w:szCs w:val="20"/>
                <w:lang w:val="fr-FR"/>
              </w:rPr>
            </w:pPr>
            <w:r>
              <w:rPr>
                <w:rFonts w:cs="Arial"/>
                <w:b/>
                <w:sz w:val="20"/>
                <w:szCs w:val="20"/>
                <w:lang w:val="fr-FR"/>
              </w:rPr>
              <w:t>Non Current liabilities</w:t>
            </w:r>
          </w:p>
          <w:p w14:paraId="1465BFB2" w14:textId="77777777" w:rsidR="00833527" w:rsidRDefault="00833527" w:rsidP="00833527">
            <w:pPr>
              <w:rPr>
                <w:rFonts w:cs="Arial"/>
                <w:sz w:val="20"/>
                <w:szCs w:val="20"/>
                <w:lang w:val="fr-FR"/>
              </w:rPr>
            </w:pPr>
            <w:r>
              <w:rPr>
                <w:rFonts w:cs="Arial"/>
                <w:sz w:val="20"/>
                <w:szCs w:val="20"/>
                <w:lang w:val="fr-FR"/>
              </w:rPr>
              <w:t>Provisions – Dilapidations</w:t>
            </w:r>
          </w:p>
          <w:p w14:paraId="1E77C145" w14:textId="4A439295" w:rsidR="00833527" w:rsidRPr="00737D30" w:rsidRDefault="00833527" w:rsidP="00833527">
            <w:pPr>
              <w:rPr>
                <w:rFonts w:cs="Arial"/>
                <w:sz w:val="20"/>
                <w:szCs w:val="20"/>
                <w:lang w:val="fr-FR"/>
              </w:rPr>
            </w:pPr>
            <w:r>
              <w:rPr>
                <w:rFonts w:cs="Arial"/>
                <w:sz w:val="20"/>
                <w:szCs w:val="20"/>
                <w:lang w:val="fr-FR"/>
              </w:rPr>
              <w:t xml:space="preserve">Lease Liabilities                              </w:t>
            </w:r>
          </w:p>
          <w:p w14:paraId="733E30FB" w14:textId="77777777" w:rsidR="00833527" w:rsidRDefault="00833527" w:rsidP="00833527">
            <w:pPr>
              <w:rPr>
                <w:rFonts w:cs="Arial"/>
                <w:b/>
                <w:sz w:val="20"/>
                <w:szCs w:val="20"/>
                <w:lang w:val="fr-FR"/>
              </w:rPr>
            </w:pPr>
          </w:p>
          <w:p w14:paraId="33EA00E0" w14:textId="77777777" w:rsidR="00833527" w:rsidRDefault="00833527" w:rsidP="00833527">
            <w:pPr>
              <w:rPr>
                <w:rFonts w:cs="Arial"/>
                <w:b/>
                <w:sz w:val="20"/>
                <w:szCs w:val="20"/>
                <w:lang w:val="fr-FR"/>
              </w:rPr>
            </w:pPr>
          </w:p>
          <w:p w14:paraId="3330563C" w14:textId="0C1A13E5" w:rsidR="00833527" w:rsidRPr="00B90FC7" w:rsidRDefault="00833527" w:rsidP="00833527">
            <w:pPr>
              <w:rPr>
                <w:b/>
                <w:sz w:val="20"/>
                <w:szCs w:val="20"/>
                <w:lang w:val="fr-FR"/>
              </w:rPr>
            </w:pPr>
          </w:p>
        </w:tc>
        <w:tc>
          <w:tcPr>
            <w:tcW w:w="719" w:type="dxa"/>
            <w:gridSpan w:val="2"/>
          </w:tcPr>
          <w:p w14:paraId="606912DD" w14:textId="77777777" w:rsidR="00833527" w:rsidRDefault="00833527" w:rsidP="00833527">
            <w:pPr>
              <w:rPr>
                <w:b/>
                <w:sz w:val="20"/>
                <w:szCs w:val="20"/>
                <w:lang w:val="fr-FR"/>
              </w:rPr>
            </w:pPr>
          </w:p>
          <w:p w14:paraId="3A0584AC" w14:textId="77777777" w:rsidR="00833527" w:rsidRDefault="00833527" w:rsidP="00833527">
            <w:pPr>
              <w:rPr>
                <w:b/>
                <w:sz w:val="20"/>
                <w:szCs w:val="20"/>
                <w:lang w:val="fr-FR"/>
              </w:rPr>
            </w:pPr>
          </w:p>
          <w:p w14:paraId="110746C8" w14:textId="27CB3753" w:rsidR="00833527" w:rsidRDefault="00833527" w:rsidP="00833527">
            <w:pPr>
              <w:rPr>
                <w:b/>
                <w:sz w:val="20"/>
                <w:szCs w:val="20"/>
                <w:lang w:val="fr-FR"/>
              </w:rPr>
            </w:pPr>
            <w:r>
              <w:rPr>
                <w:b/>
                <w:sz w:val="20"/>
                <w:szCs w:val="20"/>
                <w:lang w:val="fr-FR"/>
              </w:rPr>
              <w:t>13</w:t>
            </w:r>
          </w:p>
          <w:p w14:paraId="00BF92E7" w14:textId="71AFB851" w:rsidR="00833527" w:rsidRPr="007544D5" w:rsidRDefault="00833527" w:rsidP="00833527">
            <w:pPr>
              <w:rPr>
                <w:b/>
                <w:bCs/>
                <w:sz w:val="20"/>
                <w:szCs w:val="20"/>
                <w:lang w:val="fr-FR"/>
              </w:rPr>
            </w:pPr>
            <w:r>
              <w:rPr>
                <w:b/>
                <w:bCs/>
                <w:sz w:val="20"/>
                <w:szCs w:val="20"/>
                <w:lang w:val="fr-FR"/>
              </w:rPr>
              <w:t xml:space="preserve"> 7</w:t>
            </w:r>
          </w:p>
        </w:tc>
        <w:tc>
          <w:tcPr>
            <w:tcW w:w="1080" w:type="dxa"/>
          </w:tcPr>
          <w:p w14:paraId="50736848" w14:textId="77777777" w:rsidR="00833527" w:rsidRDefault="00833527" w:rsidP="00833527">
            <w:pPr>
              <w:jc w:val="right"/>
              <w:rPr>
                <w:sz w:val="20"/>
                <w:szCs w:val="20"/>
                <w:lang w:val="fr-FR"/>
              </w:rPr>
            </w:pPr>
          </w:p>
          <w:p w14:paraId="76746D1E" w14:textId="77777777" w:rsidR="00833527" w:rsidRDefault="00833527" w:rsidP="00833527">
            <w:pPr>
              <w:jc w:val="right"/>
              <w:rPr>
                <w:sz w:val="20"/>
                <w:szCs w:val="20"/>
                <w:lang w:val="fr-FR"/>
              </w:rPr>
            </w:pPr>
          </w:p>
          <w:p w14:paraId="6B8B10D5" w14:textId="77777777" w:rsidR="00833527" w:rsidRPr="00B90FC7" w:rsidRDefault="00833527" w:rsidP="00833527">
            <w:pPr>
              <w:rPr>
                <w:sz w:val="20"/>
                <w:szCs w:val="20"/>
                <w:lang w:val="fr-FR"/>
              </w:rPr>
            </w:pPr>
          </w:p>
        </w:tc>
        <w:tc>
          <w:tcPr>
            <w:tcW w:w="1260" w:type="dxa"/>
            <w:tcBorders>
              <w:top w:val="single" w:sz="4" w:space="0" w:color="auto"/>
            </w:tcBorders>
          </w:tcPr>
          <w:p w14:paraId="51119BD0" w14:textId="77777777" w:rsidR="00833527" w:rsidRDefault="00833527" w:rsidP="00833527">
            <w:pPr>
              <w:jc w:val="right"/>
              <w:rPr>
                <w:sz w:val="20"/>
                <w:szCs w:val="20"/>
              </w:rPr>
            </w:pPr>
          </w:p>
          <w:p w14:paraId="2B934BB6" w14:textId="77777777" w:rsidR="00833527" w:rsidRDefault="00833527" w:rsidP="00833527">
            <w:pPr>
              <w:jc w:val="right"/>
              <w:rPr>
                <w:sz w:val="20"/>
                <w:szCs w:val="20"/>
              </w:rPr>
            </w:pPr>
          </w:p>
          <w:p w14:paraId="4CCC5417" w14:textId="77777777" w:rsidR="00833527" w:rsidRDefault="00833527" w:rsidP="00833527">
            <w:pPr>
              <w:jc w:val="right"/>
              <w:rPr>
                <w:sz w:val="20"/>
                <w:szCs w:val="20"/>
              </w:rPr>
            </w:pPr>
            <w:r>
              <w:rPr>
                <w:sz w:val="20"/>
                <w:szCs w:val="20"/>
              </w:rPr>
              <w:t>75,000</w:t>
            </w:r>
          </w:p>
          <w:p w14:paraId="55C2E16D" w14:textId="4D85BC37" w:rsidR="00833527" w:rsidRDefault="00833527" w:rsidP="00833527">
            <w:pPr>
              <w:jc w:val="right"/>
              <w:rPr>
                <w:sz w:val="20"/>
                <w:szCs w:val="20"/>
              </w:rPr>
            </w:pPr>
            <w:r>
              <w:rPr>
                <w:sz w:val="20"/>
                <w:szCs w:val="20"/>
              </w:rPr>
              <w:t>380,461</w:t>
            </w:r>
          </w:p>
          <w:p w14:paraId="304F0218" w14:textId="29FF9BBF" w:rsidR="00833527" w:rsidRDefault="00833527" w:rsidP="00833527">
            <w:pPr>
              <w:pBdr>
                <w:top w:val="single" w:sz="4" w:space="1" w:color="auto"/>
                <w:bottom w:val="single" w:sz="4" w:space="1" w:color="auto"/>
              </w:pBdr>
              <w:jc w:val="right"/>
              <w:rPr>
                <w:sz w:val="20"/>
                <w:szCs w:val="20"/>
              </w:rPr>
            </w:pPr>
            <w:r>
              <w:rPr>
                <w:sz w:val="20"/>
                <w:szCs w:val="20"/>
              </w:rPr>
              <w:t>455,461</w:t>
            </w:r>
          </w:p>
          <w:p w14:paraId="1D686B37" w14:textId="798B758C" w:rsidR="00833527" w:rsidRPr="00184BE8" w:rsidRDefault="00833527" w:rsidP="00833527">
            <w:pPr>
              <w:rPr>
                <w:sz w:val="20"/>
                <w:szCs w:val="20"/>
              </w:rPr>
            </w:pPr>
          </w:p>
        </w:tc>
        <w:tc>
          <w:tcPr>
            <w:tcW w:w="1083" w:type="dxa"/>
            <w:gridSpan w:val="2"/>
          </w:tcPr>
          <w:p w14:paraId="49E5E463" w14:textId="77777777" w:rsidR="00833527" w:rsidRPr="00B90FC7" w:rsidRDefault="00833527" w:rsidP="00833527">
            <w:pPr>
              <w:jc w:val="right"/>
              <w:rPr>
                <w:sz w:val="20"/>
                <w:szCs w:val="20"/>
              </w:rPr>
            </w:pPr>
          </w:p>
        </w:tc>
        <w:tc>
          <w:tcPr>
            <w:tcW w:w="1308" w:type="dxa"/>
            <w:tcBorders>
              <w:top w:val="single" w:sz="4" w:space="0" w:color="auto"/>
            </w:tcBorders>
          </w:tcPr>
          <w:p w14:paraId="137787C7" w14:textId="77777777" w:rsidR="00833527" w:rsidRDefault="00833527" w:rsidP="00833527">
            <w:pPr>
              <w:jc w:val="right"/>
              <w:rPr>
                <w:sz w:val="20"/>
                <w:szCs w:val="20"/>
              </w:rPr>
            </w:pPr>
          </w:p>
          <w:p w14:paraId="6BA0A0A7" w14:textId="77777777" w:rsidR="00833527" w:rsidRDefault="00833527" w:rsidP="00833527">
            <w:pPr>
              <w:jc w:val="right"/>
              <w:rPr>
                <w:sz w:val="20"/>
                <w:szCs w:val="20"/>
              </w:rPr>
            </w:pPr>
          </w:p>
          <w:p w14:paraId="0C400BD3" w14:textId="77777777" w:rsidR="00833527" w:rsidRDefault="00833527" w:rsidP="00833527">
            <w:pPr>
              <w:jc w:val="right"/>
              <w:rPr>
                <w:sz w:val="20"/>
                <w:szCs w:val="20"/>
              </w:rPr>
            </w:pPr>
            <w:r>
              <w:rPr>
                <w:sz w:val="20"/>
                <w:szCs w:val="20"/>
              </w:rPr>
              <w:t>75,000</w:t>
            </w:r>
          </w:p>
          <w:p w14:paraId="10125986" w14:textId="763FA05B" w:rsidR="00833527" w:rsidRDefault="00833527" w:rsidP="00833527">
            <w:pPr>
              <w:jc w:val="right"/>
              <w:rPr>
                <w:sz w:val="20"/>
                <w:szCs w:val="20"/>
              </w:rPr>
            </w:pPr>
            <w:r>
              <w:rPr>
                <w:sz w:val="20"/>
                <w:szCs w:val="20"/>
              </w:rPr>
              <w:t>450,586</w:t>
            </w:r>
          </w:p>
          <w:p w14:paraId="67CBACF9" w14:textId="2B96FA5F" w:rsidR="00833527" w:rsidRDefault="00833527" w:rsidP="00833527">
            <w:pPr>
              <w:pBdr>
                <w:top w:val="single" w:sz="4" w:space="1" w:color="auto"/>
                <w:bottom w:val="single" w:sz="4" w:space="1" w:color="auto"/>
              </w:pBdr>
              <w:jc w:val="right"/>
              <w:rPr>
                <w:sz w:val="20"/>
                <w:szCs w:val="20"/>
              </w:rPr>
            </w:pPr>
            <w:r>
              <w:rPr>
                <w:sz w:val="20"/>
                <w:szCs w:val="20"/>
              </w:rPr>
              <w:t>5</w:t>
            </w:r>
            <w:r w:rsidR="000A3F20">
              <w:rPr>
                <w:sz w:val="20"/>
                <w:szCs w:val="20"/>
              </w:rPr>
              <w:t>25</w:t>
            </w:r>
            <w:r>
              <w:rPr>
                <w:sz w:val="20"/>
                <w:szCs w:val="20"/>
              </w:rPr>
              <w:t>,</w:t>
            </w:r>
            <w:r w:rsidR="000A3F20">
              <w:rPr>
                <w:sz w:val="20"/>
                <w:szCs w:val="20"/>
              </w:rPr>
              <w:t>586</w:t>
            </w:r>
          </w:p>
          <w:p w14:paraId="5180AFF4" w14:textId="16E6EA8A" w:rsidR="00833527" w:rsidRPr="00580421" w:rsidRDefault="00833527" w:rsidP="00833527">
            <w:pPr>
              <w:rPr>
                <w:sz w:val="20"/>
                <w:szCs w:val="20"/>
              </w:rPr>
            </w:pPr>
          </w:p>
        </w:tc>
      </w:tr>
      <w:tr w:rsidR="00833527" w:rsidRPr="00287A60" w14:paraId="0B2E1849" w14:textId="77777777" w:rsidTr="00545EEE">
        <w:trPr>
          <w:jc w:val="center"/>
        </w:trPr>
        <w:tc>
          <w:tcPr>
            <w:tcW w:w="3441" w:type="dxa"/>
            <w:gridSpan w:val="2"/>
          </w:tcPr>
          <w:p w14:paraId="7C3986D2" w14:textId="77777777" w:rsidR="00833527" w:rsidRPr="00B90FC7" w:rsidRDefault="00833527" w:rsidP="00833527">
            <w:pPr>
              <w:rPr>
                <w:rFonts w:cs="Arial"/>
                <w:b/>
                <w:bCs/>
                <w:sz w:val="20"/>
                <w:szCs w:val="20"/>
              </w:rPr>
            </w:pPr>
          </w:p>
          <w:p w14:paraId="45F6158F" w14:textId="77777777" w:rsidR="00833527" w:rsidRPr="00B90FC7" w:rsidRDefault="00833527" w:rsidP="00833527">
            <w:pPr>
              <w:rPr>
                <w:b/>
                <w:sz w:val="20"/>
                <w:szCs w:val="20"/>
              </w:rPr>
            </w:pPr>
            <w:r w:rsidRPr="00B90FC7">
              <w:rPr>
                <w:rFonts w:cs="Arial"/>
                <w:b/>
                <w:bCs/>
                <w:sz w:val="20"/>
                <w:szCs w:val="20"/>
              </w:rPr>
              <w:t xml:space="preserve">Assets less </w:t>
            </w:r>
            <w:r>
              <w:rPr>
                <w:rFonts w:cs="Arial"/>
                <w:b/>
                <w:bCs/>
                <w:sz w:val="20"/>
                <w:szCs w:val="20"/>
              </w:rPr>
              <w:t xml:space="preserve">total </w:t>
            </w:r>
            <w:r w:rsidRPr="00B90FC7">
              <w:rPr>
                <w:rFonts w:cs="Arial"/>
                <w:b/>
                <w:bCs/>
                <w:sz w:val="20"/>
                <w:szCs w:val="20"/>
              </w:rPr>
              <w:t>liabilities</w:t>
            </w:r>
          </w:p>
        </w:tc>
        <w:tc>
          <w:tcPr>
            <w:tcW w:w="900" w:type="dxa"/>
            <w:gridSpan w:val="3"/>
          </w:tcPr>
          <w:p w14:paraId="0CA5DEC0" w14:textId="77777777" w:rsidR="00833527" w:rsidRPr="00B90FC7" w:rsidRDefault="00833527" w:rsidP="00833527">
            <w:pPr>
              <w:rPr>
                <w:b/>
                <w:sz w:val="20"/>
                <w:szCs w:val="20"/>
              </w:rPr>
            </w:pPr>
          </w:p>
        </w:tc>
        <w:tc>
          <w:tcPr>
            <w:tcW w:w="1080" w:type="dxa"/>
          </w:tcPr>
          <w:p w14:paraId="525F3062" w14:textId="77777777" w:rsidR="00833527" w:rsidRPr="00B90FC7" w:rsidRDefault="00833527" w:rsidP="00833527">
            <w:pPr>
              <w:jc w:val="right"/>
              <w:rPr>
                <w:sz w:val="20"/>
                <w:szCs w:val="20"/>
              </w:rPr>
            </w:pPr>
          </w:p>
        </w:tc>
        <w:tc>
          <w:tcPr>
            <w:tcW w:w="1260" w:type="dxa"/>
            <w:tcBorders>
              <w:bottom w:val="double" w:sz="4" w:space="0" w:color="auto"/>
            </w:tcBorders>
          </w:tcPr>
          <w:p w14:paraId="28D00821" w14:textId="77777777" w:rsidR="00833527" w:rsidRDefault="00833527" w:rsidP="00833527">
            <w:pPr>
              <w:jc w:val="right"/>
              <w:rPr>
                <w:b/>
                <w:sz w:val="20"/>
                <w:szCs w:val="20"/>
              </w:rPr>
            </w:pPr>
          </w:p>
          <w:p w14:paraId="4FD49C60" w14:textId="0261D340" w:rsidR="00833527" w:rsidRPr="007F4D84" w:rsidRDefault="00833527" w:rsidP="00833527">
            <w:pPr>
              <w:jc w:val="right"/>
              <w:rPr>
                <w:b/>
                <w:sz w:val="20"/>
                <w:szCs w:val="20"/>
              </w:rPr>
            </w:pPr>
            <w:r>
              <w:rPr>
                <w:b/>
                <w:sz w:val="20"/>
                <w:szCs w:val="20"/>
              </w:rPr>
              <w:t>909,009</w:t>
            </w:r>
          </w:p>
        </w:tc>
        <w:tc>
          <w:tcPr>
            <w:tcW w:w="1083" w:type="dxa"/>
            <w:gridSpan w:val="2"/>
          </w:tcPr>
          <w:p w14:paraId="2A7FE62B" w14:textId="77777777" w:rsidR="00833527" w:rsidRPr="00B90FC7" w:rsidRDefault="00833527" w:rsidP="00833527">
            <w:pPr>
              <w:jc w:val="right"/>
              <w:rPr>
                <w:sz w:val="20"/>
                <w:szCs w:val="20"/>
              </w:rPr>
            </w:pPr>
          </w:p>
        </w:tc>
        <w:tc>
          <w:tcPr>
            <w:tcW w:w="1308" w:type="dxa"/>
            <w:tcBorders>
              <w:bottom w:val="double" w:sz="4" w:space="0" w:color="auto"/>
            </w:tcBorders>
          </w:tcPr>
          <w:p w14:paraId="07ADCA8E" w14:textId="77777777" w:rsidR="00833527" w:rsidRDefault="00833527" w:rsidP="00833527">
            <w:pPr>
              <w:jc w:val="right"/>
              <w:rPr>
                <w:b/>
                <w:sz w:val="20"/>
                <w:szCs w:val="20"/>
              </w:rPr>
            </w:pPr>
          </w:p>
          <w:p w14:paraId="31404F47" w14:textId="55A1C596" w:rsidR="00833527" w:rsidRPr="00B90FC7" w:rsidRDefault="00833527" w:rsidP="00833527">
            <w:pPr>
              <w:jc w:val="right"/>
              <w:rPr>
                <w:b/>
                <w:sz w:val="20"/>
                <w:szCs w:val="20"/>
              </w:rPr>
            </w:pPr>
            <w:r>
              <w:rPr>
                <w:b/>
                <w:sz w:val="20"/>
                <w:szCs w:val="20"/>
              </w:rPr>
              <w:t>916,678</w:t>
            </w:r>
          </w:p>
        </w:tc>
      </w:tr>
      <w:tr w:rsidR="00833527" w:rsidRPr="00287A60" w14:paraId="4DD60335" w14:textId="77777777" w:rsidTr="00545EEE">
        <w:trPr>
          <w:trHeight w:val="741"/>
          <w:jc w:val="center"/>
        </w:trPr>
        <w:tc>
          <w:tcPr>
            <w:tcW w:w="3441" w:type="dxa"/>
            <w:gridSpan w:val="2"/>
          </w:tcPr>
          <w:p w14:paraId="0266528F" w14:textId="77777777" w:rsidR="00833527" w:rsidRPr="00B90FC7" w:rsidRDefault="00833527" w:rsidP="00833527">
            <w:pPr>
              <w:widowControl w:val="0"/>
              <w:tabs>
                <w:tab w:val="center" w:pos="3960"/>
                <w:tab w:val="right" w:pos="5670"/>
                <w:tab w:val="right" w:pos="6804"/>
                <w:tab w:val="right" w:pos="7938"/>
                <w:tab w:val="right" w:pos="9072"/>
              </w:tabs>
              <w:autoSpaceDE w:val="0"/>
              <w:autoSpaceDN w:val="0"/>
              <w:adjustRightInd w:val="0"/>
              <w:rPr>
                <w:rFonts w:cs="Arial"/>
                <w:b/>
                <w:sz w:val="20"/>
                <w:szCs w:val="20"/>
              </w:rPr>
            </w:pPr>
          </w:p>
          <w:p w14:paraId="2A79E79B" w14:textId="77777777" w:rsidR="00833527" w:rsidRPr="00B90FC7" w:rsidRDefault="00833527" w:rsidP="00833527">
            <w:pPr>
              <w:widowControl w:val="0"/>
              <w:tabs>
                <w:tab w:val="center" w:pos="3960"/>
                <w:tab w:val="right" w:pos="5670"/>
                <w:tab w:val="right" w:pos="6804"/>
                <w:tab w:val="right" w:pos="7938"/>
                <w:tab w:val="right" w:pos="9072"/>
              </w:tabs>
              <w:autoSpaceDE w:val="0"/>
              <w:autoSpaceDN w:val="0"/>
              <w:adjustRightInd w:val="0"/>
              <w:rPr>
                <w:rFonts w:cs="Arial"/>
                <w:sz w:val="20"/>
                <w:szCs w:val="20"/>
              </w:rPr>
            </w:pPr>
            <w:r>
              <w:rPr>
                <w:rFonts w:cs="Arial"/>
                <w:b/>
                <w:sz w:val="20"/>
                <w:szCs w:val="20"/>
              </w:rPr>
              <w:t>Taxpayers’ e</w:t>
            </w:r>
            <w:r w:rsidRPr="00B90FC7">
              <w:rPr>
                <w:rFonts w:cs="Arial"/>
                <w:b/>
                <w:sz w:val="20"/>
                <w:szCs w:val="20"/>
              </w:rPr>
              <w:t>quity</w:t>
            </w:r>
          </w:p>
        </w:tc>
        <w:tc>
          <w:tcPr>
            <w:tcW w:w="900" w:type="dxa"/>
            <w:gridSpan w:val="3"/>
          </w:tcPr>
          <w:p w14:paraId="21B6ECDF" w14:textId="77777777" w:rsidR="00833527" w:rsidRPr="00B90FC7" w:rsidRDefault="00833527" w:rsidP="00833527">
            <w:pPr>
              <w:rPr>
                <w:b/>
                <w:sz w:val="20"/>
                <w:szCs w:val="20"/>
              </w:rPr>
            </w:pPr>
          </w:p>
        </w:tc>
        <w:tc>
          <w:tcPr>
            <w:tcW w:w="1080" w:type="dxa"/>
          </w:tcPr>
          <w:p w14:paraId="01A9DD0A" w14:textId="77777777" w:rsidR="00833527" w:rsidRPr="00B90FC7" w:rsidRDefault="00833527" w:rsidP="00833527">
            <w:pPr>
              <w:rPr>
                <w:sz w:val="20"/>
                <w:szCs w:val="20"/>
              </w:rPr>
            </w:pPr>
          </w:p>
        </w:tc>
        <w:tc>
          <w:tcPr>
            <w:tcW w:w="1260" w:type="dxa"/>
            <w:tcBorders>
              <w:top w:val="double" w:sz="4" w:space="0" w:color="auto"/>
            </w:tcBorders>
          </w:tcPr>
          <w:p w14:paraId="6C917AAF" w14:textId="77777777" w:rsidR="00833527" w:rsidRPr="00B90FC7" w:rsidRDefault="00833527" w:rsidP="00833527">
            <w:pPr>
              <w:jc w:val="right"/>
              <w:rPr>
                <w:sz w:val="20"/>
                <w:szCs w:val="20"/>
              </w:rPr>
            </w:pPr>
          </w:p>
        </w:tc>
        <w:tc>
          <w:tcPr>
            <w:tcW w:w="1083" w:type="dxa"/>
            <w:gridSpan w:val="2"/>
          </w:tcPr>
          <w:p w14:paraId="241C724E" w14:textId="77777777" w:rsidR="00833527" w:rsidRPr="00B90FC7" w:rsidRDefault="00833527" w:rsidP="00833527">
            <w:pPr>
              <w:jc w:val="right"/>
              <w:rPr>
                <w:sz w:val="20"/>
                <w:szCs w:val="20"/>
              </w:rPr>
            </w:pPr>
          </w:p>
          <w:p w14:paraId="7259DA8C" w14:textId="77777777" w:rsidR="00833527" w:rsidRPr="00B90FC7" w:rsidRDefault="00833527" w:rsidP="00833527">
            <w:pPr>
              <w:rPr>
                <w:sz w:val="20"/>
                <w:szCs w:val="20"/>
              </w:rPr>
            </w:pPr>
          </w:p>
          <w:p w14:paraId="7C22203F" w14:textId="77777777" w:rsidR="00833527" w:rsidRPr="00B90FC7" w:rsidRDefault="00833527" w:rsidP="00833527">
            <w:pPr>
              <w:jc w:val="right"/>
              <w:rPr>
                <w:sz w:val="20"/>
                <w:szCs w:val="20"/>
              </w:rPr>
            </w:pPr>
          </w:p>
        </w:tc>
        <w:tc>
          <w:tcPr>
            <w:tcW w:w="1308" w:type="dxa"/>
            <w:tcBorders>
              <w:top w:val="double" w:sz="4" w:space="0" w:color="auto"/>
            </w:tcBorders>
          </w:tcPr>
          <w:p w14:paraId="443C0699" w14:textId="77777777" w:rsidR="00833527" w:rsidRPr="00B90FC7" w:rsidRDefault="00833527" w:rsidP="00833527">
            <w:pPr>
              <w:jc w:val="right"/>
              <w:rPr>
                <w:sz w:val="20"/>
                <w:szCs w:val="20"/>
              </w:rPr>
            </w:pPr>
          </w:p>
        </w:tc>
      </w:tr>
      <w:tr w:rsidR="00833527" w:rsidRPr="00287A60" w14:paraId="387DED1E" w14:textId="77777777" w:rsidTr="00545EEE">
        <w:trPr>
          <w:jc w:val="center"/>
        </w:trPr>
        <w:tc>
          <w:tcPr>
            <w:tcW w:w="3441" w:type="dxa"/>
            <w:gridSpan w:val="2"/>
          </w:tcPr>
          <w:p w14:paraId="264C0F77" w14:textId="58E80586" w:rsidR="00833527" w:rsidRDefault="00833527" w:rsidP="00833527">
            <w:pPr>
              <w:rPr>
                <w:rFonts w:cs="Arial"/>
                <w:sz w:val="20"/>
                <w:szCs w:val="20"/>
              </w:rPr>
            </w:pPr>
            <w:r w:rsidRPr="00B90FC7">
              <w:rPr>
                <w:rFonts w:cs="Arial"/>
                <w:sz w:val="20"/>
                <w:szCs w:val="20"/>
              </w:rPr>
              <w:t>General</w:t>
            </w:r>
            <w:r>
              <w:rPr>
                <w:rFonts w:cs="Arial"/>
                <w:sz w:val="20"/>
                <w:szCs w:val="20"/>
              </w:rPr>
              <w:t xml:space="preserve"> Reserves</w:t>
            </w:r>
          </w:p>
          <w:p w14:paraId="3E4E4737" w14:textId="77777777" w:rsidR="00833527" w:rsidRDefault="00833527" w:rsidP="00833527">
            <w:pPr>
              <w:rPr>
                <w:rFonts w:cs="Arial"/>
                <w:sz w:val="20"/>
                <w:szCs w:val="20"/>
              </w:rPr>
            </w:pPr>
          </w:p>
          <w:p w14:paraId="2645EA1D" w14:textId="755DC475" w:rsidR="00833527" w:rsidRPr="00B90FC7" w:rsidRDefault="00833527" w:rsidP="00833527">
            <w:pPr>
              <w:rPr>
                <w:b/>
                <w:sz w:val="20"/>
                <w:szCs w:val="20"/>
              </w:rPr>
            </w:pPr>
            <w:r>
              <w:rPr>
                <w:rFonts w:cs="Arial"/>
                <w:sz w:val="20"/>
                <w:szCs w:val="20"/>
              </w:rPr>
              <w:t>Revaluation R</w:t>
            </w:r>
            <w:r w:rsidRPr="00B90FC7">
              <w:rPr>
                <w:rFonts w:cs="Arial"/>
                <w:sz w:val="20"/>
                <w:szCs w:val="20"/>
              </w:rPr>
              <w:t>eserve</w:t>
            </w:r>
            <w:r>
              <w:rPr>
                <w:rFonts w:cs="Arial"/>
                <w:sz w:val="20"/>
                <w:szCs w:val="20"/>
              </w:rPr>
              <w:t>s</w:t>
            </w:r>
          </w:p>
        </w:tc>
        <w:tc>
          <w:tcPr>
            <w:tcW w:w="900" w:type="dxa"/>
            <w:gridSpan w:val="3"/>
          </w:tcPr>
          <w:p w14:paraId="6333168D" w14:textId="77777777" w:rsidR="00833527" w:rsidRPr="00B90FC7" w:rsidRDefault="00833527" w:rsidP="00833527">
            <w:pPr>
              <w:rPr>
                <w:b/>
                <w:sz w:val="20"/>
                <w:szCs w:val="20"/>
              </w:rPr>
            </w:pPr>
          </w:p>
        </w:tc>
        <w:tc>
          <w:tcPr>
            <w:tcW w:w="1080" w:type="dxa"/>
          </w:tcPr>
          <w:p w14:paraId="39F50C05" w14:textId="77777777" w:rsidR="00833527" w:rsidRPr="00B90FC7" w:rsidRDefault="00833527" w:rsidP="00833527">
            <w:pPr>
              <w:jc w:val="right"/>
              <w:rPr>
                <w:sz w:val="20"/>
                <w:szCs w:val="20"/>
              </w:rPr>
            </w:pPr>
          </w:p>
        </w:tc>
        <w:tc>
          <w:tcPr>
            <w:tcW w:w="1260" w:type="dxa"/>
          </w:tcPr>
          <w:p w14:paraId="2992E058" w14:textId="5BE189F7" w:rsidR="00833527" w:rsidRDefault="00833527" w:rsidP="00833527">
            <w:pPr>
              <w:jc w:val="right"/>
              <w:rPr>
                <w:sz w:val="20"/>
                <w:szCs w:val="20"/>
              </w:rPr>
            </w:pPr>
            <w:r>
              <w:rPr>
                <w:sz w:val="20"/>
                <w:szCs w:val="20"/>
              </w:rPr>
              <w:t>819,133</w:t>
            </w:r>
          </w:p>
          <w:p w14:paraId="2DC60672" w14:textId="77777777" w:rsidR="00833527" w:rsidRDefault="00833527" w:rsidP="00833527">
            <w:pPr>
              <w:jc w:val="right"/>
              <w:rPr>
                <w:sz w:val="20"/>
                <w:szCs w:val="20"/>
              </w:rPr>
            </w:pPr>
          </w:p>
          <w:p w14:paraId="08DAEBC5" w14:textId="5932EFFD" w:rsidR="00833527" w:rsidRPr="00A64226" w:rsidRDefault="00833527" w:rsidP="00833527">
            <w:pPr>
              <w:jc w:val="right"/>
              <w:rPr>
                <w:sz w:val="20"/>
                <w:szCs w:val="20"/>
              </w:rPr>
            </w:pPr>
            <w:r>
              <w:rPr>
                <w:sz w:val="20"/>
                <w:szCs w:val="20"/>
              </w:rPr>
              <w:t>89,876</w:t>
            </w:r>
          </w:p>
        </w:tc>
        <w:tc>
          <w:tcPr>
            <w:tcW w:w="1083" w:type="dxa"/>
            <w:gridSpan w:val="2"/>
          </w:tcPr>
          <w:p w14:paraId="519390C6" w14:textId="77777777" w:rsidR="00833527" w:rsidRPr="00B90FC7" w:rsidRDefault="00833527" w:rsidP="00833527">
            <w:pPr>
              <w:jc w:val="right"/>
              <w:rPr>
                <w:sz w:val="20"/>
                <w:szCs w:val="20"/>
              </w:rPr>
            </w:pPr>
          </w:p>
        </w:tc>
        <w:tc>
          <w:tcPr>
            <w:tcW w:w="1308" w:type="dxa"/>
          </w:tcPr>
          <w:p w14:paraId="4B9D88FD" w14:textId="435D9507" w:rsidR="00833527" w:rsidRDefault="00833527" w:rsidP="00833527">
            <w:pPr>
              <w:jc w:val="right"/>
              <w:rPr>
                <w:sz w:val="20"/>
                <w:szCs w:val="20"/>
              </w:rPr>
            </w:pPr>
            <w:r>
              <w:rPr>
                <w:sz w:val="20"/>
                <w:szCs w:val="20"/>
              </w:rPr>
              <w:t>831,096</w:t>
            </w:r>
          </w:p>
          <w:p w14:paraId="05418241" w14:textId="77777777" w:rsidR="00833527" w:rsidRDefault="00833527" w:rsidP="00833527">
            <w:pPr>
              <w:jc w:val="right"/>
              <w:rPr>
                <w:sz w:val="20"/>
                <w:szCs w:val="20"/>
              </w:rPr>
            </w:pPr>
          </w:p>
          <w:p w14:paraId="2525DC37" w14:textId="11A5DB23" w:rsidR="00833527" w:rsidRPr="00B90FC7" w:rsidRDefault="00833527" w:rsidP="00833527">
            <w:pPr>
              <w:jc w:val="right"/>
              <w:rPr>
                <w:sz w:val="20"/>
                <w:szCs w:val="20"/>
              </w:rPr>
            </w:pPr>
            <w:r>
              <w:rPr>
                <w:sz w:val="20"/>
                <w:szCs w:val="20"/>
              </w:rPr>
              <w:t>85,582</w:t>
            </w:r>
          </w:p>
        </w:tc>
      </w:tr>
      <w:tr w:rsidR="00833527" w:rsidRPr="00287A60" w14:paraId="4AD6B1F2" w14:textId="77777777" w:rsidTr="00545EEE">
        <w:trPr>
          <w:jc w:val="center"/>
        </w:trPr>
        <w:tc>
          <w:tcPr>
            <w:tcW w:w="3441" w:type="dxa"/>
            <w:gridSpan w:val="2"/>
          </w:tcPr>
          <w:p w14:paraId="51FE6825" w14:textId="77777777" w:rsidR="00833527" w:rsidRPr="00B90FC7" w:rsidRDefault="00833527" w:rsidP="00833527">
            <w:pPr>
              <w:rPr>
                <w:b/>
                <w:sz w:val="20"/>
                <w:szCs w:val="20"/>
              </w:rPr>
            </w:pPr>
          </w:p>
        </w:tc>
        <w:tc>
          <w:tcPr>
            <w:tcW w:w="900" w:type="dxa"/>
            <w:gridSpan w:val="3"/>
          </w:tcPr>
          <w:p w14:paraId="27EE41E3" w14:textId="77777777" w:rsidR="00833527" w:rsidRPr="00B90FC7" w:rsidRDefault="00833527" w:rsidP="00833527">
            <w:pPr>
              <w:rPr>
                <w:b/>
                <w:sz w:val="20"/>
                <w:szCs w:val="20"/>
              </w:rPr>
            </w:pPr>
          </w:p>
        </w:tc>
        <w:tc>
          <w:tcPr>
            <w:tcW w:w="1080" w:type="dxa"/>
          </w:tcPr>
          <w:p w14:paraId="7A627143" w14:textId="77777777" w:rsidR="00833527" w:rsidRPr="00B90FC7" w:rsidRDefault="00833527" w:rsidP="00833527">
            <w:pPr>
              <w:jc w:val="right"/>
              <w:rPr>
                <w:sz w:val="20"/>
                <w:szCs w:val="20"/>
              </w:rPr>
            </w:pPr>
          </w:p>
        </w:tc>
        <w:tc>
          <w:tcPr>
            <w:tcW w:w="1260" w:type="dxa"/>
            <w:tcBorders>
              <w:top w:val="single" w:sz="4" w:space="0" w:color="auto"/>
              <w:bottom w:val="double" w:sz="4" w:space="0" w:color="auto"/>
            </w:tcBorders>
          </w:tcPr>
          <w:p w14:paraId="2DA00257" w14:textId="77777777" w:rsidR="00833527" w:rsidRDefault="00833527" w:rsidP="00833527">
            <w:pPr>
              <w:jc w:val="right"/>
              <w:rPr>
                <w:b/>
                <w:sz w:val="20"/>
                <w:szCs w:val="20"/>
              </w:rPr>
            </w:pPr>
          </w:p>
          <w:p w14:paraId="6E8685C4" w14:textId="428185F2" w:rsidR="00833527" w:rsidRPr="007F4D84" w:rsidRDefault="00833527" w:rsidP="00833527">
            <w:pPr>
              <w:jc w:val="right"/>
              <w:rPr>
                <w:b/>
                <w:sz w:val="20"/>
                <w:szCs w:val="20"/>
              </w:rPr>
            </w:pPr>
            <w:r>
              <w:rPr>
                <w:b/>
                <w:sz w:val="20"/>
                <w:szCs w:val="20"/>
              </w:rPr>
              <w:t>909,009</w:t>
            </w:r>
          </w:p>
        </w:tc>
        <w:tc>
          <w:tcPr>
            <w:tcW w:w="1083" w:type="dxa"/>
            <w:gridSpan w:val="2"/>
          </w:tcPr>
          <w:p w14:paraId="39C698F4" w14:textId="77777777" w:rsidR="00833527" w:rsidRPr="00B90FC7" w:rsidRDefault="00833527" w:rsidP="00833527">
            <w:pPr>
              <w:jc w:val="right"/>
              <w:rPr>
                <w:sz w:val="20"/>
                <w:szCs w:val="20"/>
              </w:rPr>
            </w:pPr>
          </w:p>
        </w:tc>
        <w:tc>
          <w:tcPr>
            <w:tcW w:w="1308" w:type="dxa"/>
            <w:tcBorders>
              <w:top w:val="single" w:sz="4" w:space="0" w:color="auto"/>
              <w:bottom w:val="double" w:sz="4" w:space="0" w:color="auto"/>
            </w:tcBorders>
          </w:tcPr>
          <w:p w14:paraId="12E6A016" w14:textId="77777777" w:rsidR="00833527" w:rsidRDefault="00833527" w:rsidP="00833527">
            <w:pPr>
              <w:jc w:val="right"/>
              <w:rPr>
                <w:b/>
                <w:sz w:val="20"/>
                <w:szCs w:val="20"/>
              </w:rPr>
            </w:pPr>
          </w:p>
          <w:p w14:paraId="34981E7F" w14:textId="4B66F972" w:rsidR="00833527" w:rsidRPr="00B90FC7" w:rsidRDefault="00833527" w:rsidP="00833527">
            <w:pPr>
              <w:jc w:val="right"/>
              <w:rPr>
                <w:b/>
                <w:sz w:val="20"/>
                <w:szCs w:val="20"/>
              </w:rPr>
            </w:pPr>
            <w:r>
              <w:rPr>
                <w:b/>
                <w:sz w:val="20"/>
                <w:szCs w:val="20"/>
              </w:rPr>
              <w:t>916,678</w:t>
            </w:r>
          </w:p>
        </w:tc>
      </w:tr>
    </w:tbl>
    <w:p w14:paraId="5A3BE6BA" w14:textId="77777777" w:rsidR="00024A9C" w:rsidRDefault="00024A9C" w:rsidP="000C2A54">
      <w:pPr>
        <w:widowControl w:val="0"/>
        <w:tabs>
          <w:tab w:val="center" w:pos="6096"/>
          <w:tab w:val="right" w:pos="7797"/>
          <w:tab w:val="right" w:pos="9356"/>
        </w:tabs>
        <w:autoSpaceDE w:val="0"/>
        <w:autoSpaceDN w:val="0"/>
        <w:adjustRightInd w:val="0"/>
        <w:rPr>
          <w:sz w:val="22"/>
          <w:szCs w:val="22"/>
        </w:rPr>
      </w:pPr>
    </w:p>
    <w:p w14:paraId="1F077D1A" w14:textId="77777777" w:rsidR="00BF7ED8" w:rsidRDefault="00BF7ED8" w:rsidP="000C2A54">
      <w:pPr>
        <w:widowControl w:val="0"/>
        <w:tabs>
          <w:tab w:val="center" w:pos="6096"/>
          <w:tab w:val="right" w:pos="7797"/>
          <w:tab w:val="right" w:pos="9356"/>
        </w:tabs>
        <w:autoSpaceDE w:val="0"/>
        <w:autoSpaceDN w:val="0"/>
        <w:adjustRightInd w:val="0"/>
        <w:rPr>
          <w:sz w:val="22"/>
          <w:szCs w:val="22"/>
        </w:rPr>
      </w:pPr>
    </w:p>
    <w:p w14:paraId="1AC3864F" w14:textId="51D2ADDD"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916359">
        <w:rPr>
          <w:sz w:val="22"/>
          <w:szCs w:val="22"/>
        </w:rPr>
        <w:t>77</w:t>
      </w:r>
      <w:r w:rsidR="000634E9" w:rsidRPr="00EB5423">
        <w:rPr>
          <w:sz w:val="22"/>
          <w:szCs w:val="22"/>
        </w:rPr>
        <w:t xml:space="preserve"> </w:t>
      </w:r>
      <w:r w:rsidRPr="00EB5423">
        <w:rPr>
          <w:sz w:val="22"/>
          <w:szCs w:val="22"/>
        </w:rPr>
        <w:t xml:space="preserve">to </w:t>
      </w:r>
      <w:r w:rsidR="00916359">
        <w:rPr>
          <w:sz w:val="22"/>
          <w:szCs w:val="22"/>
        </w:rPr>
        <w:t>97</w:t>
      </w:r>
      <w:r w:rsidR="000634E9" w:rsidRPr="00EB5423">
        <w:rPr>
          <w:sz w:val="22"/>
          <w:szCs w:val="22"/>
        </w:rPr>
        <w:t xml:space="preserve"> </w:t>
      </w:r>
      <w:r w:rsidRPr="00EB5423">
        <w:rPr>
          <w:sz w:val="22"/>
          <w:szCs w:val="22"/>
        </w:rPr>
        <w:t>form part of the financial statements.</w:t>
      </w:r>
    </w:p>
    <w:p w14:paraId="5A0457DE" w14:textId="77777777" w:rsidR="000C2A54" w:rsidRPr="00EB5423" w:rsidRDefault="000C2A54" w:rsidP="000C2A54">
      <w:pPr>
        <w:widowControl w:val="0"/>
        <w:tabs>
          <w:tab w:val="center" w:pos="3969"/>
          <w:tab w:val="center" w:pos="5245"/>
          <w:tab w:val="center" w:pos="6379"/>
          <w:tab w:val="center" w:pos="7513"/>
          <w:tab w:val="center" w:pos="8647"/>
        </w:tabs>
        <w:autoSpaceDE w:val="0"/>
        <w:autoSpaceDN w:val="0"/>
        <w:adjustRightInd w:val="0"/>
        <w:rPr>
          <w:sz w:val="22"/>
          <w:szCs w:val="22"/>
          <w:vertAlign w:val="superscript"/>
        </w:rPr>
      </w:pPr>
    </w:p>
    <w:p w14:paraId="73ABD150" w14:textId="05EF1970" w:rsidR="000C2A54" w:rsidRPr="00EB5423" w:rsidRDefault="000C2A54" w:rsidP="000C2A54">
      <w:pPr>
        <w:widowControl w:val="0"/>
        <w:tabs>
          <w:tab w:val="center" w:pos="3969"/>
          <w:tab w:val="center" w:pos="5245"/>
          <w:tab w:val="center" w:pos="6379"/>
          <w:tab w:val="center" w:pos="7513"/>
          <w:tab w:val="center" w:pos="8647"/>
        </w:tabs>
        <w:autoSpaceDE w:val="0"/>
        <w:autoSpaceDN w:val="0"/>
        <w:adjustRightInd w:val="0"/>
        <w:rPr>
          <w:sz w:val="22"/>
          <w:szCs w:val="22"/>
        </w:rPr>
      </w:pPr>
      <w:r w:rsidRPr="00EB5423">
        <w:rPr>
          <w:sz w:val="22"/>
          <w:szCs w:val="22"/>
        </w:rPr>
        <w:t xml:space="preserve">The financial statements on pages </w:t>
      </w:r>
      <w:r w:rsidR="00916359">
        <w:rPr>
          <w:sz w:val="22"/>
          <w:szCs w:val="22"/>
        </w:rPr>
        <w:t>73</w:t>
      </w:r>
      <w:r w:rsidR="000634E9" w:rsidRPr="00EB5423">
        <w:rPr>
          <w:sz w:val="22"/>
          <w:szCs w:val="22"/>
        </w:rPr>
        <w:t xml:space="preserve"> </w:t>
      </w:r>
      <w:r w:rsidRPr="00EB5423">
        <w:rPr>
          <w:sz w:val="22"/>
          <w:szCs w:val="22"/>
        </w:rPr>
        <w:t xml:space="preserve">to </w:t>
      </w:r>
      <w:r w:rsidR="00916359">
        <w:rPr>
          <w:sz w:val="22"/>
          <w:szCs w:val="22"/>
        </w:rPr>
        <w:t>97</w:t>
      </w:r>
      <w:r w:rsidR="00E916F9">
        <w:rPr>
          <w:sz w:val="22"/>
          <w:szCs w:val="22"/>
        </w:rPr>
        <w:t xml:space="preserve"> </w:t>
      </w:r>
      <w:r w:rsidRPr="00EB5423">
        <w:rPr>
          <w:sz w:val="22"/>
          <w:szCs w:val="22"/>
        </w:rPr>
        <w:t xml:space="preserve">were approved by the Commission on </w:t>
      </w:r>
      <w:r w:rsidR="00F82CDD" w:rsidRPr="00F82CDD">
        <w:rPr>
          <w:sz w:val="22"/>
          <w:szCs w:val="22"/>
        </w:rPr>
        <w:t>30</w:t>
      </w:r>
      <w:r w:rsidR="00612DE1" w:rsidRPr="00F82CDD">
        <w:rPr>
          <w:sz w:val="22"/>
          <w:szCs w:val="22"/>
        </w:rPr>
        <w:t xml:space="preserve"> </w:t>
      </w:r>
      <w:r w:rsidR="00123279" w:rsidRPr="00F82CDD">
        <w:rPr>
          <w:sz w:val="22"/>
          <w:szCs w:val="22"/>
        </w:rPr>
        <w:t>June</w:t>
      </w:r>
      <w:r w:rsidR="00612DE1" w:rsidRPr="00F82CDD">
        <w:rPr>
          <w:sz w:val="22"/>
          <w:szCs w:val="22"/>
        </w:rPr>
        <w:t xml:space="preserve"> 20</w:t>
      </w:r>
      <w:r w:rsidR="0098738B" w:rsidRPr="00F82CDD">
        <w:rPr>
          <w:sz w:val="22"/>
          <w:szCs w:val="22"/>
        </w:rPr>
        <w:t>2</w:t>
      </w:r>
      <w:r w:rsidR="00F82CDD" w:rsidRPr="00F82CDD">
        <w:rPr>
          <w:sz w:val="22"/>
          <w:szCs w:val="22"/>
        </w:rPr>
        <w:t>5</w:t>
      </w:r>
      <w:r w:rsidR="00CA3F82" w:rsidRPr="00F82CDD">
        <w:rPr>
          <w:sz w:val="22"/>
          <w:szCs w:val="22"/>
        </w:rPr>
        <w:t>.</w:t>
      </w:r>
    </w:p>
    <w:p w14:paraId="23BA62C1" w14:textId="77777777" w:rsidR="00632319" w:rsidRDefault="00DD7949" w:rsidP="000C2A54">
      <w:pPr>
        <w:widowControl w:val="0"/>
        <w:autoSpaceDE w:val="0"/>
        <w:autoSpaceDN w:val="0"/>
        <w:adjustRightInd w:val="0"/>
        <w:rPr>
          <w:b/>
          <w:sz w:val="22"/>
          <w:szCs w:val="22"/>
        </w:rPr>
      </w:pPr>
      <w:r>
        <w:rPr>
          <w:noProof/>
          <w:lang w:eastAsia="en-GB"/>
        </w:rPr>
        <w:drawing>
          <wp:inline distT="0" distB="0" distL="0" distR="0" wp14:anchorId="12AFF05E" wp14:editId="65BBEE9B">
            <wp:extent cx="1794699" cy="8048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1">
                      <a:extLst>
                        <a:ext uri="{28A0092B-C50C-407E-A947-70E740481C1C}">
                          <a14:useLocalDpi xmlns:a14="http://schemas.microsoft.com/office/drawing/2010/main" val="0"/>
                        </a:ext>
                      </a:extLst>
                    </a:blip>
                    <a:stretch>
                      <a:fillRect/>
                    </a:stretch>
                  </pic:blipFill>
                  <pic:spPr>
                    <a:xfrm>
                      <a:off x="0" y="0"/>
                      <a:ext cx="1809413" cy="811461"/>
                    </a:xfrm>
                    <a:prstGeom prst="rect">
                      <a:avLst/>
                    </a:prstGeom>
                  </pic:spPr>
                </pic:pic>
              </a:graphicData>
            </a:graphic>
          </wp:inline>
        </w:drawing>
      </w:r>
    </w:p>
    <w:p w14:paraId="40550240" w14:textId="74600C07" w:rsidR="000C2A54" w:rsidRPr="00632319" w:rsidRDefault="000C2A54" w:rsidP="000C2A54">
      <w:pPr>
        <w:widowControl w:val="0"/>
        <w:autoSpaceDE w:val="0"/>
        <w:autoSpaceDN w:val="0"/>
        <w:adjustRightInd w:val="0"/>
        <w:rPr>
          <w:noProof/>
          <w:lang w:eastAsia="en-GB"/>
        </w:rPr>
      </w:pPr>
      <w:r>
        <w:rPr>
          <w:b/>
          <w:sz w:val="22"/>
          <w:szCs w:val="22"/>
        </w:rPr>
        <w:t>Dr David Russell</w:t>
      </w:r>
    </w:p>
    <w:p w14:paraId="18442386" w14:textId="7B5C2A3F" w:rsidR="000C2A54" w:rsidRPr="00EB5423" w:rsidRDefault="000C2A54" w:rsidP="000C2A54">
      <w:pPr>
        <w:widowControl w:val="0"/>
        <w:autoSpaceDE w:val="0"/>
        <w:autoSpaceDN w:val="0"/>
        <w:adjustRightInd w:val="0"/>
        <w:rPr>
          <w:b/>
          <w:sz w:val="22"/>
          <w:szCs w:val="22"/>
        </w:rPr>
      </w:pPr>
      <w:r w:rsidRPr="00EB5423">
        <w:rPr>
          <w:b/>
          <w:sz w:val="22"/>
          <w:szCs w:val="22"/>
        </w:rPr>
        <w:t>Accounting Officer</w:t>
      </w:r>
    </w:p>
    <w:p w14:paraId="09139018" w14:textId="77777777" w:rsidR="000C2A54" w:rsidRPr="00EB5423" w:rsidRDefault="000C2A54" w:rsidP="000C2A54">
      <w:pPr>
        <w:widowControl w:val="0"/>
        <w:autoSpaceDE w:val="0"/>
        <w:autoSpaceDN w:val="0"/>
        <w:adjustRightInd w:val="0"/>
        <w:rPr>
          <w:b/>
          <w:sz w:val="22"/>
          <w:szCs w:val="22"/>
        </w:rPr>
      </w:pPr>
    </w:p>
    <w:p w14:paraId="467B9239" w14:textId="185E46A2" w:rsidR="00BF7ED8" w:rsidRDefault="000C2A54" w:rsidP="000C2A54">
      <w:pPr>
        <w:widowControl w:val="0"/>
        <w:tabs>
          <w:tab w:val="left" w:pos="851"/>
        </w:tabs>
        <w:autoSpaceDE w:val="0"/>
        <w:autoSpaceDN w:val="0"/>
        <w:adjustRightInd w:val="0"/>
        <w:rPr>
          <w:b/>
          <w:sz w:val="22"/>
          <w:szCs w:val="22"/>
        </w:rPr>
      </w:pPr>
      <w:r w:rsidRPr="00EB5423">
        <w:rPr>
          <w:b/>
          <w:sz w:val="22"/>
          <w:szCs w:val="22"/>
        </w:rPr>
        <w:t xml:space="preserve">Date:  </w:t>
      </w:r>
      <w:r w:rsidR="00410296">
        <w:rPr>
          <w:b/>
          <w:sz w:val="22"/>
          <w:szCs w:val="22"/>
        </w:rPr>
        <w:t>03 July 202</w:t>
      </w:r>
      <w:r w:rsidR="007A6076">
        <w:rPr>
          <w:b/>
          <w:sz w:val="22"/>
          <w:szCs w:val="22"/>
        </w:rPr>
        <w:t>5</w:t>
      </w:r>
    </w:p>
    <w:p w14:paraId="5C056692" w14:textId="2AF39CC2" w:rsidR="000C2A54" w:rsidRPr="00EB5423" w:rsidRDefault="008C73A2" w:rsidP="00024A9C">
      <w:pPr>
        <w:ind w:left="-567" w:right="-567"/>
        <w:rPr>
          <w:b/>
        </w:rPr>
      </w:pPr>
      <w:bookmarkStart w:id="34" w:name="StatementofCashFlows"/>
      <w:r>
        <w:rPr>
          <w:rFonts w:cs="Arial"/>
          <w:b/>
          <w:color w:val="77328A"/>
          <w:sz w:val="30"/>
          <w:szCs w:val="30"/>
        </w:rPr>
        <w:lastRenderedPageBreak/>
        <w:t>Statement of Cash Flows for the Year En</w:t>
      </w:r>
      <w:r w:rsidR="008D0E8C">
        <w:rPr>
          <w:rFonts w:cs="Arial"/>
          <w:b/>
          <w:color w:val="77328A"/>
          <w:sz w:val="30"/>
          <w:szCs w:val="30"/>
        </w:rPr>
        <w:t>ded 31 March 202</w:t>
      </w:r>
      <w:r w:rsidR="0023601B">
        <w:rPr>
          <w:rFonts w:cs="Arial"/>
          <w:b/>
          <w:color w:val="77328A"/>
          <w:sz w:val="30"/>
          <w:szCs w:val="30"/>
        </w:rPr>
        <w:t>5</w:t>
      </w:r>
    </w:p>
    <w:bookmarkEnd w:id="34"/>
    <w:p w14:paraId="563CC535" w14:textId="77777777" w:rsidR="000C2A54" w:rsidRPr="00E04BAE" w:rsidRDefault="000C2A54" w:rsidP="000C2A54">
      <w:pPr>
        <w:ind w:left="-567" w:right="-567"/>
        <w:jc w:val="center"/>
        <w:rPr>
          <w:b/>
          <w:sz w:val="28"/>
          <w:szCs w:val="28"/>
        </w:rPr>
      </w:pPr>
    </w:p>
    <w:p w14:paraId="746657BF" w14:textId="09CEA988" w:rsidR="000C2A54" w:rsidRPr="006C7E49" w:rsidRDefault="000C2A54" w:rsidP="000C2A54">
      <w:pPr>
        <w:widowControl w:val="0"/>
        <w:tabs>
          <w:tab w:val="center" w:pos="5670"/>
          <w:tab w:val="right" w:pos="7371"/>
          <w:tab w:val="right" w:pos="9071"/>
        </w:tabs>
        <w:autoSpaceDE w:val="0"/>
        <w:autoSpaceDN w:val="0"/>
        <w:adjustRightInd w:val="0"/>
        <w:ind w:firstLine="720"/>
        <w:rPr>
          <w:rFonts w:cs="Arial"/>
          <w:b/>
          <w:bCs/>
          <w:sz w:val="20"/>
          <w:szCs w:val="20"/>
        </w:rPr>
      </w:pPr>
      <w:r w:rsidRPr="002B4C5F">
        <w:rPr>
          <w:rFonts w:cs="Arial"/>
          <w:b/>
          <w:bCs/>
          <w:sz w:val="22"/>
          <w:szCs w:val="22"/>
        </w:rPr>
        <w:tab/>
      </w:r>
      <w:r w:rsidRPr="002B4C5F">
        <w:rPr>
          <w:rFonts w:cs="Arial"/>
          <w:b/>
          <w:bCs/>
          <w:sz w:val="22"/>
          <w:szCs w:val="22"/>
        </w:rPr>
        <w:tab/>
      </w:r>
      <w:r w:rsidR="00E916F9">
        <w:rPr>
          <w:rFonts w:cs="Arial"/>
          <w:b/>
          <w:bCs/>
          <w:sz w:val="20"/>
          <w:szCs w:val="20"/>
        </w:rPr>
        <w:t>20</w:t>
      </w:r>
      <w:r w:rsidR="003902AD">
        <w:rPr>
          <w:rFonts w:cs="Arial"/>
          <w:b/>
          <w:bCs/>
          <w:sz w:val="20"/>
          <w:szCs w:val="20"/>
        </w:rPr>
        <w:t>2</w:t>
      </w:r>
      <w:r w:rsidR="0023601B">
        <w:rPr>
          <w:rFonts w:cs="Arial"/>
          <w:b/>
          <w:bCs/>
          <w:sz w:val="20"/>
          <w:szCs w:val="20"/>
        </w:rPr>
        <w:t>4</w:t>
      </w:r>
      <w:r w:rsidR="00E916F9">
        <w:rPr>
          <w:rFonts w:cs="Arial"/>
          <w:b/>
          <w:bCs/>
          <w:sz w:val="20"/>
          <w:szCs w:val="20"/>
        </w:rPr>
        <w:t>-2</w:t>
      </w:r>
      <w:r w:rsidR="0023601B">
        <w:rPr>
          <w:rFonts w:cs="Arial"/>
          <w:b/>
          <w:bCs/>
          <w:sz w:val="20"/>
          <w:szCs w:val="20"/>
        </w:rPr>
        <w:t>5</w:t>
      </w:r>
      <w:r w:rsidRPr="006C7E49">
        <w:rPr>
          <w:rFonts w:cs="Arial"/>
          <w:b/>
          <w:bCs/>
          <w:sz w:val="20"/>
          <w:szCs w:val="20"/>
        </w:rPr>
        <w:tab/>
      </w:r>
      <w:r w:rsidR="00E916F9">
        <w:rPr>
          <w:rFonts w:cs="Arial"/>
          <w:b/>
          <w:bCs/>
          <w:sz w:val="20"/>
          <w:szCs w:val="20"/>
        </w:rPr>
        <w:t>20</w:t>
      </w:r>
      <w:r w:rsidR="003902AD">
        <w:rPr>
          <w:rFonts w:cs="Arial"/>
          <w:b/>
          <w:bCs/>
          <w:sz w:val="20"/>
          <w:szCs w:val="20"/>
        </w:rPr>
        <w:t>2</w:t>
      </w:r>
      <w:r w:rsidR="0023601B">
        <w:rPr>
          <w:rFonts w:cs="Arial"/>
          <w:b/>
          <w:bCs/>
          <w:sz w:val="20"/>
          <w:szCs w:val="20"/>
        </w:rPr>
        <w:t>3</w:t>
      </w:r>
      <w:r w:rsidR="00E916F9">
        <w:rPr>
          <w:rFonts w:cs="Arial"/>
          <w:b/>
          <w:bCs/>
          <w:sz w:val="20"/>
          <w:szCs w:val="20"/>
        </w:rPr>
        <w:t>-2</w:t>
      </w:r>
      <w:r w:rsidR="0023601B">
        <w:rPr>
          <w:rFonts w:cs="Arial"/>
          <w:b/>
          <w:bCs/>
          <w:sz w:val="20"/>
          <w:szCs w:val="20"/>
        </w:rPr>
        <w:t>4</w:t>
      </w:r>
      <w:r w:rsidRPr="006C7E49">
        <w:rPr>
          <w:rFonts w:cs="Arial"/>
          <w:b/>
          <w:bCs/>
          <w:sz w:val="20"/>
          <w:szCs w:val="20"/>
        </w:rPr>
        <w:t xml:space="preserve"> </w:t>
      </w:r>
    </w:p>
    <w:p w14:paraId="15411DE5" w14:textId="77777777" w:rsidR="000C2A54" w:rsidRPr="006C7E49" w:rsidRDefault="000C2A54" w:rsidP="000C2A54">
      <w:pPr>
        <w:widowControl w:val="0"/>
        <w:tabs>
          <w:tab w:val="center" w:pos="5670"/>
          <w:tab w:val="right" w:pos="7371"/>
          <w:tab w:val="right" w:pos="9071"/>
        </w:tabs>
        <w:autoSpaceDE w:val="0"/>
        <w:autoSpaceDN w:val="0"/>
        <w:adjustRightInd w:val="0"/>
        <w:ind w:left="4920" w:hanging="4920"/>
        <w:rPr>
          <w:rFonts w:cs="Arial"/>
          <w:b/>
          <w:bCs/>
          <w:sz w:val="20"/>
          <w:szCs w:val="20"/>
        </w:rPr>
      </w:pPr>
      <w:r w:rsidRPr="006C7E49">
        <w:rPr>
          <w:rFonts w:cs="Arial"/>
          <w:b/>
          <w:bCs/>
          <w:sz w:val="20"/>
          <w:szCs w:val="20"/>
        </w:rPr>
        <w:tab/>
      </w:r>
      <w:r w:rsidRPr="006C7E49">
        <w:rPr>
          <w:b/>
          <w:sz w:val="20"/>
          <w:szCs w:val="20"/>
        </w:rPr>
        <w:t>Notes</w:t>
      </w:r>
      <w:r w:rsidRPr="006C7E49">
        <w:rPr>
          <w:rFonts w:cs="Arial"/>
          <w:b/>
          <w:bCs/>
          <w:sz w:val="20"/>
          <w:szCs w:val="20"/>
        </w:rPr>
        <w:tab/>
      </w:r>
      <w:r w:rsidRPr="006C7E49">
        <w:rPr>
          <w:rFonts w:cs="Arial"/>
          <w:b/>
          <w:bCs/>
          <w:sz w:val="20"/>
          <w:szCs w:val="20"/>
        </w:rPr>
        <w:tab/>
        <w:t>£</w:t>
      </w:r>
      <w:r w:rsidRPr="006C7E49">
        <w:rPr>
          <w:rFonts w:cs="Arial"/>
          <w:b/>
          <w:bCs/>
          <w:sz w:val="20"/>
          <w:szCs w:val="20"/>
        </w:rPr>
        <w:tab/>
        <w:t>£</w:t>
      </w:r>
    </w:p>
    <w:p w14:paraId="7E24960E" w14:textId="77777777" w:rsidR="000C2A54" w:rsidRPr="006C7E49" w:rsidRDefault="000C2A54" w:rsidP="000C2A54">
      <w:pPr>
        <w:widowControl w:val="0"/>
        <w:tabs>
          <w:tab w:val="center" w:pos="5670"/>
          <w:tab w:val="right" w:pos="7371"/>
          <w:tab w:val="right" w:pos="9071"/>
        </w:tabs>
        <w:autoSpaceDE w:val="0"/>
        <w:autoSpaceDN w:val="0"/>
        <w:adjustRightInd w:val="0"/>
        <w:rPr>
          <w:rFonts w:cs="Arial"/>
          <w:b/>
          <w:bCs/>
          <w:sz w:val="20"/>
          <w:szCs w:val="20"/>
        </w:rPr>
      </w:pPr>
    </w:p>
    <w:p w14:paraId="5C9D9C4F" w14:textId="77777777" w:rsid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flows from operating activities </w:t>
      </w:r>
    </w:p>
    <w:p w14:paraId="25825B0B" w14:textId="77777777" w:rsidR="007B768A" w:rsidRDefault="007B768A" w:rsidP="000C2A54">
      <w:pPr>
        <w:widowControl w:val="0"/>
        <w:tabs>
          <w:tab w:val="center" w:pos="5160"/>
          <w:tab w:val="right" w:pos="7371"/>
          <w:tab w:val="right" w:pos="9071"/>
        </w:tabs>
        <w:autoSpaceDE w:val="0"/>
        <w:autoSpaceDN w:val="0"/>
        <w:adjustRightInd w:val="0"/>
        <w:rPr>
          <w:rFonts w:cs="Arial"/>
          <w:b/>
          <w:bCs/>
          <w:sz w:val="20"/>
          <w:szCs w:val="20"/>
        </w:rPr>
      </w:pPr>
    </w:p>
    <w:p w14:paraId="14EB6E65" w14:textId="3E6155D6" w:rsidR="007B768A"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Net operating exp</w:t>
      </w:r>
      <w:r w:rsidR="00807E97">
        <w:rPr>
          <w:rFonts w:cs="Arial"/>
          <w:bCs/>
          <w:sz w:val="20"/>
          <w:szCs w:val="20"/>
        </w:rPr>
        <w:t xml:space="preserve">enditure </w:t>
      </w:r>
      <w:r w:rsidR="00807E97">
        <w:rPr>
          <w:rFonts w:cs="Arial"/>
          <w:bCs/>
          <w:sz w:val="20"/>
          <w:szCs w:val="20"/>
        </w:rPr>
        <w:tab/>
      </w:r>
      <w:r w:rsidR="00807E97">
        <w:rPr>
          <w:rFonts w:cs="Arial"/>
          <w:bCs/>
          <w:sz w:val="20"/>
          <w:szCs w:val="20"/>
        </w:rPr>
        <w:tab/>
      </w:r>
      <w:r w:rsidR="00ED27FA">
        <w:rPr>
          <w:rFonts w:cs="Arial"/>
          <w:bCs/>
          <w:sz w:val="20"/>
          <w:szCs w:val="20"/>
        </w:rPr>
        <w:t>(</w:t>
      </w:r>
      <w:r w:rsidR="00076A51">
        <w:rPr>
          <w:rFonts w:cs="Arial"/>
          <w:bCs/>
          <w:sz w:val="20"/>
          <w:szCs w:val="20"/>
        </w:rPr>
        <w:t>2,</w:t>
      </w:r>
      <w:r w:rsidR="0023601B">
        <w:rPr>
          <w:rFonts w:cs="Arial"/>
          <w:bCs/>
          <w:sz w:val="20"/>
          <w:szCs w:val="20"/>
        </w:rPr>
        <w:t>823</w:t>
      </w:r>
      <w:r w:rsidR="009F599C">
        <w:rPr>
          <w:rFonts w:cs="Arial"/>
          <w:bCs/>
          <w:sz w:val="20"/>
          <w:szCs w:val="20"/>
        </w:rPr>
        <w:t>,</w:t>
      </w:r>
      <w:r w:rsidR="0023601B">
        <w:rPr>
          <w:rFonts w:cs="Arial"/>
          <w:bCs/>
          <w:sz w:val="20"/>
          <w:szCs w:val="20"/>
        </w:rPr>
        <w:t>609</w:t>
      </w:r>
      <w:r w:rsidR="00ED27FA">
        <w:rPr>
          <w:rFonts w:cs="Arial"/>
          <w:bCs/>
          <w:sz w:val="20"/>
          <w:szCs w:val="20"/>
        </w:rPr>
        <w:t>)</w:t>
      </w:r>
      <w:r w:rsidRPr="006C7E49">
        <w:rPr>
          <w:rFonts w:cs="Arial"/>
          <w:bCs/>
          <w:sz w:val="20"/>
          <w:szCs w:val="20"/>
        </w:rPr>
        <w:tab/>
        <w:t>(</w:t>
      </w:r>
      <w:r w:rsidR="00024A9C">
        <w:rPr>
          <w:rFonts w:cs="Arial"/>
          <w:bCs/>
          <w:sz w:val="20"/>
          <w:szCs w:val="20"/>
        </w:rPr>
        <w:t>2,</w:t>
      </w:r>
      <w:r w:rsidR="0023601B">
        <w:rPr>
          <w:rFonts w:cs="Arial"/>
          <w:bCs/>
          <w:sz w:val="20"/>
          <w:szCs w:val="20"/>
        </w:rPr>
        <w:t>722</w:t>
      </w:r>
      <w:r w:rsidR="00545EEE">
        <w:rPr>
          <w:rFonts w:cs="Arial"/>
          <w:bCs/>
          <w:sz w:val="20"/>
          <w:szCs w:val="20"/>
        </w:rPr>
        <w:t>,</w:t>
      </w:r>
      <w:r w:rsidR="0023601B">
        <w:rPr>
          <w:rFonts w:cs="Arial"/>
          <w:bCs/>
          <w:sz w:val="20"/>
          <w:szCs w:val="20"/>
        </w:rPr>
        <w:t>317</w:t>
      </w:r>
      <w:r w:rsidR="00E916F9">
        <w:rPr>
          <w:rFonts w:cs="Arial"/>
          <w:bCs/>
          <w:sz w:val="20"/>
          <w:szCs w:val="20"/>
        </w:rPr>
        <w:t>)</w:t>
      </w:r>
    </w:p>
    <w:p w14:paraId="26F6D16A" w14:textId="77777777" w:rsidR="000C2A54" w:rsidRPr="006C7E49"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ab/>
      </w:r>
      <w:r w:rsidR="000C2A54" w:rsidRPr="006C7E49">
        <w:rPr>
          <w:rFonts w:cs="Arial"/>
          <w:bCs/>
          <w:sz w:val="20"/>
          <w:szCs w:val="20"/>
        </w:rPr>
        <w:tab/>
      </w:r>
    </w:p>
    <w:p w14:paraId="65CC963D" w14:textId="69EB5D0C" w:rsidR="000C2A54" w:rsidRPr="006C7E49" w:rsidRDefault="00FA67ED"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w:t>
      </w:r>
      <w:r w:rsidR="00713362">
        <w:rPr>
          <w:rFonts w:cs="Arial"/>
          <w:bCs/>
          <w:sz w:val="20"/>
          <w:szCs w:val="20"/>
        </w:rPr>
        <w:t>Increase</w:t>
      </w:r>
      <w:r>
        <w:rPr>
          <w:rFonts w:cs="Arial"/>
          <w:bCs/>
          <w:sz w:val="20"/>
          <w:szCs w:val="20"/>
        </w:rPr>
        <w:t>)</w:t>
      </w:r>
      <w:r w:rsidR="000C2A54" w:rsidRPr="006C7E49">
        <w:rPr>
          <w:rFonts w:cs="Arial"/>
          <w:bCs/>
          <w:sz w:val="20"/>
          <w:szCs w:val="20"/>
        </w:rPr>
        <w:t xml:space="preserve"> in trade and other </w:t>
      </w:r>
      <w:r w:rsidR="000C2A54" w:rsidRPr="006C7E49">
        <w:rPr>
          <w:rFonts w:cs="Arial"/>
          <w:bCs/>
          <w:sz w:val="20"/>
          <w:szCs w:val="20"/>
        </w:rPr>
        <w:tab/>
      </w:r>
    </w:p>
    <w:p w14:paraId="74AC8DFB" w14:textId="2B5AD45F" w:rsidR="000C2A54" w:rsidRPr="006C7E49"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Cs/>
          <w:sz w:val="20"/>
          <w:szCs w:val="20"/>
        </w:rPr>
        <w:t>receivables</w:t>
      </w:r>
      <w:r w:rsidRPr="006C7E49">
        <w:rPr>
          <w:rFonts w:cs="Arial"/>
          <w:bCs/>
          <w:sz w:val="20"/>
          <w:szCs w:val="20"/>
        </w:rPr>
        <w:tab/>
      </w:r>
      <w:r w:rsidR="00FA67ED">
        <w:rPr>
          <w:rFonts w:cs="Arial"/>
          <w:b/>
          <w:bCs/>
          <w:sz w:val="20"/>
          <w:szCs w:val="20"/>
        </w:rPr>
        <w:t>10</w:t>
      </w:r>
      <w:r w:rsidRPr="006C7E49">
        <w:rPr>
          <w:rFonts w:cs="Arial"/>
          <w:bCs/>
          <w:sz w:val="20"/>
          <w:szCs w:val="20"/>
        </w:rPr>
        <w:tab/>
      </w:r>
      <w:r w:rsidR="0023601B">
        <w:rPr>
          <w:rFonts w:cs="Arial"/>
          <w:bCs/>
          <w:sz w:val="20"/>
          <w:szCs w:val="20"/>
        </w:rPr>
        <w:t>(5</w:t>
      </w:r>
      <w:r w:rsidR="00034AE8">
        <w:rPr>
          <w:rFonts w:cs="Arial"/>
          <w:bCs/>
          <w:sz w:val="20"/>
          <w:szCs w:val="20"/>
        </w:rPr>
        <w:t>,</w:t>
      </w:r>
      <w:r w:rsidR="0023601B">
        <w:rPr>
          <w:rFonts w:cs="Arial"/>
          <w:bCs/>
          <w:sz w:val="20"/>
          <w:szCs w:val="20"/>
        </w:rPr>
        <w:t>766)</w:t>
      </w:r>
      <w:r w:rsidR="00E916F9">
        <w:rPr>
          <w:rFonts w:cs="Arial"/>
          <w:bCs/>
          <w:sz w:val="20"/>
          <w:szCs w:val="20"/>
        </w:rPr>
        <w:tab/>
      </w:r>
      <w:r w:rsidR="0023601B">
        <w:rPr>
          <w:rFonts w:cs="Arial"/>
          <w:bCs/>
          <w:sz w:val="20"/>
          <w:szCs w:val="20"/>
        </w:rPr>
        <w:t>17,643</w:t>
      </w:r>
    </w:p>
    <w:p w14:paraId="1ACFBEA3" w14:textId="77777777" w:rsidR="00E633B4" w:rsidRPr="006C7E49" w:rsidRDefault="00E633B4" w:rsidP="000C2A54">
      <w:pPr>
        <w:widowControl w:val="0"/>
        <w:tabs>
          <w:tab w:val="center" w:pos="5160"/>
          <w:tab w:val="right" w:pos="7371"/>
          <w:tab w:val="right" w:pos="9071"/>
        </w:tabs>
        <w:autoSpaceDE w:val="0"/>
        <w:autoSpaceDN w:val="0"/>
        <w:adjustRightInd w:val="0"/>
        <w:rPr>
          <w:rFonts w:cs="Arial"/>
          <w:bCs/>
          <w:sz w:val="20"/>
          <w:szCs w:val="20"/>
        </w:rPr>
      </w:pPr>
    </w:p>
    <w:p w14:paraId="2ED12EC9" w14:textId="4ED00868" w:rsidR="007D0485" w:rsidRDefault="007973AC"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Increase</w:t>
      </w:r>
      <w:r w:rsidR="00930D7D">
        <w:rPr>
          <w:rFonts w:cs="Arial"/>
          <w:bCs/>
          <w:sz w:val="20"/>
          <w:szCs w:val="20"/>
        </w:rPr>
        <w:t>/(Decrease)</w:t>
      </w:r>
      <w:r w:rsidR="000C2A54" w:rsidRPr="006C7E49">
        <w:rPr>
          <w:rFonts w:cs="Arial"/>
          <w:bCs/>
          <w:sz w:val="20"/>
          <w:szCs w:val="20"/>
        </w:rPr>
        <w:t xml:space="preserve"> in trade payables</w:t>
      </w:r>
      <w:r w:rsidR="000C2A54" w:rsidRPr="006C7E49">
        <w:rPr>
          <w:rFonts w:cs="Arial"/>
          <w:bCs/>
          <w:sz w:val="20"/>
          <w:szCs w:val="20"/>
        </w:rPr>
        <w:tab/>
      </w:r>
      <w:r w:rsidR="000C2A54" w:rsidRPr="006C7E49">
        <w:rPr>
          <w:rFonts w:cs="Arial"/>
          <w:b/>
          <w:bCs/>
          <w:sz w:val="20"/>
          <w:szCs w:val="20"/>
        </w:rPr>
        <w:t>1</w:t>
      </w:r>
      <w:r w:rsidR="00FA67ED">
        <w:rPr>
          <w:rFonts w:cs="Arial"/>
          <w:b/>
          <w:bCs/>
          <w:sz w:val="20"/>
          <w:szCs w:val="20"/>
        </w:rPr>
        <w:t>2</w:t>
      </w:r>
      <w:r w:rsidR="000C2A54" w:rsidRPr="006C7E49">
        <w:rPr>
          <w:rFonts w:cs="Arial"/>
          <w:bCs/>
          <w:sz w:val="20"/>
          <w:szCs w:val="20"/>
        </w:rPr>
        <w:tab/>
      </w:r>
      <w:r w:rsidR="0023601B">
        <w:rPr>
          <w:rFonts w:cs="Arial"/>
          <w:bCs/>
          <w:sz w:val="20"/>
          <w:szCs w:val="20"/>
        </w:rPr>
        <w:t>(150</w:t>
      </w:r>
      <w:r w:rsidR="00024A9C">
        <w:rPr>
          <w:rFonts w:cs="Arial"/>
          <w:bCs/>
          <w:sz w:val="20"/>
          <w:szCs w:val="20"/>
        </w:rPr>
        <w:t>,</w:t>
      </w:r>
      <w:r w:rsidR="0023601B">
        <w:rPr>
          <w:rFonts w:cs="Arial"/>
          <w:bCs/>
          <w:sz w:val="20"/>
          <w:szCs w:val="20"/>
        </w:rPr>
        <w:t>568)</w:t>
      </w:r>
      <w:r w:rsidR="000C2A54" w:rsidRPr="006C7E49">
        <w:rPr>
          <w:rFonts w:cs="Arial"/>
          <w:bCs/>
          <w:sz w:val="20"/>
          <w:szCs w:val="20"/>
        </w:rPr>
        <w:tab/>
      </w:r>
      <w:r w:rsidR="00545EEE">
        <w:rPr>
          <w:rFonts w:cs="Arial"/>
          <w:bCs/>
          <w:sz w:val="20"/>
          <w:szCs w:val="20"/>
        </w:rPr>
        <w:t>1</w:t>
      </w:r>
      <w:r w:rsidR="0023601B">
        <w:rPr>
          <w:rFonts w:cs="Arial"/>
          <w:bCs/>
          <w:sz w:val="20"/>
          <w:szCs w:val="20"/>
        </w:rPr>
        <w:t>30</w:t>
      </w:r>
      <w:r w:rsidR="00545EEE">
        <w:rPr>
          <w:rFonts w:cs="Arial"/>
          <w:bCs/>
          <w:sz w:val="20"/>
          <w:szCs w:val="20"/>
        </w:rPr>
        <w:t>,</w:t>
      </w:r>
      <w:r w:rsidR="0023601B">
        <w:rPr>
          <w:rFonts w:cs="Arial"/>
          <w:bCs/>
          <w:sz w:val="20"/>
          <w:szCs w:val="20"/>
        </w:rPr>
        <w:t>968</w:t>
      </w:r>
    </w:p>
    <w:p w14:paraId="7278369D" w14:textId="77777777" w:rsidR="00B479EA" w:rsidRPr="00B479EA" w:rsidRDefault="00B479EA" w:rsidP="000C2A54">
      <w:pPr>
        <w:widowControl w:val="0"/>
        <w:tabs>
          <w:tab w:val="center" w:pos="5160"/>
          <w:tab w:val="right" w:pos="7371"/>
          <w:tab w:val="right" w:pos="9071"/>
        </w:tabs>
        <w:autoSpaceDE w:val="0"/>
        <w:autoSpaceDN w:val="0"/>
        <w:adjustRightInd w:val="0"/>
        <w:rPr>
          <w:rFonts w:cs="Arial"/>
          <w:bCs/>
          <w:iCs/>
          <w:sz w:val="20"/>
          <w:szCs w:val="20"/>
        </w:rPr>
      </w:pPr>
    </w:p>
    <w:p w14:paraId="15D8FCC4" w14:textId="77777777" w:rsidR="007D0485" w:rsidRDefault="007B768A" w:rsidP="007D0485">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Depreciation, a</w:t>
      </w:r>
      <w:r w:rsidR="007D0485">
        <w:rPr>
          <w:rFonts w:cs="Arial"/>
          <w:bCs/>
          <w:sz w:val="20"/>
          <w:szCs w:val="20"/>
        </w:rPr>
        <w:t xml:space="preserve">mortisation and </w:t>
      </w:r>
    </w:p>
    <w:p w14:paraId="4065B036" w14:textId="64F0F986" w:rsidR="007D0485" w:rsidRDefault="007B768A" w:rsidP="007D0485">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i</w:t>
      </w:r>
      <w:r w:rsidR="007D0485">
        <w:rPr>
          <w:rFonts w:cs="Arial"/>
          <w:bCs/>
          <w:sz w:val="20"/>
          <w:szCs w:val="20"/>
        </w:rPr>
        <w:t>mpairment</w:t>
      </w:r>
      <w:r w:rsidR="007D0485">
        <w:rPr>
          <w:rFonts w:cs="Arial"/>
          <w:bCs/>
          <w:sz w:val="20"/>
          <w:szCs w:val="20"/>
        </w:rPr>
        <w:tab/>
      </w:r>
      <w:r w:rsidR="007D0485">
        <w:rPr>
          <w:rFonts w:cs="Arial"/>
          <w:b/>
          <w:bCs/>
          <w:sz w:val="20"/>
          <w:szCs w:val="20"/>
        </w:rPr>
        <w:t>4</w:t>
      </w:r>
      <w:r w:rsidR="007D0485">
        <w:rPr>
          <w:rFonts w:cs="Arial"/>
          <w:b/>
          <w:bCs/>
          <w:sz w:val="20"/>
          <w:szCs w:val="20"/>
        </w:rPr>
        <w:tab/>
      </w:r>
      <w:r w:rsidR="00024A9C">
        <w:rPr>
          <w:rFonts w:cs="Arial"/>
          <w:bCs/>
          <w:sz w:val="20"/>
          <w:szCs w:val="20"/>
        </w:rPr>
        <w:t>10</w:t>
      </w:r>
      <w:r w:rsidR="0023601B">
        <w:rPr>
          <w:rFonts w:cs="Arial"/>
          <w:bCs/>
          <w:sz w:val="20"/>
          <w:szCs w:val="20"/>
        </w:rPr>
        <w:t>6</w:t>
      </w:r>
      <w:r w:rsidR="00024A9C">
        <w:rPr>
          <w:rFonts w:cs="Arial"/>
          <w:bCs/>
          <w:sz w:val="20"/>
          <w:szCs w:val="20"/>
        </w:rPr>
        <w:t>,</w:t>
      </w:r>
      <w:r w:rsidR="0023601B">
        <w:rPr>
          <w:rFonts w:cs="Arial"/>
          <w:bCs/>
          <w:sz w:val="20"/>
          <w:szCs w:val="20"/>
        </w:rPr>
        <w:t>727</w:t>
      </w:r>
      <w:r w:rsidR="00E916F9">
        <w:rPr>
          <w:rFonts w:cs="Arial"/>
          <w:bCs/>
          <w:sz w:val="20"/>
          <w:szCs w:val="20"/>
        </w:rPr>
        <w:tab/>
      </w:r>
      <w:r w:rsidR="00545EEE">
        <w:rPr>
          <w:rFonts w:cs="Arial"/>
          <w:bCs/>
          <w:sz w:val="20"/>
          <w:szCs w:val="20"/>
        </w:rPr>
        <w:t>10</w:t>
      </w:r>
      <w:r w:rsidR="0023601B">
        <w:rPr>
          <w:rFonts w:cs="Arial"/>
          <w:bCs/>
          <w:sz w:val="20"/>
          <w:szCs w:val="20"/>
        </w:rPr>
        <w:t>5</w:t>
      </w:r>
      <w:r w:rsidR="00024A9C">
        <w:rPr>
          <w:rFonts w:cs="Arial"/>
          <w:bCs/>
          <w:sz w:val="20"/>
          <w:szCs w:val="20"/>
        </w:rPr>
        <w:t>,</w:t>
      </w:r>
      <w:r w:rsidR="0023601B">
        <w:rPr>
          <w:rFonts w:cs="Arial"/>
          <w:bCs/>
          <w:sz w:val="20"/>
          <w:szCs w:val="20"/>
        </w:rPr>
        <w:t>149</w:t>
      </w:r>
    </w:p>
    <w:p w14:paraId="1825ECA0" w14:textId="77777777" w:rsidR="00A90C64" w:rsidRDefault="00A90C64" w:rsidP="007D0485">
      <w:pPr>
        <w:widowControl w:val="0"/>
        <w:tabs>
          <w:tab w:val="center" w:pos="5160"/>
          <w:tab w:val="right" w:pos="7371"/>
          <w:tab w:val="right" w:pos="9072"/>
        </w:tabs>
        <w:autoSpaceDE w:val="0"/>
        <w:autoSpaceDN w:val="0"/>
        <w:adjustRightInd w:val="0"/>
        <w:rPr>
          <w:rFonts w:cs="Arial"/>
          <w:bCs/>
          <w:sz w:val="20"/>
          <w:szCs w:val="20"/>
        </w:rPr>
      </w:pPr>
    </w:p>
    <w:p w14:paraId="21E7B91A" w14:textId="30BFA391" w:rsidR="000C2A54" w:rsidRPr="006C7E49" w:rsidRDefault="00024A9C" w:rsidP="000C2A54">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Depreciation on Right-of-Use Assets</w:t>
      </w:r>
      <w:r w:rsidR="000C2A54" w:rsidRPr="006C7E49">
        <w:rPr>
          <w:rFonts w:cs="Arial"/>
          <w:bCs/>
          <w:sz w:val="20"/>
          <w:szCs w:val="20"/>
        </w:rPr>
        <w:tab/>
      </w:r>
      <w:r w:rsidR="001515FF">
        <w:rPr>
          <w:rFonts w:cs="Arial"/>
          <w:b/>
          <w:bCs/>
          <w:sz w:val="20"/>
          <w:szCs w:val="20"/>
        </w:rPr>
        <w:t>4</w:t>
      </w:r>
      <w:r w:rsidR="000C2A54" w:rsidRPr="006C7E49">
        <w:rPr>
          <w:rFonts w:cs="Arial"/>
          <w:bCs/>
          <w:sz w:val="20"/>
          <w:szCs w:val="20"/>
        </w:rPr>
        <w:tab/>
      </w:r>
      <w:r w:rsidR="009F599C">
        <w:rPr>
          <w:rFonts w:cs="Arial"/>
          <w:bCs/>
          <w:sz w:val="20"/>
          <w:szCs w:val="20"/>
        </w:rPr>
        <w:t>75,</w:t>
      </w:r>
      <w:r w:rsidR="0023601B">
        <w:rPr>
          <w:rFonts w:cs="Arial"/>
          <w:bCs/>
          <w:sz w:val="20"/>
          <w:szCs w:val="20"/>
        </w:rPr>
        <w:t>397</w:t>
      </w:r>
      <w:r w:rsidR="000C2A54" w:rsidRPr="006C7E49">
        <w:rPr>
          <w:rFonts w:cs="Arial"/>
          <w:bCs/>
          <w:sz w:val="20"/>
          <w:szCs w:val="20"/>
        </w:rPr>
        <w:tab/>
      </w:r>
      <w:r w:rsidR="00545EEE">
        <w:rPr>
          <w:rFonts w:cs="Arial"/>
          <w:bCs/>
          <w:sz w:val="20"/>
          <w:szCs w:val="20"/>
        </w:rPr>
        <w:t>75,431</w:t>
      </w:r>
    </w:p>
    <w:p w14:paraId="51B4E333" w14:textId="77777777" w:rsidR="000C2A54" w:rsidRPr="006C7E49" w:rsidRDefault="000C2A54" w:rsidP="000C2A54">
      <w:pPr>
        <w:widowControl w:val="0"/>
        <w:tabs>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237D03AE" w14:textId="7B07BE42"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Net cash outflow from operating activities</w:t>
      </w:r>
      <w:r w:rsidR="006C7E49">
        <w:rPr>
          <w:rFonts w:cs="Arial"/>
          <w:b/>
          <w:bCs/>
          <w:sz w:val="20"/>
          <w:szCs w:val="20"/>
        </w:rPr>
        <w:tab/>
      </w:r>
      <w:r w:rsidRPr="006C7E49">
        <w:rPr>
          <w:rFonts w:cs="Arial"/>
          <w:b/>
          <w:bCs/>
          <w:sz w:val="20"/>
          <w:szCs w:val="20"/>
        </w:rPr>
        <w:tab/>
      </w:r>
      <w:r w:rsidR="00713362">
        <w:rPr>
          <w:rFonts w:cs="Arial"/>
          <w:b/>
          <w:bCs/>
          <w:sz w:val="20"/>
          <w:szCs w:val="20"/>
        </w:rPr>
        <w:t>(</w:t>
      </w:r>
      <w:r w:rsidR="00E916F9">
        <w:rPr>
          <w:rFonts w:cs="Arial"/>
          <w:b/>
          <w:bCs/>
          <w:sz w:val="20"/>
          <w:szCs w:val="20"/>
        </w:rPr>
        <w:t>2,</w:t>
      </w:r>
      <w:r w:rsidR="0023601B">
        <w:rPr>
          <w:rFonts w:cs="Arial"/>
          <w:b/>
          <w:bCs/>
          <w:sz w:val="20"/>
          <w:szCs w:val="20"/>
        </w:rPr>
        <w:t>797</w:t>
      </w:r>
      <w:r w:rsidR="009F599C">
        <w:rPr>
          <w:rFonts w:cs="Arial"/>
          <w:b/>
          <w:bCs/>
          <w:sz w:val="20"/>
          <w:szCs w:val="20"/>
        </w:rPr>
        <w:t>,</w:t>
      </w:r>
      <w:r w:rsidR="0023601B">
        <w:rPr>
          <w:rFonts w:cs="Arial"/>
          <w:b/>
          <w:bCs/>
          <w:sz w:val="20"/>
          <w:szCs w:val="20"/>
        </w:rPr>
        <w:t>819</w:t>
      </w:r>
      <w:r w:rsidR="007973AC" w:rsidRPr="00B55299">
        <w:rPr>
          <w:rFonts w:cs="Arial"/>
          <w:b/>
          <w:bCs/>
          <w:sz w:val="20"/>
          <w:szCs w:val="20"/>
        </w:rPr>
        <w:t>)</w:t>
      </w:r>
      <w:r w:rsidRPr="006C7E49">
        <w:rPr>
          <w:rFonts w:cs="Arial"/>
          <w:b/>
          <w:bCs/>
          <w:sz w:val="20"/>
          <w:szCs w:val="20"/>
        </w:rPr>
        <w:tab/>
        <w:t>(</w:t>
      </w:r>
      <w:r w:rsidR="00024A9C">
        <w:rPr>
          <w:rFonts w:cs="Arial"/>
          <w:b/>
          <w:bCs/>
          <w:sz w:val="20"/>
          <w:szCs w:val="20"/>
        </w:rPr>
        <w:t>2,</w:t>
      </w:r>
      <w:r w:rsidR="0023601B">
        <w:rPr>
          <w:rFonts w:cs="Arial"/>
          <w:b/>
          <w:bCs/>
          <w:sz w:val="20"/>
          <w:szCs w:val="20"/>
        </w:rPr>
        <w:t>393</w:t>
      </w:r>
      <w:r w:rsidR="00024A9C">
        <w:rPr>
          <w:rFonts w:cs="Arial"/>
          <w:b/>
          <w:bCs/>
          <w:sz w:val="20"/>
          <w:szCs w:val="20"/>
        </w:rPr>
        <w:t>,</w:t>
      </w:r>
      <w:r w:rsidR="0023601B">
        <w:rPr>
          <w:rFonts w:cs="Arial"/>
          <w:b/>
          <w:bCs/>
          <w:sz w:val="20"/>
          <w:szCs w:val="20"/>
        </w:rPr>
        <w:t>126</w:t>
      </w:r>
      <w:r w:rsidRPr="006C7E49">
        <w:rPr>
          <w:rFonts w:cs="Arial"/>
          <w:b/>
          <w:bCs/>
          <w:sz w:val="20"/>
          <w:szCs w:val="20"/>
        </w:rPr>
        <w:t>)</w:t>
      </w:r>
    </w:p>
    <w:p w14:paraId="0E02F01F" w14:textId="77777777" w:rsidR="000C2A54" w:rsidRPr="006C7E49" w:rsidRDefault="000C2A54" w:rsidP="000C2A54">
      <w:pPr>
        <w:widowControl w:val="0"/>
        <w:tabs>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21C29ACC" w14:textId="77777777" w:rsidR="000C2A54" w:rsidRPr="006C7E49" w:rsidRDefault="000C2A54" w:rsidP="000C2A54">
      <w:pPr>
        <w:widowControl w:val="0"/>
        <w:tabs>
          <w:tab w:val="center" w:pos="5670"/>
          <w:tab w:val="right" w:pos="7371"/>
          <w:tab w:val="right" w:pos="9071"/>
        </w:tabs>
        <w:autoSpaceDE w:val="0"/>
        <w:autoSpaceDN w:val="0"/>
        <w:adjustRightInd w:val="0"/>
        <w:rPr>
          <w:rFonts w:cs="Arial"/>
          <w:sz w:val="20"/>
          <w:szCs w:val="20"/>
        </w:rPr>
      </w:pPr>
    </w:p>
    <w:p w14:paraId="41B94D2A" w14:textId="77777777" w:rsidR="000C2A54" w:rsidRPr="006C7E49"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
          <w:bCs/>
          <w:sz w:val="20"/>
          <w:szCs w:val="20"/>
        </w:rPr>
        <w:t>Cash flows from investing</w:t>
      </w:r>
      <w:r w:rsidR="000C2A54" w:rsidRPr="006C7E49">
        <w:rPr>
          <w:rFonts w:cs="Arial"/>
          <w:b/>
          <w:bCs/>
          <w:sz w:val="20"/>
          <w:szCs w:val="20"/>
        </w:rPr>
        <w:t xml:space="preserve"> activities </w:t>
      </w:r>
      <w:r w:rsidR="000C2A54" w:rsidRPr="006C7E49">
        <w:rPr>
          <w:rFonts w:cs="Arial"/>
          <w:b/>
          <w:bCs/>
          <w:sz w:val="20"/>
          <w:szCs w:val="20"/>
        </w:rPr>
        <w:tab/>
      </w:r>
      <w:r w:rsidR="000C2A54" w:rsidRPr="006C7E49">
        <w:rPr>
          <w:rFonts w:cs="Arial"/>
          <w:b/>
          <w:bCs/>
          <w:sz w:val="20"/>
          <w:szCs w:val="20"/>
        </w:rPr>
        <w:tab/>
      </w:r>
    </w:p>
    <w:p w14:paraId="7CD221EA" w14:textId="5CA4FBD1" w:rsidR="007B699D"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Cs/>
          <w:sz w:val="20"/>
          <w:szCs w:val="20"/>
        </w:rPr>
        <w:t>Purchase of property, plant and equipment</w:t>
      </w:r>
      <w:r w:rsidRPr="006C7E49">
        <w:rPr>
          <w:rFonts w:cs="Arial"/>
          <w:bCs/>
          <w:sz w:val="20"/>
          <w:szCs w:val="20"/>
        </w:rPr>
        <w:tab/>
      </w:r>
      <w:r w:rsidR="00D40995" w:rsidRPr="007D0485">
        <w:rPr>
          <w:rFonts w:cs="Arial"/>
          <w:b/>
          <w:bCs/>
          <w:sz w:val="20"/>
          <w:szCs w:val="20"/>
        </w:rPr>
        <w:t>6</w:t>
      </w:r>
      <w:r w:rsidRPr="006C7E49">
        <w:rPr>
          <w:rFonts w:cs="Arial"/>
          <w:bCs/>
          <w:sz w:val="20"/>
          <w:szCs w:val="20"/>
        </w:rPr>
        <w:tab/>
      </w:r>
      <w:r w:rsidR="0025644E">
        <w:rPr>
          <w:rFonts w:cs="Arial"/>
          <w:bCs/>
          <w:sz w:val="20"/>
          <w:szCs w:val="20"/>
        </w:rPr>
        <w:t>(</w:t>
      </w:r>
      <w:r w:rsidR="0023601B">
        <w:rPr>
          <w:rFonts w:cs="Arial"/>
          <w:bCs/>
          <w:sz w:val="20"/>
          <w:szCs w:val="20"/>
        </w:rPr>
        <w:t>9</w:t>
      </w:r>
      <w:r w:rsidR="0025644E">
        <w:rPr>
          <w:rFonts w:cs="Arial"/>
          <w:bCs/>
          <w:sz w:val="20"/>
          <w:szCs w:val="20"/>
        </w:rPr>
        <w:t>,</w:t>
      </w:r>
      <w:r w:rsidR="0023601B">
        <w:rPr>
          <w:rFonts w:cs="Arial"/>
          <w:bCs/>
          <w:sz w:val="20"/>
          <w:szCs w:val="20"/>
        </w:rPr>
        <w:t>073</w:t>
      </w:r>
      <w:r w:rsidR="0025644E">
        <w:rPr>
          <w:rFonts w:cs="Arial"/>
          <w:bCs/>
          <w:sz w:val="20"/>
          <w:szCs w:val="20"/>
        </w:rPr>
        <w:t>)</w:t>
      </w:r>
      <w:r w:rsidRPr="006C7E49">
        <w:rPr>
          <w:rFonts w:cs="Arial"/>
          <w:bCs/>
          <w:sz w:val="20"/>
          <w:szCs w:val="20"/>
        </w:rPr>
        <w:tab/>
      </w:r>
      <w:r w:rsidR="0023601B">
        <w:rPr>
          <w:rFonts w:cs="Arial"/>
          <w:bCs/>
          <w:sz w:val="20"/>
          <w:szCs w:val="20"/>
        </w:rPr>
        <w:t>(28,97</w:t>
      </w:r>
      <w:r w:rsidR="00B37FF3">
        <w:rPr>
          <w:rFonts w:cs="Arial"/>
          <w:bCs/>
          <w:sz w:val="20"/>
          <w:szCs w:val="20"/>
        </w:rPr>
        <w:t>0</w:t>
      </w:r>
      <w:r w:rsidR="0023601B">
        <w:rPr>
          <w:rFonts w:cs="Arial"/>
          <w:bCs/>
          <w:sz w:val="20"/>
          <w:szCs w:val="20"/>
        </w:rPr>
        <w:t>)</w:t>
      </w:r>
    </w:p>
    <w:p w14:paraId="60B4BC0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109D344E" w14:textId="77F87F04" w:rsidR="000C2A54" w:rsidRPr="006C7E49"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
          <w:bCs/>
          <w:sz w:val="20"/>
          <w:szCs w:val="20"/>
        </w:rPr>
        <w:t>Net cash outflow from investing activities</w:t>
      </w:r>
      <w:r w:rsidR="003061F1">
        <w:rPr>
          <w:rFonts w:cs="Arial"/>
          <w:b/>
          <w:bCs/>
          <w:sz w:val="20"/>
          <w:szCs w:val="20"/>
        </w:rPr>
        <w:tab/>
      </w:r>
      <w:r w:rsidRPr="006C7E49">
        <w:rPr>
          <w:rFonts w:cs="Arial"/>
          <w:bCs/>
          <w:sz w:val="20"/>
          <w:szCs w:val="20"/>
        </w:rPr>
        <w:tab/>
      </w:r>
      <w:r w:rsidR="0025644E">
        <w:rPr>
          <w:rFonts w:cs="Arial"/>
          <w:b/>
          <w:bCs/>
          <w:sz w:val="20"/>
          <w:szCs w:val="20"/>
        </w:rPr>
        <w:t>(</w:t>
      </w:r>
      <w:r w:rsidR="0023601B">
        <w:rPr>
          <w:rFonts w:cs="Arial"/>
          <w:b/>
          <w:bCs/>
          <w:sz w:val="20"/>
          <w:szCs w:val="20"/>
        </w:rPr>
        <w:t>9</w:t>
      </w:r>
      <w:r w:rsidR="0025644E">
        <w:rPr>
          <w:rFonts w:cs="Arial"/>
          <w:b/>
          <w:bCs/>
          <w:sz w:val="20"/>
          <w:szCs w:val="20"/>
        </w:rPr>
        <w:t>,</w:t>
      </w:r>
      <w:r w:rsidR="0023601B">
        <w:rPr>
          <w:rFonts w:cs="Arial"/>
          <w:b/>
          <w:bCs/>
          <w:sz w:val="20"/>
          <w:szCs w:val="20"/>
        </w:rPr>
        <w:t>073</w:t>
      </w:r>
      <w:r w:rsidR="0025644E">
        <w:rPr>
          <w:rFonts w:cs="Arial"/>
          <w:b/>
          <w:bCs/>
          <w:sz w:val="20"/>
          <w:szCs w:val="20"/>
        </w:rPr>
        <w:t>)</w:t>
      </w:r>
      <w:r w:rsidRPr="006C7E49">
        <w:rPr>
          <w:rFonts w:cs="Arial"/>
          <w:b/>
          <w:bCs/>
          <w:sz w:val="20"/>
          <w:szCs w:val="20"/>
        </w:rPr>
        <w:tab/>
      </w:r>
      <w:r w:rsidR="0023601B">
        <w:rPr>
          <w:rFonts w:cs="Arial"/>
          <w:b/>
          <w:bCs/>
          <w:sz w:val="20"/>
          <w:szCs w:val="20"/>
        </w:rPr>
        <w:t>(28,97</w:t>
      </w:r>
      <w:r w:rsidR="00B37FF3">
        <w:rPr>
          <w:rFonts w:cs="Arial"/>
          <w:b/>
          <w:bCs/>
          <w:sz w:val="20"/>
          <w:szCs w:val="20"/>
        </w:rPr>
        <w:t>0</w:t>
      </w:r>
      <w:r w:rsidR="0023601B">
        <w:rPr>
          <w:rFonts w:cs="Arial"/>
          <w:b/>
          <w:bCs/>
          <w:sz w:val="20"/>
          <w:szCs w:val="20"/>
        </w:rPr>
        <w:t>)</w:t>
      </w:r>
    </w:p>
    <w:p w14:paraId="79EC41D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77A5D294" w14:textId="77777777"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p>
    <w:p w14:paraId="2F8C6816" w14:textId="5C6C2CBE" w:rsidR="00C6005E" w:rsidRDefault="000C2A54" w:rsidP="000C2A54">
      <w:pPr>
        <w:widowControl w:val="0"/>
        <w:tabs>
          <w:tab w:val="center" w:pos="5160"/>
          <w:tab w:val="right" w:pos="7371"/>
          <w:tab w:val="right" w:pos="9072"/>
        </w:tabs>
        <w:autoSpaceDE w:val="0"/>
        <w:autoSpaceDN w:val="0"/>
        <w:adjustRightInd w:val="0"/>
        <w:rPr>
          <w:rFonts w:cs="Arial"/>
          <w:b/>
          <w:bCs/>
          <w:sz w:val="20"/>
          <w:szCs w:val="20"/>
        </w:rPr>
      </w:pPr>
      <w:r w:rsidRPr="006C7E49">
        <w:rPr>
          <w:rFonts w:cs="Arial"/>
          <w:b/>
          <w:bCs/>
          <w:sz w:val="20"/>
          <w:szCs w:val="20"/>
        </w:rPr>
        <w:t>Cash flow</w:t>
      </w:r>
      <w:r w:rsidR="002D47AF">
        <w:rPr>
          <w:rFonts w:cs="Arial"/>
          <w:b/>
          <w:bCs/>
          <w:sz w:val="20"/>
          <w:szCs w:val="20"/>
        </w:rPr>
        <w:t>s</w:t>
      </w:r>
      <w:r w:rsidRPr="006C7E49">
        <w:rPr>
          <w:rFonts w:cs="Arial"/>
          <w:b/>
          <w:bCs/>
          <w:sz w:val="20"/>
          <w:szCs w:val="20"/>
        </w:rPr>
        <w:t xml:space="preserve"> from financing activities</w:t>
      </w:r>
    </w:p>
    <w:p w14:paraId="05C7C141" w14:textId="37250F62" w:rsidR="00963A97" w:rsidRDefault="00C6005E" w:rsidP="000C2A54">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Funding from parent department</w:t>
      </w:r>
      <w:r w:rsidR="00963A97">
        <w:rPr>
          <w:rFonts w:cs="Arial"/>
          <w:bCs/>
          <w:sz w:val="20"/>
          <w:szCs w:val="20"/>
        </w:rPr>
        <w:tab/>
        <w:t xml:space="preserve">                                           2,</w:t>
      </w:r>
      <w:r w:rsidR="0023601B">
        <w:rPr>
          <w:rFonts w:cs="Arial"/>
          <w:bCs/>
          <w:sz w:val="20"/>
          <w:szCs w:val="20"/>
        </w:rPr>
        <w:t>787</w:t>
      </w:r>
      <w:r w:rsidR="00963A97">
        <w:rPr>
          <w:rFonts w:cs="Arial"/>
          <w:bCs/>
          <w:sz w:val="20"/>
          <w:szCs w:val="20"/>
        </w:rPr>
        <w:t>,</w:t>
      </w:r>
      <w:r w:rsidR="0023601B">
        <w:rPr>
          <w:rFonts w:cs="Arial"/>
          <w:bCs/>
          <w:sz w:val="20"/>
          <w:szCs w:val="20"/>
        </w:rPr>
        <w:t>590</w:t>
      </w:r>
      <w:r w:rsidR="00963A97">
        <w:rPr>
          <w:rFonts w:cs="Arial"/>
          <w:bCs/>
          <w:sz w:val="20"/>
          <w:szCs w:val="20"/>
        </w:rPr>
        <w:t xml:space="preserve">         2,</w:t>
      </w:r>
      <w:r w:rsidR="0023601B">
        <w:rPr>
          <w:rFonts w:cs="Arial"/>
          <w:bCs/>
          <w:sz w:val="20"/>
          <w:szCs w:val="20"/>
        </w:rPr>
        <w:t>908</w:t>
      </w:r>
      <w:r w:rsidR="00963A97">
        <w:rPr>
          <w:rFonts w:cs="Arial"/>
          <w:bCs/>
          <w:sz w:val="20"/>
          <w:szCs w:val="20"/>
        </w:rPr>
        <w:t>,</w:t>
      </w:r>
      <w:r w:rsidR="0023601B">
        <w:rPr>
          <w:rFonts w:cs="Arial"/>
          <w:bCs/>
          <w:sz w:val="20"/>
          <w:szCs w:val="20"/>
        </w:rPr>
        <w:t>834</w:t>
      </w:r>
    </w:p>
    <w:p w14:paraId="6038049A" w14:textId="4B7DE5C8" w:rsidR="002D47AF" w:rsidRDefault="002D47AF" w:rsidP="000C2A54">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Interest Receiv</w:t>
      </w:r>
      <w:r w:rsidR="00635DF3">
        <w:rPr>
          <w:rFonts w:cs="Arial"/>
          <w:bCs/>
          <w:sz w:val="20"/>
          <w:szCs w:val="20"/>
        </w:rPr>
        <w:t>ed</w:t>
      </w:r>
      <w:r>
        <w:rPr>
          <w:rFonts w:cs="Arial"/>
          <w:bCs/>
          <w:sz w:val="20"/>
          <w:szCs w:val="20"/>
        </w:rPr>
        <w:tab/>
      </w:r>
      <w:r>
        <w:rPr>
          <w:rFonts w:cs="Arial"/>
          <w:bCs/>
          <w:sz w:val="20"/>
          <w:szCs w:val="20"/>
        </w:rPr>
        <w:tab/>
      </w:r>
      <w:r w:rsidR="0025644E">
        <w:rPr>
          <w:rFonts w:cs="Arial"/>
          <w:bCs/>
          <w:sz w:val="20"/>
          <w:szCs w:val="20"/>
        </w:rPr>
        <w:t>2</w:t>
      </w:r>
      <w:r w:rsidR="0023601B">
        <w:rPr>
          <w:rFonts w:cs="Arial"/>
          <w:bCs/>
          <w:sz w:val="20"/>
          <w:szCs w:val="20"/>
        </w:rPr>
        <w:t>9</w:t>
      </w:r>
      <w:r>
        <w:rPr>
          <w:rFonts w:cs="Arial"/>
          <w:bCs/>
          <w:sz w:val="20"/>
          <w:szCs w:val="20"/>
        </w:rPr>
        <w:t>,</w:t>
      </w:r>
      <w:r w:rsidR="0023601B">
        <w:rPr>
          <w:rFonts w:cs="Arial"/>
          <w:bCs/>
          <w:sz w:val="20"/>
          <w:szCs w:val="20"/>
        </w:rPr>
        <w:t>959</w:t>
      </w:r>
      <w:r>
        <w:rPr>
          <w:rFonts w:cs="Arial"/>
          <w:bCs/>
          <w:sz w:val="20"/>
          <w:szCs w:val="20"/>
        </w:rPr>
        <w:tab/>
      </w:r>
      <w:r w:rsidR="0023601B">
        <w:rPr>
          <w:rFonts w:cs="Arial"/>
          <w:bCs/>
          <w:sz w:val="20"/>
          <w:szCs w:val="20"/>
        </w:rPr>
        <w:t>26</w:t>
      </w:r>
      <w:r w:rsidR="00B37FF3">
        <w:rPr>
          <w:rFonts w:cs="Arial"/>
          <w:bCs/>
          <w:sz w:val="20"/>
          <w:szCs w:val="20"/>
        </w:rPr>
        <w:t>,</w:t>
      </w:r>
      <w:r w:rsidR="0023601B">
        <w:rPr>
          <w:rFonts w:cs="Arial"/>
          <w:bCs/>
          <w:sz w:val="20"/>
          <w:szCs w:val="20"/>
        </w:rPr>
        <w:t>433</w:t>
      </w:r>
    </w:p>
    <w:p w14:paraId="3881D242" w14:textId="5DE07153" w:rsidR="000C2A54" w:rsidRDefault="00963A97" w:rsidP="000C2A54">
      <w:pPr>
        <w:widowControl w:val="0"/>
        <w:tabs>
          <w:tab w:val="center" w:pos="5160"/>
          <w:tab w:val="right" w:pos="7371"/>
          <w:tab w:val="right" w:pos="9072"/>
        </w:tabs>
        <w:autoSpaceDE w:val="0"/>
        <w:autoSpaceDN w:val="0"/>
        <w:adjustRightInd w:val="0"/>
        <w:rPr>
          <w:rFonts w:cs="Arial"/>
          <w:bCs/>
          <w:sz w:val="20"/>
          <w:szCs w:val="20"/>
        </w:rPr>
      </w:pPr>
      <w:r>
        <w:rPr>
          <w:rFonts w:cs="Arial"/>
          <w:sz w:val="20"/>
          <w:szCs w:val="20"/>
        </w:rPr>
        <w:t>Payments of lease liabilities</w:t>
      </w:r>
      <w:r w:rsidR="000C2A54" w:rsidRPr="006C7E49">
        <w:rPr>
          <w:rFonts w:cs="Arial"/>
          <w:b/>
          <w:bCs/>
          <w:sz w:val="20"/>
          <w:szCs w:val="20"/>
        </w:rPr>
        <w:tab/>
      </w:r>
      <w:r w:rsidR="00A6613F">
        <w:rPr>
          <w:rFonts w:cs="Arial"/>
          <w:b/>
          <w:bCs/>
          <w:sz w:val="20"/>
          <w:szCs w:val="20"/>
        </w:rPr>
        <w:t>7</w:t>
      </w:r>
      <w:r w:rsidR="000C2A54" w:rsidRPr="006C7E49">
        <w:rPr>
          <w:rFonts w:cs="Arial"/>
          <w:b/>
          <w:bCs/>
          <w:sz w:val="20"/>
          <w:szCs w:val="20"/>
        </w:rPr>
        <w:tab/>
      </w:r>
      <w:r w:rsidR="00FA67ED">
        <w:rPr>
          <w:rFonts w:cs="Arial"/>
          <w:bCs/>
          <w:sz w:val="20"/>
          <w:szCs w:val="20"/>
        </w:rPr>
        <w:t>(</w:t>
      </w:r>
      <w:r w:rsidR="009F599C">
        <w:rPr>
          <w:rFonts w:cs="Arial"/>
          <w:bCs/>
          <w:sz w:val="20"/>
          <w:szCs w:val="20"/>
        </w:rPr>
        <w:t>7</w:t>
      </w:r>
      <w:r w:rsidR="0025644E">
        <w:rPr>
          <w:rFonts w:cs="Arial"/>
          <w:bCs/>
          <w:sz w:val="20"/>
          <w:szCs w:val="20"/>
        </w:rPr>
        <w:t>3</w:t>
      </w:r>
      <w:r w:rsidR="009F599C">
        <w:rPr>
          <w:rFonts w:cs="Arial"/>
          <w:bCs/>
          <w:sz w:val="20"/>
          <w:szCs w:val="20"/>
        </w:rPr>
        <w:t>,</w:t>
      </w:r>
      <w:r w:rsidR="0023601B">
        <w:rPr>
          <w:rFonts w:cs="Arial"/>
          <w:bCs/>
          <w:sz w:val="20"/>
          <w:szCs w:val="20"/>
        </w:rPr>
        <w:t>880</w:t>
      </w:r>
      <w:r w:rsidR="00FA67ED">
        <w:rPr>
          <w:rFonts w:cs="Arial"/>
          <w:bCs/>
          <w:sz w:val="20"/>
          <w:szCs w:val="20"/>
        </w:rPr>
        <w:t>)</w:t>
      </w:r>
      <w:r w:rsidR="000C2A54" w:rsidRPr="006C7E49">
        <w:rPr>
          <w:rFonts w:cs="Arial"/>
          <w:b/>
          <w:bCs/>
          <w:sz w:val="20"/>
          <w:szCs w:val="20"/>
        </w:rPr>
        <w:tab/>
      </w:r>
      <w:r w:rsidR="00B37FF3">
        <w:rPr>
          <w:rFonts w:cs="Arial"/>
          <w:bCs/>
          <w:sz w:val="20"/>
          <w:szCs w:val="20"/>
        </w:rPr>
        <w:t>(7</w:t>
      </w:r>
      <w:r w:rsidR="0023601B">
        <w:rPr>
          <w:rFonts w:cs="Arial"/>
          <w:bCs/>
          <w:sz w:val="20"/>
          <w:szCs w:val="20"/>
        </w:rPr>
        <w:t>3</w:t>
      </w:r>
      <w:r w:rsidR="00B37FF3">
        <w:rPr>
          <w:rFonts w:cs="Arial"/>
          <w:bCs/>
          <w:sz w:val="20"/>
          <w:szCs w:val="20"/>
        </w:rPr>
        <w:t>,1</w:t>
      </w:r>
      <w:r w:rsidR="0023601B">
        <w:rPr>
          <w:rFonts w:cs="Arial"/>
          <w:bCs/>
          <w:sz w:val="20"/>
          <w:szCs w:val="20"/>
        </w:rPr>
        <w:t>07</w:t>
      </w:r>
      <w:r w:rsidR="00B37FF3">
        <w:rPr>
          <w:rFonts w:cs="Arial"/>
          <w:bCs/>
          <w:sz w:val="20"/>
          <w:szCs w:val="20"/>
        </w:rPr>
        <w:t>)</w:t>
      </w:r>
    </w:p>
    <w:p w14:paraId="342D3750" w14:textId="08A9D7C3" w:rsidR="002D47AF" w:rsidRPr="006C7E49" w:rsidRDefault="002D47AF" w:rsidP="002D47AF">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Finance expense on lease liabilities</w:t>
      </w:r>
      <w:r>
        <w:rPr>
          <w:rFonts w:cs="Arial"/>
          <w:bCs/>
          <w:sz w:val="20"/>
          <w:szCs w:val="20"/>
        </w:rPr>
        <w:tab/>
      </w:r>
      <w:r w:rsidR="00A6613F">
        <w:rPr>
          <w:rFonts w:cs="Arial"/>
          <w:b/>
          <w:sz w:val="20"/>
          <w:szCs w:val="20"/>
        </w:rPr>
        <w:t>4</w:t>
      </w:r>
      <w:r>
        <w:rPr>
          <w:rFonts w:cs="Arial"/>
          <w:bCs/>
          <w:sz w:val="20"/>
          <w:szCs w:val="20"/>
        </w:rPr>
        <w:tab/>
        <w:t>(</w:t>
      </w:r>
      <w:r w:rsidR="0023601B">
        <w:rPr>
          <w:rFonts w:cs="Arial"/>
          <w:bCs/>
          <w:sz w:val="20"/>
          <w:szCs w:val="20"/>
        </w:rPr>
        <w:t>5</w:t>
      </w:r>
      <w:r w:rsidR="009F599C">
        <w:rPr>
          <w:rFonts w:cs="Arial"/>
          <w:bCs/>
          <w:sz w:val="20"/>
          <w:szCs w:val="20"/>
        </w:rPr>
        <w:t>,</w:t>
      </w:r>
      <w:r w:rsidR="0023601B">
        <w:rPr>
          <w:rFonts w:cs="Arial"/>
          <w:bCs/>
          <w:sz w:val="20"/>
          <w:szCs w:val="20"/>
        </w:rPr>
        <w:t>903</w:t>
      </w:r>
      <w:r>
        <w:rPr>
          <w:rFonts w:cs="Arial"/>
          <w:bCs/>
          <w:sz w:val="20"/>
          <w:szCs w:val="20"/>
        </w:rPr>
        <w:t>)</w:t>
      </w:r>
      <w:r>
        <w:rPr>
          <w:rFonts w:cs="Arial"/>
          <w:bCs/>
          <w:sz w:val="20"/>
          <w:szCs w:val="20"/>
        </w:rPr>
        <w:tab/>
      </w:r>
      <w:r w:rsidR="00B37FF3">
        <w:rPr>
          <w:rFonts w:cs="Arial"/>
          <w:bCs/>
          <w:sz w:val="20"/>
          <w:szCs w:val="20"/>
        </w:rPr>
        <w:t>(</w:t>
      </w:r>
      <w:r w:rsidR="0023601B">
        <w:rPr>
          <w:rFonts w:cs="Arial"/>
          <w:bCs/>
          <w:sz w:val="20"/>
          <w:szCs w:val="20"/>
        </w:rPr>
        <w:t>6</w:t>
      </w:r>
      <w:r w:rsidR="00B37FF3">
        <w:rPr>
          <w:rFonts w:cs="Arial"/>
          <w:bCs/>
          <w:sz w:val="20"/>
          <w:szCs w:val="20"/>
        </w:rPr>
        <w:t>,</w:t>
      </w:r>
      <w:r w:rsidR="0023601B">
        <w:rPr>
          <w:rFonts w:cs="Arial"/>
          <w:bCs/>
          <w:sz w:val="20"/>
          <w:szCs w:val="20"/>
        </w:rPr>
        <w:t>651</w:t>
      </w:r>
      <w:r w:rsidR="00B37FF3">
        <w:rPr>
          <w:rFonts w:cs="Arial"/>
          <w:bCs/>
          <w:sz w:val="20"/>
          <w:szCs w:val="20"/>
        </w:rPr>
        <w:t>)</w:t>
      </w:r>
    </w:p>
    <w:p w14:paraId="676C05A4" w14:textId="5C63CBF0" w:rsidR="000C2A54" w:rsidRPr="00B90FC7" w:rsidRDefault="000C2A54" w:rsidP="000C2A54">
      <w:pPr>
        <w:widowControl w:val="0"/>
        <w:tabs>
          <w:tab w:val="center" w:pos="5160"/>
          <w:tab w:val="center" w:pos="5580"/>
          <w:tab w:val="right" w:pos="7371"/>
          <w:tab w:val="right" w:pos="9072"/>
        </w:tabs>
        <w:autoSpaceDE w:val="0"/>
        <w:autoSpaceDN w:val="0"/>
        <w:adjustRightInd w:val="0"/>
        <w:rPr>
          <w:sz w:val="22"/>
          <w:szCs w:val="22"/>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36215259" w14:textId="1B686E67"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 xml:space="preserve">Net cash </w:t>
      </w:r>
      <w:r w:rsidR="00527708">
        <w:rPr>
          <w:rFonts w:cs="Arial"/>
          <w:b/>
          <w:bCs/>
          <w:sz w:val="20"/>
          <w:szCs w:val="20"/>
        </w:rPr>
        <w:t>inflow</w:t>
      </w:r>
      <w:r w:rsidR="00527708" w:rsidRPr="006C7E49">
        <w:rPr>
          <w:rFonts w:cs="Arial"/>
          <w:b/>
          <w:bCs/>
          <w:sz w:val="20"/>
          <w:szCs w:val="20"/>
        </w:rPr>
        <w:t xml:space="preserve"> </w:t>
      </w:r>
      <w:r w:rsidRPr="006C7E49">
        <w:rPr>
          <w:rFonts w:cs="Arial"/>
          <w:b/>
          <w:bCs/>
          <w:sz w:val="20"/>
          <w:szCs w:val="20"/>
        </w:rPr>
        <w:t>from financing activities</w:t>
      </w:r>
      <w:r w:rsidRPr="006C7E49">
        <w:rPr>
          <w:rFonts w:cs="Arial"/>
          <w:b/>
          <w:bCs/>
          <w:sz w:val="20"/>
          <w:szCs w:val="20"/>
        </w:rPr>
        <w:tab/>
      </w:r>
      <w:r w:rsidR="003061F1">
        <w:rPr>
          <w:rFonts w:cs="Arial"/>
          <w:b/>
          <w:bCs/>
          <w:sz w:val="20"/>
          <w:szCs w:val="20"/>
        </w:rPr>
        <w:tab/>
      </w:r>
      <w:r w:rsidR="00E916F9">
        <w:rPr>
          <w:rFonts w:cs="Arial"/>
          <w:b/>
          <w:bCs/>
          <w:sz w:val="20"/>
          <w:szCs w:val="20"/>
        </w:rPr>
        <w:t>2,</w:t>
      </w:r>
      <w:r w:rsidR="0023601B">
        <w:rPr>
          <w:rFonts w:cs="Arial"/>
          <w:b/>
          <w:bCs/>
          <w:sz w:val="20"/>
          <w:szCs w:val="20"/>
        </w:rPr>
        <w:t>737</w:t>
      </w:r>
      <w:r w:rsidR="009F599C">
        <w:rPr>
          <w:rFonts w:cs="Arial"/>
          <w:b/>
          <w:bCs/>
          <w:sz w:val="20"/>
          <w:szCs w:val="20"/>
        </w:rPr>
        <w:t>,</w:t>
      </w:r>
      <w:r w:rsidR="0023601B">
        <w:rPr>
          <w:rFonts w:cs="Arial"/>
          <w:b/>
          <w:bCs/>
          <w:sz w:val="20"/>
          <w:szCs w:val="20"/>
        </w:rPr>
        <w:t>766</w:t>
      </w:r>
      <w:r w:rsidRPr="006C7E49">
        <w:rPr>
          <w:rFonts w:cs="Arial"/>
          <w:b/>
          <w:bCs/>
          <w:sz w:val="20"/>
          <w:szCs w:val="20"/>
        </w:rPr>
        <w:tab/>
      </w:r>
      <w:r w:rsidR="00963A97">
        <w:rPr>
          <w:rFonts w:cs="Arial"/>
          <w:b/>
          <w:bCs/>
          <w:sz w:val="20"/>
          <w:szCs w:val="20"/>
        </w:rPr>
        <w:t>2,</w:t>
      </w:r>
      <w:r w:rsidR="0023601B">
        <w:rPr>
          <w:rFonts w:cs="Arial"/>
          <w:b/>
          <w:bCs/>
          <w:sz w:val="20"/>
          <w:szCs w:val="20"/>
        </w:rPr>
        <w:t>855</w:t>
      </w:r>
      <w:r w:rsidR="00963A97">
        <w:rPr>
          <w:rFonts w:cs="Arial"/>
          <w:b/>
          <w:bCs/>
          <w:sz w:val="20"/>
          <w:szCs w:val="20"/>
        </w:rPr>
        <w:t>,</w:t>
      </w:r>
      <w:r w:rsidR="0023601B">
        <w:rPr>
          <w:rFonts w:cs="Arial"/>
          <w:b/>
          <w:bCs/>
          <w:sz w:val="20"/>
          <w:szCs w:val="20"/>
        </w:rPr>
        <w:t>509</w:t>
      </w:r>
    </w:p>
    <w:p w14:paraId="3760FE25"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1F0294CE" w14:textId="259BC056"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sz w:val="20"/>
          <w:szCs w:val="20"/>
        </w:rPr>
      </w:pPr>
      <w:r w:rsidRPr="006C7E49">
        <w:rPr>
          <w:rFonts w:cs="Arial"/>
          <w:b/>
          <w:bCs/>
          <w:sz w:val="20"/>
          <w:szCs w:val="20"/>
        </w:rPr>
        <w:t>Net</w:t>
      </w:r>
      <w:r w:rsidR="0029565E">
        <w:rPr>
          <w:rFonts w:cs="Arial"/>
          <w:b/>
          <w:bCs/>
          <w:sz w:val="20"/>
          <w:szCs w:val="20"/>
        </w:rPr>
        <w:t xml:space="preserve"> </w:t>
      </w:r>
      <w:r w:rsidR="0023601B">
        <w:rPr>
          <w:rFonts w:cs="Arial"/>
          <w:b/>
          <w:bCs/>
          <w:sz w:val="20"/>
          <w:szCs w:val="20"/>
        </w:rPr>
        <w:t>(de</w:t>
      </w:r>
      <w:r w:rsidR="0029565E">
        <w:rPr>
          <w:rFonts w:cs="Arial"/>
          <w:b/>
          <w:bCs/>
          <w:sz w:val="20"/>
          <w:szCs w:val="20"/>
        </w:rPr>
        <w:t>crease</w:t>
      </w:r>
      <w:r w:rsidR="0023601B">
        <w:rPr>
          <w:rFonts w:cs="Arial"/>
          <w:b/>
          <w:bCs/>
          <w:sz w:val="20"/>
          <w:szCs w:val="20"/>
        </w:rPr>
        <w:t>)/increase</w:t>
      </w:r>
      <w:r w:rsidR="0029565E">
        <w:rPr>
          <w:rFonts w:cs="Arial"/>
          <w:b/>
          <w:bCs/>
          <w:sz w:val="20"/>
          <w:szCs w:val="20"/>
        </w:rPr>
        <w:t xml:space="preserve"> </w:t>
      </w:r>
      <w:r w:rsidRPr="006C7E49">
        <w:rPr>
          <w:rFonts w:cs="Arial"/>
          <w:b/>
          <w:bCs/>
          <w:sz w:val="20"/>
          <w:szCs w:val="20"/>
        </w:rPr>
        <w:t xml:space="preserve">in cash </w:t>
      </w:r>
      <w:r w:rsidRPr="006C7E49">
        <w:rPr>
          <w:rFonts w:cs="Arial"/>
          <w:b/>
          <w:bCs/>
          <w:sz w:val="20"/>
          <w:szCs w:val="20"/>
        </w:rPr>
        <w:br/>
        <w:t>and cash equivalents in the period</w:t>
      </w:r>
      <w:r w:rsidRPr="006C7E49">
        <w:rPr>
          <w:rFonts w:cs="Arial"/>
          <w:b/>
          <w:bCs/>
          <w:sz w:val="20"/>
          <w:szCs w:val="20"/>
        </w:rPr>
        <w:tab/>
        <w:t>1</w:t>
      </w:r>
      <w:r w:rsidR="00FA67ED">
        <w:rPr>
          <w:rFonts w:cs="Arial"/>
          <w:b/>
          <w:bCs/>
          <w:sz w:val="20"/>
          <w:szCs w:val="20"/>
        </w:rPr>
        <w:t>1</w:t>
      </w:r>
      <w:r w:rsidRPr="006C7E49">
        <w:rPr>
          <w:rFonts w:cs="Arial"/>
          <w:b/>
          <w:bCs/>
          <w:sz w:val="20"/>
          <w:szCs w:val="20"/>
        </w:rPr>
        <w:tab/>
      </w:r>
      <w:r w:rsidRPr="006C7E49">
        <w:rPr>
          <w:rFonts w:cs="Arial"/>
          <w:b/>
          <w:bCs/>
          <w:sz w:val="20"/>
          <w:szCs w:val="20"/>
        </w:rPr>
        <w:tab/>
      </w:r>
      <w:r w:rsidR="0023601B">
        <w:rPr>
          <w:rFonts w:cs="Arial"/>
          <w:b/>
          <w:bCs/>
          <w:sz w:val="20"/>
          <w:szCs w:val="20"/>
        </w:rPr>
        <w:t>(69</w:t>
      </w:r>
      <w:r w:rsidR="00963A97">
        <w:rPr>
          <w:rFonts w:cs="Arial"/>
          <w:b/>
          <w:bCs/>
          <w:sz w:val="20"/>
          <w:szCs w:val="20"/>
        </w:rPr>
        <w:t>,</w:t>
      </w:r>
      <w:r w:rsidR="0023601B">
        <w:rPr>
          <w:rFonts w:cs="Arial"/>
          <w:b/>
          <w:bCs/>
          <w:sz w:val="20"/>
          <w:szCs w:val="20"/>
        </w:rPr>
        <w:t>126)</w:t>
      </w:r>
      <w:r w:rsidRPr="006C7E49">
        <w:rPr>
          <w:rFonts w:cs="Arial"/>
          <w:b/>
          <w:bCs/>
          <w:sz w:val="20"/>
          <w:szCs w:val="20"/>
        </w:rPr>
        <w:tab/>
      </w:r>
      <w:r w:rsidR="0023601B">
        <w:rPr>
          <w:rFonts w:cs="Arial"/>
          <w:b/>
          <w:bCs/>
          <w:sz w:val="20"/>
          <w:szCs w:val="20"/>
        </w:rPr>
        <w:t>433</w:t>
      </w:r>
      <w:r w:rsidR="00B37FF3">
        <w:rPr>
          <w:rFonts w:cs="Arial"/>
          <w:b/>
          <w:bCs/>
          <w:sz w:val="20"/>
          <w:szCs w:val="20"/>
        </w:rPr>
        <w:t>,</w:t>
      </w:r>
      <w:r w:rsidR="0023601B">
        <w:rPr>
          <w:rFonts w:cs="Arial"/>
          <w:b/>
          <w:bCs/>
          <w:sz w:val="20"/>
          <w:szCs w:val="20"/>
        </w:rPr>
        <w:t>413</w:t>
      </w:r>
    </w:p>
    <w:p w14:paraId="411361A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sz w:val="20"/>
          <w:szCs w:val="20"/>
        </w:rPr>
        <w:tab/>
      </w:r>
      <w:r w:rsidRPr="006C7E49">
        <w:rPr>
          <w:sz w:val="20"/>
          <w:szCs w:val="20"/>
        </w:rPr>
        <w:tab/>
      </w:r>
      <w:r w:rsidRPr="006C7E49">
        <w:rPr>
          <w:sz w:val="20"/>
          <w:szCs w:val="20"/>
        </w:rPr>
        <w:tab/>
      </w:r>
      <w:r w:rsidRPr="006C7E49">
        <w:rPr>
          <w:rFonts w:ascii="Arial" w:hAnsi="Arial"/>
          <w:sz w:val="20"/>
          <w:szCs w:val="20"/>
        </w:rPr>
        <w:t>═════════</w:t>
      </w:r>
      <w:r w:rsidRPr="006C7E49">
        <w:rPr>
          <w:sz w:val="20"/>
          <w:szCs w:val="20"/>
        </w:rPr>
        <w:tab/>
      </w:r>
      <w:r w:rsidRPr="006C7E49">
        <w:rPr>
          <w:rFonts w:ascii="Arial" w:hAnsi="Arial"/>
          <w:sz w:val="20"/>
          <w:szCs w:val="20"/>
        </w:rPr>
        <w:t>═════════</w:t>
      </w:r>
    </w:p>
    <w:p w14:paraId="1F951935"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and cash equivalents at the </w:t>
      </w:r>
    </w:p>
    <w:p w14:paraId="35F4D72D" w14:textId="7CD543D8"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beginning of the period</w:t>
      </w:r>
      <w:r w:rsidRPr="006C7E49">
        <w:rPr>
          <w:rFonts w:cs="Arial"/>
          <w:b/>
          <w:bCs/>
          <w:sz w:val="20"/>
          <w:szCs w:val="20"/>
        </w:rPr>
        <w:tab/>
        <w:t>1</w:t>
      </w:r>
      <w:r w:rsidR="00FA67ED">
        <w:rPr>
          <w:rFonts w:cs="Arial"/>
          <w:b/>
          <w:bCs/>
          <w:sz w:val="20"/>
          <w:szCs w:val="20"/>
        </w:rPr>
        <w:t>1</w:t>
      </w:r>
      <w:r w:rsidRPr="006C7E49">
        <w:rPr>
          <w:rFonts w:cs="Arial"/>
          <w:b/>
          <w:bCs/>
          <w:sz w:val="20"/>
          <w:szCs w:val="20"/>
        </w:rPr>
        <w:tab/>
      </w:r>
      <w:r w:rsidRPr="006C7E49">
        <w:rPr>
          <w:rFonts w:cs="Arial"/>
          <w:b/>
          <w:bCs/>
          <w:sz w:val="20"/>
          <w:szCs w:val="20"/>
        </w:rPr>
        <w:tab/>
      </w:r>
      <w:r w:rsidR="0023601B">
        <w:rPr>
          <w:rFonts w:cs="Arial"/>
          <w:b/>
          <w:bCs/>
          <w:sz w:val="20"/>
          <w:szCs w:val="20"/>
        </w:rPr>
        <w:t>990</w:t>
      </w:r>
      <w:r w:rsidR="00963A97">
        <w:rPr>
          <w:rFonts w:cs="Arial"/>
          <w:b/>
          <w:bCs/>
          <w:sz w:val="20"/>
          <w:szCs w:val="20"/>
        </w:rPr>
        <w:t>,</w:t>
      </w:r>
      <w:r w:rsidR="0023601B">
        <w:rPr>
          <w:rFonts w:cs="Arial"/>
          <w:b/>
          <w:bCs/>
          <w:sz w:val="20"/>
          <w:szCs w:val="20"/>
        </w:rPr>
        <w:t>019</w:t>
      </w:r>
      <w:r w:rsidRPr="006C7E49">
        <w:rPr>
          <w:rFonts w:cs="Arial"/>
          <w:b/>
          <w:bCs/>
          <w:sz w:val="20"/>
          <w:szCs w:val="20"/>
        </w:rPr>
        <w:tab/>
      </w:r>
      <w:r w:rsidR="00B37FF3">
        <w:rPr>
          <w:rFonts w:cs="Arial"/>
          <w:b/>
          <w:bCs/>
          <w:sz w:val="20"/>
          <w:szCs w:val="20"/>
        </w:rPr>
        <w:t>5</w:t>
      </w:r>
      <w:r w:rsidR="0023601B">
        <w:rPr>
          <w:rFonts w:cs="Arial"/>
          <w:b/>
          <w:bCs/>
          <w:sz w:val="20"/>
          <w:szCs w:val="20"/>
        </w:rPr>
        <w:t>56</w:t>
      </w:r>
      <w:r w:rsidR="00963A97">
        <w:rPr>
          <w:rFonts w:cs="Arial"/>
          <w:b/>
          <w:bCs/>
          <w:sz w:val="20"/>
          <w:szCs w:val="20"/>
        </w:rPr>
        <w:t>,</w:t>
      </w:r>
      <w:r w:rsidR="0023601B">
        <w:rPr>
          <w:rFonts w:cs="Arial"/>
          <w:b/>
          <w:bCs/>
          <w:sz w:val="20"/>
          <w:szCs w:val="20"/>
        </w:rPr>
        <w:t>606</w:t>
      </w:r>
    </w:p>
    <w:p w14:paraId="0CEFB9C9"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63B6FEBA" w14:textId="24D98618"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and cash equivalents at the </w:t>
      </w:r>
      <w:r w:rsidRPr="006C7E49">
        <w:rPr>
          <w:rFonts w:cs="Arial"/>
          <w:b/>
          <w:bCs/>
          <w:sz w:val="20"/>
          <w:szCs w:val="20"/>
        </w:rPr>
        <w:tab/>
        <w:t>1</w:t>
      </w:r>
      <w:r w:rsidR="00FA67ED">
        <w:rPr>
          <w:rFonts w:cs="Arial"/>
          <w:b/>
          <w:bCs/>
          <w:sz w:val="20"/>
          <w:szCs w:val="20"/>
        </w:rPr>
        <w:t>1</w:t>
      </w:r>
      <w:r w:rsidRPr="006C7E49">
        <w:rPr>
          <w:rFonts w:cs="Arial"/>
          <w:b/>
          <w:bCs/>
          <w:sz w:val="20"/>
          <w:szCs w:val="20"/>
        </w:rPr>
        <w:tab/>
      </w:r>
      <w:r w:rsidRPr="006C7E49">
        <w:rPr>
          <w:rFonts w:cs="Arial"/>
          <w:b/>
          <w:bCs/>
          <w:sz w:val="20"/>
          <w:szCs w:val="20"/>
        </w:rPr>
        <w:tab/>
      </w:r>
      <w:r w:rsidR="0025644E">
        <w:rPr>
          <w:rFonts w:cs="Arial"/>
          <w:b/>
          <w:bCs/>
          <w:sz w:val="20"/>
          <w:szCs w:val="20"/>
        </w:rPr>
        <w:t>9</w:t>
      </w:r>
      <w:r w:rsidR="0023601B">
        <w:rPr>
          <w:rFonts w:cs="Arial"/>
          <w:b/>
          <w:bCs/>
          <w:sz w:val="20"/>
          <w:szCs w:val="20"/>
        </w:rPr>
        <w:t>20</w:t>
      </w:r>
      <w:r w:rsidR="00963A97">
        <w:rPr>
          <w:rFonts w:cs="Arial"/>
          <w:b/>
          <w:bCs/>
          <w:sz w:val="20"/>
          <w:szCs w:val="20"/>
        </w:rPr>
        <w:t>,</w:t>
      </w:r>
      <w:r w:rsidR="0023601B">
        <w:rPr>
          <w:rFonts w:cs="Arial"/>
          <w:b/>
          <w:bCs/>
          <w:sz w:val="20"/>
          <w:szCs w:val="20"/>
        </w:rPr>
        <w:t>893</w:t>
      </w:r>
      <w:r w:rsidRPr="006C7E49">
        <w:rPr>
          <w:rFonts w:cs="Arial"/>
          <w:b/>
          <w:bCs/>
          <w:sz w:val="20"/>
          <w:szCs w:val="20"/>
        </w:rPr>
        <w:tab/>
      </w:r>
      <w:r w:rsidR="0023601B">
        <w:rPr>
          <w:rFonts w:cs="Arial"/>
          <w:b/>
          <w:bCs/>
          <w:sz w:val="20"/>
          <w:szCs w:val="20"/>
        </w:rPr>
        <w:t>990</w:t>
      </w:r>
      <w:r w:rsidR="00963A97">
        <w:rPr>
          <w:rFonts w:cs="Arial"/>
          <w:b/>
          <w:bCs/>
          <w:sz w:val="20"/>
          <w:szCs w:val="20"/>
        </w:rPr>
        <w:t>,</w:t>
      </w:r>
      <w:r w:rsidR="0023601B">
        <w:rPr>
          <w:rFonts w:cs="Arial"/>
          <w:b/>
          <w:bCs/>
          <w:sz w:val="20"/>
          <w:szCs w:val="20"/>
        </w:rPr>
        <w:t>019</w:t>
      </w:r>
    </w:p>
    <w:p w14:paraId="7E5713F0"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sz w:val="20"/>
          <w:szCs w:val="20"/>
        </w:rPr>
      </w:pPr>
      <w:r w:rsidRPr="006C7E49">
        <w:rPr>
          <w:rFonts w:cs="Arial"/>
          <w:b/>
          <w:bCs/>
          <w:sz w:val="20"/>
          <w:szCs w:val="20"/>
        </w:rPr>
        <w:t>end of the period</w:t>
      </w:r>
      <w:r w:rsidRPr="006C7E49">
        <w:rPr>
          <w:rFonts w:cs="Arial"/>
          <w:b/>
          <w:bCs/>
          <w:sz w:val="20"/>
          <w:szCs w:val="20"/>
        </w:rPr>
        <w:tab/>
      </w:r>
      <w:r w:rsidRPr="006C7E49">
        <w:rPr>
          <w:rFonts w:cs="Arial"/>
          <w:b/>
          <w:bCs/>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6DA4CD61"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p>
    <w:p w14:paraId="6667F15B" w14:textId="77777777" w:rsidR="000C2A54" w:rsidRDefault="000C2A54" w:rsidP="000C2A54">
      <w:pPr>
        <w:widowControl w:val="0"/>
        <w:tabs>
          <w:tab w:val="center" w:pos="5670"/>
          <w:tab w:val="right" w:pos="7371"/>
          <w:tab w:val="right" w:pos="9071"/>
        </w:tabs>
        <w:autoSpaceDE w:val="0"/>
        <w:autoSpaceDN w:val="0"/>
        <w:adjustRightInd w:val="0"/>
        <w:rPr>
          <w:rFonts w:cs="Arial"/>
          <w:b/>
          <w:bCs/>
          <w:sz w:val="22"/>
          <w:szCs w:val="22"/>
        </w:rPr>
      </w:pPr>
    </w:p>
    <w:p w14:paraId="3CA31849" w14:textId="77777777" w:rsidR="000C2A54" w:rsidRDefault="000C2A54" w:rsidP="000C2A54">
      <w:pPr>
        <w:widowControl w:val="0"/>
        <w:autoSpaceDE w:val="0"/>
        <w:autoSpaceDN w:val="0"/>
        <w:adjustRightInd w:val="0"/>
        <w:rPr>
          <w:rFonts w:cs="Arial"/>
          <w:sz w:val="22"/>
          <w:szCs w:val="22"/>
        </w:rPr>
      </w:pPr>
    </w:p>
    <w:p w14:paraId="030FF5E7" w14:textId="77777777" w:rsidR="00FA67ED" w:rsidRDefault="00FA67ED" w:rsidP="000C2A54">
      <w:pPr>
        <w:widowControl w:val="0"/>
        <w:autoSpaceDE w:val="0"/>
        <w:autoSpaceDN w:val="0"/>
        <w:adjustRightInd w:val="0"/>
        <w:rPr>
          <w:rFonts w:cs="Arial"/>
          <w:sz w:val="22"/>
          <w:szCs w:val="22"/>
        </w:rPr>
      </w:pPr>
    </w:p>
    <w:p w14:paraId="4155F32C" w14:textId="77777777" w:rsidR="00FA67ED" w:rsidRDefault="00FA67ED" w:rsidP="000C2A54">
      <w:pPr>
        <w:widowControl w:val="0"/>
        <w:autoSpaceDE w:val="0"/>
        <w:autoSpaceDN w:val="0"/>
        <w:adjustRightInd w:val="0"/>
        <w:rPr>
          <w:rFonts w:cs="Arial"/>
          <w:sz w:val="22"/>
          <w:szCs w:val="22"/>
        </w:rPr>
      </w:pPr>
    </w:p>
    <w:p w14:paraId="22F04591" w14:textId="77777777" w:rsidR="00FA67ED" w:rsidRPr="00AC49A1" w:rsidRDefault="00FA67ED" w:rsidP="000C2A54">
      <w:pPr>
        <w:widowControl w:val="0"/>
        <w:autoSpaceDE w:val="0"/>
        <w:autoSpaceDN w:val="0"/>
        <w:adjustRightInd w:val="0"/>
        <w:rPr>
          <w:rFonts w:cs="Arial"/>
          <w:sz w:val="22"/>
          <w:szCs w:val="22"/>
        </w:rPr>
      </w:pPr>
    </w:p>
    <w:p w14:paraId="57E77565" w14:textId="0ABE45D0"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916359">
        <w:rPr>
          <w:sz w:val="22"/>
          <w:szCs w:val="22"/>
        </w:rPr>
        <w:t>77</w:t>
      </w:r>
      <w:r w:rsidR="0081025D" w:rsidRPr="00EB5423">
        <w:rPr>
          <w:sz w:val="22"/>
          <w:szCs w:val="22"/>
        </w:rPr>
        <w:t xml:space="preserve"> </w:t>
      </w:r>
      <w:r w:rsidRPr="00EB5423">
        <w:rPr>
          <w:sz w:val="22"/>
          <w:szCs w:val="22"/>
        </w:rPr>
        <w:t xml:space="preserve">to </w:t>
      </w:r>
      <w:r w:rsidR="00916359">
        <w:rPr>
          <w:sz w:val="22"/>
          <w:szCs w:val="22"/>
        </w:rPr>
        <w:t>97</w:t>
      </w:r>
      <w:r w:rsidR="0081025D" w:rsidRPr="00EB5423">
        <w:rPr>
          <w:sz w:val="22"/>
          <w:szCs w:val="22"/>
        </w:rPr>
        <w:t xml:space="preserve"> </w:t>
      </w:r>
      <w:r w:rsidRPr="00EB5423">
        <w:rPr>
          <w:sz w:val="22"/>
          <w:szCs w:val="22"/>
        </w:rPr>
        <w:t>form part of the financial statements.</w:t>
      </w:r>
    </w:p>
    <w:p w14:paraId="658F8B77" w14:textId="5F0B1EC9" w:rsidR="000C2A54" w:rsidRPr="00EB5423" w:rsidRDefault="00F130A1" w:rsidP="00417CAC">
      <w:pPr>
        <w:jc w:val="center"/>
        <w:rPr>
          <w:b/>
        </w:rPr>
      </w:pPr>
      <w:bookmarkStart w:id="35" w:name="StatementofChangesinEquity"/>
      <w:r>
        <w:rPr>
          <w:rFonts w:cs="Arial"/>
          <w:b/>
          <w:color w:val="77328A"/>
          <w:sz w:val="30"/>
          <w:szCs w:val="30"/>
        </w:rPr>
        <w:br w:type="page"/>
      </w:r>
      <w:r w:rsidR="008C73A2">
        <w:rPr>
          <w:rFonts w:cs="Arial"/>
          <w:b/>
          <w:color w:val="77328A"/>
          <w:sz w:val="30"/>
          <w:szCs w:val="30"/>
        </w:rPr>
        <w:lastRenderedPageBreak/>
        <w:t xml:space="preserve">Statement of Changes in </w:t>
      </w:r>
      <w:r w:rsidR="00FB15E6">
        <w:rPr>
          <w:rFonts w:cs="Arial"/>
          <w:b/>
          <w:color w:val="77328A"/>
          <w:sz w:val="30"/>
          <w:szCs w:val="30"/>
        </w:rPr>
        <w:t xml:space="preserve">Taxpayers’ </w:t>
      </w:r>
      <w:r w:rsidR="008C73A2">
        <w:rPr>
          <w:rFonts w:cs="Arial"/>
          <w:b/>
          <w:color w:val="77328A"/>
          <w:sz w:val="30"/>
          <w:szCs w:val="30"/>
        </w:rPr>
        <w:t>Equity</w:t>
      </w:r>
      <w:r w:rsidR="004E6BF5">
        <w:rPr>
          <w:rFonts w:cs="Arial"/>
          <w:b/>
          <w:color w:val="77328A"/>
          <w:sz w:val="30"/>
          <w:szCs w:val="30"/>
        </w:rPr>
        <w:t xml:space="preserve"> for the Year Ended 31 March 202</w:t>
      </w:r>
      <w:r w:rsidR="0023601B">
        <w:rPr>
          <w:rFonts w:cs="Arial"/>
          <w:b/>
          <w:color w:val="77328A"/>
          <w:sz w:val="30"/>
          <w:szCs w:val="30"/>
        </w:rPr>
        <w:t>5</w:t>
      </w:r>
    </w:p>
    <w:bookmarkEnd w:id="35"/>
    <w:p w14:paraId="4EE64406" w14:textId="77777777" w:rsidR="000C2A54" w:rsidRDefault="000C2A54" w:rsidP="000C2A54">
      <w:pPr>
        <w:widowControl w:val="0"/>
        <w:autoSpaceDE w:val="0"/>
        <w:autoSpaceDN w:val="0"/>
        <w:adjustRightInd w:val="0"/>
        <w:jc w:val="center"/>
        <w:rPr>
          <w:b/>
          <w:sz w:val="28"/>
        </w:rPr>
      </w:pPr>
    </w:p>
    <w:p w14:paraId="72CC7451" w14:textId="77777777" w:rsidR="000C2A54" w:rsidRDefault="000C2A54" w:rsidP="000C2A54">
      <w:pPr>
        <w:widowControl w:val="0"/>
        <w:autoSpaceDE w:val="0"/>
        <w:autoSpaceDN w:val="0"/>
        <w:adjustRightInd w:val="0"/>
        <w:jc w:val="center"/>
        <w:rPr>
          <w:b/>
          <w:sz w:val="28"/>
        </w:rPr>
      </w:pPr>
    </w:p>
    <w:tbl>
      <w:tblPr>
        <w:tblW w:w="9073" w:type="dxa"/>
        <w:tblLayout w:type="fixed"/>
        <w:tblLook w:val="01E0" w:firstRow="1" w:lastRow="1" w:firstColumn="1" w:lastColumn="1" w:noHBand="0" w:noVBand="0"/>
      </w:tblPr>
      <w:tblGrid>
        <w:gridCol w:w="2268"/>
        <w:gridCol w:w="2268"/>
        <w:gridCol w:w="2268"/>
        <w:gridCol w:w="2269"/>
      </w:tblGrid>
      <w:tr w:rsidR="002B787F" w:rsidRPr="002D3016" w14:paraId="6ADE0B11" w14:textId="77777777" w:rsidTr="00664A13">
        <w:tc>
          <w:tcPr>
            <w:tcW w:w="2268" w:type="dxa"/>
          </w:tcPr>
          <w:p w14:paraId="289734F9" w14:textId="77777777" w:rsidR="002B787F" w:rsidRPr="002D3016" w:rsidRDefault="002B787F" w:rsidP="006F26A2">
            <w:pPr>
              <w:widowControl w:val="0"/>
              <w:autoSpaceDE w:val="0"/>
              <w:autoSpaceDN w:val="0"/>
              <w:adjustRightInd w:val="0"/>
              <w:ind w:right="-855"/>
              <w:jc w:val="right"/>
              <w:rPr>
                <w:b/>
                <w:sz w:val="22"/>
                <w:szCs w:val="22"/>
              </w:rPr>
            </w:pPr>
          </w:p>
        </w:tc>
        <w:tc>
          <w:tcPr>
            <w:tcW w:w="2268" w:type="dxa"/>
          </w:tcPr>
          <w:p w14:paraId="4BD7FD83" w14:textId="1F7AF794" w:rsidR="002B787F" w:rsidRDefault="002B787F" w:rsidP="006F26A2">
            <w:pPr>
              <w:widowControl w:val="0"/>
              <w:autoSpaceDE w:val="0"/>
              <w:autoSpaceDN w:val="0"/>
              <w:adjustRightInd w:val="0"/>
              <w:jc w:val="right"/>
              <w:rPr>
                <w:b/>
                <w:sz w:val="20"/>
                <w:szCs w:val="20"/>
              </w:rPr>
            </w:pPr>
            <w:r>
              <w:rPr>
                <w:b/>
                <w:sz w:val="20"/>
                <w:szCs w:val="20"/>
              </w:rPr>
              <w:t>General Reserves</w:t>
            </w:r>
          </w:p>
          <w:p w14:paraId="5D40087E" w14:textId="77777777" w:rsidR="00612DE1" w:rsidRDefault="00612DE1" w:rsidP="006F26A2">
            <w:pPr>
              <w:widowControl w:val="0"/>
              <w:autoSpaceDE w:val="0"/>
              <w:autoSpaceDN w:val="0"/>
              <w:adjustRightInd w:val="0"/>
              <w:jc w:val="right"/>
              <w:rPr>
                <w:b/>
                <w:sz w:val="20"/>
                <w:szCs w:val="20"/>
              </w:rPr>
            </w:pPr>
          </w:p>
          <w:p w14:paraId="38256840" w14:textId="514B9FD8" w:rsidR="002B787F" w:rsidRDefault="002B787F" w:rsidP="006F26A2">
            <w:pPr>
              <w:widowControl w:val="0"/>
              <w:autoSpaceDE w:val="0"/>
              <w:autoSpaceDN w:val="0"/>
              <w:adjustRightInd w:val="0"/>
              <w:jc w:val="right"/>
              <w:rPr>
                <w:b/>
                <w:sz w:val="20"/>
                <w:szCs w:val="20"/>
              </w:rPr>
            </w:pPr>
            <w:r>
              <w:rPr>
                <w:b/>
                <w:sz w:val="20"/>
                <w:szCs w:val="20"/>
              </w:rPr>
              <w:t>£</w:t>
            </w:r>
          </w:p>
        </w:tc>
        <w:tc>
          <w:tcPr>
            <w:tcW w:w="2268" w:type="dxa"/>
          </w:tcPr>
          <w:p w14:paraId="63C3AE73" w14:textId="77777777" w:rsidR="002B787F" w:rsidRDefault="002B787F" w:rsidP="00612DE1">
            <w:pPr>
              <w:widowControl w:val="0"/>
              <w:autoSpaceDE w:val="0"/>
              <w:autoSpaceDN w:val="0"/>
              <w:adjustRightInd w:val="0"/>
              <w:ind w:right="597"/>
              <w:rPr>
                <w:b/>
                <w:sz w:val="20"/>
                <w:szCs w:val="20"/>
              </w:rPr>
            </w:pPr>
            <w:r>
              <w:rPr>
                <w:b/>
                <w:sz w:val="20"/>
                <w:szCs w:val="20"/>
              </w:rPr>
              <w:t>Revaluation Reserves</w:t>
            </w:r>
          </w:p>
          <w:p w14:paraId="04974176" w14:textId="124BB364" w:rsidR="007F35D2" w:rsidRDefault="007F35D2" w:rsidP="002B787F">
            <w:pPr>
              <w:widowControl w:val="0"/>
              <w:autoSpaceDE w:val="0"/>
              <w:autoSpaceDN w:val="0"/>
              <w:adjustRightInd w:val="0"/>
              <w:ind w:right="597"/>
              <w:jc w:val="right"/>
              <w:rPr>
                <w:b/>
                <w:sz w:val="20"/>
                <w:szCs w:val="20"/>
              </w:rPr>
            </w:pPr>
            <w:r>
              <w:rPr>
                <w:b/>
                <w:sz w:val="20"/>
                <w:szCs w:val="20"/>
              </w:rPr>
              <w:t>£</w:t>
            </w:r>
          </w:p>
        </w:tc>
        <w:tc>
          <w:tcPr>
            <w:tcW w:w="2269" w:type="dxa"/>
          </w:tcPr>
          <w:p w14:paraId="126EB5AB" w14:textId="7C92C09B" w:rsidR="002B787F" w:rsidRPr="003061F1" w:rsidRDefault="002B787F" w:rsidP="00612DE1">
            <w:pPr>
              <w:widowControl w:val="0"/>
              <w:autoSpaceDE w:val="0"/>
              <w:autoSpaceDN w:val="0"/>
              <w:adjustRightInd w:val="0"/>
              <w:ind w:left="-112" w:right="740"/>
              <w:jc w:val="center"/>
              <w:rPr>
                <w:b/>
                <w:sz w:val="20"/>
                <w:szCs w:val="20"/>
              </w:rPr>
            </w:pPr>
            <w:r>
              <w:rPr>
                <w:b/>
                <w:sz w:val="20"/>
                <w:szCs w:val="20"/>
              </w:rPr>
              <w:t>T</w:t>
            </w:r>
            <w:r w:rsidRPr="003061F1">
              <w:rPr>
                <w:b/>
                <w:sz w:val="20"/>
                <w:szCs w:val="20"/>
              </w:rPr>
              <w:t>otal</w:t>
            </w:r>
          </w:p>
          <w:p w14:paraId="3C3C1C17" w14:textId="77777777" w:rsidR="002B787F" w:rsidRDefault="002B787F" w:rsidP="00612DE1">
            <w:pPr>
              <w:widowControl w:val="0"/>
              <w:autoSpaceDE w:val="0"/>
              <w:autoSpaceDN w:val="0"/>
              <w:adjustRightInd w:val="0"/>
              <w:ind w:right="740"/>
              <w:jc w:val="right"/>
              <w:rPr>
                <w:b/>
                <w:sz w:val="20"/>
                <w:szCs w:val="20"/>
              </w:rPr>
            </w:pPr>
            <w:r w:rsidRPr="003061F1">
              <w:rPr>
                <w:b/>
                <w:sz w:val="20"/>
                <w:szCs w:val="20"/>
              </w:rPr>
              <w:t>Reserves</w:t>
            </w:r>
          </w:p>
          <w:p w14:paraId="690E7652" w14:textId="77777777" w:rsidR="002B787F" w:rsidRPr="003061F1" w:rsidRDefault="002B787F" w:rsidP="00612DE1">
            <w:pPr>
              <w:widowControl w:val="0"/>
              <w:autoSpaceDE w:val="0"/>
              <w:autoSpaceDN w:val="0"/>
              <w:adjustRightInd w:val="0"/>
              <w:ind w:right="740"/>
              <w:jc w:val="right"/>
              <w:rPr>
                <w:b/>
                <w:sz w:val="20"/>
                <w:szCs w:val="20"/>
              </w:rPr>
            </w:pPr>
            <w:r>
              <w:rPr>
                <w:b/>
                <w:sz w:val="20"/>
                <w:szCs w:val="20"/>
              </w:rPr>
              <w:t>£</w:t>
            </w:r>
          </w:p>
        </w:tc>
      </w:tr>
      <w:tr w:rsidR="002B787F" w:rsidRPr="00EB7EA1" w14:paraId="02BE9D14" w14:textId="77777777" w:rsidTr="00664A13">
        <w:tc>
          <w:tcPr>
            <w:tcW w:w="2268" w:type="dxa"/>
          </w:tcPr>
          <w:p w14:paraId="635B7EDD" w14:textId="77777777" w:rsidR="002B787F" w:rsidRPr="003061F1" w:rsidRDefault="002B787F" w:rsidP="006F26A2">
            <w:pPr>
              <w:widowControl w:val="0"/>
              <w:autoSpaceDE w:val="0"/>
              <w:autoSpaceDN w:val="0"/>
              <w:adjustRightInd w:val="0"/>
              <w:rPr>
                <w:b/>
                <w:sz w:val="20"/>
                <w:szCs w:val="20"/>
              </w:rPr>
            </w:pPr>
          </w:p>
          <w:p w14:paraId="481ECF82" w14:textId="16851587" w:rsidR="002B787F" w:rsidRPr="003061F1" w:rsidRDefault="002B787F" w:rsidP="006F26A2">
            <w:pPr>
              <w:widowControl w:val="0"/>
              <w:autoSpaceDE w:val="0"/>
              <w:autoSpaceDN w:val="0"/>
              <w:adjustRightInd w:val="0"/>
              <w:rPr>
                <w:b/>
                <w:sz w:val="20"/>
                <w:szCs w:val="20"/>
              </w:rPr>
            </w:pPr>
            <w:r>
              <w:rPr>
                <w:b/>
                <w:sz w:val="20"/>
                <w:szCs w:val="20"/>
              </w:rPr>
              <w:t>Balance at 31 March 202</w:t>
            </w:r>
            <w:r w:rsidR="0023601B">
              <w:rPr>
                <w:b/>
                <w:sz w:val="20"/>
                <w:szCs w:val="20"/>
              </w:rPr>
              <w:t>3</w:t>
            </w:r>
          </w:p>
          <w:p w14:paraId="610B854B" w14:textId="77777777" w:rsidR="002B787F" w:rsidRPr="003061F1" w:rsidRDefault="002B787F" w:rsidP="006F26A2">
            <w:pPr>
              <w:widowControl w:val="0"/>
              <w:autoSpaceDE w:val="0"/>
              <w:autoSpaceDN w:val="0"/>
              <w:adjustRightInd w:val="0"/>
              <w:rPr>
                <w:b/>
                <w:sz w:val="20"/>
                <w:szCs w:val="20"/>
              </w:rPr>
            </w:pPr>
          </w:p>
        </w:tc>
        <w:tc>
          <w:tcPr>
            <w:tcW w:w="2268" w:type="dxa"/>
          </w:tcPr>
          <w:p w14:paraId="12056AA3" w14:textId="77777777" w:rsidR="002B787F" w:rsidRDefault="002B787F" w:rsidP="006F26A2">
            <w:pPr>
              <w:widowControl w:val="0"/>
              <w:autoSpaceDE w:val="0"/>
              <w:autoSpaceDN w:val="0"/>
              <w:adjustRightInd w:val="0"/>
              <w:jc w:val="right"/>
              <w:rPr>
                <w:b/>
                <w:sz w:val="20"/>
                <w:szCs w:val="20"/>
              </w:rPr>
            </w:pPr>
          </w:p>
          <w:p w14:paraId="74D8A144" w14:textId="680D5DA7" w:rsidR="002B787F" w:rsidRPr="003061F1" w:rsidRDefault="0023601B" w:rsidP="006F26A2">
            <w:pPr>
              <w:widowControl w:val="0"/>
              <w:autoSpaceDE w:val="0"/>
              <w:autoSpaceDN w:val="0"/>
              <w:adjustRightInd w:val="0"/>
              <w:jc w:val="right"/>
              <w:rPr>
                <w:b/>
                <w:sz w:val="20"/>
                <w:szCs w:val="20"/>
              </w:rPr>
            </w:pPr>
            <w:r>
              <w:rPr>
                <w:b/>
                <w:sz w:val="20"/>
                <w:szCs w:val="20"/>
              </w:rPr>
              <w:t>624</w:t>
            </w:r>
            <w:r w:rsidR="00963A97">
              <w:rPr>
                <w:b/>
                <w:sz w:val="20"/>
                <w:szCs w:val="20"/>
              </w:rPr>
              <w:t>,</w:t>
            </w:r>
            <w:r>
              <w:rPr>
                <w:b/>
                <w:sz w:val="20"/>
                <w:szCs w:val="20"/>
              </w:rPr>
              <w:t>797</w:t>
            </w:r>
          </w:p>
        </w:tc>
        <w:tc>
          <w:tcPr>
            <w:tcW w:w="2268" w:type="dxa"/>
          </w:tcPr>
          <w:p w14:paraId="1187FE15" w14:textId="77777777" w:rsidR="002B787F" w:rsidRDefault="002B787F" w:rsidP="002B787F">
            <w:pPr>
              <w:widowControl w:val="0"/>
              <w:autoSpaceDE w:val="0"/>
              <w:autoSpaceDN w:val="0"/>
              <w:adjustRightInd w:val="0"/>
              <w:ind w:right="597"/>
              <w:jc w:val="right"/>
              <w:rPr>
                <w:b/>
                <w:sz w:val="20"/>
                <w:szCs w:val="20"/>
              </w:rPr>
            </w:pPr>
          </w:p>
          <w:p w14:paraId="317C5BEA" w14:textId="33AAA2EB" w:rsidR="007F35D2" w:rsidRDefault="00852656" w:rsidP="002B787F">
            <w:pPr>
              <w:widowControl w:val="0"/>
              <w:autoSpaceDE w:val="0"/>
              <w:autoSpaceDN w:val="0"/>
              <w:adjustRightInd w:val="0"/>
              <w:ind w:right="597"/>
              <w:jc w:val="right"/>
              <w:rPr>
                <w:b/>
                <w:sz w:val="20"/>
                <w:szCs w:val="20"/>
              </w:rPr>
            </w:pPr>
            <w:r>
              <w:rPr>
                <w:b/>
                <w:sz w:val="20"/>
                <w:szCs w:val="20"/>
              </w:rPr>
              <w:t>70</w:t>
            </w:r>
            <w:r w:rsidR="004E5A0C">
              <w:rPr>
                <w:b/>
                <w:sz w:val="20"/>
                <w:szCs w:val="20"/>
              </w:rPr>
              <w:t>,</w:t>
            </w:r>
            <w:r>
              <w:rPr>
                <w:b/>
                <w:sz w:val="20"/>
                <w:szCs w:val="20"/>
              </w:rPr>
              <w:t>606</w:t>
            </w:r>
          </w:p>
        </w:tc>
        <w:tc>
          <w:tcPr>
            <w:tcW w:w="2269" w:type="dxa"/>
          </w:tcPr>
          <w:p w14:paraId="35AF946E" w14:textId="25726AEA" w:rsidR="002B787F" w:rsidRDefault="002B787F" w:rsidP="00612DE1">
            <w:pPr>
              <w:widowControl w:val="0"/>
              <w:autoSpaceDE w:val="0"/>
              <w:autoSpaceDN w:val="0"/>
              <w:adjustRightInd w:val="0"/>
              <w:ind w:right="740"/>
              <w:jc w:val="right"/>
              <w:rPr>
                <w:b/>
                <w:sz w:val="20"/>
                <w:szCs w:val="20"/>
              </w:rPr>
            </w:pPr>
          </w:p>
          <w:p w14:paraId="2BDE1B00" w14:textId="60A155CE" w:rsidR="002B787F" w:rsidRPr="003061F1" w:rsidRDefault="00852656" w:rsidP="00612DE1">
            <w:pPr>
              <w:widowControl w:val="0"/>
              <w:autoSpaceDE w:val="0"/>
              <w:autoSpaceDN w:val="0"/>
              <w:adjustRightInd w:val="0"/>
              <w:ind w:right="740"/>
              <w:jc w:val="right"/>
              <w:rPr>
                <w:b/>
                <w:sz w:val="20"/>
                <w:szCs w:val="20"/>
              </w:rPr>
            </w:pPr>
            <w:r>
              <w:rPr>
                <w:b/>
                <w:sz w:val="20"/>
                <w:szCs w:val="20"/>
              </w:rPr>
              <w:t>695</w:t>
            </w:r>
            <w:r w:rsidR="00963A97">
              <w:rPr>
                <w:b/>
                <w:sz w:val="20"/>
                <w:szCs w:val="20"/>
              </w:rPr>
              <w:t>,</w:t>
            </w:r>
            <w:r>
              <w:rPr>
                <w:b/>
                <w:sz w:val="20"/>
                <w:szCs w:val="20"/>
              </w:rPr>
              <w:t>403</w:t>
            </w:r>
          </w:p>
        </w:tc>
      </w:tr>
      <w:tr w:rsidR="002B787F" w:rsidRPr="002D3016" w14:paraId="23D0A9A9" w14:textId="77777777" w:rsidTr="00664A13">
        <w:tc>
          <w:tcPr>
            <w:tcW w:w="2268" w:type="dxa"/>
          </w:tcPr>
          <w:p w14:paraId="659CC614" w14:textId="77777777" w:rsidR="002B787F" w:rsidRDefault="002B787F" w:rsidP="006F26A2">
            <w:pPr>
              <w:widowControl w:val="0"/>
              <w:autoSpaceDE w:val="0"/>
              <w:autoSpaceDN w:val="0"/>
              <w:adjustRightInd w:val="0"/>
              <w:rPr>
                <w:rFonts w:cs="Arial"/>
                <w:bCs/>
                <w:sz w:val="20"/>
                <w:szCs w:val="20"/>
              </w:rPr>
            </w:pPr>
            <w:r>
              <w:rPr>
                <w:rFonts w:cs="Arial"/>
                <w:bCs/>
                <w:sz w:val="20"/>
                <w:szCs w:val="20"/>
              </w:rPr>
              <w:t>Comprehensive net e</w:t>
            </w:r>
            <w:r w:rsidRPr="003061F1">
              <w:rPr>
                <w:rFonts w:cs="Arial"/>
                <w:bCs/>
                <w:sz w:val="20"/>
                <w:szCs w:val="20"/>
              </w:rPr>
              <w:t>xpenditure for the year</w:t>
            </w:r>
          </w:p>
          <w:p w14:paraId="4A67E7DA" w14:textId="77777777" w:rsidR="002B787F" w:rsidRDefault="002B787F" w:rsidP="006F26A2">
            <w:pPr>
              <w:widowControl w:val="0"/>
              <w:autoSpaceDE w:val="0"/>
              <w:autoSpaceDN w:val="0"/>
              <w:adjustRightInd w:val="0"/>
              <w:rPr>
                <w:rFonts w:cs="Arial"/>
                <w:bCs/>
                <w:sz w:val="20"/>
                <w:szCs w:val="20"/>
              </w:rPr>
            </w:pPr>
          </w:p>
          <w:p w14:paraId="06F75A9D" w14:textId="1214A035" w:rsidR="00963A97" w:rsidRDefault="00963A97" w:rsidP="006F26A2">
            <w:pPr>
              <w:widowControl w:val="0"/>
              <w:autoSpaceDE w:val="0"/>
              <w:autoSpaceDN w:val="0"/>
              <w:adjustRightInd w:val="0"/>
              <w:rPr>
                <w:rFonts w:cs="Arial"/>
                <w:bCs/>
                <w:sz w:val="20"/>
                <w:szCs w:val="20"/>
              </w:rPr>
            </w:pPr>
            <w:r>
              <w:rPr>
                <w:rFonts w:cs="Arial"/>
                <w:bCs/>
                <w:sz w:val="20"/>
                <w:szCs w:val="20"/>
              </w:rPr>
              <w:t>Net gain on revaluation of property</w:t>
            </w:r>
          </w:p>
          <w:p w14:paraId="0F3666F9" w14:textId="77777777" w:rsidR="002B787F" w:rsidRPr="003061F1" w:rsidRDefault="002B787F" w:rsidP="006F26A2">
            <w:pPr>
              <w:widowControl w:val="0"/>
              <w:autoSpaceDE w:val="0"/>
              <w:autoSpaceDN w:val="0"/>
              <w:adjustRightInd w:val="0"/>
              <w:rPr>
                <w:sz w:val="20"/>
                <w:szCs w:val="20"/>
              </w:rPr>
            </w:pPr>
          </w:p>
        </w:tc>
        <w:tc>
          <w:tcPr>
            <w:tcW w:w="2268" w:type="dxa"/>
          </w:tcPr>
          <w:p w14:paraId="35190A97" w14:textId="77777777" w:rsidR="002B787F" w:rsidRDefault="002B787F" w:rsidP="006F26A2">
            <w:pPr>
              <w:widowControl w:val="0"/>
              <w:autoSpaceDE w:val="0"/>
              <w:autoSpaceDN w:val="0"/>
              <w:adjustRightInd w:val="0"/>
              <w:jc w:val="right"/>
              <w:rPr>
                <w:sz w:val="20"/>
                <w:szCs w:val="20"/>
              </w:rPr>
            </w:pPr>
          </w:p>
          <w:p w14:paraId="30D539BF" w14:textId="5E4742C1" w:rsidR="002B787F" w:rsidRDefault="002B787F" w:rsidP="0029565E">
            <w:pPr>
              <w:widowControl w:val="0"/>
              <w:autoSpaceDE w:val="0"/>
              <w:autoSpaceDN w:val="0"/>
              <w:adjustRightInd w:val="0"/>
              <w:jc w:val="right"/>
              <w:rPr>
                <w:sz w:val="20"/>
                <w:szCs w:val="20"/>
              </w:rPr>
            </w:pPr>
            <w:r>
              <w:rPr>
                <w:sz w:val="20"/>
                <w:szCs w:val="20"/>
              </w:rPr>
              <w:t>(</w:t>
            </w:r>
            <w:r w:rsidR="00963A97">
              <w:rPr>
                <w:sz w:val="20"/>
                <w:szCs w:val="20"/>
              </w:rPr>
              <w:t>2,</w:t>
            </w:r>
            <w:r w:rsidR="0023601B">
              <w:rPr>
                <w:sz w:val="20"/>
                <w:szCs w:val="20"/>
              </w:rPr>
              <w:t>702</w:t>
            </w:r>
            <w:r w:rsidR="00963A97">
              <w:rPr>
                <w:sz w:val="20"/>
                <w:szCs w:val="20"/>
              </w:rPr>
              <w:t>,</w:t>
            </w:r>
            <w:r w:rsidR="0023601B">
              <w:rPr>
                <w:sz w:val="20"/>
                <w:szCs w:val="20"/>
              </w:rPr>
              <w:t>535</w:t>
            </w:r>
            <w:r w:rsidR="00963A97">
              <w:rPr>
                <w:sz w:val="20"/>
                <w:szCs w:val="20"/>
              </w:rPr>
              <w:t>)</w:t>
            </w:r>
          </w:p>
          <w:p w14:paraId="697BC5AC" w14:textId="77777777" w:rsidR="006C5F48" w:rsidRDefault="006C5F48" w:rsidP="0029565E">
            <w:pPr>
              <w:widowControl w:val="0"/>
              <w:autoSpaceDE w:val="0"/>
              <w:autoSpaceDN w:val="0"/>
              <w:adjustRightInd w:val="0"/>
              <w:jc w:val="right"/>
              <w:rPr>
                <w:sz w:val="20"/>
                <w:szCs w:val="20"/>
              </w:rPr>
            </w:pPr>
          </w:p>
          <w:p w14:paraId="65B8DE32" w14:textId="77777777" w:rsidR="006C5F48" w:rsidRDefault="006C5F48" w:rsidP="0029565E">
            <w:pPr>
              <w:widowControl w:val="0"/>
              <w:autoSpaceDE w:val="0"/>
              <w:autoSpaceDN w:val="0"/>
              <w:adjustRightInd w:val="0"/>
              <w:jc w:val="right"/>
              <w:rPr>
                <w:sz w:val="20"/>
                <w:szCs w:val="20"/>
              </w:rPr>
            </w:pPr>
          </w:p>
          <w:p w14:paraId="1CB81C2C" w14:textId="003114EF" w:rsidR="006C5F48" w:rsidRPr="003061F1" w:rsidRDefault="006C5F48" w:rsidP="0029565E">
            <w:pPr>
              <w:widowControl w:val="0"/>
              <w:autoSpaceDE w:val="0"/>
              <w:autoSpaceDN w:val="0"/>
              <w:adjustRightInd w:val="0"/>
              <w:jc w:val="right"/>
              <w:rPr>
                <w:sz w:val="20"/>
                <w:szCs w:val="20"/>
              </w:rPr>
            </w:pPr>
            <w:r>
              <w:rPr>
                <w:sz w:val="20"/>
                <w:szCs w:val="20"/>
              </w:rPr>
              <w:t>0</w:t>
            </w:r>
          </w:p>
        </w:tc>
        <w:tc>
          <w:tcPr>
            <w:tcW w:w="2268" w:type="dxa"/>
          </w:tcPr>
          <w:p w14:paraId="3EFF75F9" w14:textId="77777777" w:rsidR="002B787F" w:rsidRDefault="002B787F" w:rsidP="002B787F">
            <w:pPr>
              <w:widowControl w:val="0"/>
              <w:autoSpaceDE w:val="0"/>
              <w:autoSpaceDN w:val="0"/>
              <w:adjustRightInd w:val="0"/>
              <w:ind w:right="597"/>
              <w:jc w:val="right"/>
              <w:rPr>
                <w:sz w:val="20"/>
                <w:szCs w:val="20"/>
              </w:rPr>
            </w:pPr>
          </w:p>
          <w:p w14:paraId="17A1E0CE" w14:textId="77777777" w:rsidR="007F35D2" w:rsidRDefault="007F35D2" w:rsidP="002B787F">
            <w:pPr>
              <w:widowControl w:val="0"/>
              <w:autoSpaceDE w:val="0"/>
              <w:autoSpaceDN w:val="0"/>
              <w:adjustRightInd w:val="0"/>
              <w:ind w:right="597"/>
              <w:jc w:val="right"/>
              <w:rPr>
                <w:sz w:val="20"/>
                <w:szCs w:val="20"/>
              </w:rPr>
            </w:pPr>
            <w:r>
              <w:rPr>
                <w:sz w:val="20"/>
                <w:szCs w:val="20"/>
              </w:rPr>
              <w:t>0</w:t>
            </w:r>
          </w:p>
          <w:p w14:paraId="23146D19" w14:textId="77777777" w:rsidR="00963A97" w:rsidRPr="00963A97" w:rsidRDefault="00963A97" w:rsidP="00963A97">
            <w:pPr>
              <w:rPr>
                <w:sz w:val="20"/>
                <w:szCs w:val="20"/>
              </w:rPr>
            </w:pPr>
          </w:p>
          <w:p w14:paraId="5561A969" w14:textId="77777777" w:rsidR="00963A97" w:rsidRPr="00963A97" w:rsidRDefault="00963A97" w:rsidP="00963A97">
            <w:pPr>
              <w:rPr>
                <w:sz w:val="20"/>
                <w:szCs w:val="20"/>
              </w:rPr>
            </w:pPr>
          </w:p>
          <w:p w14:paraId="1C565978" w14:textId="7C12FDF1" w:rsidR="00963A97" w:rsidRPr="00963A97" w:rsidRDefault="00963A97" w:rsidP="00963A97">
            <w:pPr>
              <w:jc w:val="center"/>
              <w:rPr>
                <w:sz w:val="20"/>
                <w:szCs w:val="20"/>
              </w:rPr>
            </w:pPr>
            <w:r>
              <w:rPr>
                <w:sz w:val="20"/>
                <w:szCs w:val="20"/>
              </w:rPr>
              <w:t xml:space="preserve">  </w:t>
            </w:r>
            <w:r w:rsidR="00852656">
              <w:rPr>
                <w:sz w:val="20"/>
                <w:szCs w:val="20"/>
              </w:rPr>
              <w:t>14</w:t>
            </w:r>
            <w:r>
              <w:rPr>
                <w:sz w:val="20"/>
                <w:szCs w:val="20"/>
              </w:rPr>
              <w:t>,</w:t>
            </w:r>
            <w:r w:rsidR="00852656">
              <w:rPr>
                <w:sz w:val="20"/>
                <w:szCs w:val="20"/>
              </w:rPr>
              <w:t>976</w:t>
            </w:r>
          </w:p>
        </w:tc>
        <w:tc>
          <w:tcPr>
            <w:tcW w:w="2269" w:type="dxa"/>
          </w:tcPr>
          <w:p w14:paraId="5E1D8B3D" w14:textId="7C211603" w:rsidR="002B787F" w:rsidRPr="003061F1" w:rsidRDefault="002B787F" w:rsidP="00612DE1">
            <w:pPr>
              <w:widowControl w:val="0"/>
              <w:autoSpaceDE w:val="0"/>
              <w:autoSpaceDN w:val="0"/>
              <w:adjustRightInd w:val="0"/>
              <w:ind w:right="740"/>
              <w:jc w:val="right"/>
              <w:rPr>
                <w:sz w:val="20"/>
                <w:szCs w:val="20"/>
              </w:rPr>
            </w:pPr>
          </w:p>
          <w:p w14:paraId="7FBC4B33" w14:textId="66CEAA4A" w:rsidR="002B787F" w:rsidRDefault="002B787F" w:rsidP="00612DE1">
            <w:pPr>
              <w:widowControl w:val="0"/>
              <w:autoSpaceDE w:val="0"/>
              <w:autoSpaceDN w:val="0"/>
              <w:adjustRightInd w:val="0"/>
              <w:ind w:right="740"/>
              <w:jc w:val="right"/>
              <w:rPr>
                <w:sz w:val="20"/>
                <w:szCs w:val="20"/>
              </w:rPr>
            </w:pPr>
            <w:r>
              <w:rPr>
                <w:sz w:val="20"/>
                <w:szCs w:val="20"/>
              </w:rPr>
              <w:t>(</w:t>
            </w:r>
            <w:r w:rsidR="00963A97">
              <w:rPr>
                <w:sz w:val="20"/>
                <w:szCs w:val="20"/>
              </w:rPr>
              <w:t>2,</w:t>
            </w:r>
            <w:r w:rsidR="00852656">
              <w:rPr>
                <w:sz w:val="20"/>
                <w:szCs w:val="20"/>
              </w:rPr>
              <w:t>702</w:t>
            </w:r>
            <w:r w:rsidR="00963A97">
              <w:rPr>
                <w:sz w:val="20"/>
                <w:szCs w:val="20"/>
              </w:rPr>
              <w:t>,</w:t>
            </w:r>
            <w:r w:rsidR="00852656">
              <w:rPr>
                <w:sz w:val="20"/>
                <w:szCs w:val="20"/>
              </w:rPr>
              <w:t>535</w:t>
            </w:r>
            <w:r>
              <w:rPr>
                <w:sz w:val="20"/>
                <w:szCs w:val="20"/>
              </w:rPr>
              <w:t>)</w:t>
            </w:r>
          </w:p>
          <w:p w14:paraId="45924A8B" w14:textId="77777777" w:rsidR="006C5F48" w:rsidRDefault="006C5F48" w:rsidP="00612DE1">
            <w:pPr>
              <w:widowControl w:val="0"/>
              <w:autoSpaceDE w:val="0"/>
              <w:autoSpaceDN w:val="0"/>
              <w:adjustRightInd w:val="0"/>
              <w:ind w:right="740"/>
              <w:jc w:val="right"/>
              <w:rPr>
                <w:sz w:val="20"/>
                <w:szCs w:val="20"/>
              </w:rPr>
            </w:pPr>
          </w:p>
          <w:p w14:paraId="4B211681" w14:textId="77777777" w:rsidR="006C5F48" w:rsidRDefault="006C5F48" w:rsidP="00612DE1">
            <w:pPr>
              <w:widowControl w:val="0"/>
              <w:autoSpaceDE w:val="0"/>
              <w:autoSpaceDN w:val="0"/>
              <w:adjustRightInd w:val="0"/>
              <w:ind w:right="740"/>
              <w:jc w:val="right"/>
              <w:rPr>
                <w:sz w:val="20"/>
                <w:szCs w:val="20"/>
              </w:rPr>
            </w:pPr>
          </w:p>
          <w:p w14:paraId="2E739966" w14:textId="1194CBD9" w:rsidR="006C5F48" w:rsidRPr="003061F1" w:rsidRDefault="00852656" w:rsidP="00612DE1">
            <w:pPr>
              <w:widowControl w:val="0"/>
              <w:autoSpaceDE w:val="0"/>
              <w:autoSpaceDN w:val="0"/>
              <w:adjustRightInd w:val="0"/>
              <w:ind w:right="740"/>
              <w:jc w:val="right"/>
              <w:rPr>
                <w:sz w:val="20"/>
                <w:szCs w:val="20"/>
              </w:rPr>
            </w:pPr>
            <w:r>
              <w:rPr>
                <w:sz w:val="20"/>
                <w:szCs w:val="20"/>
              </w:rPr>
              <w:t>14</w:t>
            </w:r>
            <w:r w:rsidR="006C5F48">
              <w:rPr>
                <w:sz w:val="20"/>
                <w:szCs w:val="20"/>
              </w:rPr>
              <w:t>,</w:t>
            </w:r>
            <w:r>
              <w:rPr>
                <w:sz w:val="20"/>
                <w:szCs w:val="20"/>
              </w:rPr>
              <w:t>976</w:t>
            </w:r>
          </w:p>
        </w:tc>
      </w:tr>
      <w:tr w:rsidR="002B787F" w:rsidRPr="00756704" w14:paraId="5377BB8B" w14:textId="77777777" w:rsidTr="00664A13">
        <w:tc>
          <w:tcPr>
            <w:tcW w:w="2268" w:type="dxa"/>
          </w:tcPr>
          <w:p w14:paraId="17097670" w14:textId="77777777" w:rsidR="002B787F" w:rsidRPr="003061F1" w:rsidRDefault="002B787F" w:rsidP="006F26A2">
            <w:pPr>
              <w:widowControl w:val="0"/>
              <w:autoSpaceDE w:val="0"/>
              <w:autoSpaceDN w:val="0"/>
              <w:adjustRightInd w:val="0"/>
              <w:rPr>
                <w:sz w:val="20"/>
                <w:szCs w:val="20"/>
              </w:rPr>
            </w:pPr>
            <w:r w:rsidRPr="003061F1">
              <w:rPr>
                <w:sz w:val="20"/>
                <w:szCs w:val="20"/>
              </w:rPr>
              <w:t>Grant-in-aid from NIO</w:t>
            </w:r>
          </w:p>
        </w:tc>
        <w:tc>
          <w:tcPr>
            <w:tcW w:w="2268" w:type="dxa"/>
            <w:tcBorders>
              <w:bottom w:val="single" w:sz="4" w:space="0" w:color="auto"/>
            </w:tcBorders>
          </w:tcPr>
          <w:p w14:paraId="61116972" w14:textId="74886E65" w:rsidR="002B787F" w:rsidRPr="003061F1" w:rsidRDefault="00963A97" w:rsidP="006F26A2">
            <w:pPr>
              <w:widowControl w:val="0"/>
              <w:autoSpaceDE w:val="0"/>
              <w:autoSpaceDN w:val="0"/>
              <w:adjustRightInd w:val="0"/>
              <w:jc w:val="right"/>
              <w:rPr>
                <w:sz w:val="20"/>
                <w:szCs w:val="20"/>
              </w:rPr>
            </w:pPr>
            <w:r>
              <w:rPr>
                <w:sz w:val="20"/>
                <w:szCs w:val="20"/>
              </w:rPr>
              <w:t>2,</w:t>
            </w:r>
            <w:r w:rsidR="0023601B">
              <w:rPr>
                <w:sz w:val="20"/>
                <w:szCs w:val="20"/>
              </w:rPr>
              <w:t>908</w:t>
            </w:r>
            <w:r>
              <w:rPr>
                <w:sz w:val="20"/>
                <w:szCs w:val="20"/>
              </w:rPr>
              <w:t>,</w:t>
            </w:r>
            <w:r w:rsidR="0023601B">
              <w:rPr>
                <w:sz w:val="20"/>
                <w:szCs w:val="20"/>
              </w:rPr>
              <w:t>834</w:t>
            </w:r>
          </w:p>
        </w:tc>
        <w:tc>
          <w:tcPr>
            <w:tcW w:w="2268" w:type="dxa"/>
            <w:tcBorders>
              <w:bottom w:val="single" w:sz="4" w:space="0" w:color="auto"/>
            </w:tcBorders>
          </w:tcPr>
          <w:p w14:paraId="28DCC2CB" w14:textId="2616F030" w:rsidR="002B787F" w:rsidRDefault="009C3FBE" w:rsidP="002B787F">
            <w:pPr>
              <w:widowControl w:val="0"/>
              <w:autoSpaceDE w:val="0"/>
              <w:autoSpaceDN w:val="0"/>
              <w:adjustRightInd w:val="0"/>
              <w:ind w:right="597"/>
              <w:jc w:val="right"/>
              <w:rPr>
                <w:sz w:val="20"/>
                <w:szCs w:val="20"/>
              </w:rPr>
            </w:pPr>
            <w:r>
              <w:rPr>
                <w:sz w:val="20"/>
                <w:szCs w:val="20"/>
              </w:rPr>
              <w:t>0</w:t>
            </w:r>
          </w:p>
        </w:tc>
        <w:tc>
          <w:tcPr>
            <w:tcW w:w="2269" w:type="dxa"/>
            <w:tcBorders>
              <w:bottom w:val="single" w:sz="4" w:space="0" w:color="auto"/>
            </w:tcBorders>
          </w:tcPr>
          <w:p w14:paraId="7407348B" w14:textId="703AD142" w:rsidR="002B787F" w:rsidRPr="003061F1" w:rsidRDefault="00963A97" w:rsidP="00612DE1">
            <w:pPr>
              <w:widowControl w:val="0"/>
              <w:autoSpaceDE w:val="0"/>
              <w:autoSpaceDN w:val="0"/>
              <w:adjustRightInd w:val="0"/>
              <w:ind w:right="740"/>
              <w:jc w:val="right"/>
              <w:rPr>
                <w:sz w:val="20"/>
                <w:szCs w:val="20"/>
              </w:rPr>
            </w:pPr>
            <w:r>
              <w:rPr>
                <w:sz w:val="20"/>
                <w:szCs w:val="20"/>
              </w:rPr>
              <w:t>2,</w:t>
            </w:r>
            <w:r w:rsidR="00852656">
              <w:rPr>
                <w:sz w:val="20"/>
                <w:szCs w:val="20"/>
              </w:rPr>
              <w:t>908</w:t>
            </w:r>
            <w:r>
              <w:rPr>
                <w:sz w:val="20"/>
                <w:szCs w:val="20"/>
              </w:rPr>
              <w:t>,</w:t>
            </w:r>
            <w:r w:rsidR="00852656">
              <w:rPr>
                <w:sz w:val="20"/>
                <w:szCs w:val="20"/>
              </w:rPr>
              <w:t>834</w:t>
            </w:r>
          </w:p>
        </w:tc>
      </w:tr>
      <w:tr w:rsidR="002B787F" w:rsidRPr="00756704" w14:paraId="4BF64C86" w14:textId="77777777" w:rsidTr="00664A13">
        <w:tc>
          <w:tcPr>
            <w:tcW w:w="2268" w:type="dxa"/>
          </w:tcPr>
          <w:p w14:paraId="3362B7DC" w14:textId="77777777" w:rsidR="002B787F" w:rsidRPr="003061F1" w:rsidRDefault="002B787F" w:rsidP="006F26A2">
            <w:pPr>
              <w:widowControl w:val="0"/>
              <w:autoSpaceDE w:val="0"/>
              <w:autoSpaceDN w:val="0"/>
              <w:adjustRightInd w:val="0"/>
              <w:rPr>
                <w:b/>
                <w:sz w:val="20"/>
                <w:szCs w:val="20"/>
              </w:rPr>
            </w:pPr>
          </w:p>
          <w:p w14:paraId="6D345021" w14:textId="77C220F0" w:rsidR="002B787F" w:rsidRPr="003061F1" w:rsidRDefault="002B787F" w:rsidP="006F26A2">
            <w:pPr>
              <w:widowControl w:val="0"/>
              <w:autoSpaceDE w:val="0"/>
              <w:autoSpaceDN w:val="0"/>
              <w:adjustRightInd w:val="0"/>
              <w:rPr>
                <w:b/>
                <w:sz w:val="20"/>
                <w:szCs w:val="20"/>
              </w:rPr>
            </w:pPr>
            <w:r>
              <w:rPr>
                <w:b/>
                <w:sz w:val="20"/>
                <w:szCs w:val="20"/>
              </w:rPr>
              <w:t>Balance at 31 March 202</w:t>
            </w:r>
            <w:r w:rsidR="0023601B">
              <w:rPr>
                <w:b/>
                <w:sz w:val="20"/>
                <w:szCs w:val="20"/>
              </w:rPr>
              <w:t>4</w:t>
            </w:r>
          </w:p>
        </w:tc>
        <w:tc>
          <w:tcPr>
            <w:tcW w:w="2268" w:type="dxa"/>
            <w:tcBorders>
              <w:top w:val="single" w:sz="4" w:space="0" w:color="auto"/>
              <w:bottom w:val="single" w:sz="4" w:space="0" w:color="auto"/>
            </w:tcBorders>
          </w:tcPr>
          <w:p w14:paraId="0AF300B2" w14:textId="77777777" w:rsidR="002B787F" w:rsidRDefault="002B787F" w:rsidP="006F26A2">
            <w:pPr>
              <w:widowControl w:val="0"/>
              <w:autoSpaceDE w:val="0"/>
              <w:autoSpaceDN w:val="0"/>
              <w:adjustRightInd w:val="0"/>
              <w:jc w:val="right"/>
              <w:rPr>
                <w:b/>
                <w:sz w:val="20"/>
                <w:szCs w:val="20"/>
              </w:rPr>
            </w:pPr>
          </w:p>
          <w:p w14:paraId="276E6623" w14:textId="45C00CAE" w:rsidR="002B787F" w:rsidRPr="003061F1" w:rsidRDefault="0023601B" w:rsidP="0029565E">
            <w:pPr>
              <w:widowControl w:val="0"/>
              <w:autoSpaceDE w:val="0"/>
              <w:autoSpaceDN w:val="0"/>
              <w:adjustRightInd w:val="0"/>
              <w:jc w:val="right"/>
              <w:rPr>
                <w:b/>
                <w:sz w:val="20"/>
                <w:szCs w:val="20"/>
              </w:rPr>
            </w:pPr>
            <w:r>
              <w:rPr>
                <w:b/>
                <w:sz w:val="20"/>
                <w:szCs w:val="20"/>
              </w:rPr>
              <w:t>831</w:t>
            </w:r>
            <w:r w:rsidR="00963A97">
              <w:rPr>
                <w:b/>
                <w:sz w:val="20"/>
                <w:szCs w:val="20"/>
              </w:rPr>
              <w:t>,</w:t>
            </w:r>
            <w:r>
              <w:rPr>
                <w:b/>
                <w:sz w:val="20"/>
                <w:szCs w:val="20"/>
              </w:rPr>
              <w:t>096</w:t>
            </w:r>
          </w:p>
        </w:tc>
        <w:tc>
          <w:tcPr>
            <w:tcW w:w="2268" w:type="dxa"/>
            <w:tcBorders>
              <w:top w:val="single" w:sz="4" w:space="0" w:color="auto"/>
              <w:bottom w:val="single" w:sz="4" w:space="0" w:color="auto"/>
            </w:tcBorders>
          </w:tcPr>
          <w:p w14:paraId="19DF5A15" w14:textId="77777777" w:rsidR="002B787F" w:rsidRDefault="002B787F" w:rsidP="002B787F">
            <w:pPr>
              <w:widowControl w:val="0"/>
              <w:autoSpaceDE w:val="0"/>
              <w:autoSpaceDN w:val="0"/>
              <w:adjustRightInd w:val="0"/>
              <w:ind w:right="597"/>
              <w:jc w:val="right"/>
              <w:rPr>
                <w:b/>
                <w:sz w:val="20"/>
                <w:szCs w:val="20"/>
              </w:rPr>
            </w:pPr>
          </w:p>
          <w:p w14:paraId="2FBC85CF" w14:textId="5DA3A232" w:rsidR="009C3FBE" w:rsidRDefault="00852656" w:rsidP="002B787F">
            <w:pPr>
              <w:widowControl w:val="0"/>
              <w:autoSpaceDE w:val="0"/>
              <w:autoSpaceDN w:val="0"/>
              <w:adjustRightInd w:val="0"/>
              <w:ind w:right="597"/>
              <w:jc w:val="right"/>
              <w:rPr>
                <w:b/>
                <w:sz w:val="20"/>
                <w:szCs w:val="20"/>
              </w:rPr>
            </w:pPr>
            <w:r>
              <w:rPr>
                <w:b/>
                <w:sz w:val="20"/>
                <w:szCs w:val="20"/>
              </w:rPr>
              <w:t>85</w:t>
            </w:r>
            <w:r w:rsidR="00963A97">
              <w:rPr>
                <w:b/>
                <w:sz w:val="20"/>
                <w:szCs w:val="20"/>
              </w:rPr>
              <w:t>,</w:t>
            </w:r>
            <w:r>
              <w:rPr>
                <w:b/>
                <w:sz w:val="20"/>
                <w:szCs w:val="20"/>
              </w:rPr>
              <w:t>582</w:t>
            </w:r>
          </w:p>
        </w:tc>
        <w:tc>
          <w:tcPr>
            <w:tcW w:w="2269" w:type="dxa"/>
            <w:tcBorders>
              <w:top w:val="single" w:sz="4" w:space="0" w:color="auto"/>
              <w:bottom w:val="single" w:sz="4" w:space="0" w:color="auto"/>
            </w:tcBorders>
          </w:tcPr>
          <w:p w14:paraId="51510C67" w14:textId="4019902B" w:rsidR="002B787F" w:rsidRDefault="002B787F" w:rsidP="00612DE1">
            <w:pPr>
              <w:widowControl w:val="0"/>
              <w:autoSpaceDE w:val="0"/>
              <w:autoSpaceDN w:val="0"/>
              <w:adjustRightInd w:val="0"/>
              <w:ind w:right="740"/>
              <w:jc w:val="right"/>
              <w:rPr>
                <w:b/>
                <w:sz w:val="20"/>
                <w:szCs w:val="20"/>
              </w:rPr>
            </w:pPr>
          </w:p>
          <w:p w14:paraId="2D55B465" w14:textId="68CF6563" w:rsidR="002B787F" w:rsidRPr="003061F1" w:rsidRDefault="00852656" w:rsidP="00612DE1">
            <w:pPr>
              <w:widowControl w:val="0"/>
              <w:autoSpaceDE w:val="0"/>
              <w:autoSpaceDN w:val="0"/>
              <w:adjustRightInd w:val="0"/>
              <w:ind w:right="740"/>
              <w:jc w:val="right"/>
              <w:rPr>
                <w:b/>
                <w:sz w:val="20"/>
                <w:szCs w:val="20"/>
              </w:rPr>
            </w:pPr>
            <w:r>
              <w:rPr>
                <w:b/>
                <w:sz w:val="20"/>
                <w:szCs w:val="20"/>
              </w:rPr>
              <w:t>916</w:t>
            </w:r>
            <w:r w:rsidR="00963A97">
              <w:rPr>
                <w:b/>
                <w:sz w:val="20"/>
                <w:szCs w:val="20"/>
              </w:rPr>
              <w:t>,</w:t>
            </w:r>
            <w:r>
              <w:rPr>
                <w:b/>
                <w:sz w:val="20"/>
                <w:szCs w:val="20"/>
              </w:rPr>
              <w:t>678</w:t>
            </w:r>
          </w:p>
        </w:tc>
      </w:tr>
      <w:tr w:rsidR="002B787F" w:rsidRPr="00756704" w14:paraId="708F3634" w14:textId="77777777" w:rsidTr="00664A13">
        <w:tc>
          <w:tcPr>
            <w:tcW w:w="2268" w:type="dxa"/>
          </w:tcPr>
          <w:p w14:paraId="42E2959C" w14:textId="77777777" w:rsidR="002B787F" w:rsidRPr="003061F1" w:rsidRDefault="002B787F" w:rsidP="006F26A2">
            <w:pPr>
              <w:widowControl w:val="0"/>
              <w:autoSpaceDE w:val="0"/>
              <w:autoSpaceDN w:val="0"/>
              <w:adjustRightInd w:val="0"/>
              <w:rPr>
                <w:sz w:val="20"/>
                <w:szCs w:val="20"/>
              </w:rPr>
            </w:pPr>
          </w:p>
        </w:tc>
        <w:tc>
          <w:tcPr>
            <w:tcW w:w="2268" w:type="dxa"/>
          </w:tcPr>
          <w:p w14:paraId="09924EDA" w14:textId="77777777" w:rsidR="002B787F" w:rsidRPr="003061F1" w:rsidRDefault="002B787F" w:rsidP="006F26A2">
            <w:pPr>
              <w:widowControl w:val="0"/>
              <w:autoSpaceDE w:val="0"/>
              <w:autoSpaceDN w:val="0"/>
              <w:adjustRightInd w:val="0"/>
              <w:jc w:val="right"/>
              <w:rPr>
                <w:sz w:val="20"/>
                <w:szCs w:val="20"/>
              </w:rPr>
            </w:pPr>
          </w:p>
        </w:tc>
        <w:tc>
          <w:tcPr>
            <w:tcW w:w="2268" w:type="dxa"/>
          </w:tcPr>
          <w:p w14:paraId="3A089265" w14:textId="77777777" w:rsidR="002B787F" w:rsidRPr="003061F1" w:rsidRDefault="002B787F" w:rsidP="002B787F">
            <w:pPr>
              <w:widowControl w:val="0"/>
              <w:autoSpaceDE w:val="0"/>
              <w:autoSpaceDN w:val="0"/>
              <w:adjustRightInd w:val="0"/>
              <w:ind w:right="597"/>
              <w:jc w:val="right"/>
              <w:rPr>
                <w:sz w:val="20"/>
                <w:szCs w:val="20"/>
              </w:rPr>
            </w:pPr>
          </w:p>
        </w:tc>
        <w:tc>
          <w:tcPr>
            <w:tcW w:w="2269" w:type="dxa"/>
          </w:tcPr>
          <w:p w14:paraId="4CE7B81E" w14:textId="0F6BEA4F" w:rsidR="002B787F" w:rsidRPr="003061F1" w:rsidRDefault="002B787F" w:rsidP="00612DE1">
            <w:pPr>
              <w:widowControl w:val="0"/>
              <w:autoSpaceDE w:val="0"/>
              <w:autoSpaceDN w:val="0"/>
              <w:adjustRightInd w:val="0"/>
              <w:ind w:right="740"/>
              <w:jc w:val="right"/>
              <w:rPr>
                <w:sz w:val="20"/>
                <w:szCs w:val="20"/>
              </w:rPr>
            </w:pPr>
          </w:p>
        </w:tc>
      </w:tr>
      <w:tr w:rsidR="002B787F" w:rsidRPr="00756704" w14:paraId="221AF7FA" w14:textId="77777777" w:rsidTr="00664A13">
        <w:tc>
          <w:tcPr>
            <w:tcW w:w="2268" w:type="dxa"/>
          </w:tcPr>
          <w:p w14:paraId="411F6AE4" w14:textId="7729BAE7" w:rsidR="002B787F" w:rsidRPr="003061F1" w:rsidRDefault="002B787F" w:rsidP="006F26A2">
            <w:pPr>
              <w:widowControl w:val="0"/>
              <w:autoSpaceDE w:val="0"/>
              <w:autoSpaceDN w:val="0"/>
              <w:adjustRightInd w:val="0"/>
              <w:rPr>
                <w:b/>
                <w:sz w:val="20"/>
                <w:szCs w:val="20"/>
              </w:rPr>
            </w:pPr>
            <w:r w:rsidRPr="003061F1">
              <w:rPr>
                <w:b/>
                <w:sz w:val="20"/>
                <w:szCs w:val="20"/>
              </w:rPr>
              <w:t xml:space="preserve">Changes in taxpayers’ equity for </w:t>
            </w:r>
            <w:r>
              <w:rPr>
                <w:b/>
                <w:sz w:val="20"/>
                <w:szCs w:val="20"/>
              </w:rPr>
              <w:t>202</w:t>
            </w:r>
            <w:r w:rsidR="00852656">
              <w:rPr>
                <w:b/>
                <w:sz w:val="20"/>
                <w:szCs w:val="20"/>
              </w:rPr>
              <w:t>4</w:t>
            </w:r>
            <w:r>
              <w:rPr>
                <w:b/>
                <w:sz w:val="20"/>
                <w:szCs w:val="20"/>
              </w:rPr>
              <w:t>-2</w:t>
            </w:r>
            <w:r w:rsidR="00852656">
              <w:rPr>
                <w:b/>
                <w:sz w:val="20"/>
                <w:szCs w:val="20"/>
              </w:rPr>
              <w:t>5</w:t>
            </w:r>
          </w:p>
        </w:tc>
        <w:tc>
          <w:tcPr>
            <w:tcW w:w="2268" w:type="dxa"/>
          </w:tcPr>
          <w:p w14:paraId="6D548C5C" w14:textId="77777777" w:rsidR="002B787F" w:rsidRPr="003061F1" w:rsidRDefault="002B787F" w:rsidP="006F26A2">
            <w:pPr>
              <w:widowControl w:val="0"/>
              <w:autoSpaceDE w:val="0"/>
              <w:autoSpaceDN w:val="0"/>
              <w:adjustRightInd w:val="0"/>
              <w:jc w:val="right"/>
              <w:rPr>
                <w:sz w:val="20"/>
                <w:szCs w:val="20"/>
              </w:rPr>
            </w:pPr>
          </w:p>
        </w:tc>
        <w:tc>
          <w:tcPr>
            <w:tcW w:w="2268" w:type="dxa"/>
          </w:tcPr>
          <w:p w14:paraId="6BFAAE23" w14:textId="77777777" w:rsidR="002B787F" w:rsidRPr="003061F1" w:rsidRDefault="002B787F" w:rsidP="002B787F">
            <w:pPr>
              <w:widowControl w:val="0"/>
              <w:autoSpaceDE w:val="0"/>
              <w:autoSpaceDN w:val="0"/>
              <w:adjustRightInd w:val="0"/>
              <w:ind w:right="597"/>
              <w:jc w:val="right"/>
              <w:rPr>
                <w:sz w:val="20"/>
                <w:szCs w:val="20"/>
              </w:rPr>
            </w:pPr>
          </w:p>
        </w:tc>
        <w:tc>
          <w:tcPr>
            <w:tcW w:w="2269" w:type="dxa"/>
          </w:tcPr>
          <w:p w14:paraId="5F9995F6" w14:textId="5CB0214F" w:rsidR="002B787F" w:rsidRPr="003061F1" w:rsidRDefault="002B787F" w:rsidP="00612DE1">
            <w:pPr>
              <w:widowControl w:val="0"/>
              <w:autoSpaceDE w:val="0"/>
              <w:autoSpaceDN w:val="0"/>
              <w:adjustRightInd w:val="0"/>
              <w:ind w:right="740"/>
              <w:jc w:val="right"/>
              <w:rPr>
                <w:sz w:val="20"/>
                <w:szCs w:val="20"/>
              </w:rPr>
            </w:pPr>
          </w:p>
        </w:tc>
      </w:tr>
      <w:tr w:rsidR="002B787F" w:rsidRPr="002D3016" w14:paraId="77F4CA9C" w14:textId="77777777" w:rsidTr="00664A13">
        <w:tc>
          <w:tcPr>
            <w:tcW w:w="2268" w:type="dxa"/>
          </w:tcPr>
          <w:p w14:paraId="7FA80417" w14:textId="77777777" w:rsidR="002B787F" w:rsidRPr="003061F1" w:rsidRDefault="002B787F" w:rsidP="006F26A2">
            <w:pPr>
              <w:widowControl w:val="0"/>
              <w:autoSpaceDE w:val="0"/>
              <w:autoSpaceDN w:val="0"/>
              <w:adjustRightInd w:val="0"/>
              <w:rPr>
                <w:sz w:val="20"/>
                <w:szCs w:val="20"/>
              </w:rPr>
            </w:pPr>
          </w:p>
          <w:p w14:paraId="6BB1D120" w14:textId="77777777" w:rsidR="002B787F" w:rsidRDefault="002B787F" w:rsidP="006F26A2">
            <w:pPr>
              <w:widowControl w:val="0"/>
              <w:autoSpaceDE w:val="0"/>
              <w:autoSpaceDN w:val="0"/>
              <w:adjustRightInd w:val="0"/>
              <w:rPr>
                <w:rFonts w:cs="Arial"/>
                <w:bCs/>
                <w:sz w:val="20"/>
                <w:szCs w:val="20"/>
              </w:rPr>
            </w:pPr>
            <w:r>
              <w:rPr>
                <w:rFonts w:cs="Arial"/>
                <w:bCs/>
                <w:sz w:val="20"/>
                <w:szCs w:val="20"/>
              </w:rPr>
              <w:t>Comprehensive net e</w:t>
            </w:r>
            <w:r w:rsidRPr="003061F1">
              <w:rPr>
                <w:rFonts w:cs="Arial"/>
                <w:bCs/>
                <w:sz w:val="20"/>
                <w:szCs w:val="20"/>
              </w:rPr>
              <w:t>xpenditure for the year</w:t>
            </w:r>
          </w:p>
          <w:p w14:paraId="1FB0B2AF" w14:textId="77777777" w:rsidR="002B787F" w:rsidRDefault="002B787F" w:rsidP="006F26A2">
            <w:pPr>
              <w:widowControl w:val="0"/>
              <w:autoSpaceDE w:val="0"/>
              <w:autoSpaceDN w:val="0"/>
              <w:adjustRightInd w:val="0"/>
              <w:rPr>
                <w:rFonts w:cs="Arial"/>
                <w:bCs/>
                <w:sz w:val="20"/>
                <w:szCs w:val="20"/>
              </w:rPr>
            </w:pPr>
          </w:p>
          <w:p w14:paraId="58C3B95E" w14:textId="77777777" w:rsidR="002B787F" w:rsidRPr="0091473F" w:rsidRDefault="002B787F" w:rsidP="006F26A2">
            <w:pPr>
              <w:widowControl w:val="0"/>
              <w:autoSpaceDE w:val="0"/>
              <w:autoSpaceDN w:val="0"/>
              <w:adjustRightInd w:val="0"/>
              <w:rPr>
                <w:rFonts w:cs="Arial"/>
                <w:bCs/>
                <w:sz w:val="20"/>
                <w:szCs w:val="20"/>
              </w:rPr>
            </w:pPr>
            <w:r>
              <w:rPr>
                <w:rFonts w:cs="Arial"/>
                <w:bCs/>
                <w:sz w:val="20"/>
                <w:szCs w:val="20"/>
              </w:rPr>
              <w:t>Net gain on revaluation of property</w:t>
            </w:r>
          </w:p>
        </w:tc>
        <w:tc>
          <w:tcPr>
            <w:tcW w:w="2268" w:type="dxa"/>
          </w:tcPr>
          <w:p w14:paraId="67AB2429" w14:textId="77777777" w:rsidR="002B787F" w:rsidRDefault="002B787F" w:rsidP="006F26A2">
            <w:pPr>
              <w:widowControl w:val="0"/>
              <w:autoSpaceDE w:val="0"/>
              <w:autoSpaceDN w:val="0"/>
              <w:adjustRightInd w:val="0"/>
              <w:jc w:val="right"/>
              <w:rPr>
                <w:sz w:val="20"/>
                <w:szCs w:val="20"/>
              </w:rPr>
            </w:pPr>
          </w:p>
          <w:p w14:paraId="2B973102" w14:textId="77777777" w:rsidR="002B787F" w:rsidRDefault="002B787F" w:rsidP="006F26A2">
            <w:pPr>
              <w:widowControl w:val="0"/>
              <w:autoSpaceDE w:val="0"/>
              <w:autoSpaceDN w:val="0"/>
              <w:adjustRightInd w:val="0"/>
              <w:jc w:val="right"/>
              <w:rPr>
                <w:sz w:val="20"/>
                <w:szCs w:val="20"/>
              </w:rPr>
            </w:pPr>
          </w:p>
          <w:p w14:paraId="623FD3B8" w14:textId="62C419B6" w:rsidR="002B787F" w:rsidRDefault="002B787F" w:rsidP="00686C36">
            <w:pPr>
              <w:widowControl w:val="0"/>
              <w:autoSpaceDE w:val="0"/>
              <w:autoSpaceDN w:val="0"/>
              <w:adjustRightInd w:val="0"/>
              <w:jc w:val="right"/>
              <w:rPr>
                <w:sz w:val="20"/>
                <w:szCs w:val="20"/>
              </w:rPr>
            </w:pPr>
            <w:r>
              <w:rPr>
                <w:sz w:val="20"/>
                <w:szCs w:val="20"/>
              </w:rPr>
              <w:t>(</w:t>
            </w:r>
            <w:r w:rsidR="009C3FBE">
              <w:rPr>
                <w:sz w:val="20"/>
                <w:szCs w:val="20"/>
              </w:rPr>
              <w:t>2,</w:t>
            </w:r>
            <w:r w:rsidR="00034AE8">
              <w:rPr>
                <w:sz w:val="20"/>
                <w:szCs w:val="20"/>
              </w:rPr>
              <w:t>7</w:t>
            </w:r>
            <w:r w:rsidR="00852656">
              <w:rPr>
                <w:sz w:val="20"/>
                <w:szCs w:val="20"/>
              </w:rPr>
              <w:t>99</w:t>
            </w:r>
            <w:r w:rsidR="00963A97">
              <w:rPr>
                <w:sz w:val="20"/>
                <w:szCs w:val="20"/>
              </w:rPr>
              <w:t>,</w:t>
            </w:r>
            <w:r w:rsidR="00034AE8">
              <w:rPr>
                <w:sz w:val="20"/>
                <w:szCs w:val="20"/>
              </w:rPr>
              <w:t>5</w:t>
            </w:r>
            <w:r w:rsidR="00852656">
              <w:rPr>
                <w:sz w:val="20"/>
                <w:szCs w:val="20"/>
              </w:rPr>
              <w:t>53</w:t>
            </w:r>
            <w:r>
              <w:rPr>
                <w:sz w:val="20"/>
                <w:szCs w:val="20"/>
              </w:rPr>
              <w:t>)</w:t>
            </w:r>
          </w:p>
          <w:p w14:paraId="45AA2A50" w14:textId="77777777" w:rsidR="002B787F" w:rsidRDefault="002B787F" w:rsidP="00686C36">
            <w:pPr>
              <w:widowControl w:val="0"/>
              <w:autoSpaceDE w:val="0"/>
              <w:autoSpaceDN w:val="0"/>
              <w:adjustRightInd w:val="0"/>
              <w:jc w:val="right"/>
              <w:rPr>
                <w:sz w:val="20"/>
                <w:szCs w:val="20"/>
              </w:rPr>
            </w:pPr>
          </w:p>
          <w:p w14:paraId="63F53CDE" w14:textId="1489122E" w:rsidR="002B787F" w:rsidRDefault="002B787F" w:rsidP="00686C36">
            <w:pPr>
              <w:widowControl w:val="0"/>
              <w:autoSpaceDE w:val="0"/>
              <w:autoSpaceDN w:val="0"/>
              <w:adjustRightInd w:val="0"/>
              <w:jc w:val="right"/>
              <w:rPr>
                <w:sz w:val="20"/>
                <w:szCs w:val="20"/>
              </w:rPr>
            </w:pPr>
          </w:p>
          <w:p w14:paraId="2C260B31" w14:textId="338FCA83" w:rsidR="001F6483" w:rsidRDefault="001F6483" w:rsidP="00686C36">
            <w:pPr>
              <w:widowControl w:val="0"/>
              <w:autoSpaceDE w:val="0"/>
              <w:autoSpaceDN w:val="0"/>
              <w:adjustRightInd w:val="0"/>
              <w:jc w:val="right"/>
              <w:rPr>
                <w:sz w:val="20"/>
                <w:szCs w:val="20"/>
              </w:rPr>
            </w:pPr>
            <w:r>
              <w:rPr>
                <w:sz w:val="20"/>
                <w:szCs w:val="20"/>
              </w:rPr>
              <w:t>0</w:t>
            </w:r>
          </w:p>
        </w:tc>
        <w:tc>
          <w:tcPr>
            <w:tcW w:w="2268" w:type="dxa"/>
          </w:tcPr>
          <w:p w14:paraId="43C347B5" w14:textId="77777777" w:rsidR="002B787F" w:rsidRDefault="002B787F" w:rsidP="002B787F">
            <w:pPr>
              <w:widowControl w:val="0"/>
              <w:autoSpaceDE w:val="0"/>
              <w:autoSpaceDN w:val="0"/>
              <w:adjustRightInd w:val="0"/>
              <w:ind w:right="597"/>
              <w:jc w:val="right"/>
              <w:rPr>
                <w:sz w:val="20"/>
                <w:szCs w:val="20"/>
              </w:rPr>
            </w:pPr>
          </w:p>
          <w:p w14:paraId="3EEF7473" w14:textId="77777777" w:rsidR="009C3FBE" w:rsidRDefault="009C3FBE" w:rsidP="002B787F">
            <w:pPr>
              <w:widowControl w:val="0"/>
              <w:autoSpaceDE w:val="0"/>
              <w:autoSpaceDN w:val="0"/>
              <w:adjustRightInd w:val="0"/>
              <w:ind w:right="597"/>
              <w:jc w:val="right"/>
              <w:rPr>
                <w:sz w:val="20"/>
                <w:szCs w:val="20"/>
              </w:rPr>
            </w:pPr>
          </w:p>
          <w:p w14:paraId="7C18C313" w14:textId="77777777" w:rsidR="009C3FBE" w:rsidRDefault="009C3FBE" w:rsidP="002B787F">
            <w:pPr>
              <w:widowControl w:val="0"/>
              <w:autoSpaceDE w:val="0"/>
              <w:autoSpaceDN w:val="0"/>
              <w:adjustRightInd w:val="0"/>
              <w:ind w:right="597"/>
              <w:jc w:val="right"/>
              <w:rPr>
                <w:sz w:val="20"/>
                <w:szCs w:val="20"/>
              </w:rPr>
            </w:pPr>
            <w:r>
              <w:rPr>
                <w:sz w:val="20"/>
                <w:szCs w:val="20"/>
              </w:rPr>
              <w:t>0</w:t>
            </w:r>
          </w:p>
          <w:p w14:paraId="265C2746" w14:textId="77777777" w:rsidR="001F6483" w:rsidRDefault="001F6483" w:rsidP="002B787F">
            <w:pPr>
              <w:widowControl w:val="0"/>
              <w:autoSpaceDE w:val="0"/>
              <w:autoSpaceDN w:val="0"/>
              <w:adjustRightInd w:val="0"/>
              <w:ind w:right="597"/>
              <w:jc w:val="right"/>
              <w:rPr>
                <w:sz w:val="20"/>
                <w:szCs w:val="20"/>
              </w:rPr>
            </w:pPr>
          </w:p>
          <w:p w14:paraId="4EDCBCA8" w14:textId="77777777" w:rsidR="001F6483" w:rsidRDefault="001F6483" w:rsidP="002B787F">
            <w:pPr>
              <w:widowControl w:val="0"/>
              <w:autoSpaceDE w:val="0"/>
              <w:autoSpaceDN w:val="0"/>
              <w:adjustRightInd w:val="0"/>
              <w:ind w:right="597"/>
              <w:jc w:val="right"/>
              <w:rPr>
                <w:sz w:val="20"/>
                <w:szCs w:val="20"/>
              </w:rPr>
            </w:pPr>
          </w:p>
          <w:p w14:paraId="796E8EC4" w14:textId="7ECD6969" w:rsidR="001F6483" w:rsidRDefault="00034AE8" w:rsidP="002B787F">
            <w:pPr>
              <w:widowControl w:val="0"/>
              <w:autoSpaceDE w:val="0"/>
              <w:autoSpaceDN w:val="0"/>
              <w:adjustRightInd w:val="0"/>
              <w:ind w:right="597"/>
              <w:jc w:val="right"/>
              <w:rPr>
                <w:sz w:val="20"/>
                <w:szCs w:val="20"/>
              </w:rPr>
            </w:pPr>
            <w:r>
              <w:rPr>
                <w:sz w:val="20"/>
                <w:szCs w:val="20"/>
              </w:rPr>
              <w:t>4</w:t>
            </w:r>
            <w:r w:rsidR="002B1F41">
              <w:rPr>
                <w:sz w:val="20"/>
                <w:szCs w:val="20"/>
              </w:rPr>
              <w:t>,</w:t>
            </w:r>
            <w:r w:rsidR="00852656">
              <w:rPr>
                <w:sz w:val="20"/>
                <w:szCs w:val="20"/>
              </w:rPr>
              <w:t>294</w:t>
            </w:r>
          </w:p>
          <w:p w14:paraId="32941FEB" w14:textId="77777777" w:rsidR="0063323D" w:rsidRDefault="0063323D" w:rsidP="002B787F">
            <w:pPr>
              <w:widowControl w:val="0"/>
              <w:autoSpaceDE w:val="0"/>
              <w:autoSpaceDN w:val="0"/>
              <w:adjustRightInd w:val="0"/>
              <w:ind w:right="597"/>
              <w:jc w:val="right"/>
              <w:rPr>
                <w:sz w:val="20"/>
                <w:szCs w:val="20"/>
              </w:rPr>
            </w:pPr>
          </w:p>
          <w:p w14:paraId="1BA21119" w14:textId="5BAB9E90" w:rsidR="0063323D" w:rsidRDefault="0063323D" w:rsidP="0063323D">
            <w:pPr>
              <w:widowControl w:val="0"/>
              <w:autoSpaceDE w:val="0"/>
              <w:autoSpaceDN w:val="0"/>
              <w:adjustRightInd w:val="0"/>
              <w:ind w:right="597"/>
              <w:rPr>
                <w:sz w:val="20"/>
                <w:szCs w:val="20"/>
              </w:rPr>
            </w:pPr>
          </w:p>
        </w:tc>
        <w:tc>
          <w:tcPr>
            <w:tcW w:w="2269" w:type="dxa"/>
          </w:tcPr>
          <w:p w14:paraId="4A881F42" w14:textId="64CCB0A8" w:rsidR="002B787F" w:rsidRDefault="002B787F" w:rsidP="00612DE1">
            <w:pPr>
              <w:widowControl w:val="0"/>
              <w:autoSpaceDE w:val="0"/>
              <w:autoSpaceDN w:val="0"/>
              <w:adjustRightInd w:val="0"/>
              <w:ind w:right="740"/>
              <w:jc w:val="right"/>
              <w:rPr>
                <w:sz w:val="20"/>
                <w:szCs w:val="20"/>
              </w:rPr>
            </w:pPr>
          </w:p>
          <w:p w14:paraId="6323F340" w14:textId="77777777" w:rsidR="002B787F" w:rsidRDefault="002B787F" w:rsidP="00612DE1">
            <w:pPr>
              <w:widowControl w:val="0"/>
              <w:autoSpaceDE w:val="0"/>
              <w:autoSpaceDN w:val="0"/>
              <w:adjustRightInd w:val="0"/>
              <w:ind w:right="740"/>
              <w:jc w:val="right"/>
              <w:rPr>
                <w:sz w:val="20"/>
                <w:szCs w:val="20"/>
              </w:rPr>
            </w:pPr>
          </w:p>
          <w:p w14:paraId="7537DB01" w14:textId="3DBDB7E2" w:rsidR="002B787F" w:rsidRDefault="002B787F" w:rsidP="00612DE1">
            <w:pPr>
              <w:widowControl w:val="0"/>
              <w:autoSpaceDE w:val="0"/>
              <w:autoSpaceDN w:val="0"/>
              <w:adjustRightInd w:val="0"/>
              <w:ind w:right="740"/>
              <w:jc w:val="right"/>
              <w:rPr>
                <w:sz w:val="20"/>
                <w:szCs w:val="20"/>
              </w:rPr>
            </w:pPr>
            <w:r>
              <w:rPr>
                <w:sz w:val="20"/>
                <w:szCs w:val="20"/>
              </w:rPr>
              <w:t>(</w:t>
            </w:r>
            <w:r w:rsidR="009C3FBE">
              <w:rPr>
                <w:sz w:val="20"/>
                <w:szCs w:val="20"/>
              </w:rPr>
              <w:t>2,</w:t>
            </w:r>
            <w:r w:rsidR="00034AE8">
              <w:rPr>
                <w:sz w:val="20"/>
                <w:szCs w:val="20"/>
              </w:rPr>
              <w:t>7</w:t>
            </w:r>
            <w:r w:rsidR="00852656">
              <w:rPr>
                <w:sz w:val="20"/>
                <w:szCs w:val="20"/>
              </w:rPr>
              <w:t>99</w:t>
            </w:r>
            <w:r w:rsidR="002B1F41">
              <w:rPr>
                <w:sz w:val="20"/>
                <w:szCs w:val="20"/>
              </w:rPr>
              <w:t>,</w:t>
            </w:r>
            <w:r w:rsidR="00034AE8">
              <w:rPr>
                <w:sz w:val="20"/>
                <w:szCs w:val="20"/>
              </w:rPr>
              <w:t>5</w:t>
            </w:r>
            <w:r w:rsidR="00852656">
              <w:rPr>
                <w:sz w:val="20"/>
                <w:szCs w:val="20"/>
              </w:rPr>
              <w:t>53</w:t>
            </w:r>
            <w:r>
              <w:rPr>
                <w:sz w:val="20"/>
                <w:szCs w:val="20"/>
              </w:rPr>
              <w:t>)</w:t>
            </w:r>
          </w:p>
          <w:p w14:paraId="7AD99FC2" w14:textId="77777777" w:rsidR="002B787F" w:rsidRDefault="002B787F" w:rsidP="00612DE1">
            <w:pPr>
              <w:widowControl w:val="0"/>
              <w:autoSpaceDE w:val="0"/>
              <w:autoSpaceDN w:val="0"/>
              <w:adjustRightInd w:val="0"/>
              <w:ind w:right="740"/>
              <w:jc w:val="right"/>
              <w:rPr>
                <w:sz w:val="20"/>
                <w:szCs w:val="20"/>
              </w:rPr>
            </w:pPr>
          </w:p>
          <w:p w14:paraId="66BB6902" w14:textId="77777777" w:rsidR="001F6483" w:rsidRDefault="001F6483" w:rsidP="00612DE1">
            <w:pPr>
              <w:widowControl w:val="0"/>
              <w:autoSpaceDE w:val="0"/>
              <w:autoSpaceDN w:val="0"/>
              <w:adjustRightInd w:val="0"/>
              <w:ind w:right="740"/>
              <w:jc w:val="right"/>
              <w:rPr>
                <w:sz w:val="20"/>
                <w:szCs w:val="20"/>
              </w:rPr>
            </w:pPr>
          </w:p>
          <w:p w14:paraId="09D2D2FC" w14:textId="6CB5B9B8" w:rsidR="002B787F" w:rsidRPr="003061F1" w:rsidRDefault="00852656" w:rsidP="00612DE1">
            <w:pPr>
              <w:widowControl w:val="0"/>
              <w:autoSpaceDE w:val="0"/>
              <w:autoSpaceDN w:val="0"/>
              <w:adjustRightInd w:val="0"/>
              <w:ind w:right="740"/>
              <w:jc w:val="right"/>
              <w:rPr>
                <w:sz w:val="20"/>
                <w:szCs w:val="20"/>
              </w:rPr>
            </w:pPr>
            <w:r>
              <w:rPr>
                <w:sz w:val="20"/>
                <w:szCs w:val="20"/>
              </w:rPr>
              <w:t>4</w:t>
            </w:r>
            <w:r w:rsidR="002B1F41">
              <w:rPr>
                <w:sz w:val="20"/>
                <w:szCs w:val="20"/>
              </w:rPr>
              <w:t>,</w:t>
            </w:r>
            <w:r>
              <w:rPr>
                <w:sz w:val="20"/>
                <w:szCs w:val="20"/>
              </w:rPr>
              <w:t>294</w:t>
            </w:r>
          </w:p>
        </w:tc>
      </w:tr>
      <w:tr w:rsidR="002B787F" w:rsidRPr="002D3016" w14:paraId="3F16E32A" w14:textId="77777777" w:rsidTr="00664A13">
        <w:tc>
          <w:tcPr>
            <w:tcW w:w="2268" w:type="dxa"/>
          </w:tcPr>
          <w:p w14:paraId="050DC44D" w14:textId="77777777" w:rsidR="002B787F" w:rsidRPr="003061F1" w:rsidRDefault="002B787F" w:rsidP="006F26A2">
            <w:pPr>
              <w:widowControl w:val="0"/>
              <w:autoSpaceDE w:val="0"/>
              <w:autoSpaceDN w:val="0"/>
              <w:adjustRightInd w:val="0"/>
              <w:rPr>
                <w:sz w:val="20"/>
                <w:szCs w:val="20"/>
              </w:rPr>
            </w:pPr>
          </w:p>
          <w:p w14:paraId="7C307ABC" w14:textId="77777777" w:rsidR="002B787F" w:rsidRPr="003061F1" w:rsidRDefault="002B787F" w:rsidP="006F26A2">
            <w:pPr>
              <w:widowControl w:val="0"/>
              <w:autoSpaceDE w:val="0"/>
              <w:autoSpaceDN w:val="0"/>
              <w:adjustRightInd w:val="0"/>
              <w:rPr>
                <w:sz w:val="20"/>
                <w:szCs w:val="20"/>
              </w:rPr>
            </w:pPr>
            <w:r w:rsidRPr="003061F1">
              <w:rPr>
                <w:sz w:val="20"/>
                <w:szCs w:val="20"/>
              </w:rPr>
              <w:t>Grant-in-aid from NIO</w:t>
            </w:r>
          </w:p>
        </w:tc>
        <w:tc>
          <w:tcPr>
            <w:tcW w:w="2268" w:type="dxa"/>
            <w:tcBorders>
              <w:bottom w:val="single" w:sz="4" w:space="0" w:color="auto"/>
            </w:tcBorders>
          </w:tcPr>
          <w:p w14:paraId="6AE18A69" w14:textId="77777777" w:rsidR="002B787F" w:rsidRDefault="002B787F" w:rsidP="006F26A2">
            <w:pPr>
              <w:widowControl w:val="0"/>
              <w:autoSpaceDE w:val="0"/>
              <w:autoSpaceDN w:val="0"/>
              <w:adjustRightInd w:val="0"/>
              <w:jc w:val="right"/>
              <w:rPr>
                <w:sz w:val="20"/>
                <w:szCs w:val="20"/>
              </w:rPr>
            </w:pPr>
          </w:p>
          <w:p w14:paraId="6987D1C2" w14:textId="7ED6AF53" w:rsidR="002B787F" w:rsidRDefault="002B787F" w:rsidP="006F26A2">
            <w:pPr>
              <w:widowControl w:val="0"/>
              <w:autoSpaceDE w:val="0"/>
              <w:autoSpaceDN w:val="0"/>
              <w:adjustRightInd w:val="0"/>
              <w:jc w:val="right"/>
              <w:rPr>
                <w:sz w:val="20"/>
                <w:szCs w:val="20"/>
              </w:rPr>
            </w:pPr>
            <w:r>
              <w:rPr>
                <w:sz w:val="20"/>
                <w:szCs w:val="20"/>
              </w:rPr>
              <w:t>2,</w:t>
            </w:r>
            <w:r w:rsidR="00852656">
              <w:rPr>
                <w:sz w:val="20"/>
                <w:szCs w:val="20"/>
              </w:rPr>
              <w:t>787</w:t>
            </w:r>
            <w:r w:rsidR="002B1F41">
              <w:rPr>
                <w:sz w:val="20"/>
                <w:szCs w:val="20"/>
              </w:rPr>
              <w:t>,</w:t>
            </w:r>
            <w:r w:rsidR="00852656">
              <w:rPr>
                <w:sz w:val="20"/>
                <w:szCs w:val="20"/>
              </w:rPr>
              <w:t>590</w:t>
            </w:r>
          </w:p>
        </w:tc>
        <w:tc>
          <w:tcPr>
            <w:tcW w:w="2268" w:type="dxa"/>
            <w:tcBorders>
              <w:bottom w:val="single" w:sz="4" w:space="0" w:color="auto"/>
            </w:tcBorders>
          </w:tcPr>
          <w:p w14:paraId="048FD369" w14:textId="77777777" w:rsidR="002B787F" w:rsidRDefault="002B787F" w:rsidP="002B787F">
            <w:pPr>
              <w:widowControl w:val="0"/>
              <w:autoSpaceDE w:val="0"/>
              <w:autoSpaceDN w:val="0"/>
              <w:adjustRightInd w:val="0"/>
              <w:ind w:right="597"/>
              <w:rPr>
                <w:sz w:val="20"/>
                <w:szCs w:val="20"/>
              </w:rPr>
            </w:pPr>
          </w:p>
          <w:p w14:paraId="1D29070F" w14:textId="403D2812" w:rsidR="0063323D" w:rsidRDefault="0063323D" w:rsidP="0063323D">
            <w:pPr>
              <w:widowControl w:val="0"/>
              <w:autoSpaceDE w:val="0"/>
              <w:autoSpaceDN w:val="0"/>
              <w:adjustRightInd w:val="0"/>
              <w:ind w:right="597"/>
              <w:jc w:val="right"/>
              <w:rPr>
                <w:sz w:val="20"/>
                <w:szCs w:val="20"/>
              </w:rPr>
            </w:pPr>
            <w:r>
              <w:rPr>
                <w:sz w:val="20"/>
                <w:szCs w:val="20"/>
              </w:rPr>
              <w:t>0</w:t>
            </w:r>
          </w:p>
        </w:tc>
        <w:tc>
          <w:tcPr>
            <w:tcW w:w="2269" w:type="dxa"/>
            <w:tcBorders>
              <w:bottom w:val="single" w:sz="4" w:space="0" w:color="auto"/>
            </w:tcBorders>
          </w:tcPr>
          <w:p w14:paraId="1A86E3CF" w14:textId="5957ECEC" w:rsidR="002B787F" w:rsidRDefault="002B787F" w:rsidP="0029565E">
            <w:pPr>
              <w:widowControl w:val="0"/>
              <w:autoSpaceDE w:val="0"/>
              <w:autoSpaceDN w:val="0"/>
              <w:adjustRightInd w:val="0"/>
              <w:rPr>
                <w:sz w:val="20"/>
                <w:szCs w:val="20"/>
              </w:rPr>
            </w:pPr>
          </w:p>
          <w:p w14:paraId="63DE8D7D" w14:textId="4EB35454" w:rsidR="002B787F" w:rsidRDefault="002B787F" w:rsidP="00612DE1">
            <w:pPr>
              <w:widowControl w:val="0"/>
              <w:autoSpaceDE w:val="0"/>
              <w:autoSpaceDN w:val="0"/>
              <w:adjustRightInd w:val="0"/>
              <w:ind w:right="740"/>
              <w:jc w:val="right"/>
              <w:rPr>
                <w:sz w:val="20"/>
                <w:szCs w:val="20"/>
              </w:rPr>
            </w:pPr>
            <w:r>
              <w:rPr>
                <w:sz w:val="20"/>
                <w:szCs w:val="20"/>
              </w:rPr>
              <w:t>2,</w:t>
            </w:r>
            <w:r w:rsidR="00852656">
              <w:rPr>
                <w:sz w:val="20"/>
                <w:szCs w:val="20"/>
              </w:rPr>
              <w:t>787</w:t>
            </w:r>
            <w:r w:rsidR="002B1F41">
              <w:rPr>
                <w:sz w:val="20"/>
                <w:szCs w:val="20"/>
              </w:rPr>
              <w:t>,</w:t>
            </w:r>
            <w:r w:rsidR="00852656">
              <w:rPr>
                <w:sz w:val="20"/>
                <w:szCs w:val="20"/>
              </w:rPr>
              <w:t>590</w:t>
            </w:r>
          </w:p>
          <w:p w14:paraId="43DE37FE" w14:textId="66B90AC1" w:rsidR="0063323D" w:rsidRPr="003061F1" w:rsidRDefault="0063323D" w:rsidP="006F26A2">
            <w:pPr>
              <w:widowControl w:val="0"/>
              <w:autoSpaceDE w:val="0"/>
              <w:autoSpaceDN w:val="0"/>
              <w:adjustRightInd w:val="0"/>
              <w:jc w:val="right"/>
              <w:rPr>
                <w:sz w:val="20"/>
                <w:szCs w:val="20"/>
              </w:rPr>
            </w:pPr>
          </w:p>
        </w:tc>
      </w:tr>
      <w:tr w:rsidR="002B787F" w:rsidRPr="002D3016" w14:paraId="320E3327" w14:textId="77777777" w:rsidTr="00664A13">
        <w:tc>
          <w:tcPr>
            <w:tcW w:w="2268" w:type="dxa"/>
          </w:tcPr>
          <w:p w14:paraId="6C159E91" w14:textId="77777777" w:rsidR="002B787F" w:rsidRPr="003061F1" w:rsidRDefault="002B787F" w:rsidP="006F26A2">
            <w:pPr>
              <w:widowControl w:val="0"/>
              <w:autoSpaceDE w:val="0"/>
              <w:autoSpaceDN w:val="0"/>
              <w:adjustRightInd w:val="0"/>
              <w:rPr>
                <w:b/>
                <w:sz w:val="20"/>
                <w:szCs w:val="20"/>
              </w:rPr>
            </w:pPr>
          </w:p>
          <w:p w14:paraId="1471187D" w14:textId="5F3C3D14" w:rsidR="002B787F" w:rsidRPr="003061F1" w:rsidRDefault="002B787F" w:rsidP="006F26A2">
            <w:pPr>
              <w:widowControl w:val="0"/>
              <w:autoSpaceDE w:val="0"/>
              <w:autoSpaceDN w:val="0"/>
              <w:adjustRightInd w:val="0"/>
              <w:rPr>
                <w:b/>
                <w:sz w:val="20"/>
                <w:szCs w:val="20"/>
              </w:rPr>
            </w:pPr>
            <w:r>
              <w:rPr>
                <w:b/>
                <w:sz w:val="20"/>
                <w:szCs w:val="20"/>
              </w:rPr>
              <w:t>Balance at 31 March 202</w:t>
            </w:r>
            <w:r w:rsidR="00852656">
              <w:rPr>
                <w:b/>
                <w:sz w:val="20"/>
                <w:szCs w:val="20"/>
              </w:rPr>
              <w:t>5</w:t>
            </w:r>
          </w:p>
        </w:tc>
        <w:tc>
          <w:tcPr>
            <w:tcW w:w="2268" w:type="dxa"/>
            <w:tcBorders>
              <w:top w:val="single" w:sz="4" w:space="0" w:color="auto"/>
              <w:bottom w:val="single" w:sz="4" w:space="0" w:color="auto"/>
            </w:tcBorders>
          </w:tcPr>
          <w:p w14:paraId="47B1F40B" w14:textId="77777777" w:rsidR="00541F20" w:rsidRDefault="00541F20" w:rsidP="006F26A2">
            <w:pPr>
              <w:widowControl w:val="0"/>
              <w:autoSpaceDE w:val="0"/>
              <w:autoSpaceDN w:val="0"/>
              <w:adjustRightInd w:val="0"/>
              <w:jc w:val="right"/>
              <w:rPr>
                <w:b/>
                <w:sz w:val="20"/>
                <w:szCs w:val="20"/>
              </w:rPr>
            </w:pPr>
          </w:p>
          <w:p w14:paraId="50ADD9BB" w14:textId="3C8A9352" w:rsidR="00541F20" w:rsidRDefault="00034AE8" w:rsidP="006F26A2">
            <w:pPr>
              <w:widowControl w:val="0"/>
              <w:autoSpaceDE w:val="0"/>
              <w:autoSpaceDN w:val="0"/>
              <w:adjustRightInd w:val="0"/>
              <w:jc w:val="right"/>
              <w:rPr>
                <w:b/>
                <w:sz w:val="20"/>
                <w:szCs w:val="20"/>
              </w:rPr>
            </w:pPr>
            <w:r w:rsidRPr="00A8223D">
              <w:rPr>
                <w:b/>
                <w:sz w:val="20"/>
                <w:szCs w:val="20"/>
              </w:rPr>
              <w:t>8</w:t>
            </w:r>
            <w:r w:rsidR="00852656">
              <w:rPr>
                <w:b/>
                <w:sz w:val="20"/>
                <w:szCs w:val="20"/>
              </w:rPr>
              <w:t>19</w:t>
            </w:r>
            <w:r w:rsidR="002B1F41" w:rsidRPr="00A8223D">
              <w:rPr>
                <w:b/>
                <w:sz w:val="20"/>
                <w:szCs w:val="20"/>
              </w:rPr>
              <w:t>,</w:t>
            </w:r>
            <w:r w:rsidR="00852656">
              <w:rPr>
                <w:b/>
                <w:sz w:val="20"/>
                <w:szCs w:val="20"/>
              </w:rPr>
              <w:t>133</w:t>
            </w:r>
          </w:p>
          <w:p w14:paraId="160106A7" w14:textId="1C577E55" w:rsidR="002B787F" w:rsidRDefault="002B787F" w:rsidP="006F26A2">
            <w:pPr>
              <w:widowControl w:val="0"/>
              <w:autoSpaceDE w:val="0"/>
              <w:autoSpaceDN w:val="0"/>
              <w:adjustRightInd w:val="0"/>
              <w:jc w:val="right"/>
              <w:rPr>
                <w:b/>
                <w:sz w:val="20"/>
                <w:szCs w:val="20"/>
              </w:rPr>
            </w:pPr>
          </w:p>
        </w:tc>
        <w:tc>
          <w:tcPr>
            <w:tcW w:w="2268" w:type="dxa"/>
            <w:tcBorders>
              <w:top w:val="single" w:sz="4" w:space="0" w:color="auto"/>
              <w:bottom w:val="single" w:sz="4" w:space="0" w:color="auto"/>
            </w:tcBorders>
          </w:tcPr>
          <w:p w14:paraId="1FA47950" w14:textId="77777777" w:rsidR="002B787F" w:rsidRDefault="002B787F" w:rsidP="002B787F">
            <w:pPr>
              <w:widowControl w:val="0"/>
              <w:autoSpaceDE w:val="0"/>
              <w:autoSpaceDN w:val="0"/>
              <w:adjustRightInd w:val="0"/>
              <w:ind w:right="597"/>
              <w:jc w:val="right"/>
              <w:rPr>
                <w:b/>
                <w:sz w:val="20"/>
                <w:szCs w:val="20"/>
              </w:rPr>
            </w:pPr>
          </w:p>
          <w:p w14:paraId="27FE0AA6" w14:textId="1DE92F0C" w:rsidR="00541F20" w:rsidRDefault="00034AE8" w:rsidP="002B787F">
            <w:pPr>
              <w:widowControl w:val="0"/>
              <w:autoSpaceDE w:val="0"/>
              <w:autoSpaceDN w:val="0"/>
              <w:adjustRightInd w:val="0"/>
              <w:ind w:right="597"/>
              <w:jc w:val="right"/>
              <w:rPr>
                <w:b/>
                <w:sz w:val="20"/>
                <w:szCs w:val="20"/>
              </w:rPr>
            </w:pPr>
            <w:r>
              <w:rPr>
                <w:b/>
                <w:sz w:val="20"/>
                <w:szCs w:val="20"/>
              </w:rPr>
              <w:t>8</w:t>
            </w:r>
            <w:r w:rsidR="00852656">
              <w:rPr>
                <w:b/>
                <w:sz w:val="20"/>
                <w:szCs w:val="20"/>
              </w:rPr>
              <w:t>9</w:t>
            </w:r>
            <w:r w:rsidR="002B1F41">
              <w:rPr>
                <w:b/>
                <w:sz w:val="20"/>
                <w:szCs w:val="20"/>
              </w:rPr>
              <w:t>,</w:t>
            </w:r>
            <w:r w:rsidR="00852656">
              <w:rPr>
                <w:b/>
                <w:sz w:val="20"/>
                <w:szCs w:val="20"/>
              </w:rPr>
              <w:t>876</w:t>
            </w:r>
          </w:p>
        </w:tc>
        <w:tc>
          <w:tcPr>
            <w:tcW w:w="2269" w:type="dxa"/>
            <w:tcBorders>
              <w:top w:val="single" w:sz="4" w:space="0" w:color="auto"/>
              <w:bottom w:val="single" w:sz="4" w:space="0" w:color="auto"/>
            </w:tcBorders>
          </w:tcPr>
          <w:p w14:paraId="42A368D6" w14:textId="66D9BCBA" w:rsidR="00541F20" w:rsidRDefault="00541F20" w:rsidP="006F26A2">
            <w:pPr>
              <w:widowControl w:val="0"/>
              <w:autoSpaceDE w:val="0"/>
              <w:autoSpaceDN w:val="0"/>
              <w:adjustRightInd w:val="0"/>
              <w:jc w:val="right"/>
              <w:rPr>
                <w:b/>
                <w:sz w:val="20"/>
                <w:szCs w:val="20"/>
              </w:rPr>
            </w:pPr>
          </w:p>
          <w:p w14:paraId="4A2A22B5" w14:textId="2B56F8F9" w:rsidR="00541F20" w:rsidRDefault="00034AE8" w:rsidP="00612DE1">
            <w:pPr>
              <w:widowControl w:val="0"/>
              <w:autoSpaceDE w:val="0"/>
              <w:autoSpaceDN w:val="0"/>
              <w:adjustRightInd w:val="0"/>
              <w:ind w:right="740"/>
              <w:jc w:val="right"/>
              <w:rPr>
                <w:b/>
                <w:sz w:val="20"/>
                <w:szCs w:val="20"/>
              </w:rPr>
            </w:pPr>
            <w:r w:rsidRPr="00A552DA">
              <w:rPr>
                <w:b/>
                <w:sz w:val="20"/>
                <w:szCs w:val="20"/>
              </w:rPr>
              <w:t>9</w:t>
            </w:r>
            <w:r w:rsidR="00852656">
              <w:rPr>
                <w:b/>
                <w:sz w:val="20"/>
                <w:szCs w:val="20"/>
              </w:rPr>
              <w:t>09</w:t>
            </w:r>
            <w:r w:rsidR="009F599C" w:rsidRPr="00A552DA">
              <w:rPr>
                <w:b/>
                <w:sz w:val="20"/>
                <w:szCs w:val="20"/>
              </w:rPr>
              <w:t>,</w:t>
            </w:r>
            <w:r w:rsidR="00852656">
              <w:rPr>
                <w:b/>
                <w:sz w:val="20"/>
                <w:szCs w:val="20"/>
              </w:rPr>
              <w:t>009</w:t>
            </w:r>
          </w:p>
          <w:p w14:paraId="1678C444" w14:textId="6396468A" w:rsidR="002B787F" w:rsidRPr="003061F1" w:rsidRDefault="002B787F" w:rsidP="006F26A2">
            <w:pPr>
              <w:widowControl w:val="0"/>
              <w:autoSpaceDE w:val="0"/>
              <w:autoSpaceDN w:val="0"/>
              <w:adjustRightInd w:val="0"/>
              <w:jc w:val="right"/>
              <w:rPr>
                <w:b/>
                <w:sz w:val="20"/>
                <w:szCs w:val="20"/>
              </w:rPr>
            </w:pPr>
          </w:p>
        </w:tc>
      </w:tr>
    </w:tbl>
    <w:p w14:paraId="65CD3FD3" w14:textId="77777777" w:rsidR="000C2A54" w:rsidRDefault="000C2A54" w:rsidP="000C2A54">
      <w:pPr>
        <w:widowControl w:val="0"/>
        <w:autoSpaceDE w:val="0"/>
        <w:autoSpaceDN w:val="0"/>
        <w:adjustRightInd w:val="0"/>
        <w:jc w:val="center"/>
        <w:rPr>
          <w:b/>
          <w:sz w:val="22"/>
          <w:szCs w:val="22"/>
        </w:rPr>
      </w:pPr>
    </w:p>
    <w:p w14:paraId="0E1667A2" w14:textId="77777777" w:rsidR="000C2A54" w:rsidRDefault="000C2A54" w:rsidP="000C2A54">
      <w:pPr>
        <w:widowControl w:val="0"/>
        <w:autoSpaceDE w:val="0"/>
        <w:autoSpaceDN w:val="0"/>
        <w:adjustRightInd w:val="0"/>
        <w:jc w:val="center"/>
        <w:rPr>
          <w:b/>
          <w:sz w:val="22"/>
          <w:szCs w:val="22"/>
        </w:rPr>
      </w:pPr>
    </w:p>
    <w:p w14:paraId="0C926D7F" w14:textId="7A673782"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T</w:t>
      </w:r>
      <w:r w:rsidR="0029565E">
        <w:rPr>
          <w:sz w:val="22"/>
          <w:szCs w:val="22"/>
        </w:rPr>
        <w:t xml:space="preserve">he notes on pages </w:t>
      </w:r>
      <w:r w:rsidR="00916359" w:rsidRPr="00916359">
        <w:rPr>
          <w:sz w:val="22"/>
          <w:szCs w:val="22"/>
        </w:rPr>
        <w:t>77</w:t>
      </w:r>
      <w:r w:rsidR="000143A4" w:rsidRPr="00916359">
        <w:rPr>
          <w:sz w:val="22"/>
          <w:szCs w:val="22"/>
        </w:rPr>
        <w:t xml:space="preserve"> </w:t>
      </w:r>
      <w:r w:rsidRPr="00916359">
        <w:rPr>
          <w:sz w:val="22"/>
          <w:szCs w:val="22"/>
        </w:rPr>
        <w:t xml:space="preserve">to </w:t>
      </w:r>
      <w:r w:rsidR="00916359">
        <w:rPr>
          <w:sz w:val="22"/>
          <w:szCs w:val="22"/>
        </w:rPr>
        <w:t>97</w:t>
      </w:r>
      <w:r w:rsidR="00582E77">
        <w:rPr>
          <w:sz w:val="22"/>
          <w:szCs w:val="22"/>
        </w:rPr>
        <w:t xml:space="preserve"> fo</w:t>
      </w:r>
      <w:r w:rsidRPr="00EB5423">
        <w:rPr>
          <w:sz w:val="22"/>
          <w:szCs w:val="22"/>
        </w:rPr>
        <w:t>rm part of the financial statements.</w:t>
      </w:r>
    </w:p>
    <w:p w14:paraId="687F6B17" w14:textId="77777777" w:rsidR="000C2A54" w:rsidRPr="00756704" w:rsidRDefault="000C2A54" w:rsidP="000C2A54">
      <w:pPr>
        <w:widowControl w:val="0"/>
        <w:autoSpaceDE w:val="0"/>
        <w:autoSpaceDN w:val="0"/>
        <w:adjustRightInd w:val="0"/>
        <w:jc w:val="center"/>
        <w:rPr>
          <w:b/>
          <w:sz w:val="22"/>
          <w:szCs w:val="22"/>
        </w:rPr>
      </w:pPr>
    </w:p>
    <w:p w14:paraId="7B3C35E8" w14:textId="77777777" w:rsidR="008C73A2" w:rsidRDefault="000C2A54" w:rsidP="008C73A2">
      <w:pPr>
        <w:widowControl w:val="0"/>
        <w:autoSpaceDE w:val="0"/>
        <w:autoSpaceDN w:val="0"/>
        <w:adjustRightInd w:val="0"/>
        <w:jc w:val="center"/>
        <w:rPr>
          <w:rFonts w:cs="Arial"/>
          <w:b/>
          <w:color w:val="77328A"/>
          <w:sz w:val="30"/>
          <w:szCs w:val="30"/>
        </w:rPr>
      </w:pPr>
      <w:r>
        <w:rPr>
          <w:b/>
          <w:sz w:val="28"/>
          <w:szCs w:val="28"/>
        </w:rPr>
        <w:br w:type="page"/>
      </w:r>
    </w:p>
    <w:p w14:paraId="4FECFC57" w14:textId="77777777" w:rsidR="008C73A2" w:rsidRDefault="008C73A2" w:rsidP="000C2A54">
      <w:pPr>
        <w:widowControl w:val="0"/>
        <w:autoSpaceDE w:val="0"/>
        <w:autoSpaceDN w:val="0"/>
        <w:adjustRightInd w:val="0"/>
        <w:jc w:val="center"/>
        <w:rPr>
          <w:rFonts w:cs="Arial"/>
          <w:b/>
          <w:color w:val="77328A"/>
          <w:sz w:val="30"/>
          <w:szCs w:val="30"/>
        </w:rPr>
      </w:pPr>
      <w:r>
        <w:rPr>
          <w:rFonts w:cs="Arial"/>
          <w:b/>
          <w:color w:val="77328A"/>
          <w:sz w:val="30"/>
          <w:szCs w:val="30"/>
        </w:rPr>
        <w:lastRenderedPageBreak/>
        <w:t xml:space="preserve"> </w:t>
      </w:r>
      <w:bookmarkStart w:id="36" w:name="NotestotheFinancialStatements"/>
      <w:r>
        <w:rPr>
          <w:rFonts w:cs="Arial"/>
          <w:b/>
          <w:color w:val="77328A"/>
          <w:sz w:val="30"/>
          <w:szCs w:val="30"/>
        </w:rPr>
        <w:t xml:space="preserve">Notes to the Financial Statements </w:t>
      </w:r>
    </w:p>
    <w:p w14:paraId="51998792" w14:textId="33360C0D" w:rsidR="000C2A54" w:rsidRPr="003B42D9" w:rsidRDefault="004E6BF5" w:rsidP="000C2A54">
      <w:pPr>
        <w:widowControl w:val="0"/>
        <w:autoSpaceDE w:val="0"/>
        <w:autoSpaceDN w:val="0"/>
        <w:adjustRightInd w:val="0"/>
        <w:jc w:val="center"/>
        <w:rPr>
          <w:b/>
        </w:rPr>
      </w:pPr>
      <w:r>
        <w:rPr>
          <w:rFonts w:cs="Arial"/>
          <w:b/>
          <w:color w:val="77328A"/>
          <w:sz w:val="30"/>
          <w:szCs w:val="30"/>
        </w:rPr>
        <w:t>for the Year Ended 31 March 202</w:t>
      </w:r>
      <w:bookmarkEnd w:id="36"/>
      <w:r w:rsidR="00852656">
        <w:rPr>
          <w:rFonts w:cs="Arial"/>
          <w:b/>
          <w:color w:val="77328A"/>
          <w:sz w:val="30"/>
          <w:szCs w:val="30"/>
        </w:rPr>
        <w:t>5</w:t>
      </w:r>
    </w:p>
    <w:p w14:paraId="09F2D072" w14:textId="77777777" w:rsidR="000C2A54" w:rsidRPr="003B42D9" w:rsidRDefault="000C2A54" w:rsidP="000C2A54">
      <w:pPr>
        <w:rPr>
          <w:b/>
        </w:rPr>
      </w:pPr>
    </w:p>
    <w:p w14:paraId="4333682D" w14:textId="77777777" w:rsidR="000C2A54" w:rsidRPr="004E6BF5" w:rsidRDefault="000C2A54" w:rsidP="000C2A54">
      <w:pPr>
        <w:widowControl w:val="0"/>
        <w:autoSpaceDE w:val="0"/>
        <w:autoSpaceDN w:val="0"/>
        <w:adjustRightInd w:val="0"/>
        <w:ind w:left="567" w:hanging="567"/>
        <w:rPr>
          <w:b/>
          <w:color w:val="FF0000"/>
        </w:rPr>
      </w:pPr>
      <w:r>
        <w:rPr>
          <w:b/>
        </w:rPr>
        <w:t>1</w:t>
      </w:r>
      <w:r w:rsidRPr="003B42D9">
        <w:rPr>
          <w:b/>
        </w:rPr>
        <w:t>.</w:t>
      </w:r>
      <w:r w:rsidRPr="003B42D9">
        <w:rPr>
          <w:b/>
        </w:rPr>
        <w:tab/>
        <w:t xml:space="preserve">Statement of accounting policies </w:t>
      </w:r>
    </w:p>
    <w:p w14:paraId="26305A1F" w14:textId="77777777" w:rsidR="000C2A54" w:rsidRPr="003B42D9" w:rsidRDefault="000C2A54" w:rsidP="000C2A54">
      <w:pPr>
        <w:widowControl w:val="0"/>
        <w:tabs>
          <w:tab w:val="left" w:pos="567"/>
        </w:tabs>
        <w:autoSpaceDE w:val="0"/>
        <w:autoSpaceDN w:val="0"/>
        <w:adjustRightInd w:val="0"/>
        <w:ind w:left="567" w:hanging="567"/>
        <w:rPr>
          <w:b/>
        </w:rPr>
      </w:pPr>
    </w:p>
    <w:p w14:paraId="27FE0D96" w14:textId="0FCF828E" w:rsidR="000C2A54" w:rsidRPr="003B42D9" w:rsidRDefault="000C2A54" w:rsidP="000C2A54">
      <w:pPr>
        <w:pStyle w:val="BodyTextIndent3"/>
        <w:tabs>
          <w:tab w:val="left" w:pos="567"/>
        </w:tabs>
        <w:spacing w:after="0"/>
        <w:ind w:left="567" w:hanging="567"/>
        <w:rPr>
          <w:sz w:val="24"/>
          <w:szCs w:val="24"/>
        </w:rPr>
      </w:pPr>
      <w:r w:rsidRPr="003B42D9">
        <w:rPr>
          <w:sz w:val="24"/>
          <w:szCs w:val="24"/>
        </w:rPr>
        <w:tab/>
      </w:r>
      <w:r w:rsidR="00FA67ED">
        <w:rPr>
          <w:sz w:val="24"/>
          <w:szCs w:val="24"/>
        </w:rPr>
        <w:t xml:space="preserve">The Secretary of State for Northern Ireland has directed the Human Rights Commission for Northern Ireland to prepare accounts under the Northern Ireland Act 1998.  </w:t>
      </w:r>
      <w:r w:rsidRPr="003B42D9">
        <w:rPr>
          <w:sz w:val="24"/>
          <w:szCs w:val="24"/>
        </w:rPr>
        <w:t xml:space="preserve">The financial statements have been prepared in accordance with the Government Financial Reporting Manual (FReM) for </w:t>
      </w:r>
      <w:r w:rsidR="0091473F">
        <w:rPr>
          <w:sz w:val="24"/>
          <w:szCs w:val="24"/>
        </w:rPr>
        <w:t>202</w:t>
      </w:r>
      <w:r w:rsidR="00852656">
        <w:rPr>
          <w:sz w:val="24"/>
          <w:szCs w:val="24"/>
        </w:rPr>
        <w:t>4</w:t>
      </w:r>
      <w:r w:rsidR="0029565E">
        <w:rPr>
          <w:sz w:val="24"/>
          <w:szCs w:val="24"/>
        </w:rPr>
        <w:t>-2</w:t>
      </w:r>
      <w:r w:rsidR="00852656">
        <w:rPr>
          <w:sz w:val="24"/>
          <w:szCs w:val="24"/>
        </w:rPr>
        <w:t>5</w:t>
      </w:r>
      <w:r w:rsidRPr="003B42D9">
        <w:rPr>
          <w:sz w:val="24"/>
          <w:szCs w:val="24"/>
        </w:rPr>
        <w:t>, issued by HM Treasury.  The accounting policies contained in the FReM apply International Financial Reporting Standards (IFRS), as adapted or interpreted for the public sector context.  Where the FReM permits a choice of accounting policy, the accounting policy which is judged to be most appropriate to the particular circumstances of the Northern Ireland Human Rights Commission for the purpose of giving a true and fair view has been selected.  The particular policies adopted by the Northern Ireland Human Rights Commission for the</w:t>
      </w:r>
      <w:r w:rsidR="003F76DD">
        <w:rPr>
          <w:sz w:val="24"/>
          <w:szCs w:val="24"/>
        </w:rPr>
        <w:t xml:space="preserve"> year ending </w:t>
      </w:r>
      <w:r w:rsidR="0029565E">
        <w:rPr>
          <w:sz w:val="24"/>
          <w:szCs w:val="24"/>
        </w:rPr>
        <w:t>31 March 202</w:t>
      </w:r>
      <w:r w:rsidR="008646D4">
        <w:rPr>
          <w:sz w:val="24"/>
          <w:szCs w:val="24"/>
        </w:rPr>
        <w:t>5</w:t>
      </w:r>
      <w:r w:rsidRPr="003B42D9">
        <w:rPr>
          <w:sz w:val="24"/>
          <w:szCs w:val="24"/>
        </w:rPr>
        <w:t xml:space="preserve"> are described below. They have been applied consistently in dealing with items that are considered material to the accounts.</w:t>
      </w:r>
    </w:p>
    <w:p w14:paraId="585C016B" w14:textId="77777777" w:rsidR="000C2A54" w:rsidRPr="003B42D9" w:rsidRDefault="000C2A54" w:rsidP="000C2A54">
      <w:pPr>
        <w:pStyle w:val="BodyTextIndent3"/>
        <w:tabs>
          <w:tab w:val="left" w:pos="567"/>
        </w:tabs>
        <w:spacing w:after="0"/>
        <w:ind w:left="567" w:hanging="567"/>
        <w:rPr>
          <w:sz w:val="24"/>
          <w:szCs w:val="24"/>
        </w:rPr>
      </w:pPr>
    </w:p>
    <w:p w14:paraId="5CAF3C1D" w14:textId="77777777" w:rsidR="000C2A54" w:rsidRPr="003B42D9" w:rsidRDefault="000C2A54" w:rsidP="000C2A54">
      <w:pPr>
        <w:widowControl w:val="0"/>
        <w:tabs>
          <w:tab w:val="left" w:pos="720"/>
        </w:tabs>
        <w:autoSpaceDE w:val="0"/>
        <w:autoSpaceDN w:val="0"/>
        <w:adjustRightInd w:val="0"/>
        <w:ind w:left="1418" w:hanging="851"/>
        <w:rPr>
          <w:b/>
        </w:rPr>
      </w:pPr>
      <w:r w:rsidRPr="003B42D9">
        <w:rPr>
          <w:b/>
        </w:rPr>
        <w:t>1.1</w:t>
      </w:r>
      <w:r w:rsidRPr="003B42D9">
        <w:rPr>
          <w:b/>
        </w:rPr>
        <w:tab/>
        <w:t>Accounting convention</w:t>
      </w:r>
    </w:p>
    <w:p w14:paraId="49A200FF" w14:textId="77777777" w:rsidR="000C2A54" w:rsidRPr="003B42D9" w:rsidRDefault="000C2A54" w:rsidP="000C2A54">
      <w:pPr>
        <w:pStyle w:val="BodyTextIndent3"/>
        <w:tabs>
          <w:tab w:val="left" w:pos="720"/>
        </w:tabs>
        <w:spacing w:after="0"/>
        <w:ind w:left="567"/>
        <w:rPr>
          <w:sz w:val="24"/>
          <w:szCs w:val="24"/>
        </w:rPr>
      </w:pPr>
    </w:p>
    <w:p w14:paraId="670D1605" w14:textId="77777777" w:rsidR="000C2A54" w:rsidRPr="003B42D9" w:rsidRDefault="000C2A54" w:rsidP="000C2A54">
      <w:pPr>
        <w:pStyle w:val="BodyTextIndent3"/>
        <w:tabs>
          <w:tab w:val="left" w:pos="720"/>
        </w:tabs>
        <w:spacing w:after="0"/>
        <w:ind w:left="1418"/>
        <w:rPr>
          <w:sz w:val="24"/>
          <w:szCs w:val="24"/>
        </w:rPr>
      </w:pPr>
      <w:r w:rsidRPr="003B42D9">
        <w:rPr>
          <w:sz w:val="24"/>
          <w:szCs w:val="24"/>
        </w:rPr>
        <w:t>The financial statements have been prepared in accordance with the historical cost convention, modified to account for the revaluation of property, plant and equipment.</w:t>
      </w:r>
    </w:p>
    <w:p w14:paraId="7C12A06B" w14:textId="77777777" w:rsidR="000C2A54" w:rsidRPr="003B42D9" w:rsidRDefault="000C2A54" w:rsidP="000C2A54">
      <w:pPr>
        <w:pStyle w:val="BodyTextIndent3"/>
        <w:tabs>
          <w:tab w:val="left" w:pos="720"/>
        </w:tabs>
        <w:spacing w:after="0"/>
        <w:ind w:left="1418"/>
        <w:rPr>
          <w:sz w:val="24"/>
          <w:szCs w:val="24"/>
        </w:rPr>
      </w:pPr>
    </w:p>
    <w:p w14:paraId="71A12A92" w14:textId="77777777" w:rsidR="000C2A54" w:rsidRPr="003B42D9" w:rsidRDefault="000C2A54" w:rsidP="000C2A54">
      <w:pPr>
        <w:pStyle w:val="BodyTextIndent3"/>
        <w:tabs>
          <w:tab w:val="left" w:pos="720"/>
        </w:tabs>
        <w:spacing w:after="0"/>
        <w:ind w:left="1418"/>
        <w:rPr>
          <w:sz w:val="24"/>
          <w:szCs w:val="24"/>
        </w:rPr>
      </w:pPr>
      <w:r w:rsidRPr="003B42D9">
        <w:rPr>
          <w:sz w:val="24"/>
          <w:szCs w:val="24"/>
        </w:rPr>
        <w:t>The accounts comply with the accounting standards issued or adopted by the Accounting Standards Board, FReM and accounting and disclosure requirements issued by HM Treasury and are in Sterling.</w:t>
      </w:r>
    </w:p>
    <w:p w14:paraId="4EEB0D10" w14:textId="77777777" w:rsidR="000C2A54" w:rsidRPr="003B42D9" w:rsidRDefault="000C2A54" w:rsidP="000C2A54">
      <w:pPr>
        <w:widowControl w:val="0"/>
        <w:tabs>
          <w:tab w:val="left" w:pos="567"/>
        </w:tabs>
        <w:autoSpaceDE w:val="0"/>
        <w:autoSpaceDN w:val="0"/>
        <w:adjustRightInd w:val="0"/>
      </w:pPr>
    </w:p>
    <w:p w14:paraId="2A60F98D" w14:textId="77777777" w:rsidR="000C2A54" w:rsidRPr="003B42D9" w:rsidRDefault="000C2A54" w:rsidP="000C2A54">
      <w:pPr>
        <w:widowControl w:val="0"/>
        <w:autoSpaceDE w:val="0"/>
        <w:autoSpaceDN w:val="0"/>
        <w:adjustRightInd w:val="0"/>
        <w:ind w:left="1418" w:hanging="851"/>
        <w:rPr>
          <w:b/>
        </w:rPr>
      </w:pPr>
      <w:r w:rsidRPr="003B42D9">
        <w:rPr>
          <w:b/>
        </w:rPr>
        <w:t>1.2</w:t>
      </w:r>
      <w:r w:rsidRPr="003B42D9">
        <w:rPr>
          <w:b/>
        </w:rPr>
        <w:tab/>
        <w:t>Critical accounting estimates and key judgements</w:t>
      </w:r>
    </w:p>
    <w:p w14:paraId="65526EC9" w14:textId="77777777" w:rsidR="000C2A54" w:rsidRPr="003B42D9" w:rsidRDefault="000C2A54" w:rsidP="000C2A54">
      <w:pPr>
        <w:tabs>
          <w:tab w:val="left" w:pos="567"/>
        </w:tabs>
        <w:autoSpaceDE w:val="0"/>
        <w:autoSpaceDN w:val="0"/>
        <w:adjustRightInd w:val="0"/>
        <w:jc w:val="both"/>
        <w:rPr>
          <w:rFonts w:ascii="Arial" w:hAnsi="Arial" w:cs="Arial"/>
        </w:rPr>
      </w:pPr>
    </w:p>
    <w:p w14:paraId="267109AF" w14:textId="77777777" w:rsidR="000C2A54" w:rsidRPr="003B42D9" w:rsidRDefault="000C2A54" w:rsidP="000C2A54">
      <w:pPr>
        <w:tabs>
          <w:tab w:val="left" w:pos="720"/>
        </w:tabs>
        <w:ind w:left="1418"/>
      </w:pPr>
      <w:r w:rsidRPr="003B42D9">
        <w:t>The preparation of financial statements in conformity with IFRS requires the use of accounting estimates and assumptions.  It also requires the Commission to exercise judgement in the process of applying the accounting policies.  We continually evaluate our estimates, assumptions and judgements based on available information and experience.  As the use of estimates is inherent in financial reporting, actual results could differ from these estimates.  The estimates and assumptions which have the most significant risk of causing a material adjustment to the carrying amounts of assets and liabilities are discussed below.</w:t>
      </w:r>
    </w:p>
    <w:p w14:paraId="598D514B" w14:textId="77777777" w:rsidR="000C2A54" w:rsidRPr="003B42D9" w:rsidRDefault="000C2A54" w:rsidP="000C2A54">
      <w:pPr>
        <w:ind w:left="567" w:firstLine="567"/>
        <w:rPr>
          <w:b/>
        </w:rPr>
      </w:pPr>
    </w:p>
    <w:p w14:paraId="1D749878" w14:textId="77777777" w:rsidR="000C2A54" w:rsidRPr="003B42D9" w:rsidRDefault="000C2A54" w:rsidP="000C2A54">
      <w:pPr>
        <w:tabs>
          <w:tab w:val="left" w:pos="1985"/>
        </w:tabs>
        <w:ind w:left="1418"/>
        <w:rPr>
          <w:b/>
        </w:rPr>
      </w:pPr>
      <w:r w:rsidRPr="003B42D9">
        <w:rPr>
          <w:b/>
        </w:rPr>
        <w:lastRenderedPageBreak/>
        <w:t>(i)</w:t>
      </w:r>
      <w:r w:rsidRPr="003B42D9">
        <w:rPr>
          <w:b/>
        </w:rPr>
        <w:tab/>
        <w:t xml:space="preserve">Depreciation of property, plant, equipment and </w:t>
      </w:r>
      <w:r w:rsidRPr="003B42D9">
        <w:rPr>
          <w:b/>
        </w:rPr>
        <w:tab/>
        <w:t>intangibles</w:t>
      </w:r>
    </w:p>
    <w:p w14:paraId="3D3496AB" w14:textId="2165D650" w:rsidR="00AE1441" w:rsidRDefault="000C2A54" w:rsidP="000C2A54">
      <w:pPr>
        <w:ind w:left="1985"/>
      </w:pPr>
      <w:r w:rsidRPr="003B42D9">
        <w:t xml:space="preserve">Depreciation is provided in the accounts so as to write-down the respective assets to their residual values over their expected useful lives and as such the selection of the estimated useful lives and the expected residual values of the assets requires the use of estimates and judgements.  Details of the estimated useful lives are as shown in Note 1.7 and Note </w:t>
      </w:r>
      <w:r w:rsidR="008860A2">
        <w:t>1.</w:t>
      </w:r>
      <w:r w:rsidR="00A9071A">
        <w:t>9.</w:t>
      </w:r>
    </w:p>
    <w:p w14:paraId="17DD6862" w14:textId="77777777" w:rsidR="00AE1441" w:rsidRDefault="00AE1441" w:rsidP="000C2A54">
      <w:pPr>
        <w:ind w:left="1985"/>
      </w:pPr>
    </w:p>
    <w:p w14:paraId="462E124B" w14:textId="08A8ABD7" w:rsidR="00AE1441" w:rsidRPr="003B42D9" w:rsidRDefault="00AE1441" w:rsidP="00AE1441">
      <w:pPr>
        <w:ind w:left="1985" w:hanging="567"/>
        <w:rPr>
          <w:b/>
        </w:rPr>
      </w:pPr>
      <w:r w:rsidRPr="003B42D9">
        <w:rPr>
          <w:b/>
        </w:rPr>
        <w:t>(ii)</w:t>
      </w:r>
      <w:r w:rsidRPr="003B42D9">
        <w:rPr>
          <w:b/>
        </w:rPr>
        <w:tab/>
      </w:r>
      <w:r>
        <w:rPr>
          <w:b/>
        </w:rPr>
        <w:t>Leases</w:t>
      </w:r>
    </w:p>
    <w:p w14:paraId="1D09EE7D" w14:textId="64FBBB99" w:rsidR="000C2A54" w:rsidRPr="00AE1441" w:rsidRDefault="00AE1441" w:rsidP="00AE1441">
      <w:pPr>
        <w:ind w:left="1985"/>
      </w:pPr>
      <w:r>
        <w:t>Property leases assessed for IFRS16 Right-of-Use assets are valued using a cost model which has been used as a proxy for current value as the underlying assets value of the short lease is unlikely to fluctuate significantly.</w:t>
      </w:r>
      <w:r w:rsidR="000C2A54" w:rsidRPr="003B42D9">
        <w:br/>
      </w:r>
    </w:p>
    <w:p w14:paraId="210F0269" w14:textId="0A7F9E41" w:rsidR="000C2A54" w:rsidRPr="003B42D9" w:rsidRDefault="000C2A54" w:rsidP="000C2A54">
      <w:pPr>
        <w:ind w:left="1985" w:hanging="567"/>
        <w:rPr>
          <w:b/>
        </w:rPr>
      </w:pPr>
      <w:r w:rsidRPr="003B42D9">
        <w:rPr>
          <w:b/>
        </w:rPr>
        <w:t>(ii</w:t>
      </w:r>
      <w:r w:rsidR="003B6BEC">
        <w:rPr>
          <w:b/>
        </w:rPr>
        <w:t>i</w:t>
      </w:r>
      <w:r w:rsidRPr="003B42D9">
        <w:rPr>
          <w:b/>
        </w:rPr>
        <w:t>)</w:t>
      </w:r>
      <w:r w:rsidRPr="003B42D9">
        <w:rPr>
          <w:b/>
        </w:rPr>
        <w:tab/>
        <w:t>Impairment of property, plant and equipment</w:t>
      </w:r>
    </w:p>
    <w:p w14:paraId="57DC372E" w14:textId="77777777" w:rsidR="000C2A54" w:rsidRPr="003B42D9" w:rsidRDefault="000C2A54" w:rsidP="000C2A54">
      <w:pPr>
        <w:ind w:left="1985"/>
      </w:pPr>
      <w:r w:rsidRPr="003B42D9">
        <w:t>Where there is an indication that the carrying value of items of property, plant and equipment may have been impaired through events or changes in circumstances, a review will be undertaken of the recoverable amount of that asset.</w:t>
      </w:r>
    </w:p>
    <w:p w14:paraId="363DD307" w14:textId="77777777" w:rsidR="000C2A54" w:rsidRPr="003B42D9" w:rsidRDefault="000C2A54" w:rsidP="000C2A54"/>
    <w:p w14:paraId="7CD57BEC" w14:textId="268E4C87" w:rsidR="000C2A54" w:rsidRPr="003B42D9" w:rsidRDefault="000C2A54" w:rsidP="000C2A54">
      <w:pPr>
        <w:rPr>
          <w:b/>
        </w:rPr>
      </w:pPr>
      <w:r w:rsidRPr="003B42D9">
        <w:tab/>
      </w:r>
      <w:r w:rsidRPr="003B42D9">
        <w:tab/>
      </w:r>
      <w:r w:rsidRPr="003B42D9">
        <w:rPr>
          <w:b/>
        </w:rPr>
        <w:t>(i</w:t>
      </w:r>
      <w:r w:rsidR="003B6BEC">
        <w:rPr>
          <w:b/>
        </w:rPr>
        <w:t>v</w:t>
      </w:r>
      <w:r w:rsidRPr="003B42D9">
        <w:rPr>
          <w:b/>
        </w:rPr>
        <w:t>) Provisions</w:t>
      </w:r>
    </w:p>
    <w:p w14:paraId="24FFF869" w14:textId="77777777" w:rsidR="000C2A54" w:rsidRPr="003B42D9" w:rsidRDefault="000C2A54" w:rsidP="000C2A54">
      <w:pPr>
        <w:tabs>
          <w:tab w:val="left" w:pos="1276"/>
          <w:tab w:val="left" w:pos="1985"/>
        </w:tabs>
        <w:ind w:left="1985" w:hanging="1985"/>
      </w:pPr>
      <w:r w:rsidRPr="003B42D9">
        <w:rPr>
          <w:b/>
        </w:rPr>
        <w:tab/>
      </w:r>
      <w:r w:rsidRPr="003B42D9">
        <w:rPr>
          <w:b/>
        </w:rPr>
        <w:tab/>
      </w:r>
      <w:r w:rsidRPr="003B42D9">
        <w:t xml:space="preserve">The Commission provides for legal or constructive </w:t>
      </w:r>
      <w:r w:rsidR="00176472" w:rsidRPr="003B42D9">
        <w:t>obligations, which</w:t>
      </w:r>
      <w:r w:rsidRPr="003B42D9">
        <w:t xml:space="preserve"> are of uncertain timing or amount at the reporting date on the basis of the best estimate of the expenditure required to settle the obligation.</w:t>
      </w:r>
    </w:p>
    <w:p w14:paraId="0AE98860" w14:textId="77777777" w:rsidR="000C2A54" w:rsidRPr="003B42D9" w:rsidRDefault="000C2A54" w:rsidP="000C2A54">
      <w:pPr>
        <w:tabs>
          <w:tab w:val="left" w:pos="1276"/>
          <w:tab w:val="left" w:pos="1985"/>
        </w:tabs>
      </w:pPr>
    </w:p>
    <w:p w14:paraId="6C356A32" w14:textId="3DCF500A" w:rsidR="000C2A54" w:rsidRPr="003B42D9" w:rsidRDefault="000C2A54" w:rsidP="00476C25">
      <w:pPr>
        <w:tabs>
          <w:tab w:val="left" w:pos="567"/>
        </w:tabs>
        <w:rPr>
          <w:rFonts w:ascii="Arial" w:hAnsi="Arial" w:cs="Arial"/>
        </w:rPr>
      </w:pPr>
    </w:p>
    <w:p w14:paraId="5837E444" w14:textId="5AF9E386" w:rsidR="000C2A54" w:rsidRPr="003B42D9" w:rsidRDefault="000C2A54" w:rsidP="000C2A54">
      <w:pPr>
        <w:widowControl w:val="0"/>
        <w:autoSpaceDE w:val="0"/>
        <w:autoSpaceDN w:val="0"/>
        <w:adjustRightInd w:val="0"/>
        <w:ind w:left="1418" w:hanging="851"/>
        <w:rPr>
          <w:b/>
        </w:rPr>
      </w:pPr>
      <w:r w:rsidRPr="003B42D9">
        <w:rPr>
          <w:b/>
        </w:rPr>
        <w:t>1.</w:t>
      </w:r>
      <w:r w:rsidR="00A9071A">
        <w:rPr>
          <w:b/>
        </w:rPr>
        <w:t>3</w:t>
      </w:r>
      <w:r w:rsidRPr="003B42D9">
        <w:rPr>
          <w:b/>
        </w:rPr>
        <w:tab/>
        <w:t>Accounting standards, interpretations and amendments to published standards not yet effective</w:t>
      </w:r>
    </w:p>
    <w:p w14:paraId="733CF851" w14:textId="77777777" w:rsidR="000C2A54" w:rsidRPr="003B42D9" w:rsidRDefault="000C2A54" w:rsidP="000C2A54">
      <w:pPr>
        <w:tabs>
          <w:tab w:val="left" w:pos="567"/>
        </w:tabs>
        <w:jc w:val="both"/>
        <w:rPr>
          <w:rFonts w:ascii="Arial" w:hAnsi="Arial" w:cs="Arial"/>
        </w:rPr>
      </w:pPr>
    </w:p>
    <w:p w14:paraId="050F1FAF" w14:textId="77777777" w:rsidR="000C2A54" w:rsidRDefault="000C2A54" w:rsidP="000C2A54">
      <w:pPr>
        <w:tabs>
          <w:tab w:val="left" w:pos="567"/>
        </w:tabs>
        <w:ind w:left="1418"/>
      </w:pPr>
      <w:r w:rsidRPr="003B42D9">
        <w:t xml:space="preserve">The Commission has not adopted any Standards or Interpretations from the IFRS in advance of the required implementation dates.  </w:t>
      </w:r>
      <w:r w:rsidR="00BA4EC9">
        <w:t>The following</w:t>
      </w:r>
      <w:r w:rsidRPr="003B42D9">
        <w:t xml:space="preserve"> standards or interpretations </w:t>
      </w:r>
      <w:r w:rsidR="003A70E7">
        <w:t>were</w:t>
      </w:r>
      <w:r w:rsidRPr="003B42D9">
        <w:t xml:space="preserve"> issued by the International Accounting Standards </w:t>
      </w:r>
      <w:r w:rsidR="00BA4EC9">
        <w:t>Board but have not been adopted:</w:t>
      </w:r>
    </w:p>
    <w:p w14:paraId="386948BD" w14:textId="65AE72AA" w:rsidR="00275EFE" w:rsidRDefault="00275EFE" w:rsidP="00275EFE">
      <w:pPr>
        <w:tabs>
          <w:tab w:val="left" w:pos="567"/>
        </w:tabs>
      </w:pPr>
    </w:p>
    <w:p w14:paraId="1EEAE18B" w14:textId="4634AE93" w:rsidR="00845DE0" w:rsidRDefault="002D6006" w:rsidP="00782F24">
      <w:pPr>
        <w:tabs>
          <w:tab w:val="left" w:pos="567"/>
        </w:tabs>
        <w:ind w:left="1440" w:hanging="1440"/>
      </w:pPr>
      <w:r>
        <w:tab/>
      </w:r>
      <w:r>
        <w:tab/>
        <w:t>IFRS 17 – Insurance contracts</w:t>
      </w:r>
      <w:r w:rsidR="00BF268E">
        <w:t xml:space="preserve"> </w:t>
      </w:r>
      <w:r w:rsidR="00845DE0">
        <w:t>replaces</w:t>
      </w:r>
      <w:r w:rsidR="00BF268E">
        <w:t xml:space="preserve"> IFRS 4 Insurance contracts </w:t>
      </w:r>
      <w:r w:rsidR="009E5416">
        <w:t>and is to be included in the FreM for mandatory implementation from 2025-26.  It established the principles for the recognition, measurement, presentation and disclosure of insurance contracts within the scope of this Standard.</w:t>
      </w:r>
    </w:p>
    <w:p w14:paraId="77BB910F" w14:textId="77777777" w:rsidR="009E5416" w:rsidRDefault="009E5416" w:rsidP="00782F24">
      <w:pPr>
        <w:tabs>
          <w:tab w:val="left" w:pos="567"/>
        </w:tabs>
        <w:ind w:left="1440" w:hanging="1440"/>
      </w:pPr>
    </w:p>
    <w:p w14:paraId="5B593713" w14:textId="40C65917" w:rsidR="009E5416" w:rsidRDefault="009E5416" w:rsidP="00782F24">
      <w:pPr>
        <w:tabs>
          <w:tab w:val="left" w:pos="567"/>
        </w:tabs>
        <w:ind w:left="1440" w:hanging="1440"/>
      </w:pPr>
      <w:r>
        <w:tab/>
      </w:r>
      <w:r>
        <w:tab/>
        <w:t xml:space="preserve">IFRS 17 requires insurance contracts, including reinsurance contracts, to be recognised on the statement of financial </w:t>
      </w:r>
      <w:r>
        <w:lastRenderedPageBreak/>
        <w:t>position as the total of the fulfilment cashflows and the contractual service margin (CSM).</w:t>
      </w:r>
    </w:p>
    <w:p w14:paraId="0BC1C379" w14:textId="77777777" w:rsidR="009E5416" w:rsidRDefault="009E5416" w:rsidP="00782F24">
      <w:pPr>
        <w:tabs>
          <w:tab w:val="left" w:pos="567"/>
        </w:tabs>
        <w:ind w:left="1440" w:hanging="1440"/>
      </w:pPr>
    </w:p>
    <w:p w14:paraId="4CCE9E18" w14:textId="27C65BA7" w:rsidR="009E5416" w:rsidRDefault="009E5416" w:rsidP="00782F24">
      <w:pPr>
        <w:tabs>
          <w:tab w:val="left" w:pos="567"/>
        </w:tabs>
        <w:ind w:left="1440" w:hanging="1440"/>
      </w:pPr>
      <w:r>
        <w:tab/>
      </w:r>
      <w:r>
        <w:tab/>
        <w:t>The fulfilment cashflows consist of the present value of future cash flows calculated using best estimate assumptions with an explicit risk adjustment for non-financial risk.</w:t>
      </w:r>
    </w:p>
    <w:p w14:paraId="401319A7" w14:textId="77777777" w:rsidR="009E5416" w:rsidRDefault="009E5416" w:rsidP="00782F24">
      <w:pPr>
        <w:tabs>
          <w:tab w:val="left" w:pos="567"/>
        </w:tabs>
        <w:ind w:left="1440" w:hanging="1440"/>
      </w:pPr>
    </w:p>
    <w:p w14:paraId="280BFD16" w14:textId="1E60B5E0" w:rsidR="009E5416" w:rsidRDefault="009E5416" w:rsidP="00782F24">
      <w:pPr>
        <w:tabs>
          <w:tab w:val="left" w:pos="567"/>
        </w:tabs>
        <w:ind w:left="1440" w:hanging="1440"/>
      </w:pPr>
      <w:r>
        <w:tab/>
      </w:r>
      <w:r>
        <w:tab/>
        <w:t>The risk adjustment is released to the Statement of Comprehensive Net Expenditure (SoCNE) over the insurance contract period as insurance services are provided.  Where an insurance contract is onerous, it will have no CSM and the onerous element of the insurance contract will be recognised immediately in the SOCNE.</w:t>
      </w:r>
    </w:p>
    <w:p w14:paraId="2829A69F" w14:textId="2B115336" w:rsidR="00FA5FB0" w:rsidRDefault="00FA5FB0" w:rsidP="00FA5FB0">
      <w:pPr>
        <w:tabs>
          <w:tab w:val="left" w:pos="567"/>
        </w:tabs>
      </w:pPr>
    </w:p>
    <w:p w14:paraId="15D40D01" w14:textId="5A9F09B4" w:rsidR="00FA5FB0" w:rsidRDefault="00FA5FB0" w:rsidP="00FA5FB0">
      <w:pPr>
        <w:tabs>
          <w:tab w:val="left" w:pos="567"/>
        </w:tabs>
        <w:ind w:left="1440"/>
      </w:pPr>
      <w:r>
        <w:t xml:space="preserve">The Commission does not issue insurance policies or insurance contracts that meet the definition under IFRS 17.  </w:t>
      </w:r>
    </w:p>
    <w:p w14:paraId="01E2C8BD" w14:textId="77777777" w:rsidR="00845DE0" w:rsidRDefault="00845DE0" w:rsidP="00782F24">
      <w:pPr>
        <w:tabs>
          <w:tab w:val="left" w:pos="567"/>
        </w:tabs>
        <w:ind w:left="1440" w:hanging="1440"/>
      </w:pPr>
    </w:p>
    <w:p w14:paraId="0CF8372C" w14:textId="22442D23" w:rsidR="002D6006" w:rsidRDefault="00845DE0" w:rsidP="00782F24">
      <w:pPr>
        <w:tabs>
          <w:tab w:val="left" w:pos="567"/>
        </w:tabs>
        <w:ind w:left="1440" w:hanging="1440"/>
      </w:pPr>
      <w:r>
        <w:tab/>
      </w:r>
      <w:r>
        <w:tab/>
        <w:t>IFRS 18- Presentation and Disclosure in Financial Statements replaces IAS 1 and is effective for accounting periods beginning on or after 1 January 2027.  IFRS 18 will be implemented, as interpreted and adapted for the public sector if required, from a future date (not before 2027-28) that will be determined by the UK Financial Reporting Advisory Board in conjunction with HM Treasury following analysis of this new standard</w:t>
      </w:r>
      <w:r w:rsidR="00BF268E">
        <w:t xml:space="preserve">.  </w:t>
      </w:r>
    </w:p>
    <w:p w14:paraId="5B491C0A" w14:textId="77777777" w:rsidR="00AD633F" w:rsidRDefault="00AD633F" w:rsidP="00782F24">
      <w:pPr>
        <w:tabs>
          <w:tab w:val="left" w:pos="567"/>
        </w:tabs>
        <w:ind w:left="1440" w:hanging="1440"/>
      </w:pPr>
    </w:p>
    <w:p w14:paraId="1C982DDF" w14:textId="5B7A88D3" w:rsidR="00AD633F" w:rsidRDefault="00AD633F" w:rsidP="00782F24">
      <w:pPr>
        <w:tabs>
          <w:tab w:val="left" w:pos="567"/>
        </w:tabs>
        <w:ind w:left="1440" w:hanging="1440"/>
      </w:pPr>
      <w:r>
        <w:tab/>
      </w:r>
      <w:r>
        <w:tab/>
      </w:r>
      <w:r w:rsidR="009E12D6">
        <w:t>Non-investment</w:t>
      </w:r>
      <w:r>
        <w:t xml:space="preserve"> asset valuations – In December 2023 HM Treasury released an exposure </w:t>
      </w:r>
      <w:r w:rsidR="002E02A6">
        <w:t>draft on potential changes to valuing and accounting for non-investment assets (e.g. PPE, intangible assets).  The following changes to the valuation and accounting of non-investment assets is to be included in the 2025-26 FreM for mandatory implementation:</w:t>
      </w:r>
    </w:p>
    <w:p w14:paraId="746209B7" w14:textId="77777777" w:rsidR="002E02A6" w:rsidRDefault="002E02A6" w:rsidP="00782F24">
      <w:pPr>
        <w:tabs>
          <w:tab w:val="left" w:pos="567"/>
        </w:tabs>
        <w:ind w:left="1440" w:hanging="1440"/>
      </w:pPr>
    </w:p>
    <w:p w14:paraId="05D05CC2" w14:textId="77777777" w:rsidR="009E12D6" w:rsidRDefault="002E02A6" w:rsidP="00782F24">
      <w:pPr>
        <w:tabs>
          <w:tab w:val="left" w:pos="567"/>
        </w:tabs>
        <w:ind w:left="1440" w:hanging="1440"/>
      </w:pPr>
      <w:r>
        <w:tab/>
      </w:r>
      <w:r>
        <w:tab/>
        <w:t>References to assets being held for their ‘service potential’ and the terms ‘specialised / non-specialised’ asset</w:t>
      </w:r>
      <w:r w:rsidR="009E12D6">
        <w:t>s</w:t>
      </w:r>
      <w:r>
        <w:t xml:space="preserve"> are being removed from the FreM.  Non-investment assets</w:t>
      </w:r>
      <w:r w:rsidR="009E12D6">
        <w:t xml:space="preserve"> are instead described as assets held for their ‘operational capacity’.  This change has no impact on the valuation basis of non-investment assets, which remains Existing Value Use (EVU).</w:t>
      </w:r>
    </w:p>
    <w:p w14:paraId="33208655" w14:textId="77777777" w:rsidR="009E12D6" w:rsidRDefault="009E12D6" w:rsidP="00782F24">
      <w:pPr>
        <w:tabs>
          <w:tab w:val="left" w:pos="567"/>
        </w:tabs>
        <w:ind w:left="1440" w:hanging="1440"/>
      </w:pPr>
    </w:p>
    <w:p w14:paraId="6F4331ED" w14:textId="16ABD7C6" w:rsidR="002E02A6" w:rsidRDefault="009E12D6" w:rsidP="00782F24">
      <w:pPr>
        <w:tabs>
          <w:tab w:val="left" w:pos="567"/>
        </w:tabs>
        <w:ind w:left="1440" w:hanging="1440"/>
      </w:pPr>
      <w:r>
        <w:tab/>
      </w:r>
      <w:r>
        <w:tab/>
        <w:t>An adaption to IAS 16 will be introduced to withdraw the requirement to revalue an asset where its fair value materially differs from its carrying value.  Assets are now valued using one of the following processes:</w:t>
      </w:r>
      <w:r w:rsidR="002E02A6">
        <w:t xml:space="preserve"> </w:t>
      </w:r>
    </w:p>
    <w:p w14:paraId="05478B64" w14:textId="77777777" w:rsidR="00845DE0" w:rsidRDefault="00845DE0" w:rsidP="00782F24">
      <w:pPr>
        <w:tabs>
          <w:tab w:val="left" w:pos="567"/>
        </w:tabs>
        <w:ind w:left="1440" w:hanging="1440"/>
      </w:pPr>
    </w:p>
    <w:p w14:paraId="4100EC1C" w14:textId="093077A9" w:rsidR="009E12D6" w:rsidRDefault="009E12D6" w:rsidP="009E12D6">
      <w:pPr>
        <w:pStyle w:val="ListParagraph"/>
        <w:numPr>
          <w:ilvl w:val="2"/>
          <w:numId w:val="23"/>
        </w:numPr>
        <w:tabs>
          <w:tab w:val="left" w:pos="567"/>
        </w:tabs>
      </w:pPr>
      <w:r>
        <w:t>A quinquennial revaluation supplemented by annual indexation.</w:t>
      </w:r>
    </w:p>
    <w:p w14:paraId="17C508F1" w14:textId="4C119E32" w:rsidR="009E12D6" w:rsidRDefault="009E12D6" w:rsidP="009E12D6">
      <w:pPr>
        <w:pStyle w:val="ListParagraph"/>
        <w:numPr>
          <w:ilvl w:val="2"/>
          <w:numId w:val="23"/>
        </w:numPr>
        <w:tabs>
          <w:tab w:val="left" w:pos="567"/>
        </w:tabs>
      </w:pPr>
      <w:r>
        <w:lastRenderedPageBreak/>
        <w:t>A rolling programme of valuations over a 5-year cycle, with annual indexation applied to assets during the 4 intervening years.</w:t>
      </w:r>
    </w:p>
    <w:p w14:paraId="15970B8B" w14:textId="73D0ED65" w:rsidR="009E12D6" w:rsidRDefault="009E12D6" w:rsidP="009E12D6">
      <w:pPr>
        <w:pStyle w:val="ListParagraph"/>
        <w:numPr>
          <w:ilvl w:val="2"/>
          <w:numId w:val="23"/>
        </w:numPr>
        <w:tabs>
          <w:tab w:val="left" w:pos="567"/>
        </w:tabs>
      </w:pPr>
      <w:r>
        <w:t>For non-property assets only, appropriate indices.</w:t>
      </w:r>
    </w:p>
    <w:p w14:paraId="1EDEBB53" w14:textId="10C2ED06" w:rsidR="009E12D6" w:rsidRDefault="009E12D6" w:rsidP="009E12D6">
      <w:pPr>
        <w:pStyle w:val="ListParagraph"/>
        <w:numPr>
          <w:ilvl w:val="2"/>
          <w:numId w:val="23"/>
        </w:numPr>
        <w:tabs>
          <w:tab w:val="left" w:pos="567"/>
        </w:tabs>
      </w:pPr>
      <w:r>
        <w:t>In rare circumstances where an index is not available, a quinquennial revaluation supplemented by a desktop revaluation in year 3.</w:t>
      </w:r>
    </w:p>
    <w:p w14:paraId="57CEF457" w14:textId="77777777" w:rsidR="009E12D6" w:rsidRDefault="009E12D6" w:rsidP="009E12D6">
      <w:pPr>
        <w:pStyle w:val="ListParagraph"/>
        <w:tabs>
          <w:tab w:val="left" w:pos="567"/>
        </w:tabs>
        <w:ind w:left="1440"/>
      </w:pPr>
    </w:p>
    <w:p w14:paraId="169EC6A3" w14:textId="1C9929E7" w:rsidR="009E12D6" w:rsidRDefault="009E12D6" w:rsidP="009E12D6">
      <w:pPr>
        <w:pStyle w:val="ListParagraph"/>
        <w:tabs>
          <w:tab w:val="left" w:pos="567"/>
        </w:tabs>
        <w:ind w:left="1440"/>
      </w:pPr>
      <w:r>
        <w:t xml:space="preserve">The option to measure intangible assets using the revaluation model is withdrawn.  The carrying values of intangible assets </w:t>
      </w:r>
      <w:r w:rsidR="005F35DA">
        <w:t>at 31 March 2025 will be considered the historical cost at 1 April 2025.</w:t>
      </w:r>
    </w:p>
    <w:p w14:paraId="35D2F94D" w14:textId="77777777" w:rsidR="009E12D6" w:rsidRDefault="009E12D6" w:rsidP="00782F24">
      <w:pPr>
        <w:tabs>
          <w:tab w:val="left" w:pos="567"/>
        </w:tabs>
        <w:ind w:left="1440" w:hanging="1440"/>
      </w:pPr>
    </w:p>
    <w:p w14:paraId="6B4E6E17" w14:textId="2B918B4E" w:rsidR="005F35DA" w:rsidRDefault="005F35DA" w:rsidP="00782F24">
      <w:pPr>
        <w:tabs>
          <w:tab w:val="left" w:pos="567"/>
        </w:tabs>
        <w:ind w:left="1440" w:hanging="1440"/>
      </w:pPr>
      <w:r>
        <w:tab/>
      </w:r>
      <w:r>
        <w:tab/>
        <w:t>Social Benefits – The 2025-26 FreM will include new guidance on accounting for social benefits.  The 2025-26 FreM will define social benefits as ‘current transfers received by households (including individuals) intended to provide for the needs that arise from certain events or circumstances, for example, sickness, unemployment, retirement, housing, education, or family circumstances.</w:t>
      </w:r>
    </w:p>
    <w:p w14:paraId="5923ABDF" w14:textId="77777777" w:rsidR="009E12D6" w:rsidRDefault="009E12D6" w:rsidP="00782F24">
      <w:pPr>
        <w:tabs>
          <w:tab w:val="left" w:pos="567"/>
        </w:tabs>
        <w:ind w:left="1440" w:hanging="1440"/>
      </w:pPr>
    </w:p>
    <w:p w14:paraId="73147AD2" w14:textId="77777777" w:rsidR="00FA5FB0" w:rsidRDefault="00845DE0" w:rsidP="00782F24">
      <w:pPr>
        <w:tabs>
          <w:tab w:val="left" w:pos="567"/>
        </w:tabs>
        <w:ind w:left="1440" w:hanging="1440"/>
      </w:pPr>
      <w:r>
        <w:tab/>
      </w:r>
      <w:r>
        <w:tab/>
      </w:r>
      <w:r w:rsidR="00FA5FB0">
        <w:t>No material impact is expected on the financial statement of the Commission as a result of these standards.</w:t>
      </w:r>
    </w:p>
    <w:p w14:paraId="508D9356" w14:textId="77777777" w:rsidR="00FA5FB0" w:rsidRPr="003B42D9" w:rsidRDefault="00FA5FB0" w:rsidP="000C2A54">
      <w:pPr>
        <w:tabs>
          <w:tab w:val="left" w:pos="567"/>
        </w:tabs>
        <w:jc w:val="both"/>
        <w:rPr>
          <w:rFonts w:ascii="Arial" w:hAnsi="Arial" w:cs="Arial"/>
        </w:rPr>
      </w:pPr>
    </w:p>
    <w:p w14:paraId="47ACA3EF" w14:textId="25D5BBB5" w:rsidR="000C2A54" w:rsidRPr="003B42D9" w:rsidRDefault="000C2A54" w:rsidP="000C2A54">
      <w:pPr>
        <w:widowControl w:val="0"/>
        <w:autoSpaceDE w:val="0"/>
        <w:autoSpaceDN w:val="0"/>
        <w:adjustRightInd w:val="0"/>
        <w:ind w:left="1418" w:hanging="851"/>
        <w:rPr>
          <w:b/>
        </w:rPr>
      </w:pPr>
      <w:r w:rsidRPr="003B42D9">
        <w:rPr>
          <w:b/>
        </w:rPr>
        <w:t>1.</w:t>
      </w:r>
      <w:r w:rsidR="00A9071A">
        <w:rPr>
          <w:b/>
        </w:rPr>
        <w:t>4</w:t>
      </w:r>
      <w:r w:rsidRPr="003B42D9">
        <w:rPr>
          <w:b/>
        </w:rPr>
        <w:tab/>
        <w:t>Income</w:t>
      </w:r>
    </w:p>
    <w:p w14:paraId="4519E88F" w14:textId="77777777" w:rsidR="000C2A54" w:rsidRPr="003B42D9" w:rsidRDefault="000C2A54" w:rsidP="000C2A54">
      <w:pPr>
        <w:tabs>
          <w:tab w:val="left" w:pos="3372"/>
        </w:tabs>
        <w:rPr>
          <w:lang w:val="en-IE"/>
        </w:rPr>
      </w:pPr>
    </w:p>
    <w:p w14:paraId="0DFB7C89" w14:textId="77777777" w:rsidR="00624C8B" w:rsidRDefault="00624C8B" w:rsidP="000C2A54">
      <w:pPr>
        <w:widowControl w:val="0"/>
        <w:autoSpaceDE w:val="0"/>
        <w:autoSpaceDN w:val="0"/>
        <w:adjustRightInd w:val="0"/>
        <w:ind w:left="1440" w:hanging="22"/>
      </w:pPr>
      <w:r>
        <w:t xml:space="preserve">At </w:t>
      </w:r>
      <w:r w:rsidR="00176472">
        <w:t>times,</w:t>
      </w:r>
      <w:r>
        <w:t xml:space="preserve"> the Commission receives income from sources other than the NIO, for specific projects.  The Commission will seek to recover any associated costs for the project in line with the contract.</w:t>
      </w:r>
    </w:p>
    <w:p w14:paraId="03E54B4C" w14:textId="77777777" w:rsidR="006952B5" w:rsidRDefault="006952B5" w:rsidP="0029565E">
      <w:pPr>
        <w:tabs>
          <w:tab w:val="left" w:pos="567"/>
        </w:tabs>
      </w:pPr>
    </w:p>
    <w:p w14:paraId="5D6F966C" w14:textId="77777777" w:rsidR="00275EFE" w:rsidRDefault="006952B5" w:rsidP="006952B5">
      <w:pPr>
        <w:widowControl w:val="0"/>
        <w:autoSpaceDE w:val="0"/>
        <w:autoSpaceDN w:val="0"/>
        <w:adjustRightInd w:val="0"/>
        <w:ind w:left="1440" w:hanging="22"/>
      </w:pPr>
      <w:r>
        <w:tab/>
        <w:t xml:space="preserve">In line with its accounting policy, the Commission </w:t>
      </w:r>
      <w:r w:rsidR="0091473F">
        <w:t>applies</w:t>
      </w:r>
      <w:r>
        <w:t xml:space="preserve"> the requirements of IFRS 15 to income earned from other sources.</w:t>
      </w:r>
    </w:p>
    <w:p w14:paraId="5571D556" w14:textId="77777777" w:rsidR="001222AB" w:rsidRDefault="001222AB" w:rsidP="001222AB">
      <w:pPr>
        <w:widowControl w:val="0"/>
        <w:autoSpaceDE w:val="0"/>
        <w:autoSpaceDN w:val="0"/>
        <w:adjustRightInd w:val="0"/>
      </w:pPr>
    </w:p>
    <w:p w14:paraId="539420B8" w14:textId="74B81632" w:rsidR="001222AB" w:rsidRDefault="001222AB" w:rsidP="006952B5">
      <w:pPr>
        <w:widowControl w:val="0"/>
        <w:autoSpaceDE w:val="0"/>
        <w:autoSpaceDN w:val="0"/>
        <w:adjustRightInd w:val="0"/>
        <w:ind w:left="1440" w:hanging="22"/>
      </w:pPr>
      <w:r>
        <w:t>Income is recognised when the obligations associated with the contract have been satisfied.</w:t>
      </w:r>
    </w:p>
    <w:p w14:paraId="7091046D" w14:textId="77777777" w:rsidR="00275EFE" w:rsidRDefault="00275EFE" w:rsidP="006952B5">
      <w:pPr>
        <w:widowControl w:val="0"/>
        <w:autoSpaceDE w:val="0"/>
        <w:autoSpaceDN w:val="0"/>
        <w:adjustRightInd w:val="0"/>
        <w:ind w:left="1440" w:hanging="22"/>
      </w:pPr>
    </w:p>
    <w:p w14:paraId="504E566F" w14:textId="18F32589" w:rsidR="000C2A54" w:rsidRDefault="000C2A54" w:rsidP="002D47AF">
      <w:pPr>
        <w:tabs>
          <w:tab w:val="left" w:pos="567"/>
        </w:tabs>
      </w:pPr>
    </w:p>
    <w:p w14:paraId="6856C2C7" w14:textId="6AF132BC" w:rsidR="000C2A54" w:rsidRPr="003B42D9" w:rsidRDefault="000C2A54" w:rsidP="000C2A54">
      <w:pPr>
        <w:widowControl w:val="0"/>
        <w:autoSpaceDE w:val="0"/>
        <w:autoSpaceDN w:val="0"/>
        <w:adjustRightInd w:val="0"/>
        <w:ind w:left="567"/>
        <w:rPr>
          <w:b/>
        </w:rPr>
      </w:pPr>
      <w:r w:rsidRPr="003B42D9">
        <w:rPr>
          <w:b/>
        </w:rPr>
        <w:t>1.</w:t>
      </w:r>
      <w:r w:rsidR="00A9071A">
        <w:rPr>
          <w:b/>
        </w:rPr>
        <w:t>5</w:t>
      </w:r>
      <w:r w:rsidRPr="003B42D9">
        <w:rPr>
          <w:b/>
        </w:rPr>
        <w:tab/>
        <w:t>Grant-in-aid</w:t>
      </w:r>
    </w:p>
    <w:p w14:paraId="637B400E" w14:textId="77777777" w:rsidR="000C2A54" w:rsidRPr="003B42D9" w:rsidRDefault="000C2A54" w:rsidP="000C2A54">
      <w:pPr>
        <w:widowControl w:val="0"/>
        <w:autoSpaceDE w:val="0"/>
        <w:autoSpaceDN w:val="0"/>
        <w:adjustRightInd w:val="0"/>
        <w:ind w:firstLine="567"/>
        <w:rPr>
          <w:b/>
        </w:rPr>
      </w:pPr>
    </w:p>
    <w:p w14:paraId="60B9D1AC" w14:textId="42F78BE3" w:rsidR="004E20B2" w:rsidRDefault="000C2A54" w:rsidP="004E20B2">
      <w:pPr>
        <w:widowControl w:val="0"/>
        <w:autoSpaceDE w:val="0"/>
        <w:autoSpaceDN w:val="0"/>
        <w:adjustRightInd w:val="0"/>
        <w:ind w:left="1440" w:hanging="873"/>
      </w:pPr>
      <w:r w:rsidRPr="003B42D9">
        <w:rPr>
          <w:b/>
        </w:rPr>
        <w:tab/>
      </w:r>
      <w:r w:rsidRPr="003B42D9">
        <w:t xml:space="preserve">Grant in aid is credited directly to the General Reserve as it is regarded as contributions from a controlling </w:t>
      </w:r>
      <w:r w:rsidR="00176472" w:rsidRPr="003B42D9">
        <w:t>party, which</w:t>
      </w:r>
      <w:r w:rsidRPr="003B42D9">
        <w:t xml:space="preserve"> gives rise to a financial interest in the residual interest in the Commission.</w:t>
      </w:r>
    </w:p>
    <w:p w14:paraId="3C87DA10" w14:textId="77777777" w:rsidR="004E20B2" w:rsidRDefault="004E20B2" w:rsidP="004E20B2">
      <w:pPr>
        <w:widowControl w:val="0"/>
        <w:autoSpaceDE w:val="0"/>
        <w:autoSpaceDN w:val="0"/>
        <w:adjustRightInd w:val="0"/>
        <w:ind w:left="1440" w:hanging="873"/>
      </w:pPr>
    </w:p>
    <w:p w14:paraId="193351A6" w14:textId="77777777" w:rsidR="00EF4A28" w:rsidRDefault="00EF4A28" w:rsidP="004E20B2">
      <w:pPr>
        <w:widowControl w:val="0"/>
        <w:autoSpaceDE w:val="0"/>
        <w:autoSpaceDN w:val="0"/>
        <w:adjustRightInd w:val="0"/>
        <w:ind w:left="1440" w:hanging="873"/>
      </w:pPr>
    </w:p>
    <w:p w14:paraId="26D78909" w14:textId="77777777" w:rsidR="00EF4A28" w:rsidRDefault="00EF4A28" w:rsidP="004E20B2">
      <w:pPr>
        <w:widowControl w:val="0"/>
        <w:autoSpaceDE w:val="0"/>
        <w:autoSpaceDN w:val="0"/>
        <w:adjustRightInd w:val="0"/>
        <w:ind w:left="1440" w:hanging="873"/>
      </w:pPr>
    </w:p>
    <w:p w14:paraId="60ACA188" w14:textId="77777777" w:rsidR="00EF4A28" w:rsidRDefault="00EF4A28" w:rsidP="004E20B2">
      <w:pPr>
        <w:widowControl w:val="0"/>
        <w:autoSpaceDE w:val="0"/>
        <w:autoSpaceDN w:val="0"/>
        <w:adjustRightInd w:val="0"/>
        <w:ind w:left="1440" w:hanging="873"/>
      </w:pPr>
    </w:p>
    <w:p w14:paraId="5ED93420" w14:textId="6BD34AA9" w:rsidR="000C2A54" w:rsidRPr="003B42D9" w:rsidRDefault="000C2A54" w:rsidP="004E20B2">
      <w:pPr>
        <w:widowControl w:val="0"/>
        <w:autoSpaceDE w:val="0"/>
        <w:autoSpaceDN w:val="0"/>
        <w:adjustRightInd w:val="0"/>
        <w:ind w:left="1440" w:hanging="873"/>
        <w:rPr>
          <w:b/>
        </w:rPr>
      </w:pPr>
      <w:r w:rsidRPr="003B42D9">
        <w:rPr>
          <w:b/>
        </w:rPr>
        <w:lastRenderedPageBreak/>
        <w:t>1.</w:t>
      </w:r>
      <w:r w:rsidR="00A9071A">
        <w:rPr>
          <w:b/>
        </w:rPr>
        <w:t>6</w:t>
      </w:r>
      <w:r w:rsidRPr="003B42D9">
        <w:rPr>
          <w:b/>
        </w:rPr>
        <w:tab/>
        <w:t>Property, plant and equipment and depreciation</w:t>
      </w:r>
    </w:p>
    <w:p w14:paraId="4DB1A82F" w14:textId="77777777" w:rsidR="000C2A54" w:rsidRPr="003B42D9" w:rsidRDefault="000C2A54" w:rsidP="000C2A54">
      <w:pPr>
        <w:tabs>
          <w:tab w:val="left" w:pos="567"/>
        </w:tabs>
        <w:autoSpaceDE w:val="0"/>
        <w:autoSpaceDN w:val="0"/>
        <w:adjustRightInd w:val="0"/>
        <w:ind w:left="567"/>
      </w:pPr>
    </w:p>
    <w:p w14:paraId="338DF6E1" w14:textId="77777777" w:rsidR="000C2A54" w:rsidRPr="003B42D9" w:rsidRDefault="000C2A54" w:rsidP="000C2A54">
      <w:pPr>
        <w:tabs>
          <w:tab w:val="left" w:pos="709"/>
        </w:tabs>
        <w:autoSpaceDE w:val="0"/>
        <w:autoSpaceDN w:val="0"/>
        <w:adjustRightInd w:val="0"/>
        <w:ind w:left="1418"/>
      </w:pPr>
      <w:r w:rsidRPr="003B42D9">
        <w:t xml:space="preserve">Property plant and equipment comprises leasehold improvements to </w:t>
      </w:r>
      <w:r w:rsidR="007B2D55">
        <w:t>Alfred Street</w:t>
      </w:r>
      <w:r w:rsidRPr="003B42D9">
        <w:t>, fixtures and fittings and information technology equipment at fair value.</w:t>
      </w:r>
    </w:p>
    <w:p w14:paraId="6844ED7A" w14:textId="77777777" w:rsidR="000C2A54" w:rsidRPr="003B42D9" w:rsidRDefault="000C2A54" w:rsidP="000C2A54">
      <w:pPr>
        <w:tabs>
          <w:tab w:val="left" w:pos="709"/>
        </w:tabs>
        <w:autoSpaceDE w:val="0"/>
        <w:autoSpaceDN w:val="0"/>
        <w:adjustRightInd w:val="0"/>
        <w:ind w:left="1418"/>
      </w:pPr>
    </w:p>
    <w:p w14:paraId="3757560F" w14:textId="294BC954" w:rsidR="000C2A54" w:rsidRPr="003B42D9" w:rsidRDefault="000C2A54" w:rsidP="000C2A54">
      <w:pPr>
        <w:tabs>
          <w:tab w:val="left" w:pos="709"/>
        </w:tabs>
        <w:autoSpaceDE w:val="0"/>
        <w:autoSpaceDN w:val="0"/>
        <w:adjustRightInd w:val="0"/>
        <w:ind w:left="1418"/>
      </w:pPr>
      <w:r w:rsidRPr="003B42D9">
        <w:t>Items of property, plant and equipment are capitalised if they are intended for use on a continuous basis and their individual original purchase cost is £</w:t>
      </w:r>
      <w:r w:rsidR="00E919FB">
        <w:t>5</w:t>
      </w:r>
      <w:r w:rsidRPr="003B42D9">
        <w:t>,000 or more.  Items with an individual cost of less than £</w:t>
      </w:r>
      <w:r w:rsidR="00E919FB">
        <w:t>5</w:t>
      </w:r>
      <w:r w:rsidRPr="003B42D9">
        <w:t xml:space="preserve">,000 but, when taken together, represent a significant investment will be grouped.  </w:t>
      </w:r>
    </w:p>
    <w:p w14:paraId="2C8D5724" w14:textId="77777777" w:rsidR="000C2A54" w:rsidRPr="003B42D9" w:rsidRDefault="000C2A54" w:rsidP="000C2A54">
      <w:pPr>
        <w:tabs>
          <w:tab w:val="left" w:pos="709"/>
        </w:tabs>
        <w:autoSpaceDE w:val="0"/>
        <w:autoSpaceDN w:val="0"/>
        <w:adjustRightInd w:val="0"/>
        <w:ind w:left="1560"/>
      </w:pPr>
    </w:p>
    <w:p w14:paraId="4554C3D0" w14:textId="3F5D3E79" w:rsidR="000C2A54" w:rsidRPr="003B42D9" w:rsidRDefault="000C2A54" w:rsidP="000C2A54">
      <w:pPr>
        <w:tabs>
          <w:tab w:val="left" w:pos="709"/>
        </w:tabs>
        <w:autoSpaceDE w:val="0"/>
        <w:autoSpaceDN w:val="0"/>
        <w:adjustRightInd w:val="0"/>
        <w:ind w:left="1418"/>
      </w:pPr>
      <w:r w:rsidRPr="003B42D9">
        <w:t xml:space="preserve">Leasehold improvement expenditure has been capitalised and is restated </w:t>
      </w:r>
      <w:r w:rsidR="00E919FB">
        <w:t>annually using indices complied by the Office for National Statistics</w:t>
      </w:r>
      <w:r w:rsidRPr="003B42D9">
        <w:t xml:space="preserve">.  </w:t>
      </w:r>
      <w:r>
        <w:t>T</w:t>
      </w:r>
      <w:r w:rsidRPr="003B42D9">
        <w:t xml:space="preserve">he current lease was negotiated </w:t>
      </w:r>
      <w:r>
        <w:t xml:space="preserve">in </w:t>
      </w:r>
      <w:r w:rsidR="0091473F">
        <w:t>March 2020</w:t>
      </w:r>
      <w:r>
        <w:t xml:space="preserve"> and </w:t>
      </w:r>
      <w:r w:rsidR="0091473F">
        <w:t>i</w:t>
      </w:r>
      <w:r w:rsidR="00E82515">
        <w:t>s</w:t>
      </w:r>
      <w:r>
        <w:t xml:space="preserve"> </w:t>
      </w:r>
      <w:r w:rsidRPr="003B42D9">
        <w:t xml:space="preserve">for a period of </w:t>
      </w:r>
      <w:r w:rsidR="0091473F">
        <w:t>ten</w:t>
      </w:r>
      <w:r w:rsidRPr="003B42D9">
        <w:t xml:space="preserve"> years</w:t>
      </w:r>
      <w:r>
        <w:t xml:space="preserve"> </w:t>
      </w:r>
      <w:r w:rsidR="00C6005E">
        <w:t xml:space="preserve">until </w:t>
      </w:r>
      <w:r w:rsidR="0091473F">
        <w:t>18 March 2030 with a break clause after five years</w:t>
      </w:r>
      <w:r>
        <w:t>.</w:t>
      </w:r>
      <w:r w:rsidRPr="003B42D9">
        <w:t xml:space="preserve">  </w:t>
      </w:r>
    </w:p>
    <w:p w14:paraId="7ACECD80" w14:textId="77777777" w:rsidR="001E2AA0" w:rsidRPr="003B42D9" w:rsidRDefault="001E2AA0" w:rsidP="00B566C9">
      <w:pPr>
        <w:tabs>
          <w:tab w:val="left" w:pos="709"/>
        </w:tabs>
        <w:autoSpaceDE w:val="0"/>
        <w:autoSpaceDN w:val="0"/>
        <w:adjustRightInd w:val="0"/>
      </w:pPr>
    </w:p>
    <w:p w14:paraId="04871FA5" w14:textId="77777777" w:rsidR="000C2A54" w:rsidRPr="003B42D9" w:rsidRDefault="000C2A54" w:rsidP="000C2A54">
      <w:pPr>
        <w:tabs>
          <w:tab w:val="left" w:pos="709"/>
        </w:tabs>
        <w:autoSpaceDE w:val="0"/>
        <w:autoSpaceDN w:val="0"/>
        <w:adjustRightInd w:val="0"/>
        <w:ind w:left="1418"/>
      </w:pPr>
      <w:r w:rsidRPr="003B42D9">
        <w:t>Any surplus/loss on revaluation is treated as follows:</w:t>
      </w:r>
    </w:p>
    <w:p w14:paraId="4ED5A960" w14:textId="77777777" w:rsidR="000C2A54" w:rsidRPr="003B42D9" w:rsidRDefault="000C2A54" w:rsidP="000C2A54">
      <w:pPr>
        <w:tabs>
          <w:tab w:val="left" w:pos="709"/>
        </w:tabs>
        <w:autoSpaceDE w:val="0"/>
        <w:autoSpaceDN w:val="0"/>
        <w:adjustRightInd w:val="0"/>
        <w:ind w:left="1560"/>
      </w:pPr>
    </w:p>
    <w:p w14:paraId="75CF96B2" w14:textId="77777777" w:rsidR="000C2A54" w:rsidRPr="003B42D9" w:rsidRDefault="000C2A54" w:rsidP="00310B25">
      <w:pPr>
        <w:pStyle w:val="ListParagraph"/>
        <w:numPr>
          <w:ilvl w:val="0"/>
          <w:numId w:val="7"/>
        </w:numPr>
        <w:autoSpaceDE w:val="0"/>
        <w:autoSpaceDN w:val="0"/>
        <w:adjustRightInd w:val="0"/>
        <w:ind w:left="1701" w:hanging="283"/>
      </w:pPr>
      <w:r w:rsidRPr="003B42D9">
        <w:t xml:space="preserve">Unrealised surplus arising from revaluation of property, plant and equipment is credited to the Revaluation Reserve unless it reverses a revaluation decrease of the same asset previously charged to the </w:t>
      </w:r>
      <w:r w:rsidRPr="003B42D9">
        <w:rPr>
          <w:rFonts w:cs="Arial"/>
        </w:rPr>
        <w:t>Statement of Comprehensive Net Expenditure</w:t>
      </w:r>
      <w:r w:rsidRPr="003B42D9">
        <w:t>;</w:t>
      </w:r>
    </w:p>
    <w:p w14:paraId="37D52E2A" w14:textId="77777777" w:rsidR="000C2A54" w:rsidRPr="003B42D9" w:rsidRDefault="000C2A54" w:rsidP="000C2A54">
      <w:pPr>
        <w:autoSpaceDE w:val="0"/>
        <w:autoSpaceDN w:val="0"/>
        <w:adjustRightInd w:val="0"/>
        <w:ind w:left="1701" w:hanging="283"/>
      </w:pPr>
    </w:p>
    <w:p w14:paraId="0858D2B5" w14:textId="767E1A4B" w:rsidR="000C2A54" w:rsidRDefault="000C2A54" w:rsidP="00310B25">
      <w:pPr>
        <w:pStyle w:val="ListParagraph"/>
        <w:numPr>
          <w:ilvl w:val="0"/>
          <w:numId w:val="7"/>
        </w:numPr>
        <w:autoSpaceDE w:val="0"/>
        <w:autoSpaceDN w:val="0"/>
        <w:adjustRightInd w:val="0"/>
        <w:ind w:left="1701" w:hanging="283"/>
      </w:pPr>
      <w:r w:rsidRPr="003B42D9">
        <w:t xml:space="preserve">Losses arising from the revaluation of property, plant and equipment are debited to the Revaluation Reserve to the extent that gains were recorded previously, and otherwise to the </w:t>
      </w:r>
      <w:r w:rsidRPr="003B42D9">
        <w:rPr>
          <w:rFonts w:cs="Arial"/>
        </w:rPr>
        <w:t>Statement of Comprehensive Net Expenditure</w:t>
      </w:r>
      <w:r w:rsidRPr="003B42D9">
        <w:t>.</w:t>
      </w:r>
    </w:p>
    <w:p w14:paraId="13A78688" w14:textId="77777777" w:rsidR="00975D2D" w:rsidRDefault="00975D2D" w:rsidP="00975D2D">
      <w:pPr>
        <w:pStyle w:val="ListParagraph"/>
      </w:pPr>
    </w:p>
    <w:p w14:paraId="3ABD461D" w14:textId="77777777" w:rsidR="00975D2D" w:rsidRPr="003B42D9" w:rsidRDefault="00975D2D" w:rsidP="00975D2D">
      <w:pPr>
        <w:autoSpaceDE w:val="0"/>
        <w:autoSpaceDN w:val="0"/>
        <w:adjustRightInd w:val="0"/>
        <w:ind w:left="1418"/>
      </w:pPr>
      <w:r w:rsidRPr="003B42D9">
        <w:t>All property, plant and equipment are reviewed annually as part of an inventory check against the Commission’s asset register.</w:t>
      </w:r>
    </w:p>
    <w:p w14:paraId="0A37AC37" w14:textId="77777777" w:rsidR="00975D2D" w:rsidRPr="003B42D9" w:rsidRDefault="00975D2D" w:rsidP="00975D2D">
      <w:pPr>
        <w:autoSpaceDE w:val="0"/>
        <w:autoSpaceDN w:val="0"/>
        <w:adjustRightInd w:val="0"/>
        <w:ind w:left="1418"/>
      </w:pPr>
    </w:p>
    <w:p w14:paraId="14D6801E" w14:textId="77777777" w:rsidR="00975D2D" w:rsidRPr="003B42D9" w:rsidRDefault="00975D2D" w:rsidP="00975D2D">
      <w:pPr>
        <w:autoSpaceDE w:val="0"/>
        <w:autoSpaceDN w:val="0"/>
        <w:adjustRightInd w:val="0"/>
        <w:ind w:left="1418"/>
      </w:pPr>
      <w:r w:rsidRPr="003B42D9">
        <w:t>All other property, plant and equipment is valued on the basis of historical cost less depreciation as an approximation of fair value due to short life or low value of the individual assets.</w:t>
      </w:r>
    </w:p>
    <w:p w14:paraId="03FDB2FA" w14:textId="77777777" w:rsidR="00975D2D" w:rsidRPr="003B42D9" w:rsidRDefault="00975D2D" w:rsidP="00975D2D">
      <w:pPr>
        <w:autoSpaceDE w:val="0"/>
        <w:autoSpaceDN w:val="0"/>
        <w:adjustRightInd w:val="0"/>
        <w:ind w:left="1418"/>
      </w:pPr>
    </w:p>
    <w:p w14:paraId="36C7DD83" w14:textId="77777777" w:rsidR="00975D2D" w:rsidRPr="003B42D9" w:rsidRDefault="00975D2D" w:rsidP="00975D2D">
      <w:pPr>
        <w:autoSpaceDE w:val="0"/>
        <w:autoSpaceDN w:val="0"/>
        <w:adjustRightInd w:val="0"/>
        <w:ind w:left="1418"/>
      </w:pPr>
      <w:r w:rsidRPr="003B42D9">
        <w:t>Depreciation is provided on a straight-line basis at rates calculated to write</w:t>
      </w:r>
      <w:r w:rsidRPr="003B42D9">
        <w:rPr>
          <w:rFonts w:cs="Arial"/>
        </w:rPr>
        <w:t>-</w:t>
      </w:r>
      <w:r w:rsidRPr="003B42D9">
        <w:t>off the cost less estimated residual value of each asset over its expected useful life.  The estimated useful lives for depreciation purposes are:</w:t>
      </w:r>
    </w:p>
    <w:p w14:paraId="2C89C960" w14:textId="77777777" w:rsidR="00975D2D" w:rsidRPr="003B42D9" w:rsidRDefault="00975D2D" w:rsidP="00975D2D">
      <w:pPr>
        <w:widowControl w:val="0"/>
        <w:tabs>
          <w:tab w:val="left" w:pos="5670"/>
        </w:tabs>
        <w:autoSpaceDE w:val="0"/>
        <w:autoSpaceDN w:val="0"/>
        <w:adjustRightInd w:val="0"/>
        <w:ind w:firstLine="720"/>
      </w:pPr>
    </w:p>
    <w:p w14:paraId="3CFF3919" w14:textId="77777777" w:rsidR="00975D2D" w:rsidRPr="003B42D9" w:rsidRDefault="00975D2D" w:rsidP="00975D2D">
      <w:pPr>
        <w:widowControl w:val="0"/>
        <w:tabs>
          <w:tab w:val="left" w:pos="5670"/>
        </w:tabs>
        <w:autoSpaceDE w:val="0"/>
        <w:autoSpaceDN w:val="0"/>
        <w:adjustRightInd w:val="0"/>
        <w:ind w:firstLine="1418"/>
      </w:pPr>
      <w:r w:rsidRPr="003B42D9">
        <w:t>Leasehold improvements:</w:t>
      </w:r>
      <w:r w:rsidRPr="003B42D9">
        <w:tab/>
        <w:t xml:space="preserve">10 years (or the life of the </w:t>
      </w:r>
    </w:p>
    <w:p w14:paraId="263E4A07" w14:textId="77777777" w:rsidR="00975D2D" w:rsidRPr="003B42D9" w:rsidRDefault="00975D2D" w:rsidP="00975D2D">
      <w:pPr>
        <w:widowControl w:val="0"/>
        <w:tabs>
          <w:tab w:val="left" w:pos="5670"/>
        </w:tabs>
        <w:autoSpaceDE w:val="0"/>
        <w:autoSpaceDN w:val="0"/>
        <w:adjustRightInd w:val="0"/>
        <w:ind w:left="1418"/>
      </w:pPr>
      <w:r w:rsidRPr="003B42D9">
        <w:tab/>
        <w:t>lease, whichever is least)</w:t>
      </w:r>
    </w:p>
    <w:p w14:paraId="3EAAAF22" w14:textId="77777777" w:rsidR="00975D2D" w:rsidRPr="003B42D9" w:rsidRDefault="00975D2D" w:rsidP="00975D2D">
      <w:pPr>
        <w:widowControl w:val="0"/>
        <w:tabs>
          <w:tab w:val="left" w:pos="5670"/>
        </w:tabs>
        <w:autoSpaceDE w:val="0"/>
        <w:autoSpaceDN w:val="0"/>
        <w:adjustRightInd w:val="0"/>
        <w:ind w:left="1418"/>
      </w:pPr>
      <w:r w:rsidRPr="003B42D9">
        <w:t>Computer equipment:</w:t>
      </w:r>
      <w:r w:rsidRPr="003B42D9">
        <w:tab/>
        <w:t>3 years</w:t>
      </w:r>
    </w:p>
    <w:p w14:paraId="43870238" w14:textId="5A17E988" w:rsidR="00DE1D34" w:rsidRDefault="00975D2D" w:rsidP="00DE1D34">
      <w:pPr>
        <w:widowControl w:val="0"/>
        <w:tabs>
          <w:tab w:val="left" w:pos="5670"/>
        </w:tabs>
        <w:autoSpaceDE w:val="0"/>
        <w:autoSpaceDN w:val="0"/>
        <w:adjustRightInd w:val="0"/>
        <w:ind w:left="1418"/>
      </w:pPr>
      <w:r w:rsidRPr="003B42D9">
        <w:t>Fixtures, fittings and equipment:</w:t>
      </w:r>
      <w:r w:rsidRPr="003B42D9">
        <w:tab/>
        <w:t>5 years</w:t>
      </w:r>
    </w:p>
    <w:p w14:paraId="01A76CA6" w14:textId="77777777" w:rsidR="00DE1D34" w:rsidRDefault="00DE1D34" w:rsidP="00FD0AA4">
      <w:pPr>
        <w:widowControl w:val="0"/>
        <w:tabs>
          <w:tab w:val="left" w:pos="5670"/>
        </w:tabs>
        <w:autoSpaceDE w:val="0"/>
        <w:autoSpaceDN w:val="0"/>
        <w:adjustRightInd w:val="0"/>
      </w:pPr>
    </w:p>
    <w:p w14:paraId="323FBF30" w14:textId="01EF42AE" w:rsidR="00DE1D34" w:rsidRPr="00E5476D" w:rsidRDefault="00DE1D34" w:rsidP="00DE1D34">
      <w:pPr>
        <w:tabs>
          <w:tab w:val="left" w:pos="709"/>
        </w:tabs>
        <w:autoSpaceDE w:val="0"/>
        <w:autoSpaceDN w:val="0"/>
        <w:adjustRightInd w:val="0"/>
        <w:ind w:left="1440" w:hanging="1440"/>
        <w:rPr>
          <w:b/>
          <w:bCs/>
        </w:rPr>
      </w:pPr>
      <w:r>
        <w:rPr>
          <w:b/>
          <w:bCs/>
        </w:rPr>
        <w:tab/>
        <w:t>1.</w:t>
      </w:r>
      <w:r w:rsidR="00A9071A">
        <w:rPr>
          <w:b/>
          <w:bCs/>
        </w:rPr>
        <w:t>7</w:t>
      </w:r>
      <w:r>
        <w:rPr>
          <w:b/>
          <w:bCs/>
        </w:rPr>
        <w:tab/>
      </w:r>
      <w:r w:rsidR="006A0939">
        <w:rPr>
          <w:b/>
          <w:bCs/>
        </w:rPr>
        <w:t>Leases</w:t>
      </w:r>
    </w:p>
    <w:p w14:paraId="52965A15" w14:textId="77777777" w:rsidR="00DE1D34" w:rsidRDefault="00DE1D34" w:rsidP="00DE1D34">
      <w:pPr>
        <w:autoSpaceDE w:val="0"/>
        <w:autoSpaceDN w:val="0"/>
        <w:adjustRightInd w:val="0"/>
      </w:pPr>
    </w:p>
    <w:p w14:paraId="66040FE3" w14:textId="77777777" w:rsidR="00A07B41" w:rsidRDefault="006A6FA8" w:rsidP="008C071B">
      <w:pPr>
        <w:shd w:val="clear" w:color="auto" w:fill="FFFFFF"/>
        <w:spacing w:after="360"/>
        <w:ind w:left="1418"/>
        <w:rPr>
          <w:color w:val="171B1F"/>
          <w:lang w:eastAsia="en-GB"/>
        </w:rPr>
      </w:pPr>
      <w:r w:rsidRPr="006A6FA8">
        <w:rPr>
          <w:color w:val="171B1F"/>
          <w:lang w:eastAsia="en-GB"/>
        </w:rPr>
        <w:t>IFRS 16 ‘Leases’ was implemented from 1 April 20</w:t>
      </w:r>
      <w:r w:rsidR="00C67D2A">
        <w:rPr>
          <w:color w:val="171B1F"/>
          <w:lang w:eastAsia="en-GB"/>
        </w:rPr>
        <w:t>22</w:t>
      </w:r>
      <w:r w:rsidRPr="006A6FA8">
        <w:rPr>
          <w:color w:val="171B1F"/>
          <w:lang w:eastAsia="en-GB"/>
        </w:rPr>
        <w:t xml:space="preserve">; this introduces a single lessee accounting model that requires a lessee to recognise assets and liabilities for all leases </w:t>
      </w:r>
      <w:r w:rsidR="000469E1">
        <w:t>unless the lease term is 12 months or less or the underlying asset has a low value</w:t>
      </w:r>
      <w:r w:rsidRPr="006A6FA8">
        <w:rPr>
          <w:color w:val="171B1F"/>
          <w:lang w:eastAsia="en-GB"/>
        </w:rPr>
        <w:t>.</w:t>
      </w:r>
      <w:r w:rsidR="0016533B">
        <w:rPr>
          <w:color w:val="171B1F"/>
          <w:lang w:eastAsia="en-GB"/>
        </w:rPr>
        <w:t xml:space="preserve">  </w:t>
      </w:r>
    </w:p>
    <w:p w14:paraId="21B7B63D" w14:textId="46487D84" w:rsidR="006A6FA8" w:rsidRPr="00A421E4" w:rsidRDefault="0016533B" w:rsidP="008C071B">
      <w:pPr>
        <w:shd w:val="clear" w:color="auto" w:fill="FFFFFF"/>
        <w:spacing w:after="360"/>
        <w:ind w:left="1418"/>
        <w:rPr>
          <w:color w:val="171B1F"/>
          <w:lang w:eastAsia="en-GB"/>
        </w:rPr>
      </w:pPr>
      <w:r>
        <w:rPr>
          <w:color w:val="171B1F"/>
          <w:lang w:eastAsia="en-GB"/>
        </w:rPr>
        <w:br/>
      </w:r>
      <w:r w:rsidR="006A6FA8" w:rsidRPr="006A6FA8">
        <w:rPr>
          <w:color w:val="171B1F"/>
          <w:lang w:eastAsia="en-GB"/>
        </w:rPr>
        <w:t>In respect of lessees, IFRS 16 removes the distinction between operating and finance leases and introduces a single accounting model that requires a lessee to recognise ‘right-of-use’ assets and lease liabilities. The definition of a lease has been updated under IFRS 16, there is more emphasis on being able to control of the use of asset identified in a contract. There are new requirements for variable lease payments such as RPI/CPI uplifts; and there is an accounting policy choice allowable to separate non-lease components.</w:t>
      </w:r>
    </w:p>
    <w:p w14:paraId="5EC3ABED" w14:textId="133F2B3C" w:rsidR="00975D2D" w:rsidRDefault="00DE1D34" w:rsidP="00BB6BD9">
      <w:pPr>
        <w:autoSpaceDE w:val="0"/>
        <w:autoSpaceDN w:val="0"/>
        <w:adjustRightInd w:val="0"/>
        <w:ind w:left="1418"/>
      </w:pPr>
      <w:r>
        <w:t xml:space="preserve">Right-of-use assets within the Commission comprise the lease of premises at Alfred Street and the lease of a photocopier. </w:t>
      </w:r>
    </w:p>
    <w:p w14:paraId="5D021526" w14:textId="77777777" w:rsidR="00B566C9" w:rsidRDefault="00B566C9" w:rsidP="00F04493">
      <w:pPr>
        <w:tabs>
          <w:tab w:val="left" w:pos="567"/>
        </w:tabs>
        <w:ind w:left="1440" w:hanging="1440"/>
      </w:pPr>
    </w:p>
    <w:p w14:paraId="6F2B6AA4" w14:textId="4A6BDF53" w:rsidR="00B566C9" w:rsidRDefault="00B566C9" w:rsidP="00F04493">
      <w:pPr>
        <w:tabs>
          <w:tab w:val="left" w:pos="567"/>
        </w:tabs>
        <w:ind w:left="1440" w:hanging="1440"/>
      </w:pPr>
      <w:r>
        <w:tab/>
      </w:r>
      <w:r>
        <w:tab/>
        <w:t>At inception of a contract, the Commission assess whether a contract is, or contains, a lease.  A contract is, or contains a lease if the contract conveys the right to control the use of an identified asset for a period of time.  This includes assets for which there is no consideration.  To assess whether a contract conveys the rights to control the use of an identified asset, the Commission assess whether:</w:t>
      </w:r>
    </w:p>
    <w:p w14:paraId="78CF7942" w14:textId="56DC4D11" w:rsidR="00B566C9" w:rsidRDefault="00B566C9" w:rsidP="007A6076">
      <w:pPr>
        <w:pStyle w:val="ListParagraph"/>
        <w:numPr>
          <w:ilvl w:val="0"/>
          <w:numId w:val="31"/>
        </w:numPr>
        <w:tabs>
          <w:tab w:val="left" w:pos="567"/>
        </w:tabs>
      </w:pPr>
      <w:r>
        <w:t>The contract involves the use of an identified asset</w:t>
      </w:r>
    </w:p>
    <w:p w14:paraId="5F8D3573" w14:textId="03952E63" w:rsidR="00B566C9" w:rsidRDefault="00B566C9" w:rsidP="007A6076">
      <w:pPr>
        <w:pStyle w:val="ListParagraph"/>
        <w:numPr>
          <w:ilvl w:val="0"/>
          <w:numId w:val="31"/>
        </w:numPr>
        <w:tabs>
          <w:tab w:val="left" w:pos="567"/>
        </w:tabs>
      </w:pPr>
      <w:r>
        <w:t xml:space="preserve">The Commission has the right to obtain </w:t>
      </w:r>
      <w:r w:rsidR="00BA2100">
        <w:t>substantially</w:t>
      </w:r>
      <w:r>
        <w:t xml:space="preserve"> all of the economic benefit from the use of the asset throughout the period of use</w:t>
      </w:r>
    </w:p>
    <w:p w14:paraId="6B3F34A9" w14:textId="3DC2D4C3" w:rsidR="00B566C9" w:rsidRDefault="00B566C9" w:rsidP="007A6076">
      <w:pPr>
        <w:pStyle w:val="ListParagraph"/>
        <w:numPr>
          <w:ilvl w:val="0"/>
          <w:numId w:val="31"/>
        </w:numPr>
        <w:tabs>
          <w:tab w:val="left" w:pos="567"/>
        </w:tabs>
      </w:pPr>
      <w:r>
        <w:t xml:space="preserve">The Commission has the right </w:t>
      </w:r>
      <w:r w:rsidR="00BA2100">
        <w:t>to direct the use of the asset.</w:t>
      </w:r>
    </w:p>
    <w:p w14:paraId="4B837FCF" w14:textId="77777777" w:rsidR="00BA2100" w:rsidRDefault="00BA2100" w:rsidP="00BA2100">
      <w:pPr>
        <w:tabs>
          <w:tab w:val="left" w:pos="567"/>
        </w:tabs>
      </w:pPr>
    </w:p>
    <w:p w14:paraId="33EEE19D" w14:textId="70ACE3B0" w:rsidR="00BA2100" w:rsidRDefault="00BA2100" w:rsidP="00BA2100">
      <w:pPr>
        <w:tabs>
          <w:tab w:val="left" w:pos="567"/>
        </w:tabs>
        <w:ind w:left="1440"/>
      </w:pPr>
      <w:r>
        <w:t>At inception or on reassessment of a contract that contains a lease component, the Commission allocates the consideration in the contract to each lease component on the basis of the relative standalone prices.</w:t>
      </w:r>
    </w:p>
    <w:p w14:paraId="47ECDDB9" w14:textId="77777777" w:rsidR="00BA2100" w:rsidRDefault="00BA2100" w:rsidP="00BA2100">
      <w:pPr>
        <w:tabs>
          <w:tab w:val="left" w:pos="567"/>
        </w:tabs>
        <w:ind w:left="1440"/>
      </w:pPr>
    </w:p>
    <w:p w14:paraId="3A0E268A" w14:textId="775A1B75" w:rsidR="00BA2100" w:rsidRDefault="00BA2100" w:rsidP="00BA2100">
      <w:pPr>
        <w:tabs>
          <w:tab w:val="left" w:pos="567"/>
        </w:tabs>
        <w:ind w:left="1440"/>
      </w:pPr>
      <w:r>
        <w:t>The Commission assess whether it is reasonably certain to exercise break options or extension options at the lease commencement date.  The Commission reassesses this if there are significant events or changes in circumstances that were anticipated.</w:t>
      </w:r>
    </w:p>
    <w:p w14:paraId="50B69646" w14:textId="77777777" w:rsidR="00BA2100" w:rsidRDefault="00BA2100" w:rsidP="00BA2100">
      <w:pPr>
        <w:tabs>
          <w:tab w:val="left" w:pos="567"/>
        </w:tabs>
        <w:ind w:left="1440"/>
      </w:pPr>
    </w:p>
    <w:p w14:paraId="3326C2B8" w14:textId="77777777" w:rsidR="00BA2100" w:rsidRDefault="00BA2100" w:rsidP="00BA2100">
      <w:pPr>
        <w:tabs>
          <w:tab w:val="left" w:pos="567"/>
        </w:tabs>
        <w:ind w:left="1440"/>
        <w:rPr>
          <w:b/>
          <w:bCs/>
        </w:rPr>
      </w:pPr>
      <w:r>
        <w:rPr>
          <w:b/>
          <w:bCs/>
        </w:rPr>
        <w:t>As a lessee</w:t>
      </w:r>
    </w:p>
    <w:p w14:paraId="7108E016" w14:textId="77777777" w:rsidR="00BA2100" w:rsidRDefault="00BA2100" w:rsidP="00BA2100">
      <w:pPr>
        <w:tabs>
          <w:tab w:val="left" w:pos="567"/>
        </w:tabs>
        <w:ind w:left="1440"/>
        <w:rPr>
          <w:b/>
          <w:bCs/>
        </w:rPr>
      </w:pPr>
    </w:p>
    <w:p w14:paraId="7C89A4A0" w14:textId="77777777" w:rsidR="00BA2100" w:rsidRDefault="00BA2100" w:rsidP="00BA2100">
      <w:pPr>
        <w:tabs>
          <w:tab w:val="left" w:pos="567"/>
        </w:tabs>
        <w:ind w:left="1440"/>
        <w:rPr>
          <w:b/>
          <w:bCs/>
        </w:rPr>
      </w:pPr>
      <w:r>
        <w:rPr>
          <w:b/>
          <w:bCs/>
        </w:rPr>
        <w:t>Right-of-Use assets</w:t>
      </w:r>
    </w:p>
    <w:p w14:paraId="477D790C" w14:textId="77777777" w:rsidR="00BA2100" w:rsidRDefault="00BA2100" w:rsidP="00BA2100">
      <w:pPr>
        <w:tabs>
          <w:tab w:val="left" w:pos="567"/>
        </w:tabs>
        <w:ind w:left="1440"/>
        <w:rPr>
          <w:b/>
          <w:bCs/>
        </w:rPr>
      </w:pPr>
    </w:p>
    <w:p w14:paraId="280EB7C0" w14:textId="5C854BE0" w:rsidR="00BA2100" w:rsidRDefault="00BA2100" w:rsidP="00226730">
      <w:pPr>
        <w:tabs>
          <w:tab w:val="left" w:pos="567"/>
        </w:tabs>
        <w:ind w:left="1440"/>
      </w:pPr>
      <w:r>
        <w:t>The Commission recognises a right-of-use asset and lease liability at the commencement date.  The right-of-use asset is initially measured at cost, which comprises the initial amount of the lease liability adjusted for initial direct costs, prepayments or incentives, and costs related to restoration at the end of the lease.</w:t>
      </w:r>
      <w:r w:rsidR="0071635E">
        <w:br/>
      </w:r>
    </w:p>
    <w:p w14:paraId="57AC138B" w14:textId="77777777" w:rsidR="00BA2100" w:rsidRDefault="00BA2100" w:rsidP="00BA2100">
      <w:pPr>
        <w:tabs>
          <w:tab w:val="left" w:pos="567"/>
        </w:tabs>
        <w:ind w:left="1440"/>
      </w:pPr>
      <w:r>
        <w:t>The right-of-use assets are subsequently measured at either fair value or current value in existing use in line with property, plant and equipment assets.  The cost measurement model in IFRS16 is used as an appropriate proxy for current value in existing use or fair value for the majority of leases (consistent with the principles for subsequent measurement of property, plant and equipment) except for those which meet one of the following:</w:t>
      </w:r>
    </w:p>
    <w:p w14:paraId="7F76B0AE" w14:textId="77777777" w:rsidR="00BA2100" w:rsidRDefault="00BA2100" w:rsidP="00BA2100">
      <w:pPr>
        <w:tabs>
          <w:tab w:val="left" w:pos="567"/>
        </w:tabs>
        <w:ind w:left="1440"/>
      </w:pPr>
    </w:p>
    <w:p w14:paraId="076506B7" w14:textId="77777777" w:rsidR="00BA2100" w:rsidRDefault="00BA2100" w:rsidP="007A6076">
      <w:pPr>
        <w:pStyle w:val="ListParagraph"/>
        <w:numPr>
          <w:ilvl w:val="0"/>
          <w:numId w:val="27"/>
        </w:numPr>
        <w:tabs>
          <w:tab w:val="left" w:pos="567"/>
        </w:tabs>
      </w:pPr>
      <w:r>
        <w:t>A longer-term lease that has no provisions to update lease payments for market conditions or if there is a significant period of time between those updates; and;</w:t>
      </w:r>
    </w:p>
    <w:p w14:paraId="49BF4590" w14:textId="77777777" w:rsidR="00BA2100" w:rsidRDefault="00BA2100" w:rsidP="007A6076">
      <w:pPr>
        <w:pStyle w:val="ListParagraph"/>
        <w:numPr>
          <w:ilvl w:val="0"/>
          <w:numId w:val="27"/>
        </w:numPr>
        <w:tabs>
          <w:tab w:val="left" w:pos="567"/>
        </w:tabs>
      </w:pPr>
      <w:r>
        <w:t>The fair value or current value in existing use of the underlying asset is likely to fluctuate significantly due to changes in market prices.</w:t>
      </w:r>
    </w:p>
    <w:p w14:paraId="49DC9029" w14:textId="77777777" w:rsidR="00BA2100" w:rsidRDefault="00BA2100" w:rsidP="00BA2100">
      <w:pPr>
        <w:tabs>
          <w:tab w:val="left" w:pos="567"/>
        </w:tabs>
      </w:pPr>
    </w:p>
    <w:p w14:paraId="2D934F7C" w14:textId="77777777" w:rsidR="00BA2100" w:rsidRDefault="00BA2100" w:rsidP="00BA2100">
      <w:pPr>
        <w:tabs>
          <w:tab w:val="left" w:pos="567"/>
        </w:tabs>
        <w:ind w:left="1440"/>
      </w:pPr>
      <w:r>
        <w:t>The right-of-use assets are depreciated using the straight line method from the commencement date to the earlier of the end of the useful life of the right-of-use asset or the end of the lease term.  The estimated useful lives of the right-of-use assets are determined on the same basis of those of property, plant and equipment.</w:t>
      </w:r>
    </w:p>
    <w:p w14:paraId="075D12AE" w14:textId="77777777" w:rsidR="00BA2100" w:rsidRDefault="00BA2100" w:rsidP="00BA2100">
      <w:pPr>
        <w:tabs>
          <w:tab w:val="left" w:pos="567"/>
        </w:tabs>
        <w:ind w:left="1440"/>
      </w:pPr>
    </w:p>
    <w:p w14:paraId="18A24D64" w14:textId="77777777" w:rsidR="00BA2100" w:rsidRDefault="00BA2100" w:rsidP="00BA2100">
      <w:pPr>
        <w:tabs>
          <w:tab w:val="left" w:pos="567"/>
        </w:tabs>
        <w:ind w:left="1440"/>
      </w:pPr>
      <w:r>
        <w:t>The Commission applies IAS36 Impairment of Assets to determine whether the right-of-use asset is impaired and to account for any impairment loss identified.</w:t>
      </w:r>
    </w:p>
    <w:p w14:paraId="257FC74D" w14:textId="77777777" w:rsidR="00BA2100" w:rsidRDefault="00BA2100" w:rsidP="00BA2100">
      <w:pPr>
        <w:tabs>
          <w:tab w:val="left" w:pos="567"/>
        </w:tabs>
        <w:ind w:left="1440"/>
      </w:pPr>
    </w:p>
    <w:p w14:paraId="320DA3E0" w14:textId="77777777" w:rsidR="00BA2100" w:rsidRDefault="00BA2100" w:rsidP="00BA2100">
      <w:pPr>
        <w:tabs>
          <w:tab w:val="left" w:pos="567"/>
        </w:tabs>
        <w:ind w:left="1440"/>
        <w:rPr>
          <w:b/>
          <w:bCs/>
        </w:rPr>
      </w:pPr>
      <w:r>
        <w:rPr>
          <w:b/>
          <w:bCs/>
        </w:rPr>
        <w:t>Lease liabilities</w:t>
      </w:r>
    </w:p>
    <w:p w14:paraId="5054861E" w14:textId="77777777" w:rsidR="00BA2100" w:rsidRDefault="00BA2100" w:rsidP="00BA2100">
      <w:pPr>
        <w:tabs>
          <w:tab w:val="left" w:pos="567"/>
        </w:tabs>
        <w:ind w:left="1440"/>
        <w:rPr>
          <w:b/>
          <w:bCs/>
        </w:rPr>
      </w:pPr>
    </w:p>
    <w:p w14:paraId="55A9FA26" w14:textId="77777777" w:rsidR="00BA2100" w:rsidRDefault="00BA2100" w:rsidP="00BA2100">
      <w:pPr>
        <w:tabs>
          <w:tab w:val="left" w:pos="567"/>
        </w:tabs>
        <w:ind w:left="1440"/>
      </w:pPr>
      <w:r>
        <w:t>The lease liability is initially measured at the present value of the lease payments that are not paid at the commencement date, discounted using the interest rate implicit in the lease, or if that cannot be readily determined, the rate provided by HMT.</w:t>
      </w:r>
    </w:p>
    <w:p w14:paraId="3076F1B3" w14:textId="77777777" w:rsidR="00BA2100" w:rsidRDefault="00BA2100" w:rsidP="00BA2100">
      <w:pPr>
        <w:tabs>
          <w:tab w:val="left" w:pos="567"/>
        </w:tabs>
        <w:ind w:left="1440"/>
      </w:pPr>
    </w:p>
    <w:p w14:paraId="74EE680E" w14:textId="77777777" w:rsidR="00BA2100" w:rsidRDefault="00BA2100" w:rsidP="00BA2100">
      <w:pPr>
        <w:tabs>
          <w:tab w:val="left" w:pos="567"/>
        </w:tabs>
        <w:ind w:left="1440"/>
      </w:pPr>
      <w:r>
        <w:lastRenderedPageBreak/>
        <w:t>The lease payment is measured at amortised cost using the effective interest method.  It is remeasured when there is a change in future lease payments arising from a change in the index or rate, if there is a change in the Commission’s estimates of the amount expected to be payable under residual value guarantee, or if the Commission changes its assessment of whether it will exercise a purchase, extension or termination option.</w:t>
      </w:r>
    </w:p>
    <w:p w14:paraId="791AE2A2" w14:textId="77777777" w:rsidR="00BA2100" w:rsidRDefault="00BA2100" w:rsidP="00BA2100">
      <w:pPr>
        <w:tabs>
          <w:tab w:val="left" w:pos="567"/>
        </w:tabs>
        <w:ind w:left="1440"/>
      </w:pPr>
    </w:p>
    <w:p w14:paraId="1775634E" w14:textId="77777777" w:rsidR="00BA2100" w:rsidRDefault="00BA2100" w:rsidP="00BA2100">
      <w:pPr>
        <w:tabs>
          <w:tab w:val="left" w:pos="567"/>
        </w:tabs>
        <w:ind w:left="1440"/>
      </w:pPr>
      <w:r>
        <w:t>Lease payments included in the measurement of the lease liability comprises of the following:</w:t>
      </w:r>
    </w:p>
    <w:p w14:paraId="0D6F63F5" w14:textId="77777777" w:rsidR="00BA2100" w:rsidRDefault="00BA2100" w:rsidP="00BA2100">
      <w:pPr>
        <w:tabs>
          <w:tab w:val="left" w:pos="567"/>
        </w:tabs>
        <w:ind w:left="1440"/>
      </w:pPr>
    </w:p>
    <w:p w14:paraId="055A5F76" w14:textId="77777777" w:rsidR="00BA2100" w:rsidRDefault="00BA2100" w:rsidP="007A6076">
      <w:pPr>
        <w:pStyle w:val="ListParagraph"/>
        <w:numPr>
          <w:ilvl w:val="0"/>
          <w:numId w:val="28"/>
        </w:numPr>
        <w:tabs>
          <w:tab w:val="left" w:pos="567"/>
        </w:tabs>
      </w:pPr>
      <w:r>
        <w:t>Fixed payments, including in-substance fixed payments;</w:t>
      </w:r>
    </w:p>
    <w:p w14:paraId="770CE0D8" w14:textId="77777777" w:rsidR="00BA2100" w:rsidRDefault="00BA2100" w:rsidP="007A6076">
      <w:pPr>
        <w:pStyle w:val="ListParagraph"/>
        <w:numPr>
          <w:ilvl w:val="0"/>
          <w:numId w:val="28"/>
        </w:numPr>
        <w:tabs>
          <w:tab w:val="left" w:pos="567"/>
        </w:tabs>
      </w:pPr>
      <w:r>
        <w:t>Variable lease payments that depend on an index or a rate, initially measured using the index rate as at the commencement date;</w:t>
      </w:r>
    </w:p>
    <w:p w14:paraId="441ABA66" w14:textId="77777777" w:rsidR="00BA2100" w:rsidRDefault="00BA2100" w:rsidP="007A6076">
      <w:pPr>
        <w:pStyle w:val="ListParagraph"/>
        <w:numPr>
          <w:ilvl w:val="0"/>
          <w:numId w:val="28"/>
        </w:numPr>
        <w:tabs>
          <w:tab w:val="left" w:pos="567"/>
        </w:tabs>
      </w:pPr>
      <w:r>
        <w:t>Amounts expected to be payable under a residual value guarantee;</w:t>
      </w:r>
    </w:p>
    <w:p w14:paraId="506DC5AD" w14:textId="77777777" w:rsidR="00BA2100" w:rsidRDefault="00BA2100" w:rsidP="007A6076">
      <w:pPr>
        <w:pStyle w:val="ListParagraph"/>
        <w:numPr>
          <w:ilvl w:val="0"/>
          <w:numId w:val="28"/>
        </w:numPr>
        <w:tabs>
          <w:tab w:val="left" w:pos="567"/>
        </w:tabs>
      </w:pPr>
      <w:r>
        <w:t>The exercise price under a purchase option that the Commission is reasonably certain to exercise, lease payments in an optional renewal period if the Commission is reasonably certain to exercise an extension option, and penalties for early termination of a lease unless the Commission is reasonably certain not to terminate early.</w:t>
      </w:r>
    </w:p>
    <w:p w14:paraId="1E4569E6" w14:textId="77777777" w:rsidR="00BA2100" w:rsidRDefault="00BA2100" w:rsidP="00BA2100">
      <w:pPr>
        <w:tabs>
          <w:tab w:val="left" w:pos="567"/>
        </w:tabs>
      </w:pPr>
    </w:p>
    <w:p w14:paraId="7E8755E4" w14:textId="4646575A" w:rsidR="00BA2100" w:rsidRPr="003B42D9" w:rsidRDefault="00BA2100" w:rsidP="00BA2100">
      <w:pPr>
        <w:tabs>
          <w:tab w:val="left" w:pos="567"/>
        </w:tabs>
        <w:ind w:left="1440"/>
      </w:pPr>
      <w:r>
        <w:t xml:space="preserve">When the lease liability is </w:t>
      </w:r>
      <w:r w:rsidR="00A07B41">
        <w:t>remeasured,</w:t>
      </w:r>
      <w:r>
        <w:t xml:space="preserve"> a corresponding adjustment</w:t>
      </w:r>
      <w:r>
        <w:tab/>
        <w:t>is made to the right-of-use asset or recorded in the SoCNE if the carrying amount of the right-of-use asset is zero.</w:t>
      </w:r>
    </w:p>
    <w:p w14:paraId="77F06225" w14:textId="77777777" w:rsidR="00E5476D" w:rsidRDefault="00E5476D" w:rsidP="005A3BB2">
      <w:pPr>
        <w:autoSpaceDE w:val="0"/>
        <w:autoSpaceDN w:val="0"/>
        <w:adjustRightInd w:val="0"/>
      </w:pPr>
    </w:p>
    <w:p w14:paraId="3A4FEFCB" w14:textId="1F2A9DA4" w:rsidR="00E5476D" w:rsidRPr="00E5476D" w:rsidRDefault="00B07E4A" w:rsidP="00E5476D">
      <w:pPr>
        <w:tabs>
          <w:tab w:val="left" w:pos="709"/>
        </w:tabs>
        <w:autoSpaceDE w:val="0"/>
        <w:autoSpaceDN w:val="0"/>
        <w:adjustRightInd w:val="0"/>
        <w:ind w:left="1440" w:hanging="1440"/>
        <w:rPr>
          <w:b/>
          <w:bCs/>
        </w:rPr>
      </w:pPr>
      <w:r>
        <w:rPr>
          <w:b/>
          <w:bCs/>
        </w:rPr>
        <w:tab/>
      </w:r>
      <w:r w:rsidR="00E5476D">
        <w:rPr>
          <w:b/>
          <w:bCs/>
        </w:rPr>
        <w:t>1.</w:t>
      </w:r>
      <w:r w:rsidR="00A9071A">
        <w:rPr>
          <w:b/>
          <w:bCs/>
        </w:rPr>
        <w:t>8</w:t>
      </w:r>
      <w:r w:rsidR="00E5476D">
        <w:rPr>
          <w:b/>
          <w:bCs/>
        </w:rPr>
        <w:tab/>
        <w:t>IAS 37 – Provision</w:t>
      </w:r>
      <w:r w:rsidR="006A0939">
        <w:rPr>
          <w:b/>
          <w:bCs/>
        </w:rPr>
        <w:t>s</w:t>
      </w:r>
      <w:r w:rsidR="00E5476D">
        <w:rPr>
          <w:b/>
          <w:bCs/>
        </w:rPr>
        <w:t>, Contingent Liabilities and Contingent Assets</w:t>
      </w:r>
      <w:r w:rsidR="00E5476D">
        <w:rPr>
          <w:b/>
          <w:bCs/>
        </w:rPr>
        <w:tab/>
      </w:r>
    </w:p>
    <w:p w14:paraId="4CBB496C" w14:textId="77777777" w:rsidR="005A3BB2" w:rsidRDefault="005A3BB2" w:rsidP="005A3BB2">
      <w:pPr>
        <w:autoSpaceDE w:val="0"/>
        <w:autoSpaceDN w:val="0"/>
        <w:adjustRightInd w:val="0"/>
      </w:pPr>
    </w:p>
    <w:p w14:paraId="3332B4C0" w14:textId="7A03B017" w:rsidR="00800E11" w:rsidRDefault="00E5476D" w:rsidP="000C2A54">
      <w:pPr>
        <w:autoSpaceDE w:val="0"/>
        <w:autoSpaceDN w:val="0"/>
        <w:adjustRightInd w:val="0"/>
        <w:ind w:left="1418"/>
      </w:pPr>
      <w:r>
        <w:t>U</w:t>
      </w:r>
      <w:r w:rsidR="004A2CEE">
        <w:t>nder IAS 37.14</w:t>
      </w:r>
      <w:r w:rsidR="005F2697">
        <w:t>, a provision shall be recognised when:</w:t>
      </w:r>
    </w:p>
    <w:p w14:paraId="3B4CF461" w14:textId="77777777" w:rsidR="005F2697" w:rsidRDefault="005F2697" w:rsidP="000C2A54">
      <w:pPr>
        <w:autoSpaceDE w:val="0"/>
        <w:autoSpaceDN w:val="0"/>
        <w:adjustRightInd w:val="0"/>
        <w:ind w:left="1418"/>
      </w:pPr>
    </w:p>
    <w:p w14:paraId="124803C9" w14:textId="77777777" w:rsidR="005F2697" w:rsidRDefault="005F2697" w:rsidP="007A6076">
      <w:pPr>
        <w:pStyle w:val="ListParagraph"/>
        <w:numPr>
          <w:ilvl w:val="0"/>
          <w:numId w:val="14"/>
        </w:numPr>
        <w:autoSpaceDE w:val="0"/>
        <w:autoSpaceDN w:val="0"/>
        <w:adjustRightInd w:val="0"/>
      </w:pPr>
      <w:r>
        <w:t>“An entity has a present obligation (legal or constructive) as a result of a past event;</w:t>
      </w:r>
    </w:p>
    <w:p w14:paraId="6FC5E1A0" w14:textId="77777777" w:rsidR="005F2697" w:rsidRDefault="005F2697" w:rsidP="007A6076">
      <w:pPr>
        <w:pStyle w:val="ListParagraph"/>
        <w:numPr>
          <w:ilvl w:val="0"/>
          <w:numId w:val="14"/>
        </w:numPr>
        <w:autoSpaceDE w:val="0"/>
        <w:autoSpaceDN w:val="0"/>
        <w:adjustRightInd w:val="0"/>
      </w:pPr>
      <w:r>
        <w:t>It is probably that an outflow of resources embodying economic benefits will be required to settle the obligation; and</w:t>
      </w:r>
    </w:p>
    <w:p w14:paraId="156DAC64" w14:textId="77777777" w:rsidR="005F2697" w:rsidRDefault="005F2697" w:rsidP="007A6076">
      <w:pPr>
        <w:pStyle w:val="ListParagraph"/>
        <w:numPr>
          <w:ilvl w:val="0"/>
          <w:numId w:val="14"/>
        </w:numPr>
        <w:autoSpaceDE w:val="0"/>
        <w:autoSpaceDN w:val="0"/>
        <w:adjustRightInd w:val="0"/>
      </w:pPr>
      <w:r>
        <w:t>A reliable estimate can be made of the amount of the obligation.</w:t>
      </w:r>
      <w:r w:rsidR="00582180">
        <w:t>”</w:t>
      </w:r>
    </w:p>
    <w:p w14:paraId="2B7B3625" w14:textId="77777777" w:rsidR="00582180" w:rsidRDefault="00582180" w:rsidP="00582180">
      <w:pPr>
        <w:autoSpaceDE w:val="0"/>
        <w:autoSpaceDN w:val="0"/>
        <w:adjustRightInd w:val="0"/>
      </w:pPr>
    </w:p>
    <w:p w14:paraId="30D8FDA9" w14:textId="7DE11BDA" w:rsidR="00582180" w:rsidRDefault="00582180" w:rsidP="007C6B78">
      <w:pPr>
        <w:autoSpaceDE w:val="0"/>
        <w:autoSpaceDN w:val="0"/>
        <w:adjustRightInd w:val="0"/>
        <w:ind w:left="1440" w:hanging="720"/>
      </w:pPr>
      <w:r>
        <w:tab/>
      </w:r>
      <w:r w:rsidR="00B97B1A">
        <w:t>As the</w:t>
      </w:r>
      <w:r w:rsidR="007C72AC">
        <w:t xml:space="preserve"> Commission’s lease contains a clause under which</w:t>
      </w:r>
      <w:r w:rsidR="005B3DFB">
        <w:t>,</w:t>
      </w:r>
      <w:r w:rsidR="007C72AC">
        <w:t xml:space="preserve"> </w:t>
      </w:r>
      <w:r w:rsidR="00DB1FF2">
        <w:t>at the expiration of the lease</w:t>
      </w:r>
      <w:r w:rsidR="005B3DFB">
        <w:t xml:space="preserve">, </w:t>
      </w:r>
      <w:r w:rsidR="00C97C03">
        <w:t xml:space="preserve">there is </w:t>
      </w:r>
      <w:r w:rsidR="00827E4A">
        <w:t>an obligation to repair the property</w:t>
      </w:r>
      <w:r w:rsidR="00362EF7">
        <w:t xml:space="preserve"> and return it to the lessor in a specified condition</w:t>
      </w:r>
      <w:r w:rsidR="00B97B1A">
        <w:t xml:space="preserve">, a provision for dilapidation costs </w:t>
      </w:r>
      <w:r w:rsidR="00C97C03">
        <w:t>is recognised in the accounts</w:t>
      </w:r>
      <w:r w:rsidR="00DC73A1">
        <w:t xml:space="preserve">.  </w:t>
      </w:r>
      <w:r w:rsidR="00D65D83">
        <w:t xml:space="preserve"> </w:t>
      </w:r>
    </w:p>
    <w:p w14:paraId="0F881C88" w14:textId="77777777" w:rsidR="007C6B78" w:rsidRDefault="007C6B78" w:rsidP="00582180">
      <w:pPr>
        <w:autoSpaceDE w:val="0"/>
        <w:autoSpaceDN w:val="0"/>
        <w:adjustRightInd w:val="0"/>
        <w:ind w:left="720"/>
      </w:pPr>
    </w:p>
    <w:p w14:paraId="73BB429A" w14:textId="77777777" w:rsidR="007C6B78" w:rsidRDefault="009D020C" w:rsidP="007543BD">
      <w:pPr>
        <w:autoSpaceDE w:val="0"/>
        <w:autoSpaceDN w:val="0"/>
        <w:adjustRightInd w:val="0"/>
        <w:ind w:left="1440" w:hanging="720"/>
      </w:pPr>
      <w:r>
        <w:tab/>
      </w:r>
      <w:r w:rsidR="00E01AB0">
        <w:t xml:space="preserve">The provision for dilapidation costs </w:t>
      </w:r>
      <w:r w:rsidR="00AE3711">
        <w:t>is based on a reliable estimate of the amount that would need to be paid to discharge the obligation</w:t>
      </w:r>
      <w:r w:rsidR="009B55BB">
        <w:t xml:space="preserve"> </w:t>
      </w:r>
      <w:r w:rsidR="00851138">
        <w:t>at the end of the lease</w:t>
      </w:r>
      <w:r w:rsidR="005A5724">
        <w:t>.</w:t>
      </w:r>
      <w:r w:rsidR="00E01AB0">
        <w:t xml:space="preserve"> </w:t>
      </w:r>
    </w:p>
    <w:p w14:paraId="2C0DC46E" w14:textId="77777777" w:rsidR="000C2A54" w:rsidRDefault="000C2A54" w:rsidP="00FD0AA4">
      <w:pPr>
        <w:widowControl w:val="0"/>
        <w:tabs>
          <w:tab w:val="left" w:pos="5670"/>
        </w:tabs>
        <w:autoSpaceDE w:val="0"/>
        <w:autoSpaceDN w:val="0"/>
        <w:adjustRightInd w:val="0"/>
        <w:rPr>
          <w:sz w:val="22"/>
          <w:szCs w:val="22"/>
        </w:rPr>
      </w:pPr>
    </w:p>
    <w:p w14:paraId="77055A8F" w14:textId="77777777" w:rsidR="007A6076" w:rsidRDefault="007A6076" w:rsidP="00FD0AA4">
      <w:pPr>
        <w:widowControl w:val="0"/>
        <w:tabs>
          <w:tab w:val="left" w:pos="5670"/>
        </w:tabs>
        <w:autoSpaceDE w:val="0"/>
        <w:autoSpaceDN w:val="0"/>
        <w:adjustRightInd w:val="0"/>
        <w:rPr>
          <w:sz w:val="22"/>
          <w:szCs w:val="22"/>
        </w:rPr>
      </w:pPr>
    </w:p>
    <w:p w14:paraId="27356A2F" w14:textId="43E82D81" w:rsidR="000C2A54" w:rsidRPr="00F97E5F" w:rsidRDefault="00B07E4A" w:rsidP="000C2A54">
      <w:pPr>
        <w:widowControl w:val="0"/>
        <w:autoSpaceDE w:val="0"/>
        <w:autoSpaceDN w:val="0"/>
        <w:adjustRightInd w:val="0"/>
        <w:ind w:left="1418" w:hanging="851"/>
        <w:rPr>
          <w:rFonts w:cs="Arial"/>
          <w:b/>
          <w:bCs/>
        </w:rPr>
      </w:pPr>
      <w:r>
        <w:rPr>
          <w:rFonts w:cs="Arial"/>
          <w:b/>
          <w:bCs/>
        </w:rPr>
        <w:t>1.</w:t>
      </w:r>
      <w:r w:rsidR="00A9071A">
        <w:rPr>
          <w:rFonts w:cs="Arial"/>
          <w:b/>
          <w:bCs/>
        </w:rPr>
        <w:t>9</w:t>
      </w:r>
      <w:r w:rsidR="000C2A54" w:rsidRPr="00F97E5F">
        <w:rPr>
          <w:rFonts w:cs="Arial"/>
          <w:b/>
          <w:bCs/>
        </w:rPr>
        <w:tab/>
        <w:t>Intangible Assets</w:t>
      </w:r>
    </w:p>
    <w:p w14:paraId="473745B8" w14:textId="77777777" w:rsidR="00C6005E" w:rsidRDefault="00C6005E" w:rsidP="000C2A54">
      <w:pPr>
        <w:widowControl w:val="0"/>
        <w:autoSpaceDE w:val="0"/>
        <w:autoSpaceDN w:val="0"/>
        <w:adjustRightInd w:val="0"/>
        <w:ind w:left="1418"/>
        <w:rPr>
          <w:rFonts w:cs="Arial"/>
          <w:bCs/>
        </w:rPr>
      </w:pPr>
    </w:p>
    <w:p w14:paraId="2E7A89F9" w14:textId="28BE3182" w:rsidR="000C2A54" w:rsidRDefault="00AB5030" w:rsidP="000C2A54">
      <w:pPr>
        <w:widowControl w:val="0"/>
        <w:autoSpaceDE w:val="0"/>
        <w:autoSpaceDN w:val="0"/>
        <w:adjustRightInd w:val="0"/>
        <w:ind w:left="1418"/>
        <w:rPr>
          <w:rFonts w:cs="Arial"/>
          <w:bCs/>
        </w:rPr>
      </w:pPr>
      <w:r>
        <w:rPr>
          <w:rFonts w:cs="Arial"/>
          <w:bCs/>
        </w:rPr>
        <w:t xml:space="preserve">The Commission follows the </w:t>
      </w:r>
      <w:r w:rsidR="008667F0">
        <w:rPr>
          <w:rFonts w:cs="Arial"/>
          <w:bCs/>
        </w:rPr>
        <w:t>criteria set out within IAS 38 when recognising an asset as intangible.</w:t>
      </w:r>
    </w:p>
    <w:p w14:paraId="237E1F12" w14:textId="3CB0C1C6" w:rsidR="003E37ED" w:rsidRDefault="003E37ED" w:rsidP="000C2A54">
      <w:pPr>
        <w:widowControl w:val="0"/>
        <w:autoSpaceDE w:val="0"/>
        <w:autoSpaceDN w:val="0"/>
        <w:adjustRightInd w:val="0"/>
        <w:ind w:left="1418"/>
        <w:rPr>
          <w:rFonts w:cs="Arial"/>
          <w:bCs/>
        </w:rPr>
      </w:pPr>
    </w:p>
    <w:p w14:paraId="40D72DC7" w14:textId="2BC21E17" w:rsidR="00220BC8" w:rsidRDefault="00F43768" w:rsidP="000C2A54">
      <w:pPr>
        <w:widowControl w:val="0"/>
        <w:autoSpaceDE w:val="0"/>
        <w:autoSpaceDN w:val="0"/>
        <w:adjustRightInd w:val="0"/>
        <w:ind w:left="1418"/>
        <w:rPr>
          <w:rFonts w:cs="Arial"/>
          <w:bCs/>
        </w:rPr>
      </w:pPr>
      <w:r>
        <w:rPr>
          <w:rFonts w:cs="Arial"/>
          <w:bCs/>
        </w:rPr>
        <w:t>Software licen</w:t>
      </w:r>
      <w:r w:rsidR="00D72F50">
        <w:rPr>
          <w:rFonts w:cs="Arial"/>
          <w:bCs/>
        </w:rPr>
        <w:t>c</w:t>
      </w:r>
      <w:r>
        <w:rPr>
          <w:rFonts w:cs="Arial"/>
          <w:bCs/>
        </w:rPr>
        <w:t>es are amortised over 2 years</w:t>
      </w:r>
      <w:r w:rsidR="00220BC8">
        <w:rPr>
          <w:rFonts w:cs="Arial"/>
          <w:bCs/>
        </w:rPr>
        <w:t xml:space="preserve"> (or the life of the license)</w:t>
      </w:r>
      <w:r w:rsidR="00234EB0">
        <w:rPr>
          <w:rFonts w:cs="Arial"/>
          <w:bCs/>
        </w:rPr>
        <w:t>.</w:t>
      </w:r>
    </w:p>
    <w:p w14:paraId="26098940" w14:textId="77777777" w:rsidR="00220BC8" w:rsidRDefault="00220BC8" w:rsidP="000C2A54">
      <w:pPr>
        <w:widowControl w:val="0"/>
        <w:autoSpaceDE w:val="0"/>
        <w:autoSpaceDN w:val="0"/>
        <w:adjustRightInd w:val="0"/>
        <w:ind w:left="1418"/>
        <w:rPr>
          <w:rFonts w:cs="Arial"/>
          <w:bCs/>
        </w:rPr>
      </w:pPr>
    </w:p>
    <w:p w14:paraId="64068ADD" w14:textId="73449EA7" w:rsidR="003E37ED" w:rsidRPr="00F97E5F" w:rsidRDefault="003E37ED" w:rsidP="000C2A54">
      <w:pPr>
        <w:widowControl w:val="0"/>
        <w:autoSpaceDE w:val="0"/>
        <w:autoSpaceDN w:val="0"/>
        <w:adjustRightInd w:val="0"/>
        <w:ind w:left="1418"/>
        <w:rPr>
          <w:rFonts w:cs="Arial"/>
          <w:bCs/>
        </w:rPr>
      </w:pPr>
      <w:r>
        <w:rPr>
          <w:rFonts w:cs="Arial"/>
          <w:bCs/>
        </w:rPr>
        <w:t>Intangible assets are amortised over 5 years (or the life of the asset).</w:t>
      </w:r>
    </w:p>
    <w:p w14:paraId="51A9204E" w14:textId="77777777" w:rsidR="00582E77" w:rsidRPr="00F97E5F" w:rsidRDefault="00582E77" w:rsidP="000C2A54">
      <w:pPr>
        <w:widowControl w:val="0"/>
        <w:tabs>
          <w:tab w:val="left" w:pos="567"/>
        </w:tabs>
        <w:autoSpaceDE w:val="0"/>
        <w:autoSpaceDN w:val="0"/>
        <w:adjustRightInd w:val="0"/>
        <w:rPr>
          <w:b/>
        </w:rPr>
      </w:pPr>
    </w:p>
    <w:p w14:paraId="551D97AA" w14:textId="07D2515B" w:rsidR="000C2A54" w:rsidRPr="00F97E5F" w:rsidRDefault="00B07E4A" w:rsidP="000C2A54">
      <w:pPr>
        <w:widowControl w:val="0"/>
        <w:autoSpaceDE w:val="0"/>
        <w:autoSpaceDN w:val="0"/>
        <w:adjustRightInd w:val="0"/>
        <w:ind w:left="1418" w:hanging="851"/>
        <w:rPr>
          <w:b/>
        </w:rPr>
      </w:pPr>
      <w:r>
        <w:rPr>
          <w:b/>
        </w:rPr>
        <w:t>1.1</w:t>
      </w:r>
      <w:r w:rsidR="00A9071A">
        <w:rPr>
          <w:b/>
        </w:rPr>
        <w:t>0</w:t>
      </w:r>
      <w:r w:rsidR="000C2A54" w:rsidRPr="00F97E5F">
        <w:rPr>
          <w:b/>
        </w:rPr>
        <w:tab/>
        <w:t>Pensions</w:t>
      </w:r>
    </w:p>
    <w:p w14:paraId="6B504526" w14:textId="77777777" w:rsidR="000C2A54" w:rsidRPr="00F97E5F" w:rsidRDefault="000C2A54" w:rsidP="000C2A54">
      <w:pPr>
        <w:widowControl w:val="0"/>
        <w:tabs>
          <w:tab w:val="left" w:pos="567"/>
        </w:tabs>
        <w:autoSpaceDE w:val="0"/>
        <w:autoSpaceDN w:val="0"/>
        <w:adjustRightInd w:val="0"/>
        <w:ind w:left="567"/>
      </w:pPr>
    </w:p>
    <w:p w14:paraId="1E187DE6" w14:textId="0165FB9C" w:rsidR="00AE02A9" w:rsidRDefault="000C2A54" w:rsidP="000C2A54">
      <w:pPr>
        <w:widowControl w:val="0"/>
        <w:autoSpaceDE w:val="0"/>
        <w:autoSpaceDN w:val="0"/>
        <w:adjustRightInd w:val="0"/>
        <w:ind w:left="1418"/>
      </w:pPr>
      <w:r w:rsidRPr="00F97E5F">
        <w:t>Past and present employees are covered by the provisions of the Principal Civil Service Pension Schemes (PCSPS</w:t>
      </w:r>
      <w:r w:rsidR="00176472" w:rsidRPr="00F97E5F">
        <w:t>), which</w:t>
      </w:r>
      <w:r w:rsidRPr="00F97E5F">
        <w:t xml:space="preserve"> are described in </w:t>
      </w:r>
      <w:r>
        <w:t>the Remuneration and Staff Report</w:t>
      </w:r>
      <w:r w:rsidRPr="00F97E5F">
        <w:t xml:space="preserve">.  The defined benefit schemes </w:t>
      </w:r>
      <w:r w:rsidR="00AE02A9">
        <w:t>are</w:t>
      </w:r>
      <w:r w:rsidRPr="00F97E5F">
        <w:t xml:space="preserve"> unfunded</w:t>
      </w:r>
      <w:r w:rsidR="00AE02A9">
        <w:t xml:space="preserve"> and contributory</w:t>
      </w:r>
      <w:r w:rsidRPr="00F97E5F">
        <w:t xml:space="preserve">.  </w:t>
      </w:r>
    </w:p>
    <w:p w14:paraId="6A9B1E40" w14:textId="77777777" w:rsidR="00AE02A9" w:rsidRDefault="00AE02A9" w:rsidP="000C2A54">
      <w:pPr>
        <w:widowControl w:val="0"/>
        <w:autoSpaceDE w:val="0"/>
        <w:autoSpaceDN w:val="0"/>
        <w:adjustRightInd w:val="0"/>
        <w:ind w:left="1418"/>
      </w:pPr>
    </w:p>
    <w:p w14:paraId="3421992B" w14:textId="0B1E4549" w:rsidR="000C2A54" w:rsidRDefault="00AF0D48" w:rsidP="001E2AA0">
      <w:pPr>
        <w:widowControl w:val="0"/>
        <w:autoSpaceDE w:val="0"/>
        <w:autoSpaceDN w:val="0"/>
        <w:adjustRightInd w:val="0"/>
        <w:ind w:left="1418"/>
      </w:pPr>
      <w:r>
        <w:t>In line with FReM’s adaptation of IAS 19, the Commission accounts for the PCSPS as if it were a defined contribution scheme</w:t>
      </w:r>
      <w:r w:rsidR="000C2A54" w:rsidRPr="00F97E5F">
        <w:t>.  In respect of the defined contribution schemes, the Commission recognises the contributions payable for the year.</w:t>
      </w:r>
    </w:p>
    <w:p w14:paraId="2AA1D8EC" w14:textId="77777777" w:rsidR="00BA2100" w:rsidRPr="001E2AA0" w:rsidRDefault="00BA2100" w:rsidP="001E2AA0">
      <w:pPr>
        <w:widowControl w:val="0"/>
        <w:autoSpaceDE w:val="0"/>
        <w:autoSpaceDN w:val="0"/>
        <w:adjustRightInd w:val="0"/>
        <w:ind w:left="1418"/>
      </w:pPr>
    </w:p>
    <w:p w14:paraId="07FDD97F" w14:textId="33686755" w:rsidR="000C2A54" w:rsidRPr="00F97E5F" w:rsidRDefault="00B07E4A" w:rsidP="000C2A54">
      <w:pPr>
        <w:widowControl w:val="0"/>
        <w:autoSpaceDE w:val="0"/>
        <w:autoSpaceDN w:val="0"/>
        <w:adjustRightInd w:val="0"/>
        <w:ind w:left="1418" w:hanging="851"/>
        <w:rPr>
          <w:b/>
        </w:rPr>
      </w:pPr>
      <w:r>
        <w:rPr>
          <w:b/>
        </w:rPr>
        <w:t>1.1</w:t>
      </w:r>
      <w:r w:rsidR="00A9071A">
        <w:rPr>
          <w:b/>
        </w:rPr>
        <w:t>1</w:t>
      </w:r>
      <w:r w:rsidR="000C2A54" w:rsidRPr="00F97E5F">
        <w:rPr>
          <w:b/>
        </w:rPr>
        <w:tab/>
        <w:t>Value Added Tax</w:t>
      </w:r>
    </w:p>
    <w:p w14:paraId="308D9812" w14:textId="77777777" w:rsidR="000C2A54" w:rsidRPr="00BE16D9" w:rsidRDefault="000C2A54" w:rsidP="000C2A54">
      <w:pPr>
        <w:widowControl w:val="0"/>
        <w:tabs>
          <w:tab w:val="left" w:pos="567"/>
        </w:tabs>
        <w:autoSpaceDE w:val="0"/>
        <w:autoSpaceDN w:val="0"/>
        <w:adjustRightInd w:val="0"/>
        <w:rPr>
          <w:sz w:val="22"/>
          <w:szCs w:val="22"/>
        </w:rPr>
      </w:pPr>
    </w:p>
    <w:p w14:paraId="430FABD7" w14:textId="77777777" w:rsidR="000C2A54" w:rsidRDefault="000C2A54" w:rsidP="000C2A54">
      <w:pPr>
        <w:widowControl w:val="0"/>
        <w:tabs>
          <w:tab w:val="left" w:pos="567"/>
        </w:tabs>
        <w:autoSpaceDE w:val="0"/>
        <w:autoSpaceDN w:val="0"/>
        <w:adjustRightInd w:val="0"/>
        <w:ind w:left="1418"/>
      </w:pPr>
      <w:r w:rsidRPr="00F97E5F">
        <w:t xml:space="preserve">The Commission is ineligible to reclaim input VAT on expenditure.  Therefore, all </w:t>
      </w:r>
      <w:r w:rsidR="00660AE7">
        <w:t>irrecoverable VAT is included in expenditure or included in the capitalised purchase cost of non-current assets</w:t>
      </w:r>
      <w:r w:rsidRPr="00F97E5F">
        <w:t>.</w:t>
      </w:r>
    </w:p>
    <w:p w14:paraId="73F026AD" w14:textId="77777777" w:rsidR="009402EF" w:rsidRDefault="009402EF" w:rsidP="000C2A54">
      <w:pPr>
        <w:widowControl w:val="0"/>
        <w:tabs>
          <w:tab w:val="left" w:pos="567"/>
        </w:tabs>
        <w:autoSpaceDE w:val="0"/>
        <w:autoSpaceDN w:val="0"/>
        <w:adjustRightInd w:val="0"/>
        <w:ind w:left="1418"/>
      </w:pPr>
    </w:p>
    <w:p w14:paraId="36C4735A" w14:textId="42259504" w:rsidR="009402EF" w:rsidRPr="00F97E5F" w:rsidRDefault="009402EF" w:rsidP="000C2A54">
      <w:pPr>
        <w:widowControl w:val="0"/>
        <w:tabs>
          <w:tab w:val="left" w:pos="567"/>
        </w:tabs>
        <w:autoSpaceDE w:val="0"/>
        <w:autoSpaceDN w:val="0"/>
        <w:adjustRightInd w:val="0"/>
        <w:ind w:left="1418"/>
      </w:pPr>
      <w:r>
        <w:t>Irrecoverable VAT payable on lease payments is excluded from the initial measurement of right-of-use assets and lease liability; rather, it is treated as an expense at the tax point in accordance with IFRIC 21 Levies.</w:t>
      </w:r>
    </w:p>
    <w:p w14:paraId="43D8EA2A" w14:textId="77777777" w:rsidR="00555648" w:rsidRPr="00F97E5F" w:rsidRDefault="00555648" w:rsidP="000C2A54">
      <w:pPr>
        <w:rPr>
          <w:b/>
        </w:rPr>
      </w:pPr>
    </w:p>
    <w:p w14:paraId="777BE2E0" w14:textId="09BEA164" w:rsidR="000C2A54" w:rsidRPr="00F97E5F" w:rsidRDefault="000C2A54" w:rsidP="000C2A54">
      <w:pPr>
        <w:tabs>
          <w:tab w:val="left" w:pos="567"/>
        </w:tabs>
        <w:rPr>
          <w:b/>
        </w:rPr>
      </w:pPr>
      <w:r w:rsidRPr="00F97E5F">
        <w:rPr>
          <w:b/>
        </w:rPr>
        <w:tab/>
      </w:r>
      <w:r w:rsidR="00B07E4A">
        <w:rPr>
          <w:b/>
        </w:rPr>
        <w:t>1.1</w:t>
      </w:r>
      <w:r w:rsidR="00A9071A">
        <w:rPr>
          <w:b/>
        </w:rPr>
        <w:t>2</w:t>
      </w:r>
      <w:r w:rsidRPr="00F97E5F">
        <w:rPr>
          <w:b/>
        </w:rPr>
        <w:tab/>
        <w:t>Legal casework expenditure</w:t>
      </w:r>
    </w:p>
    <w:p w14:paraId="66BBAF06" w14:textId="77777777" w:rsidR="000C2A54" w:rsidRPr="00F97E5F" w:rsidRDefault="000C2A54" w:rsidP="000C2A54">
      <w:pPr>
        <w:widowControl w:val="0"/>
        <w:tabs>
          <w:tab w:val="left" w:pos="567"/>
        </w:tabs>
        <w:autoSpaceDE w:val="0"/>
        <w:autoSpaceDN w:val="0"/>
        <w:adjustRightInd w:val="0"/>
        <w:ind w:left="567"/>
      </w:pPr>
    </w:p>
    <w:p w14:paraId="49365890" w14:textId="77777777" w:rsidR="000C2A54" w:rsidRPr="00F97E5F" w:rsidRDefault="000C2A54" w:rsidP="000C2A54">
      <w:pPr>
        <w:widowControl w:val="0"/>
        <w:tabs>
          <w:tab w:val="left" w:pos="567"/>
        </w:tabs>
        <w:autoSpaceDE w:val="0"/>
        <w:autoSpaceDN w:val="0"/>
        <w:adjustRightInd w:val="0"/>
        <w:ind w:left="1418"/>
      </w:pPr>
      <w:r w:rsidRPr="00F97E5F">
        <w:t xml:space="preserve">Section 70 of the Northern Ireland Act 1998 enables the Commission to support legal cases in relation to the protection of human rights.  Some of these cases can span several years.  </w:t>
      </w:r>
    </w:p>
    <w:p w14:paraId="44F06EEB" w14:textId="77777777" w:rsidR="000C2A54" w:rsidRPr="00F97E5F" w:rsidRDefault="000C2A54" w:rsidP="000C2A54">
      <w:pPr>
        <w:widowControl w:val="0"/>
        <w:tabs>
          <w:tab w:val="left" w:pos="720"/>
        </w:tabs>
        <w:autoSpaceDE w:val="0"/>
        <w:autoSpaceDN w:val="0"/>
        <w:adjustRightInd w:val="0"/>
      </w:pPr>
    </w:p>
    <w:p w14:paraId="5246F1B4" w14:textId="53260FEC" w:rsidR="000C2A54" w:rsidRDefault="000C2A54" w:rsidP="00226730">
      <w:pPr>
        <w:widowControl w:val="0"/>
        <w:tabs>
          <w:tab w:val="left" w:pos="720"/>
        </w:tabs>
        <w:autoSpaceDE w:val="0"/>
        <w:autoSpaceDN w:val="0"/>
        <w:adjustRightInd w:val="0"/>
        <w:ind w:left="1418"/>
      </w:pPr>
      <w:r w:rsidRPr="00F97E5F">
        <w:t xml:space="preserve">In some cases, costs are recoverable from the respondent if </w:t>
      </w:r>
      <w:r w:rsidRPr="00F97E5F">
        <w:lastRenderedPageBreak/>
        <w:t>the applicant is successful.  Given this, while the Commission decides to support cases, contingent on the outcome, payments are not normally made until judgment is passed, and the judge decides on a cost order (i</w:t>
      </w:r>
      <w:r w:rsidR="00782F24">
        <w:t>.</w:t>
      </w:r>
      <w:r w:rsidRPr="00F97E5F">
        <w:t>e</w:t>
      </w:r>
      <w:r w:rsidR="00782F24">
        <w:t>.</w:t>
      </w:r>
      <w:r w:rsidRPr="00F97E5F">
        <w:t xml:space="preserve"> whether the ‘losing’ side should pay all costs or each side should bear their own costs).  Given that a criterion for Commission support is whether a case has a ‘reasonable chance of success’, it does not expect to incur costs in many cases.  However, cases can be lost.  In these cases, it is possible that the applicant could be asked to pay the respondent's costs.  Where this happens, the Commission may pay these costs on behalf of the applicant.  Any such potential liabilities are noted in the financial statements as contingent liabilities or provisions.</w:t>
      </w:r>
    </w:p>
    <w:p w14:paraId="35EB24E7" w14:textId="77777777" w:rsidR="00226730" w:rsidRPr="00F97E5F" w:rsidRDefault="00226730" w:rsidP="00226730">
      <w:pPr>
        <w:widowControl w:val="0"/>
        <w:tabs>
          <w:tab w:val="left" w:pos="720"/>
        </w:tabs>
        <w:autoSpaceDE w:val="0"/>
        <w:autoSpaceDN w:val="0"/>
        <w:adjustRightInd w:val="0"/>
        <w:ind w:left="1418"/>
      </w:pPr>
    </w:p>
    <w:p w14:paraId="06B35A17" w14:textId="120E5466" w:rsidR="000C2A54" w:rsidRPr="00F97E5F" w:rsidRDefault="00B07E4A" w:rsidP="000C2A54">
      <w:pPr>
        <w:widowControl w:val="0"/>
        <w:autoSpaceDE w:val="0"/>
        <w:autoSpaceDN w:val="0"/>
        <w:adjustRightInd w:val="0"/>
        <w:ind w:left="1418" w:hanging="851"/>
        <w:rPr>
          <w:b/>
        </w:rPr>
      </w:pPr>
      <w:r>
        <w:rPr>
          <w:b/>
        </w:rPr>
        <w:t>1.1</w:t>
      </w:r>
      <w:r w:rsidR="00A9071A">
        <w:rPr>
          <w:b/>
        </w:rPr>
        <w:t>3</w:t>
      </w:r>
      <w:r w:rsidR="000C2A54" w:rsidRPr="00F97E5F">
        <w:rPr>
          <w:b/>
        </w:rPr>
        <w:tab/>
        <w:t>Staff costs</w:t>
      </w:r>
    </w:p>
    <w:p w14:paraId="2993D3B6" w14:textId="77777777" w:rsidR="000C2A54" w:rsidRPr="00F97E5F" w:rsidRDefault="000C2A54" w:rsidP="000C2A54">
      <w:pPr>
        <w:widowControl w:val="0"/>
        <w:tabs>
          <w:tab w:val="left" w:pos="567"/>
        </w:tabs>
        <w:autoSpaceDE w:val="0"/>
        <w:autoSpaceDN w:val="0"/>
        <w:adjustRightInd w:val="0"/>
        <w:ind w:left="540"/>
      </w:pPr>
    </w:p>
    <w:p w14:paraId="272DBF2A" w14:textId="62CC26AA" w:rsidR="000C2A54" w:rsidRDefault="000C2A54" w:rsidP="000C2A54">
      <w:pPr>
        <w:widowControl w:val="0"/>
        <w:autoSpaceDE w:val="0"/>
        <w:autoSpaceDN w:val="0"/>
        <w:adjustRightInd w:val="0"/>
        <w:ind w:left="1418"/>
      </w:pPr>
      <w:r w:rsidRPr="00F97E5F">
        <w:t>Under IAS19 Employee Benefits legislation, all staff costs must be recorded as an expense as soon as the Commission is obligated to pay them.  This includes the cost of any untaken leave as at the year–</w:t>
      </w:r>
      <w:r w:rsidR="00176472" w:rsidRPr="00F97E5F">
        <w:t>end</w:t>
      </w:r>
      <w:r w:rsidR="00176472">
        <w:t>, which</w:t>
      </w:r>
      <w:r>
        <w:t xml:space="preserve"> is estimated at £</w:t>
      </w:r>
      <w:r w:rsidR="00A07B41">
        <w:t>62</w:t>
      </w:r>
      <w:r w:rsidR="00917CB7">
        <w:t>,</w:t>
      </w:r>
      <w:r w:rsidR="00A07B41">
        <w:t>894</w:t>
      </w:r>
      <w:r>
        <w:t xml:space="preserve"> (</w:t>
      </w:r>
      <w:r w:rsidR="004E6BF5">
        <w:t>20</w:t>
      </w:r>
      <w:r w:rsidR="008D53CC">
        <w:t>2</w:t>
      </w:r>
      <w:r w:rsidR="00A07B41">
        <w:t>3</w:t>
      </w:r>
      <w:r w:rsidR="008D53CC">
        <w:t>-2</w:t>
      </w:r>
      <w:r w:rsidR="00A07B41">
        <w:t>4</w:t>
      </w:r>
      <w:r>
        <w:t>: £</w:t>
      </w:r>
      <w:r w:rsidR="00A07B41">
        <w:t>35</w:t>
      </w:r>
      <w:r w:rsidR="008D53CC">
        <w:t>,</w:t>
      </w:r>
      <w:r w:rsidR="00A07B41">
        <w:t>456</w:t>
      </w:r>
      <w:r>
        <w:t>).</w:t>
      </w:r>
      <w:r w:rsidRPr="00F97E5F">
        <w:t xml:space="preserve"> </w:t>
      </w:r>
    </w:p>
    <w:p w14:paraId="210B8421" w14:textId="77777777" w:rsidR="005059F8" w:rsidRDefault="005059F8" w:rsidP="005059F8">
      <w:pPr>
        <w:widowControl w:val="0"/>
        <w:autoSpaceDE w:val="0"/>
        <w:autoSpaceDN w:val="0"/>
        <w:adjustRightInd w:val="0"/>
      </w:pPr>
    </w:p>
    <w:p w14:paraId="51D89F9B" w14:textId="0C16CF21" w:rsidR="005059F8" w:rsidRPr="00EF4A28" w:rsidRDefault="005059F8" w:rsidP="005059F8">
      <w:pPr>
        <w:widowControl w:val="0"/>
        <w:tabs>
          <w:tab w:val="left" w:pos="567"/>
        </w:tabs>
        <w:autoSpaceDE w:val="0"/>
        <w:autoSpaceDN w:val="0"/>
        <w:adjustRightInd w:val="0"/>
      </w:pPr>
      <w:r>
        <w:tab/>
      </w:r>
      <w:r w:rsidR="00B07E4A" w:rsidRPr="00EF4A28">
        <w:rPr>
          <w:b/>
        </w:rPr>
        <w:t>1.1</w:t>
      </w:r>
      <w:r w:rsidR="00A9071A" w:rsidRPr="00EF4A28">
        <w:rPr>
          <w:b/>
        </w:rPr>
        <w:t>4</w:t>
      </w:r>
      <w:r w:rsidRPr="00EF4A28">
        <w:rPr>
          <w:b/>
        </w:rPr>
        <w:tab/>
        <w:t>Going concern</w:t>
      </w:r>
    </w:p>
    <w:p w14:paraId="7E6FF14B" w14:textId="77777777" w:rsidR="005059F8" w:rsidRPr="00DC4563" w:rsidRDefault="005059F8" w:rsidP="005059F8">
      <w:pPr>
        <w:widowControl w:val="0"/>
        <w:tabs>
          <w:tab w:val="left" w:pos="567"/>
        </w:tabs>
        <w:autoSpaceDE w:val="0"/>
        <w:autoSpaceDN w:val="0"/>
        <w:adjustRightInd w:val="0"/>
        <w:rPr>
          <w:highlight w:val="yellow"/>
        </w:rPr>
      </w:pPr>
    </w:p>
    <w:p w14:paraId="2A18D73F" w14:textId="77777777" w:rsidR="00EF4A28" w:rsidRPr="00DF7F39" w:rsidRDefault="00EF4A28" w:rsidP="00EF4A28">
      <w:pPr>
        <w:widowControl w:val="0"/>
        <w:autoSpaceDE w:val="0"/>
        <w:autoSpaceDN w:val="0"/>
        <w:adjustRightInd w:val="0"/>
        <w:ind w:left="1440"/>
        <w:rPr>
          <w:rFonts w:cs="Calibri"/>
          <w:lang w:eastAsia="en-GB"/>
        </w:rPr>
      </w:pPr>
      <w:r w:rsidRPr="00DF7F39">
        <w:rPr>
          <w:rFonts w:cs="Calibri"/>
          <w:lang w:eastAsia="en-GB"/>
        </w:rPr>
        <w:t>The Commission’s sponsoring body is the Northern Ireland Office as laid out in the Northern Ireland Act 1998. The Commission’s core budget for 2025-26 has been approved by the Northern Ireland Office</w:t>
      </w:r>
      <w:r>
        <w:rPr>
          <w:rFonts w:cs="Calibri"/>
          <w:lang w:eastAsia="en-GB"/>
        </w:rPr>
        <w:t xml:space="preserve">. </w:t>
      </w:r>
      <w:r w:rsidRPr="00DF7F39">
        <w:rPr>
          <w:rFonts w:cs="Calibri"/>
          <w:lang w:eastAsia="en-GB"/>
        </w:rPr>
        <w:t xml:space="preserve"> </w:t>
      </w:r>
      <w:r>
        <w:rPr>
          <w:rFonts w:cs="Calibri"/>
          <w:lang w:eastAsia="en-GB"/>
        </w:rPr>
        <w:t>T</w:t>
      </w:r>
      <w:r w:rsidRPr="00DF7F39">
        <w:rPr>
          <w:rFonts w:cs="Calibri"/>
          <w:lang w:eastAsia="en-GB"/>
        </w:rPr>
        <w:t xml:space="preserve">he 2025-26 budget reflects the 2025 Spending Review phase 1 settlement, and the Commission has also received a further three-year financial settlement as part of the UK Government Spending Review phase 2 covering the period 2026-29. </w:t>
      </w:r>
    </w:p>
    <w:p w14:paraId="160659F7" w14:textId="77777777" w:rsidR="00EF4A28" w:rsidRDefault="00EF4A28" w:rsidP="00EF4A28">
      <w:pPr>
        <w:widowControl w:val="0"/>
        <w:autoSpaceDE w:val="0"/>
        <w:autoSpaceDN w:val="0"/>
        <w:adjustRightInd w:val="0"/>
        <w:rPr>
          <w:rFonts w:cs="Calibri"/>
          <w:highlight w:val="yellow"/>
          <w:lang w:eastAsia="en-GB"/>
        </w:rPr>
      </w:pPr>
    </w:p>
    <w:p w14:paraId="0CB6168D" w14:textId="77777777" w:rsidR="00EF4A28" w:rsidRPr="00913F3B" w:rsidRDefault="00EF4A28" w:rsidP="00EF4A28">
      <w:pPr>
        <w:widowControl w:val="0"/>
        <w:autoSpaceDE w:val="0"/>
        <w:autoSpaceDN w:val="0"/>
        <w:adjustRightInd w:val="0"/>
        <w:ind w:left="1440"/>
        <w:rPr>
          <w:rFonts w:cs="Calibri"/>
          <w:lang w:eastAsia="en-GB"/>
        </w:rPr>
      </w:pPr>
      <w:r w:rsidRPr="00913F3B">
        <w:rPr>
          <w:rFonts w:cs="Calibri"/>
          <w:lang w:eastAsia="en-GB"/>
        </w:rPr>
        <w:t xml:space="preserve">The Commission also receives additional funding for the Dedicated Mechanism, which arise from a statutory requirement under the EU Withdrawal Agreement Act.  This role will continue in the future and beyond the financial year 2025-26.  The Northern Ireland Office has confirmed the budget for </w:t>
      </w:r>
      <w:r>
        <w:rPr>
          <w:rFonts w:cs="Calibri"/>
          <w:lang w:eastAsia="en-GB"/>
        </w:rPr>
        <w:t>the next four years until 31 March 2029.</w:t>
      </w:r>
    </w:p>
    <w:p w14:paraId="408BCD14" w14:textId="77777777" w:rsidR="00EF4A28" w:rsidRDefault="00EF4A28" w:rsidP="00EF4A28">
      <w:pPr>
        <w:widowControl w:val="0"/>
        <w:autoSpaceDE w:val="0"/>
        <w:autoSpaceDN w:val="0"/>
        <w:adjustRightInd w:val="0"/>
        <w:rPr>
          <w:rFonts w:cs="Calibri"/>
          <w:highlight w:val="yellow"/>
          <w:lang w:eastAsia="en-GB"/>
        </w:rPr>
      </w:pPr>
    </w:p>
    <w:p w14:paraId="4E475866" w14:textId="77777777" w:rsidR="00EF4A28" w:rsidRPr="00F0705B" w:rsidRDefault="00EF4A28" w:rsidP="00EF4A28">
      <w:pPr>
        <w:widowControl w:val="0"/>
        <w:autoSpaceDE w:val="0"/>
        <w:autoSpaceDN w:val="0"/>
        <w:adjustRightInd w:val="0"/>
        <w:ind w:left="1440"/>
        <w:rPr>
          <w:rFonts w:cs="Calibri"/>
          <w:lang w:eastAsia="en-GB"/>
        </w:rPr>
      </w:pPr>
      <w:r w:rsidRPr="00F0705B">
        <w:rPr>
          <w:rFonts w:cs="Calibri"/>
          <w:lang w:eastAsia="en-GB"/>
        </w:rPr>
        <w:t xml:space="preserve">As a result of this Spending Review settlement the Accounting Officer has </w:t>
      </w:r>
      <w:r>
        <w:rPr>
          <w:rFonts w:cs="Calibri"/>
          <w:lang w:eastAsia="en-GB"/>
        </w:rPr>
        <w:t xml:space="preserve">a </w:t>
      </w:r>
      <w:r w:rsidRPr="00F0705B">
        <w:rPr>
          <w:rFonts w:cs="Calibri"/>
          <w:lang w:eastAsia="en-GB"/>
        </w:rPr>
        <w:t>reasonable expectation that the Commission can continue for a period of 12 months from the date of approval of the annual report an</w:t>
      </w:r>
      <w:r>
        <w:rPr>
          <w:rFonts w:cs="Calibri"/>
          <w:lang w:eastAsia="en-GB"/>
        </w:rPr>
        <w:t>d</w:t>
      </w:r>
      <w:r w:rsidRPr="00F0705B">
        <w:rPr>
          <w:rFonts w:cs="Calibri"/>
          <w:lang w:eastAsia="en-GB"/>
        </w:rPr>
        <w:t xml:space="preserve"> accounts, and has accordingly considered</w:t>
      </w:r>
      <w:r>
        <w:rPr>
          <w:rFonts w:cs="Calibri"/>
          <w:lang w:eastAsia="en-GB"/>
        </w:rPr>
        <w:t xml:space="preserve"> it</w:t>
      </w:r>
      <w:r w:rsidRPr="00F0705B">
        <w:rPr>
          <w:rFonts w:cs="Calibri"/>
          <w:lang w:eastAsia="en-GB"/>
        </w:rPr>
        <w:t xml:space="preserve"> </w:t>
      </w:r>
      <w:r>
        <w:rPr>
          <w:rFonts w:cs="Calibri"/>
          <w:lang w:eastAsia="en-GB"/>
        </w:rPr>
        <w:t xml:space="preserve">appropriate </w:t>
      </w:r>
      <w:r w:rsidRPr="00F0705B">
        <w:rPr>
          <w:rFonts w:cs="Calibri"/>
          <w:lang w:eastAsia="en-GB"/>
        </w:rPr>
        <w:t>to adopt a going concern basis for the preparation of the 2024-25 financial statements.</w:t>
      </w:r>
    </w:p>
    <w:p w14:paraId="49D055FA" w14:textId="05355625" w:rsidR="003061F1" w:rsidRDefault="003061F1" w:rsidP="001D0663">
      <w:pPr>
        <w:ind w:left="1440" w:hanging="1440"/>
        <w:rPr>
          <w:sz w:val="22"/>
          <w:szCs w:val="22"/>
        </w:rPr>
      </w:pPr>
    </w:p>
    <w:p w14:paraId="2CE237FE" w14:textId="77777777" w:rsidR="00C51466" w:rsidRPr="00BE16D9" w:rsidRDefault="00C51466" w:rsidP="001D0663">
      <w:pPr>
        <w:ind w:left="1440" w:hanging="1440"/>
        <w:rPr>
          <w:sz w:val="22"/>
          <w:szCs w:val="22"/>
        </w:rPr>
      </w:pPr>
    </w:p>
    <w:p w14:paraId="587F4464" w14:textId="77777777" w:rsidR="000C2A54" w:rsidRPr="00F97E5F" w:rsidRDefault="000C2A54" w:rsidP="000C2A54">
      <w:pPr>
        <w:widowControl w:val="0"/>
        <w:tabs>
          <w:tab w:val="left" w:pos="567"/>
        </w:tabs>
        <w:autoSpaceDE w:val="0"/>
        <w:autoSpaceDN w:val="0"/>
        <w:adjustRightInd w:val="0"/>
        <w:rPr>
          <w:b/>
        </w:rPr>
      </w:pPr>
      <w:r w:rsidRPr="00BE16D9">
        <w:rPr>
          <w:b/>
          <w:sz w:val="22"/>
          <w:szCs w:val="22"/>
        </w:rPr>
        <w:lastRenderedPageBreak/>
        <w:t>2.</w:t>
      </w:r>
      <w:r w:rsidRPr="00BE16D9">
        <w:rPr>
          <w:b/>
          <w:sz w:val="22"/>
          <w:szCs w:val="22"/>
        </w:rPr>
        <w:tab/>
      </w:r>
      <w:r w:rsidRPr="00F97E5F">
        <w:rPr>
          <w:b/>
        </w:rPr>
        <w:t>Analysis of net expenditure by segment</w:t>
      </w:r>
    </w:p>
    <w:p w14:paraId="256F91BD" w14:textId="77777777" w:rsidR="000C2A54" w:rsidRPr="00F97E5F" w:rsidRDefault="000C2A54" w:rsidP="000C2A54">
      <w:pPr>
        <w:widowControl w:val="0"/>
        <w:tabs>
          <w:tab w:val="left" w:pos="567"/>
          <w:tab w:val="right" w:pos="4140"/>
          <w:tab w:val="right" w:pos="6480"/>
          <w:tab w:val="right" w:pos="8820"/>
        </w:tabs>
        <w:autoSpaceDE w:val="0"/>
        <w:autoSpaceDN w:val="0"/>
        <w:adjustRightInd w:val="0"/>
        <w:rPr>
          <w:b/>
        </w:rPr>
      </w:pPr>
    </w:p>
    <w:p w14:paraId="67D92AEB" w14:textId="524C61D0" w:rsidR="00F61A65" w:rsidRDefault="000C2A54" w:rsidP="00250101">
      <w:pPr>
        <w:ind w:left="567"/>
        <w:rPr>
          <w:rFonts w:cs="Arial"/>
          <w:color w:val="auto"/>
          <w:lang w:val="en-US" w:eastAsia="en-GB"/>
        </w:rPr>
      </w:pPr>
      <w:r w:rsidRPr="00F97E5F">
        <w:rPr>
          <w:rFonts w:cs="Arial"/>
          <w:color w:val="auto"/>
          <w:lang w:val="en-US" w:eastAsia="en-GB"/>
        </w:rPr>
        <w:t>In line with the provisions of IFRS 8, Operating Segments, the Commission does not</w:t>
      </w:r>
      <w:r w:rsidR="00A808A9">
        <w:rPr>
          <w:rFonts w:cs="Arial"/>
          <w:color w:val="auto"/>
          <w:lang w:val="en-US" w:eastAsia="en-GB"/>
        </w:rPr>
        <w:t xml:space="preserve"> normally</w:t>
      </w:r>
      <w:r w:rsidRPr="00F97E5F">
        <w:rPr>
          <w:rFonts w:cs="Arial"/>
          <w:color w:val="auto"/>
          <w:lang w:val="en-US" w:eastAsia="en-GB"/>
        </w:rPr>
        <w:t xml:space="preserve"> analyse its net expenditure by operating segment</w:t>
      </w:r>
      <w:r>
        <w:rPr>
          <w:rFonts w:cs="Arial"/>
          <w:color w:val="auto"/>
          <w:lang w:val="en-US" w:eastAsia="en-GB"/>
        </w:rPr>
        <w:t>s</w:t>
      </w:r>
      <w:r w:rsidR="00FF1FA8">
        <w:rPr>
          <w:rFonts w:cs="Arial"/>
          <w:color w:val="auto"/>
          <w:lang w:val="en-US" w:eastAsia="en-GB"/>
        </w:rPr>
        <w:t xml:space="preserve">. </w:t>
      </w:r>
      <w:r w:rsidR="00A808A9">
        <w:rPr>
          <w:rFonts w:cs="Arial"/>
          <w:color w:val="auto"/>
          <w:lang w:val="en-US" w:eastAsia="en-GB"/>
        </w:rPr>
        <w:t xml:space="preserve">However, as the Commission received </w:t>
      </w:r>
      <w:r w:rsidR="00D619EC">
        <w:rPr>
          <w:rFonts w:cs="Arial"/>
          <w:color w:val="auto"/>
          <w:lang w:val="en-US" w:eastAsia="en-GB"/>
        </w:rPr>
        <w:t>ring-fenced</w:t>
      </w:r>
      <w:r w:rsidR="00A808A9">
        <w:rPr>
          <w:rFonts w:cs="Arial"/>
          <w:color w:val="auto"/>
          <w:lang w:val="en-US" w:eastAsia="en-GB"/>
        </w:rPr>
        <w:t xml:space="preserve"> funding for the dedicated </w:t>
      </w:r>
      <w:r w:rsidR="00B152E4">
        <w:rPr>
          <w:rFonts w:cs="Arial"/>
          <w:color w:val="auto"/>
          <w:lang w:val="en-US" w:eastAsia="en-GB"/>
        </w:rPr>
        <w:t>mechanism,</w:t>
      </w:r>
      <w:r w:rsidR="00A808A9">
        <w:rPr>
          <w:rFonts w:cs="Arial"/>
          <w:color w:val="auto"/>
          <w:lang w:val="en-US" w:eastAsia="en-GB"/>
        </w:rPr>
        <w:t xml:space="preserve"> we have disclosed this expenditure as a footnote throughout the annual report and accounts</w:t>
      </w:r>
      <w:r w:rsidR="00FF1FA8">
        <w:rPr>
          <w:rFonts w:cs="Arial"/>
          <w:color w:val="auto"/>
          <w:lang w:val="en-US" w:eastAsia="en-GB"/>
        </w:rPr>
        <w:t xml:space="preserve">. </w:t>
      </w:r>
    </w:p>
    <w:p w14:paraId="564148C2" w14:textId="77777777" w:rsidR="00043F72" w:rsidRDefault="00043F72" w:rsidP="000C2A54">
      <w:pPr>
        <w:ind w:left="567"/>
        <w:rPr>
          <w:rFonts w:cs="Arial"/>
          <w:color w:val="auto"/>
          <w:lang w:val="en-US" w:eastAsia="en-GB"/>
        </w:rPr>
      </w:pPr>
    </w:p>
    <w:p w14:paraId="53A8EF5E" w14:textId="77777777" w:rsidR="000C2A54" w:rsidRPr="00F97E5F" w:rsidRDefault="000C2A54" w:rsidP="000C2A54">
      <w:pPr>
        <w:ind w:left="567" w:hanging="567"/>
        <w:rPr>
          <w:b/>
        </w:rPr>
      </w:pPr>
      <w:r w:rsidRPr="3285EAFF">
        <w:rPr>
          <w:b/>
          <w:bCs/>
        </w:rPr>
        <w:t>3.</w:t>
      </w:r>
      <w:r w:rsidRPr="00F97E5F">
        <w:rPr>
          <w:b/>
        </w:rPr>
        <w:tab/>
      </w:r>
      <w:r w:rsidRPr="3285EAFF">
        <w:rPr>
          <w:b/>
          <w:bCs/>
        </w:rPr>
        <w:t>Staff costs</w:t>
      </w:r>
      <w:r w:rsidR="001D3F77" w:rsidRPr="3285EAFF">
        <w:rPr>
          <w:rStyle w:val="FootnoteReference"/>
          <w:b/>
          <w:bCs/>
        </w:rPr>
        <w:footnoteReference w:id="15"/>
      </w:r>
    </w:p>
    <w:p w14:paraId="12F3BE58" w14:textId="77777777" w:rsidR="000C2A54" w:rsidRPr="00832258" w:rsidRDefault="000C2A54" w:rsidP="000C2A54"/>
    <w:tbl>
      <w:tblPr>
        <w:tblW w:w="10655" w:type="dxa"/>
        <w:jc w:val="center"/>
        <w:tblLayout w:type="fixed"/>
        <w:tblLook w:val="01E0" w:firstRow="1" w:lastRow="1" w:firstColumn="1" w:lastColumn="1" w:noHBand="0" w:noVBand="0"/>
      </w:tblPr>
      <w:tblGrid>
        <w:gridCol w:w="2461"/>
        <w:gridCol w:w="1534"/>
        <w:gridCol w:w="1980"/>
        <w:gridCol w:w="1800"/>
        <w:gridCol w:w="1440"/>
        <w:gridCol w:w="1440"/>
      </w:tblGrid>
      <w:tr w:rsidR="00DC4563" w:rsidRPr="00730E98" w14:paraId="00DB462D" w14:textId="77777777" w:rsidTr="000C2A54">
        <w:trPr>
          <w:jc w:val="center"/>
        </w:trPr>
        <w:tc>
          <w:tcPr>
            <w:tcW w:w="2461" w:type="dxa"/>
          </w:tcPr>
          <w:p w14:paraId="2BD9FD9A" w14:textId="77777777" w:rsidR="00DC4563" w:rsidRPr="00730E98" w:rsidRDefault="00DC4563" w:rsidP="00DC4563">
            <w:pPr>
              <w:jc w:val="right"/>
              <w:rPr>
                <w:sz w:val="20"/>
                <w:szCs w:val="20"/>
              </w:rPr>
            </w:pPr>
          </w:p>
        </w:tc>
        <w:tc>
          <w:tcPr>
            <w:tcW w:w="1534" w:type="dxa"/>
          </w:tcPr>
          <w:p w14:paraId="243D57C4" w14:textId="77777777" w:rsidR="00DC4563" w:rsidRPr="00A95808" w:rsidRDefault="00DC4563" w:rsidP="00DC4563">
            <w:pPr>
              <w:jc w:val="right"/>
              <w:rPr>
                <w:b/>
                <w:bCs/>
                <w:sz w:val="20"/>
                <w:szCs w:val="20"/>
              </w:rPr>
            </w:pPr>
            <w:r>
              <w:rPr>
                <w:b/>
                <w:bCs/>
                <w:sz w:val="20"/>
                <w:szCs w:val="20"/>
              </w:rPr>
              <w:t>20</w:t>
            </w:r>
            <w:r w:rsidRPr="3285EAFF">
              <w:rPr>
                <w:b/>
                <w:bCs/>
                <w:sz w:val="20"/>
                <w:szCs w:val="20"/>
              </w:rPr>
              <w:t>2</w:t>
            </w:r>
            <w:r>
              <w:rPr>
                <w:b/>
                <w:bCs/>
                <w:sz w:val="20"/>
                <w:szCs w:val="20"/>
              </w:rPr>
              <w:t>4-25</w:t>
            </w:r>
          </w:p>
          <w:p w14:paraId="6B5145F8" w14:textId="605CAF2D" w:rsidR="00DC4563" w:rsidRPr="00730E98" w:rsidRDefault="00DC4563" w:rsidP="00DC4563">
            <w:pPr>
              <w:jc w:val="right"/>
              <w:rPr>
                <w:b/>
                <w:sz w:val="20"/>
                <w:szCs w:val="20"/>
              </w:rPr>
            </w:pPr>
            <w:r w:rsidRPr="00A95808">
              <w:rPr>
                <w:b/>
                <w:sz w:val="20"/>
                <w:szCs w:val="20"/>
              </w:rPr>
              <w:t>Total</w:t>
            </w:r>
          </w:p>
        </w:tc>
        <w:tc>
          <w:tcPr>
            <w:tcW w:w="1980" w:type="dxa"/>
          </w:tcPr>
          <w:p w14:paraId="27F6215F" w14:textId="0324A64F" w:rsidR="00DC4563" w:rsidRPr="00730E98" w:rsidRDefault="00DC4563" w:rsidP="00DC4563">
            <w:pPr>
              <w:jc w:val="right"/>
              <w:rPr>
                <w:b/>
                <w:sz w:val="20"/>
                <w:szCs w:val="20"/>
              </w:rPr>
            </w:pPr>
            <w:r w:rsidRPr="00A95808">
              <w:rPr>
                <w:b/>
                <w:sz w:val="20"/>
                <w:szCs w:val="20"/>
              </w:rPr>
              <w:t>Commissioners</w:t>
            </w:r>
          </w:p>
        </w:tc>
        <w:tc>
          <w:tcPr>
            <w:tcW w:w="1800" w:type="dxa"/>
          </w:tcPr>
          <w:p w14:paraId="300CD40E" w14:textId="77777777" w:rsidR="00DC4563" w:rsidRPr="00A95808" w:rsidRDefault="00DC4563" w:rsidP="00DC4563">
            <w:pPr>
              <w:jc w:val="right"/>
              <w:rPr>
                <w:b/>
                <w:sz w:val="20"/>
                <w:szCs w:val="20"/>
              </w:rPr>
            </w:pPr>
            <w:r w:rsidRPr="00A95808">
              <w:rPr>
                <w:b/>
                <w:sz w:val="20"/>
                <w:szCs w:val="20"/>
              </w:rPr>
              <w:t>Permanently</w:t>
            </w:r>
          </w:p>
          <w:p w14:paraId="772FEF22" w14:textId="77777777" w:rsidR="00DC4563" w:rsidRPr="00A95808" w:rsidRDefault="00DC4563" w:rsidP="00DC4563">
            <w:pPr>
              <w:jc w:val="right"/>
              <w:rPr>
                <w:b/>
                <w:sz w:val="20"/>
                <w:szCs w:val="20"/>
              </w:rPr>
            </w:pPr>
            <w:r w:rsidRPr="00A95808">
              <w:rPr>
                <w:b/>
                <w:sz w:val="20"/>
                <w:szCs w:val="20"/>
              </w:rPr>
              <w:t xml:space="preserve">Employed </w:t>
            </w:r>
          </w:p>
          <w:p w14:paraId="6515C7D1" w14:textId="77777777" w:rsidR="00DC4563" w:rsidRPr="00730E98" w:rsidRDefault="00DC4563" w:rsidP="00DC4563">
            <w:pPr>
              <w:jc w:val="right"/>
              <w:rPr>
                <w:b/>
                <w:sz w:val="20"/>
                <w:szCs w:val="20"/>
              </w:rPr>
            </w:pPr>
          </w:p>
        </w:tc>
        <w:tc>
          <w:tcPr>
            <w:tcW w:w="1440" w:type="dxa"/>
          </w:tcPr>
          <w:p w14:paraId="04F5D83A" w14:textId="77777777" w:rsidR="00DC4563" w:rsidRPr="00A95808" w:rsidRDefault="00DC4563" w:rsidP="00DC4563">
            <w:pPr>
              <w:jc w:val="right"/>
              <w:rPr>
                <w:b/>
                <w:sz w:val="20"/>
                <w:szCs w:val="20"/>
              </w:rPr>
            </w:pPr>
            <w:r w:rsidRPr="00A95808">
              <w:rPr>
                <w:b/>
                <w:sz w:val="20"/>
                <w:szCs w:val="20"/>
              </w:rPr>
              <w:t>Others</w:t>
            </w:r>
          </w:p>
          <w:p w14:paraId="75EF141A" w14:textId="77777777" w:rsidR="00DC4563" w:rsidRPr="00730E98" w:rsidRDefault="00DC4563" w:rsidP="00DC4563">
            <w:pPr>
              <w:jc w:val="right"/>
              <w:rPr>
                <w:b/>
                <w:sz w:val="20"/>
                <w:szCs w:val="20"/>
              </w:rPr>
            </w:pPr>
          </w:p>
        </w:tc>
        <w:tc>
          <w:tcPr>
            <w:tcW w:w="1440" w:type="dxa"/>
          </w:tcPr>
          <w:p w14:paraId="2BD07D72" w14:textId="77777777" w:rsidR="00DC4563" w:rsidRPr="00A95808" w:rsidRDefault="00DC4563" w:rsidP="00DC4563">
            <w:pPr>
              <w:spacing w:line="259" w:lineRule="auto"/>
              <w:jc w:val="right"/>
              <w:rPr>
                <w:color w:val="000000" w:themeColor="text1"/>
              </w:rPr>
            </w:pPr>
            <w:r>
              <w:rPr>
                <w:b/>
                <w:bCs/>
                <w:sz w:val="20"/>
                <w:szCs w:val="20"/>
              </w:rPr>
              <w:t>20</w:t>
            </w:r>
            <w:r w:rsidRPr="3285EAFF">
              <w:rPr>
                <w:b/>
                <w:bCs/>
                <w:sz w:val="20"/>
                <w:szCs w:val="20"/>
              </w:rPr>
              <w:t>2</w:t>
            </w:r>
            <w:r>
              <w:rPr>
                <w:b/>
                <w:bCs/>
                <w:sz w:val="20"/>
                <w:szCs w:val="20"/>
              </w:rPr>
              <w:t>3-24</w:t>
            </w:r>
          </w:p>
          <w:p w14:paraId="77548766" w14:textId="78695AF3" w:rsidR="00DC4563" w:rsidRPr="00730E98" w:rsidRDefault="00DC4563" w:rsidP="00DC4563">
            <w:pPr>
              <w:jc w:val="right"/>
              <w:rPr>
                <w:b/>
                <w:sz w:val="20"/>
                <w:szCs w:val="20"/>
              </w:rPr>
            </w:pPr>
            <w:r w:rsidRPr="00A95808">
              <w:rPr>
                <w:b/>
                <w:sz w:val="20"/>
                <w:szCs w:val="20"/>
              </w:rPr>
              <w:t>Total</w:t>
            </w:r>
          </w:p>
        </w:tc>
      </w:tr>
      <w:tr w:rsidR="00DC4563" w:rsidRPr="00730E98" w14:paraId="2641C642" w14:textId="77777777" w:rsidTr="000C2A54">
        <w:trPr>
          <w:jc w:val="center"/>
        </w:trPr>
        <w:tc>
          <w:tcPr>
            <w:tcW w:w="2461" w:type="dxa"/>
          </w:tcPr>
          <w:p w14:paraId="771FD209" w14:textId="77777777" w:rsidR="00DC4563" w:rsidRPr="00730E98" w:rsidRDefault="00DC4563" w:rsidP="00DC4563">
            <w:pPr>
              <w:jc w:val="right"/>
              <w:rPr>
                <w:sz w:val="20"/>
                <w:szCs w:val="20"/>
              </w:rPr>
            </w:pPr>
          </w:p>
        </w:tc>
        <w:tc>
          <w:tcPr>
            <w:tcW w:w="1534" w:type="dxa"/>
          </w:tcPr>
          <w:p w14:paraId="1AC98B20" w14:textId="4618B91F" w:rsidR="00DC4563" w:rsidRPr="00730E98" w:rsidRDefault="00DC4563" w:rsidP="00DC4563">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980" w:type="dxa"/>
          </w:tcPr>
          <w:p w14:paraId="40EB0033" w14:textId="5CA57FB3" w:rsidR="00DC4563" w:rsidRPr="00730E98" w:rsidRDefault="00DC4563" w:rsidP="00DC4563">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800" w:type="dxa"/>
          </w:tcPr>
          <w:p w14:paraId="12737980" w14:textId="0B0F7B19" w:rsidR="00DC4563" w:rsidRPr="00730E98" w:rsidRDefault="00DC4563" w:rsidP="00DC4563">
            <w:pPr>
              <w:widowControl w:val="0"/>
              <w:tabs>
                <w:tab w:val="left" w:pos="567"/>
                <w:tab w:val="right" w:pos="4140"/>
                <w:tab w:val="right" w:pos="6480"/>
                <w:tab w:val="right" w:pos="8820"/>
              </w:tabs>
              <w:autoSpaceDE w:val="0"/>
              <w:autoSpaceDN w:val="0"/>
              <w:adjustRightInd w:val="0"/>
              <w:jc w:val="center"/>
              <w:rPr>
                <w:b/>
                <w:sz w:val="20"/>
                <w:szCs w:val="20"/>
              </w:rPr>
            </w:pPr>
            <w:r w:rsidRPr="00A95808">
              <w:rPr>
                <w:b/>
                <w:sz w:val="20"/>
                <w:szCs w:val="20"/>
              </w:rPr>
              <w:t>£</w:t>
            </w:r>
          </w:p>
        </w:tc>
        <w:tc>
          <w:tcPr>
            <w:tcW w:w="1440" w:type="dxa"/>
          </w:tcPr>
          <w:p w14:paraId="7308D639" w14:textId="43FB313E" w:rsidR="00DC4563" w:rsidRPr="00730E98" w:rsidRDefault="00DC4563" w:rsidP="00DC4563">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440" w:type="dxa"/>
          </w:tcPr>
          <w:p w14:paraId="350F47C9" w14:textId="1B3DECFB" w:rsidR="00DC4563" w:rsidRPr="00730E98" w:rsidRDefault="00DC4563" w:rsidP="00DC4563">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r>
      <w:tr w:rsidR="00DC4563" w:rsidRPr="00863EC6" w14:paraId="54BBBFFE" w14:textId="77777777" w:rsidTr="000C2A54">
        <w:trPr>
          <w:jc w:val="center"/>
        </w:trPr>
        <w:tc>
          <w:tcPr>
            <w:tcW w:w="2461" w:type="dxa"/>
          </w:tcPr>
          <w:p w14:paraId="445F9C75" w14:textId="251BAA91" w:rsidR="00DC4563" w:rsidRPr="00863EC6" w:rsidRDefault="00DC4563" w:rsidP="00DC4563">
            <w:pPr>
              <w:rPr>
                <w:sz w:val="20"/>
                <w:szCs w:val="20"/>
              </w:rPr>
            </w:pPr>
            <w:r w:rsidRPr="00A95808">
              <w:rPr>
                <w:sz w:val="20"/>
                <w:szCs w:val="20"/>
              </w:rPr>
              <w:t>Wages and salaries</w:t>
            </w:r>
          </w:p>
        </w:tc>
        <w:tc>
          <w:tcPr>
            <w:tcW w:w="1534" w:type="dxa"/>
          </w:tcPr>
          <w:p w14:paraId="2301FD1D" w14:textId="79D8062E" w:rsidR="00DC4563" w:rsidRPr="00863EC6" w:rsidRDefault="00DC4563" w:rsidP="00DC4563">
            <w:pPr>
              <w:jc w:val="right"/>
              <w:rPr>
                <w:sz w:val="20"/>
                <w:szCs w:val="20"/>
              </w:rPr>
            </w:pPr>
            <w:r>
              <w:rPr>
                <w:sz w:val="20"/>
                <w:szCs w:val="20"/>
              </w:rPr>
              <w:t>1,479,460</w:t>
            </w:r>
          </w:p>
        </w:tc>
        <w:tc>
          <w:tcPr>
            <w:tcW w:w="1980" w:type="dxa"/>
          </w:tcPr>
          <w:p w14:paraId="1E57F563" w14:textId="04584343" w:rsidR="00DC4563" w:rsidDel="006E56F3" w:rsidRDefault="00DC4563" w:rsidP="00DC4563">
            <w:pPr>
              <w:jc w:val="right"/>
              <w:rPr>
                <w:sz w:val="20"/>
                <w:szCs w:val="20"/>
              </w:rPr>
            </w:pPr>
            <w:r>
              <w:rPr>
                <w:sz w:val="20"/>
                <w:szCs w:val="20"/>
              </w:rPr>
              <w:t>127,090</w:t>
            </w:r>
          </w:p>
        </w:tc>
        <w:tc>
          <w:tcPr>
            <w:tcW w:w="1800" w:type="dxa"/>
          </w:tcPr>
          <w:p w14:paraId="2F6DA51E" w14:textId="617730A6" w:rsidR="00DC4563" w:rsidRPr="00863EC6" w:rsidRDefault="00DC4563" w:rsidP="00DC4563">
            <w:pPr>
              <w:rPr>
                <w:sz w:val="20"/>
                <w:szCs w:val="20"/>
              </w:rPr>
            </w:pPr>
            <w:r>
              <w:rPr>
                <w:sz w:val="20"/>
                <w:szCs w:val="20"/>
              </w:rPr>
              <w:t xml:space="preserve">    1,222,537</w:t>
            </w:r>
          </w:p>
        </w:tc>
        <w:tc>
          <w:tcPr>
            <w:tcW w:w="1440" w:type="dxa"/>
          </w:tcPr>
          <w:p w14:paraId="1C6434AF" w14:textId="6952FD7C" w:rsidR="00DC4563" w:rsidRPr="00766324" w:rsidRDefault="00DC4563" w:rsidP="00DC4563">
            <w:pPr>
              <w:jc w:val="right"/>
              <w:rPr>
                <w:sz w:val="20"/>
                <w:szCs w:val="20"/>
              </w:rPr>
            </w:pPr>
            <w:r>
              <w:rPr>
                <w:sz w:val="20"/>
                <w:szCs w:val="20"/>
              </w:rPr>
              <w:t>129,833</w:t>
            </w:r>
          </w:p>
        </w:tc>
        <w:tc>
          <w:tcPr>
            <w:tcW w:w="1440" w:type="dxa"/>
          </w:tcPr>
          <w:p w14:paraId="4B45EDAC" w14:textId="5FF56B0A" w:rsidR="00DC4563" w:rsidRPr="00863EC6" w:rsidRDefault="00DC4563" w:rsidP="00DC4563">
            <w:pPr>
              <w:jc w:val="right"/>
              <w:rPr>
                <w:sz w:val="20"/>
                <w:szCs w:val="20"/>
              </w:rPr>
            </w:pPr>
            <w:r>
              <w:rPr>
                <w:sz w:val="20"/>
                <w:szCs w:val="20"/>
              </w:rPr>
              <w:t>1,384,212</w:t>
            </w:r>
          </w:p>
        </w:tc>
      </w:tr>
      <w:tr w:rsidR="00DC4563" w:rsidRPr="00863EC6" w14:paraId="487A1C5F" w14:textId="77777777" w:rsidTr="000C2A54">
        <w:trPr>
          <w:jc w:val="center"/>
        </w:trPr>
        <w:tc>
          <w:tcPr>
            <w:tcW w:w="2461" w:type="dxa"/>
          </w:tcPr>
          <w:p w14:paraId="41C14B50" w14:textId="71A218EE" w:rsidR="00DC4563" w:rsidRPr="00863EC6" w:rsidRDefault="00DC4563" w:rsidP="00DC4563">
            <w:pPr>
              <w:rPr>
                <w:sz w:val="20"/>
                <w:szCs w:val="20"/>
              </w:rPr>
            </w:pPr>
            <w:r w:rsidRPr="00A95808">
              <w:rPr>
                <w:sz w:val="20"/>
                <w:szCs w:val="20"/>
              </w:rPr>
              <w:t>Social security costs</w:t>
            </w:r>
          </w:p>
        </w:tc>
        <w:tc>
          <w:tcPr>
            <w:tcW w:w="1534" w:type="dxa"/>
          </w:tcPr>
          <w:p w14:paraId="2F732650" w14:textId="005AAD87" w:rsidR="00DC4563" w:rsidRPr="0050481D" w:rsidRDefault="00DC4563" w:rsidP="00DC4563">
            <w:pPr>
              <w:jc w:val="right"/>
              <w:rPr>
                <w:sz w:val="20"/>
                <w:szCs w:val="20"/>
              </w:rPr>
            </w:pPr>
            <w:r>
              <w:rPr>
                <w:sz w:val="20"/>
                <w:szCs w:val="20"/>
              </w:rPr>
              <w:t>159,503</w:t>
            </w:r>
          </w:p>
        </w:tc>
        <w:tc>
          <w:tcPr>
            <w:tcW w:w="1980" w:type="dxa"/>
          </w:tcPr>
          <w:p w14:paraId="6F919444" w14:textId="245ED61D" w:rsidR="00DC4563" w:rsidRPr="0050481D" w:rsidRDefault="00DC4563" w:rsidP="00DC4563">
            <w:pPr>
              <w:jc w:val="right"/>
              <w:rPr>
                <w:sz w:val="20"/>
                <w:szCs w:val="20"/>
              </w:rPr>
            </w:pPr>
            <w:r>
              <w:rPr>
                <w:sz w:val="20"/>
                <w:szCs w:val="20"/>
              </w:rPr>
              <w:t>10,698</w:t>
            </w:r>
          </w:p>
        </w:tc>
        <w:tc>
          <w:tcPr>
            <w:tcW w:w="1800" w:type="dxa"/>
          </w:tcPr>
          <w:p w14:paraId="3EF1E04D" w14:textId="37EFFEEE" w:rsidR="00DC4563" w:rsidRPr="0050481D" w:rsidRDefault="00DC4563" w:rsidP="00DC4563">
            <w:pPr>
              <w:rPr>
                <w:sz w:val="20"/>
                <w:szCs w:val="20"/>
              </w:rPr>
            </w:pPr>
            <w:r>
              <w:rPr>
                <w:sz w:val="20"/>
                <w:szCs w:val="20"/>
              </w:rPr>
              <w:t xml:space="preserve">      140,868</w:t>
            </w:r>
          </w:p>
        </w:tc>
        <w:tc>
          <w:tcPr>
            <w:tcW w:w="1440" w:type="dxa"/>
          </w:tcPr>
          <w:p w14:paraId="6036BD84" w14:textId="4AB5041C" w:rsidR="00DC4563" w:rsidRPr="00766324" w:rsidRDefault="00DC4563" w:rsidP="00DC4563">
            <w:pPr>
              <w:jc w:val="right"/>
              <w:rPr>
                <w:sz w:val="20"/>
                <w:szCs w:val="20"/>
              </w:rPr>
            </w:pPr>
            <w:r>
              <w:rPr>
                <w:sz w:val="20"/>
                <w:szCs w:val="20"/>
              </w:rPr>
              <w:t>7,937</w:t>
            </w:r>
          </w:p>
        </w:tc>
        <w:tc>
          <w:tcPr>
            <w:tcW w:w="1440" w:type="dxa"/>
          </w:tcPr>
          <w:p w14:paraId="2F115F19" w14:textId="422BACF7" w:rsidR="00DC4563" w:rsidRPr="00863EC6" w:rsidRDefault="00DC4563" w:rsidP="00DC4563">
            <w:pPr>
              <w:jc w:val="right"/>
              <w:rPr>
                <w:sz w:val="20"/>
                <w:szCs w:val="20"/>
              </w:rPr>
            </w:pPr>
            <w:r>
              <w:rPr>
                <w:sz w:val="20"/>
                <w:szCs w:val="20"/>
              </w:rPr>
              <w:t>149,700</w:t>
            </w:r>
          </w:p>
        </w:tc>
      </w:tr>
      <w:tr w:rsidR="00DC4563" w:rsidRPr="00863EC6" w14:paraId="0588F9B7" w14:textId="77777777" w:rsidTr="000C2A54">
        <w:trPr>
          <w:jc w:val="center"/>
        </w:trPr>
        <w:tc>
          <w:tcPr>
            <w:tcW w:w="2461" w:type="dxa"/>
          </w:tcPr>
          <w:p w14:paraId="0F9F3DA2" w14:textId="6A9BB8F7" w:rsidR="00DC4563" w:rsidRPr="00863EC6" w:rsidRDefault="00DC4563" w:rsidP="00DC4563">
            <w:pPr>
              <w:rPr>
                <w:sz w:val="20"/>
                <w:szCs w:val="20"/>
              </w:rPr>
            </w:pPr>
            <w:r w:rsidRPr="00A95808">
              <w:rPr>
                <w:sz w:val="20"/>
                <w:szCs w:val="20"/>
              </w:rPr>
              <w:t>Other pension costs</w:t>
            </w:r>
          </w:p>
        </w:tc>
        <w:tc>
          <w:tcPr>
            <w:tcW w:w="1534" w:type="dxa"/>
            <w:tcBorders>
              <w:bottom w:val="single" w:sz="4" w:space="0" w:color="auto"/>
            </w:tcBorders>
          </w:tcPr>
          <w:p w14:paraId="6B0C3083" w14:textId="5A6DC291" w:rsidR="00DC4563" w:rsidRPr="0050481D" w:rsidRDefault="00DC4563" w:rsidP="00DC4563">
            <w:pPr>
              <w:jc w:val="right"/>
              <w:rPr>
                <w:sz w:val="20"/>
                <w:szCs w:val="20"/>
              </w:rPr>
            </w:pPr>
            <w:r>
              <w:rPr>
                <w:sz w:val="20"/>
                <w:szCs w:val="20"/>
              </w:rPr>
              <w:t>392,812</w:t>
            </w:r>
          </w:p>
        </w:tc>
        <w:tc>
          <w:tcPr>
            <w:tcW w:w="1980" w:type="dxa"/>
            <w:tcBorders>
              <w:bottom w:val="single" w:sz="4" w:space="0" w:color="auto"/>
            </w:tcBorders>
          </w:tcPr>
          <w:p w14:paraId="4DAE086D" w14:textId="600CA43E" w:rsidR="00DC4563" w:rsidRPr="0050481D" w:rsidRDefault="00DC4563" w:rsidP="00DC4563">
            <w:pPr>
              <w:jc w:val="right"/>
              <w:rPr>
                <w:sz w:val="20"/>
                <w:szCs w:val="20"/>
              </w:rPr>
            </w:pPr>
            <w:r>
              <w:rPr>
                <w:sz w:val="20"/>
                <w:szCs w:val="20"/>
              </w:rPr>
              <w:t>24,687</w:t>
            </w:r>
          </w:p>
        </w:tc>
        <w:tc>
          <w:tcPr>
            <w:tcW w:w="1800" w:type="dxa"/>
            <w:tcBorders>
              <w:bottom w:val="single" w:sz="4" w:space="0" w:color="auto"/>
            </w:tcBorders>
          </w:tcPr>
          <w:p w14:paraId="28861ABC" w14:textId="59923605" w:rsidR="00DC4563" w:rsidRPr="0050481D" w:rsidRDefault="00DC4563" w:rsidP="00DC4563">
            <w:pPr>
              <w:rPr>
                <w:sz w:val="20"/>
                <w:szCs w:val="20"/>
              </w:rPr>
            </w:pPr>
            <w:r>
              <w:rPr>
                <w:sz w:val="20"/>
                <w:szCs w:val="20"/>
              </w:rPr>
              <w:t xml:space="preserve">      348,931</w:t>
            </w:r>
          </w:p>
        </w:tc>
        <w:tc>
          <w:tcPr>
            <w:tcW w:w="1440" w:type="dxa"/>
            <w:tcBorders>
              <w:bottom w:val="single" w:sz="4" w:space="0" w:color="auto"/>
            </w:tcBorders>
          </w:tcPr>
          <w:p w14:paraId="3BBC6FAB" w14:textId="06A754FA" w:rsidR="00DC4563" w:rsidRPr="00766324" w:rsidRDefault="00DC4563" w:rsidP="00DC4563">
            <w:pPr>
              <w:jc w:val="right"/>
              <w:rPr>
                <w:sz w:val="20"/>
                <w:szCs w:val="20"/>
              </w:rPr>
            </w:pPr>
            <w:r>
              <w:rPr>
                <w:sz w:val="20"/>
                <w:szCs w:val="20"/>
              </w:rPr>
              <w:t>19,194</w:t>
            </w:r>
          </w:p>
        </w:tc>
        <w:tc>
          <w:tcPr>
            <w:tcW w:w="1440" w:type="dxa"/>
            <w:tcBorders>
              <w:bottom w:val="single" w:sz="4" w:space="0" w:color="auto"/>
            </w:tcBorders>
          </w:tcPr>
          <w:p w14:paraId="4714D700" w14:textId="5FB58B77" w:rsidR="00DC4563" w:rsidRPr="00863EC6" w:rsidRDefault="00DC4563" w:rsidP="00DC4563">
            <w:pPr>
              <w:jc w:val="right"/>
              <w:rPr>
                <w:sz w:val="20"/>
                <w:szCs w:val="20"/>
              </w:rPr>
            </w:pPr>
            <w:r>
              <w:rPr>
                <w:sz w:val="20"/>
                <w:szCs w:val="20"/>
              </w:rPr>
              <w:t>347,440</w:t>
            </w:r>
          </w:p>
        </w:tc>
      </w:tr>
      <w:tr w:rsidR="00DC4563" w:rsidRPr="00863EC6" w14:paraId="087732C9" w14:textId="77777777" w:rsidTr="000C2A54">
        <w:trPr>
          <w:jc w:val="center"/>
        </w:trPr>
        <w:tc>
          <w:tcPr>
            <w:tcW w:w="2461" w:type="dxa"/>
          </w:tcPr>
          <w:p w14:paraId="72E0855E" w14:textId="689414F7" w:rsidR="00DC4563" w:rsidRPr="008F1FC0" w:rsidRDefault="00DC4563" w:rsidP="00DC4563">
            <w:pPr>
              <w:rPr>
                <w:b/>
                <w:sz w:val="20"/>
                <w:szCs w:val="20"/>
              </w:rPr>
            </w:pPr>
            <w:r w:rsidRPr="00A95808">
              <w:rPr>
                <w:b/>
                <w:sz w:val="20"/>
                <w:szCs w:val="20"/>
              </w:rPr>
              <w:t>Total Staff Costs</w:t>
            </w:r>
          </w:p>
        </w:tc>
        <w:tc>
          <w:tcPr>
            <w:tcW w:w="1534" w:type="dxa"/>
            <w:tcBorders>
              <w:top w:val="single" w:sz="4" w:space="0" w:color="auto"/>
              <w:bottom w:val="single" w:sz="4" w:space="0" w:color="auto"/>
            </w:tcBorders>
          </w:tcPr>
          <w:p w14:paraId="2A696794" w14:textId="3E606C59" w:rsidR="00DC4563" w:rsidRPr="0050481D" w:rsidRDefault="00DC4563" w:rsidP="00DC4563">
            <w:pPr>
              <w:jc w:val="right"/>
              <w:rPr>
                <w:b/>
                <w:sz w:val="20"/>
                <w:szCs w:val="20"/>
              </w:rPr>
            </w:pPr>
            <w:r>
              <w:rPr>
                <w:b/>
                <w:sz w:val="20"/>
                <w:szCs w:val="20"/>
              </w:rPr>
              <w:t>2,031,775</w:t>
            </w:r>
          </w:p>
        </w:tc>
        <w:tc>
          <w:tcPr>
            <w:tcW w:w="1980" w:type="dxa"/>
            <w:tcBorders>
              <w:top w:val="single" w:sz="4" w:space="0" w:color="auto"/>
              <w:bottom w:val="single" w:sz="4" w:space="0" w:color="auto"/>
            </w:tcBorders>
          </w:tcPr>
          <w:p w14:paraId="28B75921" w14:textId="154718BA" w:rsidR="00DC4563" w:rsidRPr="0050481D" w:rsidDel="006E56F3" w:rsidRDefault="00DC4563" w:rsidP="00DC4563">
            <w:pPr>
              <w:jc w:val="right"/>
              <w:rPr>
                <w:b/>
                <w:sz w:val="20"/>
                <w:szCs w:val="20"/>
              </w:rPr>
            </w:pPr>
            <w:r>
              <w:rPr>
                <w:b/>
                <w:sz w:val="20"/>
                <w:szCs w:val="20"/>
              </w:rPr>
              <w:t>162,475</w:t>
            </w:r>
          </w:p>
        </w:tc>
        <w:tc>
          <w:tcPr>
            <w:tcW w:w="1800" w:type="dxa"/>
            <w:tcBorders>
              <w:top w:val="single" w:sz="4" w:space="0" w:color="auto"/>
              <w:bottom w:val="single" w:sz="4" w:space="0" w:color="auto"/>
            </w:tcBorders>
          </w:tcPr>
          <w:p w14:paraId="1CE321F4" w14:textId="19920CBD" w:rsidR="00DC4563" w:rsidRPr="0050481D" w:rsidRDefault="00DC4563" w:rsidP="00DC4563">
            <w:pPr>
              <w:jc w:val="right"/>
              <w:rPr>
                <w:b/>
                <w:sz w:val="20"/>
                <w:szCs w:val="20"/>
              </w:rPr>
            </w:pPr>
            <w:r>
              <w:rPr>
                <w:b/>
                <w:sz w:val="20"/>
                <w:szCs w:val="20"/>
              </w:rPr>
              <w:t>1,712,336</w:t>
            </w:r>
            <w:r>
              <w:rPr>
                <w:rStyle w:val="FootnoteReference"/>
                <w:b/>
                <w:sz w:val="20"/>
                <w:szCs w:val="20"/>
              </w:rPr>
              <w:footnoteReference w:id="16"/>
            </w:r>
          </w:p>
        </w:tc>
        <w:tc>
          <w:tcPr>
            <w:tcW w:w="1440" w:type="dxa"/>
            <w:tcBorders>
              <w:top w:val="single" w:sz="4" w:space="0" w:color="auto"/>
              <w:bottom w:val="single" w:sz="4" w:space="0" w:color="auto"/>
            </w:tcBorders>
          </w:tcPr>
          <w:p w14:paraId="509A54BF" w14:textId="22B967FE" w:rsidR="00DC4563" w:rsidRPr="008F1FC0" w:rsidRDefault="00DC4563" w:rsidP="00DC4563">
            <w:pPr>
              <w:jc w:val="right"/>
              <w:rPr>
                <w:b/>
                <w:sz w:val="20"/>
                <w:szCs w:val="20"/>
              </w:rPr>
            </w:pPr>
            <w:r>
              <w:rPr>
                <w:b/>
                <w:sz w:val="20"/>
                <w:szCs w:val="20"/>
              </w:rPr>
              <w:t>156,964</w:t>
            </w:r>
            <w:r>
              <w:rPr>
                <w:rStyle w:val="FootnoteReference"/>
                <w:b/>
                <w:sz w:val="20"/>
                <w:szCs w:val="20"/>
              </w:rPr>
              <w:footnoteReference w:id="17"/>
            </w:r>
          </w:p>
        </w:tc>
        <w:tc>
          <w:tcPr>
            <w:tcW w:w="1440" w:type="dxa"/>
            <w:tcBorders>
              <w:top w:val="single" w:sz="4" w:space="0" w:color="auto"/>
              <w:bottom w:val="single" w:sz="4" w:space="0" w:color="auto"/>
            </w:tcBorders>
          </w:tcPr>
          <w:p w14:paraId="4BB20BB0" w14:textId="21988F98" w:rsidR="00DC4563" w:rsidRPr="008F1FC0" w:rsidRDefault="00DC4563" w:rsidP="00DC4563">
            <w:pPr>
              <w:jc w:val="right"/>
              <w:rPr>
                <w:b/>
                <w:sz w:val="20"/>
                <w:szCs w:val="20"/>
              </w:rPr>
            </w:pPr>
            <w:r>
              <w:rPr>
                <w:b/>
                <w:sz w:val="20"/>
                <w:szCs w:val="20"/>
              </w:rPr>
              <w:t>1,881,352</w:t>
            </w:r>
          </w:p>
        </w:tc>
      </w:tr>
    </w:tbl>
    <w:p w14:paraId="075FC662" w14:textId="77777777" w:rsidR="00FD0AA4" w:rsidRDefault="00FD0AA4" w:rsidP="000C2A54">
      <w:pPr>
        <w:widowControl w:val="0"/>
        <w:tabs>
          <w:tab w:val="left" w:pos="567"/>
          <w:tab w:val="right" w:pos="7371"/>
          <w:tab w:val="right" w:pos="9356"/>
        </w:tabs>
        <w:autoSpaceDE w:val="0"/>
        <w:autoSpaceDN w:val="0"/>
        <w:adjustRightInd w:val="0"/>
        <w:rPr>
          <w:b/>
        </w:rPr>
      </w:pPr>
    </w:p>
    <w:p w14:paraId="66E8A8FA" w14:textId="77777777" w:rsidR="002F2F19" w:rsidRDefault="002F2F19" w:rsidP="000C2A54">
      <w:pPr>
        <w:widowControl w:val="0"/>
        <w:tabs>
          <w:tab w:val="left" w:pos="567"/>
          <w:tab w:val="right" w:pos="7371"/>
          <w:tab w:val="right" w:pos="9356"/>
        </w:tabs>
        <w:autoSpaceDE w:val="0"/>
        <w:autoSpaceDN w:val="0"/>
        <w:adjustRightInd w:val="0"/>
        <w:rPr>
          <w:b/>
        </w:rPr>
      </w:pPr>
    </w:p>
    <w:p w14:paraId="17AA44B3" w14:textId="77777777" w:rsidR="00A70EF7" w:rsidRDefault="00A70EF7">
      <w:pPr>
        <w:rPr>
          <w:b/>
        </w:rPr>
      </w:pPr>
      <w:r>
        <w:rPr>
          <w:b/>
        </w:rPr>
        <w:br w:type="page"/>
      </w:r>
    </w:p>
    <w:p w14:paraId="3FBAC0B8" w14:textId="4191F67F" w:rsidR="000C2A54" w:rsidRPr="00676064" w:rsidRDefault="000C2A54" w:rsidP="000C2A54">
      <w:pPr>
        <w:widowControl w:val="0"/>
        <w:tabs>
          <w:tab w:val="left" w:pos="567"/>
          <w:tab w:val="right" w:pos="7371"/>
          <w:tab w:val="right" w:pos="9356"/>
        </w:tabs>
        <w:autoSpaceDE w:val="0"/>
        <w:autoSpaceDN w:val="0"/>
        <w:adjustRightInd w:val="0"/>
        <w:rPr>
          <w:b/>
        </w:rPr>
      </w:pPr>
      <w:r w:rsidRPr="00676064">
        <w:rPr>
          <w:b/>
        </w:rPr>
        <w:lastRenderedPageBreak/>
        <w:t>4.</w:t>
      </w:r>
      <w:r w:rsidRPr="00676064">
        <w:rPr>
          <w:b/>
        </w:rPr>
        <w:tab/>
        <w:t>Other expenditure</w:t>
      </w:r>
      <w:r w:rsidR="00235025">
        <w:rPr>
          <w:b/>
        </w:rPr>
        <w:t xml:space="preserve"> </w:t>
      </w:r>
    </w:p>
    <w:tbl>
      <w:tblPr>
        <w:tblW w:w="0" w:type="auto"/>
        <w:jc w:val="center"/>
        <w:tblLayout w:type="fixed"/>
        <w:tblLook w:val="01E0" w:firstRow="1" w:lastRow="1" w:firstColumn="1" w:lastColumn="1" w:noHBand="0" w:noVBand="0"/>
      </w:tblPr>
      <w:tblGrid>
        <w:gridCol w:w="5911"/>
        <w:gridCol w:w="1440"/>
        <w:gridCol w:w="417"/>
        <w:gridCol w:w="1245"/>
      </w:tblGrid>
      <w:tr w:rsidR="000C2A54" w:rsidRPr="00676064" w14:paraId="378AA8F8" w14:textId="77777777" w:rsidTr="54F71CB4">
        <w:trPr>
          <w:jc w:val="center"/>
        </w:trPr>
        <w:tc>
          <w:tcPr>
            <w:tcW w:w="5911" w:type="dxa"/>
          </w:tcPr>
          <w:p w14:paraId="7A803752" w14:textId="77777777" w:rsidR="000C2A54" w:rsidRPr="00676064" w:rsidRDefault="000C2A54" w:rsidP="000C2A54">
            <w:pPr>
              <w:rPr>
                <w:b/>
              </w:rPr>
            </w:pPr>
          </w:p>
        </w:tc>
        <w:tc>
          <w:tcPr>
            <w:tcW w:w="1440" w:type="dxa"/>
          </w:tcPr>
          <w:p w14:paraId="23D734E2" w14:textId="5C80A5EB" w:rsidR="000C2A54" w:rsidRPr="003061F1" w:rsidRDefault="00BE5A39" w:rsidP="000C2A54">
            <w:pPr>
              <w:jc w:val="right"/>
              <w:rPr>
                <w:b/>
                <w:sz w:val="20"/>
                <w:szCs w:val="20"/>
              </w:rPr>
            </w:pPr>
            <w:r>
              <w:rPr>
                <w:b/>
                <w:sz w:val="20"/>
                <w:szCs w:val="20"/>
              </w:rPr>
              <w:t>202</w:t>
            </w:r>
            <w:r w:rsidR="00DC4563">
              <w:rPr>
                <w:b/>
                <w:sz w:val="20"/>
                <w:szCs w:val="20"/>
              </w:rPr>
              <w:t>4</w:t>
            </w:r>
            <w:r>
              <w:rPr>
                <w:b/>
                <w:sz w:val="20"/>
                <w:szCs w:val="20"/>
              </w:rPr>
              <w:t>-2</w:t>
            </w:r>
            <w:r w:rsidR="00DC4563">
              <w:rPr>
                <w:b/>
                <w:sz w:val="20"/>
                <w:szCs w:val="20"/>
              </w:rPr>
              <w:t>5</w:t>
            </w:r>
          </w:p>
        </w:tc>
        <w:tc>
          <w:tcPr>
            <w:tcW w:w="417" w:type="dxa"/>
          </w:tcPr>
          <w:p w14:paraId="121491C1" w14:textId="77777777" w:rsidR="000C2A54" w:rsidRPr="003061F1" w:rsidRDefault="000C2A54" w:rsidP="000C2A54">
            <w:pPr>
              <w:rPr>
                <w:b/>
                <w:sz w:val="20"/>
                <w:szCs w:val="20"/>
              </w:rPr>
            </w:pPr>
          </w:p>
        </w:tc>
        <w:tc>
          <w:tcPr>
            <w:tcW w:w="1245" w:type="dxa"/>
          </w:tcPr>
          <w:p w14:paraId="3A284FD0" w14:textId="0D6CBC8E" w:rsidR="000C2A54" w:rsidRPr="003061F1" w:rsidRDefault="00BE5A39" w:rsidP="000C2A54">
            <w:pPr>
              <w:jc w:val="right"/>
              <w:rPr>
                <w:b/>
                <w:sz w:val="20"/>
                <w:szCs w:val="20"/>
              </w:rPr>
            </w:pPr>
            <w:r>
              <w:rPr>
                <w:b/>
                <w:sz w:val="20"/>
                <w:szCs w:val="20"/>
              </w:rPr>
              <w:t>202</w:t>
            </w:r>
            <w:r w:rsidR="00DC4563">
              <w:rPr>
                <w:b/>
                <w:sz w:val="20"/>
                <w:szCs w:val="20"/>
              </w:rPr>
              <w:t>3</w:t>
            </w:r>
            <w:r>
              <w:rPr>
                <w:b/>
                <w:sz w:val="20"/>
                <w:szCs w:val="20"/>
              </w:rPr>
              <w:t>-2</w:t>
            </w:r>
            <w:r w:rsidR="00DC4563">
              <w:rPr>
                <w:b/>
                <w:sz w:val="20"/>
                <w:szCs w:val="20"/>
              </w:rPr>
              <w:t>4</w:t>
            </w:r>
          </w:p>
        </w:tc>
      </w:tr>
      <w:tr w:rsidR="000C2A54" w:rsidRPr="00676064" w14:paraId="5BB8FDC6" w14:textId="77777777" w:rsidTr="54F71CB4">
        <w:trPr>
          <w:jc w:val="center"/>
        </w:trPr>
        <w:tc>
          <w:tcPr>
            <w:tcW w:w="5911" w:type="dxa"/>
          </w:tcPr>
          <w:p w14:paraId="5D80F3BB" w14:textId="77777777" w:rsidR="000C2A54" w:rsidRPr="00676064" w:rsidRDefault="000C2A54" w:rsidP="000C2A54">
            <w:pPr>
              <w:rPr>
                <w:b/>
              </w:rPr>
            </w:pPr>
          </w:p>
        </w:tc>
        <w:tc>
          <w:tcPr>
            <w:tcW w:w="1440" w:type="dxa"/>
          </w:tcPr>
          <w:p w14:paraId="37132B45" w14:textId="77777777" w:rsidR="000C2A54" w:rsidRPr="003061F1" w:rsidRDefault="000C2A54" w:rsidP="000C2A54">
            <w:pPr>
              <w:rPr>
                <w:b/>
                <w:sz w:val="20"/>
                <w:szCs w:val="20"/>
              </w:rPr>
            </w:pPr>
          </w:p>
        </w:tc>
        <w:tc>
          <w:tcPr>
            <w:tcW w:w="1662" w:type="dxa"/>
            <w:gridSpan w:val="2"/>
          </w:tcPr>
          <w:p w14:paraId="756FC3D7" w14:textId="77777777" w:rsidR="000C2A54" w:rsidRPr="003061F1" w:rsidRDefault="000C2A54" w:rsidP="000C2A54">
            <w:pPr>
              <w:jc w:val="right"/>
              <w:rPr>
                <w:b/>
                <w:sz w:val="20"/>
                <w:szCs w:val="20"/>
              </w:rPr>
            </w:pPr>
          </w:p>
        </w:tc>
      </w:tr>
      <w:tr w:rsidR="000C2A54" w:rsidRPr="00676064" w14:paraId="7EC6D48D" w14:textId="77777777" w:rsidTr="54F71CB4">
        <w:trPr>
          <w:jc w:val="center"/>
        </w:trPr>
        <w:tc>
          <w:tcPr>
            <w:tcW w:w="5911" w:type="dxa"/>
          </w:tcPr>
          <w:p w14:paraId="62EC79B5" w14:textId="77777777" w:rsidR="000C2A54" w:rsidRPr="00676064" w:rsidRDefault="000C2A54" w:rsidP="000C2A54">
            <w:pPr>
              <w:rPr>
                <w:b/>
              </w:rPr>
            </w:pPr>
          </w:p>
        </w:tc>
        <w:tc>
          <w:tcPr>
            <w:tcW w:w="1440" w:type="dxa"/>
          </w:tcPr>
          <w:p w14:paraId="2505FA5C" w14:textId="77777777" w:rsidR="000C2A54" w:rsidRPr="003061F1" w:rsidRDefault="00243E7B" w:rsidP="00243E7B">
            <w:pPr>
              <w:jc w:val="center"/>
              <w:rPr>
                <w:b/>
                <w:sz w:val="20"/>
                <w:szCs w:val="20"/>
              </w:rPr>
            </w:pPr>
            <w:r>
              <w:rPr>
                <w:b/>
                <w:sz w:val="20"/>
                <w:szCs w:val="20"/>
              </w:rPr>
              <w:t xml:space="preserve">         </w:t>
            </w:r>
            <w:r w:rsidR="000C2A54" w:rsidRPr="003061F1">
              <w:rPr>
                <w:b/>
                <w:sz w:val="20"/>
                <w:szCs w:val="20"/>
              </w:rPr>
              <w:t>£</w:t>
            </w:r>
          </w:p>
        </w:tc>
        <w:tc>
          <w:tcPr>
            <w:tcW w:w="417" w:type="dxa"/>
          </w:tcPr>
          <w:p w14:paraId="71625A95" w14:textId="77777777" w:rsidR="000C2A54" w:rsidRPr="003061F1" w:rsidRDefault="000C2A54" w:rsidP="000C2A54">
            <w:pPr>
              <w:rPr>
                <w:b/>
                <w:sz w:val="20"/>
                <w:szCs w:val="20"/>
              </w:rPr>
            </w:pPr>
          </w:p>
        </w:tc>
        <w:tc>
          <w:tcPr>
            <w:tcW w:w="1245" w:type="dxa"/>
          </w:tcPr>
          <w:p w14:paraId="653A0B0D" w14:textId="77777777" w:rsidR="000C2A54" w:rsidRPr="003061F1" w:rsidRDefault="000C2A54" w:rsidP="000C2A54">
            <w:pPr>
              <w:jc w:val="right"/>
              <w:rPr>
                <w:b/>
                <w:sz w:val="20"/>
                <w:szCs w:val="20"/>
              </w:rPr>
            </w:pPr>
            <w:r w:rsidRPr="003061F1">
              <w:rPr>
                <w:b/>
                <w:sz w:val="20"/>
                <w:szCs w:val="20"/>
              </w:rPr>
              <w:t>£</w:t>
            </w:r>
          </w:p>
        </w:tc>
      </w:tr>
      <w:tr w:rsidR="00E64B1A" w:rsidRPr="00676064" w14:paraId="1B4C2680" w14:textId="77777777" w:rsidTr="54F71CB4">
        <w:trPr>
          <w:jc w:val="center"/>
        </w:trPr>
        <w:tc>
          <w:tcPr>
            <w:tcW w:w="5911" w:type="dxa"/>
          </w:tcPr>
          <w:p w14:paraId="2CD51577"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Advertising, publicity and publications</w:t>
            </w:r>
          </w:p>
        </w:tc>
        <w:tc>
          <w:tcPr>
            <w:tcW w:w="1440" w:type="dxa"/>
          </w:tcPr>
          <w:p w14:paraId="05A553F8" w14:textId="39CA1CDA" w:rsidR="00E64B1A" w:rsidRPr="003061F1" w:rsidRDefault="000B7C6C" w:rsidP="002B369A">
            <w:pPr>
              <w:jc w:val="right"/>
              <w:rPr>
                <w:sz w:val="20"/>
                <w:szCs w:val="20"/>
              </w:rPr>
            </w:pPr>
            <w:r>
              <w:rPr>
                <w:sz w:val="20"/>
                <w:szCs w:val="20"/>
              </w:rPr>
              <w:t>6</w:t>
            </w:r>
            <w:r w:rsidR="00DC4563">
              <w:rPr>
                <w:sz w:val="20"/>
                <w:szCs w:val="20"/>
              </w:rPr>
              <w:t>0</w:t>
            </w:r>
            <w:r w:rsidR="00FE10BB">
              <w:rPr>
                <w:sz w:val="20"/>
                <w:szCs w:val="20"/>
              </w:rPr>
              <w:t>,</w:t>
            </w:r>
            <w:r w:rsidR="00DC4563">
              <w:rPr>
                <w:sz w:val="20"/>
                <w:szCs w:val="20"/>
              </w:rPr>
              <w:t>299</w:t>
            </w:r>
          </w:p>
        </w:tc>
        <w:tc>
          <w:tcPr>
            <w:tcW w:w="417" w:type="dxa"/>
          </w:tcPr>
          <w:p w14:paraId="32930D7D" w14:textId="77777777" w:rsidR="00E64B1A" w:rsidRPr="003061F1" w:rsidRDefault="00E64B1A" w:rsidP="00E64B1A">
            <w:pPr>
              <w:jc w:val="right"/>
              <w:rPr>
                <w:sz w:val="20"/>
                <w:szCs w:val="20"/>
              </w:rPr>
            </w:pPr>
          </w:p>
        </w:tc>
        <w:tc>
          <w:tcPr>
            <w:tcW w:w="1245" w:type="dxa"/>
          </w:tcPr>
          <w:p w14:paraId="4E793752" w14:textId="13FE16B4" w:rsidR="00E64B1A" w:rsidRPr="003061F1" w:rsidRDefault="00DC4563" w:rsidP="00E64B1A">
            <w:pPr>
              <w:jc w:val="right"/>
              <w:rPr>
                <w:sz w:val="20"/>
                <w:szCs w:val="20"/>
              </w:rPr>
            </w:pPr>
            <w:r>
              <w:rPr>
                <w:sz w:val="20"/>
                <w:szCs w:val="20"/>
              </w:rPr>
              <w:t>65</w:t>
            </w:r>
            <w:r w:rsidR="00917CB7">
              <w:rPr>
                <w:sz w:val="20"/>
                <w:szCs w:val="20"/>
              </w:rPr>
              <w:t>,</w:t>
            </w:r>
            <w:r>
              <w:rPr>
                <w:sz w:val="20"/>
                <w:szCs w:val="20"/>
              </w:rPr>
              <w:t>820</w:t>
            </w:r>
          </w:p>
        </w:tc>
      </w:tr>
      <w:tr w:rsidR="00E64B1A" w:rsidRPr="00676064" w14:paraId="6DB1FD3B" w14:textId="77777777" w:rsidTr="54F71CB4">
        <w:trPr>
          <w:jc w:val="center"/>
        </w:trPr>
        <w:tc>
          <w:tcPr>
            <w:tcW w:w="5911" w:type="dxa"/>
          </w:tcPr>
          <w:p w14:paraId="536DAA94"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Auditor’s (NAO) remuneration</w:t>
            </w:r>
          </w:p>
        </w:tc>
        <w:tc>
          <w:tcPr>
            <w:tcW w:w="1440" w:type="dxa"/>
          </w:tcPr>
          <w:p w14:paraId="3135E4CE" w14:textId="5BC01D07" w:rsidR="00E64B1A" w:rsidRPr="003061F1" w:rsidRDefault="00DC4563" w:rsidP="002B369A">
            <w:pPr>
              <w:jc w:val="right"/>
              <w:rPr>
                <w:sz w:val="20"/>
                <w:szCs w:val="20"/>
              </w:rPr>
            </w:pPr>
            <w:r>
              <w:rPr>
                <w:sz w:val="20"/>
                <w:szCs w:val="20"/>
              </w:rPr>
              <w:t>31</w:t>
            </w:r>
            <w:r w:rsidR="00FE10BB">
              <w:rPr>
                <w:sz w:val="20"/>
                <w:szCs w:val="20"/>
              </w:rPr>
              <w:t>,</w:t>
            </w:r>
            <w:r>
              <w:rPr>
                <w:sz w:val="20"/>
                <w:szCs w:val="20"/>
              </w:rPr>
              <w:t>5</w:t>
            </w:r>
            <w:r w:rsidR="08DA393A">
              <w:rPr>
                <w:sz w:val="20"/>
                <w:szCs w:val="20"/>
              </w:rPr>
              <w:t>00</w:t>
            </w:r>
          </w:p>
        </w:tc>
        <w:tc>
          <w:tcPr>
            <w:tcW w:w="417" w:type="dxa"/>
          </w:tcPr>
          <w:p w14:paraId="7B978208" w14:textId="77777777" w:rsidR="00E64B1A" w:rsidRPr="003061F1" w:rsidRDefault="00E64B1A" w:rsidP="00E64B1A">
            <w:pPr>
              <w:jc w:val="right"/>
              <w:rPr>
                <w:sz w:val="20"/>
                <w:szCs w:val="20"/>
              </w:rPr>
            </w:pPr>
          </w:p>
        </w:tc>
        <w:tc>
          <w:tcPr>
            <w:tcW w:w="1245" w:type="dxa"/>
          </w:tcPr>
          <w:p w14:paraId="7E646CE1" w14:textId="69E6BF17" w:rsidR="00E64B1A" w:rsidRPr="003061F1" w:rsidRDefault="00DC4563" w:rsidP="00E64B1A">
            <w:pPr>
              <w:jc w:val="right"/>
              <w:rPr>
                <w:sz w:val="20"/>
                <w:szCs w:val="20"/>
              </w:rPr>
            </w:pPr>
            <w:r>
              <w:rPr>
                <w:sz w:val="20"/>
                <w:szCs w:val="20"/>
              </w:rPr>
              <w:t>26,400</w:t>
            </w:r>
            <w:r>
              <w:rPr>
                <w:rStyle w:val="FootnoteReference"/>
                <w:sz w:val="20"/>
                <w:szCs w:val="20"/>
              </w:rPr>
              <w:footnoteReference w:id="18"/>
            </w:r>
          </w:p>
        </w:tc>
      </w:tr>
      <w:tr w:rsidR="00E64B1A" w:rsidRPr="00676064" w14:paraId="348916D5" w14:textId="77777777" w:rsidTr="54F71CB4">
        <w:trPr>
          <w:jc w:val="center"/>
        </w:trPr>
        <w:tc>
          <w:tcPr>
            <w:tcW w:w="5911" w:type="dxa"/>
          </w:tcPr>
          <w:p w14:paraId="604CA642"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Building maintenance and expenses</w:t>
            </w:r>
          </w:p>
        </w:tc>
        <w:tc>
          <w:tcPr>
            <w:tcW w:w="1440" w:type="dxa"/>
          </w:tcPr>
          <w:p w14:paraId="77932C7B" w14:textId="3AA92694" w:rsidR="00E64B1A" w:rsidRPr="003061F1" w:rsidRDefault="007F37CB" w:rsidP="002B369A">
            <w:pPr>
              <w:jc w:val="right"/>
              <w:rPr>
                <w:sz w:val="20"/>
                <w:szCs w:val="20"/>
              </w:rPr>
            </w:pPr>
            <w:r>
              <w:rPr>
                <w:sz w:val="20"/>
                <w:szCs w:val="20"/>
              </w:rPr>
              <w:t>5</w:t>
            </w:r>
            <w:r w:rsidR="00DC4563">
              <w:rPr>
                <w:sz w:val="20"/>
                <w:szCs w:val="20"/>
              </w:rPr>
              <w:t>7</w:t>
            </w:r>
            <w:r w:rsidR="00FE10BB">
              <w:rPr>
                <w:sz w:val="20"/>
                <w:szCs w:val="20"/>
              </w:rPr>
              <w:t>,</w:t>
            </w:r>
            <w:r w:rsidR="00DC4563">
              <w:rPr>
                <w:sz w:val="20"/>
                <w:szCs w:val="20"/>
              </w:rPr>
              <w:t>941</w:t>
            </w:r>
          </w:p>
        </w:tc>
        <w:tc>
          <w:tcPr>
            <w:tcW w:w="417" w:type="dxa"/>
          </w:tcPr>
          <w:p w14:paraId="641E6A36" w14:textId="77777777" w:rsidR="00E64B1A" w:rsidRPr="003061F1" w:rsidRDefault="00E64B1A" w:rsidP="00E64B1A">
            <w:pPr>
              <w:jc w:val="right"/>
              <w:rPr>
                <w:sz w:val="20"/>
                <w:szCs w:val="20"/>
              </w:rPr>
            </w:pPr>
          </w:p>
        </w:tc>
        <w:tc>
          <w:tcPr>
            <w:tcW w:w="1245" w:type="dxa"/>
          </w:tcPr>
          <w:p w14:paraId="7DDD7972" w14:textId="4EDB8BA7" w:rsidR="00E64B1A" w:rsidRPr="003061F1" w:rsidRDefault="00DC4563" w:rsidP="00E64B1A">
            <w:pPr>
              <w:jc w:val="right"/>
              <w:rPr>
                <w:sz w:val="20"/>
                <w:szCs w:val="20"/>
              </w:rPr>
            </w:pPr>
            <w:r>
              <w:rPr>
                <w:sz w:val="20"/>
                <w:szCs w:val="20"/>
              </w:rPr>
              <w:t>53</w:t>
            </w:r>
            <w:r w:rsidR="00917CB7">
              <w:rPr>
                <w:sz w:val="20"/>
                <w:szCs w:val="20"/>
              </w:rPr>
              <w:t>,</w:t>
            </w:r>
            <w:r>
              <w:rPr>
                <w:sz w:val="20"/>
                <w:szCs w:val="20"/>
              </w:rPr>
              <w:t>120</w:t>
            </w:r>
          </w:p>
        </w:tc>
      </w:tr>
      <w:tr w:rsidR="00E64B1A" w:rsidRPr="00676064" w14:paraId="1FCBF9A4" w14:textId="77777777" w:rsidTr="54F71CB4">
        <w:trPr>
          <w:jc w:val="center"/>
        </w:trPr>
        <w:tc>
          <w:tcPr>
            <w:tcW w:w="5911" w:type="dxa"/>
          </w:tcPr>
          <w:p w14:paraId="0A3DAC25"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Conferences and seminars</w:t>
            </w:r>
          </w:p>
        </w:tc>
        <w:tc>
          <w:tcPr>
            <w:tcW w:w="1440" w:type="dxa"/>
          </w:tcPr>
          <w:p w14:paraId="7B01B4D8" w14:textId="439C8DE2" w:rsidR="00E64B1A" w:rsidRPr="003061F1" w:rsidRDefault="00DC4563" w:rsidP="002B369A">
            <w:pPr>
              <w:jc w:val="right"/>
              <w:rPr>
                <w:sz w:val="20"/>
                <w:szCs w:val="20"/>
              </w:rPr>
            </w:pPr>
            <w:r>
              <w:rPr>
                <w:sz w:val="20"/>
                <w:szCs w:val="20"/>
              </w:rPr>
              <w:t>15</w:t>
            </w:r>
            <w:r w:rsidR="00FE10BB">
              <w:rPr>
                <w:sz w:val="20"/>
                <w:szCs w:val="20"/>
              </w:rPr>
              <w:t>,</w:t>
            </w:r>
            <w:r>
              <w:rPr>
                <w:sz w:val="20"/>
                <w:szCs w:val="20"/>
              </w:rPr>
              <w:t>955</w:t>
            </w:r>
          </w:p>
        </w:tc>
        <w:tc>
          <w:tcPr>
            <w:tcW w:w="417" w:type="dxa"/>
          </w:tcPr>
          <w:p w14:paraId="0B83C586" w14:textId="77777777" w:rsidR="00E64B1A" w:rsidRPr="003061F1" w:rsidRDefault="00E64B1A" w:rsidP="00E64B1A">
            <w:pPr>
              <w:jc w:val="right"/>
              <w:rPr>
                <w:sz w:val="20"/>
                <w:szCs w:val="20"/>
              </w:rPr>
            </w:pPr>
          </w:p>
        </w:tc>
        <w:tc>
          <w:tcPr>
            <w:tcW w:w="1245" w:type="dxa"/>
          </w:tcPr>
          <w:p w14:paraId="593D4D51" w14:textId="5D7C53C5" w:rsidR="00E64B1A" w:rsidRPr="003061F1" w:rsidRDefault="00DC4563" w:rsidP="00E64B1A">
            <w:pPr>
              <w:jc w:val="right"/>
              <w:rPr>
                <w:sz w:val="20"/>
                <w:szCs w:val="20"/>
              </w:rPr>
            </w:pPr>
            <w:r>
              <w:rPr>
                <w:sz w:val="20"/>
                <w:szCs w:val="20"/>
              </w:rPr>
              <w:t>20</w:t>
            </w:r>
            <w:r w:rsidR="00917CB7">
              <w:rPr>
                <w:sz w:val="20"/>
                <w:szCs w:val="20"/>
              </w:rPr>
              <w:t>,</w:t>
            </w:r>
            <w:r>
              <w:rPr>
                <w:sz w:val="20"/>
                <w:szCs w:val="20"/>
              </w:rPr>
              <w:t>813</w:t>
            </w:r>
          </w:p>
        </w:tc>
      </w:tr>
      <w:tr w:rsidR="00DC4563" w:rsidRPr="00676064" w14:paraId="494688C8" w14:textId="77777777" w:rsidTr="54F71CB4">
        <w:trPr>
          <w:jc w:val="center"/>
        </w:trPr>
        <w:tc>
          <w:tcPr>
            <w:tcW w:w="5911" w:type="dxa"/>
          </w:tcPr>
          <w:p w14:paraId="7D54E39C" w14:textId="28EDD685" w:rsidR="00DC4563" w:rsidRPr="003061F1" w:rsidRDefault="00DC4563"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Pr>
                <w:rFonts w:cs="Arial"/>
                <w:sz w:val="20"/>
                <w:szCs w:val="20"/>
              </w:rPr>
              <w:t>Education</w:t>
            </w:r>
          </w:p>
        </w:tc>
        <w:tc>
          <w:tcPr>
            <w:tcW w:w="1440" w:type="dxa"/>
          </w:tcPr>
          <w:p w14:paraId="3CACC25F" w14:textId="6258A412" w:rsidR="00DC4563" w:rsidRDefault="00DC4563" w:rsidP="002B369A">
            <w:pPr>
              <w:jc w:val="right"/>
              <w:rPr>
                <w:sz w:val="20"/>
                <w:szCs w:val="20"/>
              </w:rPr>
            </w:pPr>
            <w:r>
              <w:rPr>
                <w:sz w:val="20"/>
                <w:szCs w:val="20"/>
              </w:rPr>
              <w:t>5,904</w:t>
            </w:r>
          </w:p>
        </w:tc>
        <w:tc>
          <w:tcPr>
            <w:tcW w:w="417" w:type="dxa"/>
          </w:tcPr>
          <w:p w14:paraId="4AA9832A" w14:textId="43109C97" w:rsidR="00DC4563" w:rsidRPr="003061F1" w:rsidRDefault="00DC4563" w:rsidP="00E64B1A">
            <w:pPr>
              <w:jc w:val="right"/>
              <w:rPr>
                <w:sz w:val="20"/>
                <w:szCs w:val="20"/>
              </w:rPr>
            </w:pPr>
          </w:p>
        </w:tc>
        <w:tc>
          <w:tcPr>
            <w:tcW w:w="1245" w:type="dxa"/>
          </w:tcPr>
          <w:p w14:paraId="6419B520" w14:textId="6F543587" w:rsidR="00DC4563" w:rsidRDefault="00DC4563" w:rsidP="00E64B1A">
            <w:pPr>
              <w:jc w:val="right"/>
              <w:rPr>
                <w:sz w:val="20"/>
                <w:szCs w:val="20"/>
              </w:rPr>
            </w:pPr>
            <w:r>
              <w:rPr>
                <w:sz w:val="20"/>
                <w:szCs w:val="20"/>
              </w:rPr>
              <w:t>0</w:t>
            </w:r>
          </w:p>
        </w:tc>
      </w:tr>
      <w:tr w:rsidR="007F37CB" w:rsidRPr="00676064" w14:paraId="08D0EE8F" w14:textId="77777777" w:rsidTr="54F71CB4">
        <w:trPr>
          <w:jc w:val="center"/>
        </w:trPr>
        <w:tc>
          <w:tcPr>
            <w:tcW w:w="5911" w:type="dxa"/>
          </w:tcPr>
          <w:p w14:paraId="3ED27244" w14:textId="67BD3BB9" w:rsidR="007F37CB" w:rsidRPr="003061F1" w:rsidRDefault="007F37CB"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Pr>
                <w:rFonts w:cs="Arial"/>
                <w:sz w:val="20"/>
                <w:szCs w:val="20"/>
              </w:rPr>
              <w:t>FCO expenditure</w:t>
            </w:r>
          </w:p>
        </w:tc>
        <w:tc>
          <w:tcPr>
            <w:tcW w:w="1440" w:type="dxa"/>
          </w:tcPr>
          <w:p w14:paraId="2A767033" w14:textId="5BABB45E" w:rsidR="007F37CB" w:rsidRDefault="00DC4563" w:rsidP="002B369A">
            <w:pPr>
              <w:jc w:val="right"/>
              <w:rPr>
                <w:sz w:val="20"/>
                <w:szCs w:val="20"/>
              </w:rPr>
            </w:pPr>
            <w:r>
              <w:rPr>
                <w:sz w:val="20"/>
                <w:szCs w:val="20"/>
              </w:rPr>
              <w:t>0</w:t>
            </w:r>
          </w:p>
        </w:tc>
        <w:tc>
          <w:tcPr>
            <w:tcW w:w="417" w:type="dxa"/>
          </w:tcPr>
          <w:p w14:paraId="1CBB11AC" w14:textId="77777777" w:rsidR="007F37CB" w:rsidRPr="003061F1" w:rsidRDefault="007F37CB" w:rsidP="00E64B1A">
            <w:pPr>
              <w:jc w:val="right"/>
              <w:rPr>
                <w:sz w:val="20"/>
                <w:szCs w:val="20"/>
              </w:rPr>
            </w:pPr>
          </w:p>
        </w:tc>
        <w:tc>
          <w:tcPr>
            <w:tcW w:w="1245" w:type="dxa"/>
          </w:tcPr>
          <w:p w14:paraId="4FA1AF5A" w14:textId="54C51DEF" w:rsidR="007F37CB" w:rsidRDefault="00DC4563" w:rsidP="00E64B1A">
            <w:pPr>
              <w:jc w:val="right"/>
              <w:rPr>
                <w:sz w:val="20"/>
                <w:szCs w:val="20"/>
              </w:rPr>
            </w:pPr>
            <w:r>
              <w:rPr>
                <w:sz w:val="20"/>
                <w:szCs w:val="20"/>
              </w:rPr>
              <w:t>3,734</w:t>
            </w:r>
          </w:p>
        </w:tc>
      </w:tr>
      <w:tr w:rsidR="00E64B1A" w:rsidRPr="00676064" w14:paraId="52C77887" w14:textId="77777777" w:rsidTr="54F71CB4">
        <w:trPr>
          <w:jc w:val="center"/>
        </w:trPr>
        <w:tc>
          <w:tcPr>
            <w:tcW w:w="5911" w:type="dxa"/>
          </w:tcPr>
          <w:p w14:paraId="6F34BA8E"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Insurance</w:t>
            </w:r>
          </w:p>
        </w:tc>
        <w:tc>
          <w:tcPr>
            <w:tcW w:w="1440" w:type="dxa"/>
          </w:tcPr>
          <w:p w14:paraId="54E5B958" w14:textId="65D6BF6E" w:rsidR="00E64B1A" w:rsidRPr="003061F1" w:rsidRDefault="00DC4563" w:rsidP="002B369A">
            <w:pPr>
              <w:jc w:val="right"/>
              <w:rPr>
                <w:sz w:val="20"/>
                <w:szCs w:val="20"/>
              </w:rPr>
            </w:pPr>
            <w:r>
              <w:rPr>
                <w:sz w:val="20"/>
                <w:szCs w:val="20"/>
              </w:rPr>
              <w:t>10</w:t>
            </w:r>
            <w:r w:rsidR="00FE10BB">
              <w:rPr>
                <w:sz w:val="20"/>
                <w:szCs w:val="20"/>
              </w:rPr>
              <w:t>,</w:t>
            </w:r>
            <w:r>
              <w:rPr>
                <w:sz w:val="20"/>
                <w:szCs w:val="20"/>
              </w:rPr>
              <w:t>41</w:t>
            </w:r>
            <w:r w:rsidR="00CC2AB4">
              <w:rPr>
                <w:sz w:val="20"/>
                <w:szCs w:val="20"/>
              </w:rPr>
              <w:t>7</w:t>
            </w:r>
          </w:p>
        </w:tc>
        <w:tc>
          <w:tcPr>
            <w:tcW w:w="417" w:type="dxa"/>
          </w:tcPr>
          <w:p w14:paraId="0C044435" w14:textId="77777777" w:rsidR="00E64B1A" w:rsidRPr="003061F1" w:rsidRDefault="00E64B1A" w:rsidP="00E64B1A">
            <w:pPr>
              <w:jc w:val="right"/>
              <w:rPr>
                <w:sz w:val="20"/>
                <w:szCs w:val="20"/>
              </w:rPr>
            </w:pPr>
          </w:p>
        </w:tc>
        <w:tc>
          <w:tcPr>
            <w:tcW w:w="1245" w:type="dxa"/>
          </w:tcPr>
          <w:p w14:paraId="1AB95390" w14:textId="44A3F354" w:rsidR="00E64B1A" w:rsidRPr="003061F1" w:rsidRDefault="000B7C6C" w:rsidP="00E64B1A">
            <w:pPr>
              <w:jc w:val="right"/>
              <w:rPr>
                <w:sz w:val="20"/>
                <w:szCs w:val="20"/>
              </w:rPr>
            </w:pPr>
            <w:r>
              <w:rPr>
                <w:sz w:val="20"/>
                <w:szCs w:val="20"/>
              </w:rPr>
              <w:t>9</w:t>
            </w:r>
            <w:r w:rsidR="00917CB7">
              <w:rPr>
                <w:sz w:val="20"/>
                <w:szCs w:val="20"/>
              </w:rPr>
              <w:t>,</w:t>
            </w:r>
            <w:r w:rsidR="00DC4563">
              <w:rPr>
                <w:sz w:val="20"/>
                <w:szCs w:val="20"/>
              </w:rPr>
              <w:t>673</w:t>
            </w:r>
          </w:p>
        </w:tc>
      </w:tr>
      <w:tr w:rsidR="00E64B1A" w:rsidRPr="00676064" w14:paraId="5093D7D9" w14:textId="77777777" w:rsidTr="54F71CB4">
        <w:trPr>
          <w:jc w:val="center"/>
        </w:trPr>
        <w:tc>
          <w:tcPr>
            <w:tcW w:w="5911" w:type="dxa"/>
          </w:tcPr>
          <w:p w14:paraId="4967BC3E"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Internal audit</w:t>
            </w:r>
          </w:p>
        </w:tc>
        <w:tc>
          <w:tcPr>
            <w:tcW w:w="1440" w:type="dxa"/>
          </w:tcPr>
          <w:p w14:paraId="2BAD7143" w14:textId="2B8BC62C" w:rsidR="00E64B1A" w:rsidRPr="003061F1" w:rsidRDefault="00DC4563" w:rsidP="002B369A">
            <w:pPr>
              <w:jc w:val="right"/>
              <w:rPr>
                <w:sz w:val="20"/>
                <w:szCs w:val="20"/>
              </w:rPr>
            </w:pPr>
            <w:r>
              <w:rPr>
                <w:sz w:val="20"/>
                <w:szCs w:val="20"/>
              </w:rPr>
              <w:t>3</w:t>
            </w:r>
            <w:r w:rsidR="00FE10BB">
              <w:rPr>
                <w:sz w:val="20"/>
                <w:szCs w:val="20"/>
              </w:rPr>
              <w:t>,</w:t>
            </w:r>
            <w:r>
              <w:rPr>
                <w:sz w:val="20"/>
                <w:szCs w:val="20"/>
              </w:rPr>
              <w:t>357</w:t>
            </w:r>
          </w:p>
        </w:tc>
        <w:tc>
          <w:tcPr>
            <w:tcW w:w="417" w:type="dxa"/>
          </w:tcPr>
          <w:p w14:paraId="37DEEFE8" w14:textId="77777777" w:rsidR="00E64B1A" w:rsidRPr="003061F1" w:rsidRDefault="00E64B1A" w:rsidP="00E64B1A">
            <w:pPr>
              <w:jc w:val="right"/>
              <w:rPr>
                <w:sz w:val="20"/>
                <w:szCs w:val="20"/>
              </w:rPr>
            </w:pPr>
          </w:p>
        </w:tc>
        <w:tc>
          <w:tcPr>
            <w:tcW w:w="1245" w:type="dxa"/>
          </w:tcPr>
          <w:p w14:paraId="7EA66594" w14:textId="276F8ECE" w:rsidR="00E64B1A" w:rsidRPr="003061F1" w:rsidRDefault="00DC4563" w:rsidP="00E64B1A">
            <w:pPr>
              <w:jc w:val="right"/>
              <w:rPr>
                <w:sz w:val="20"/>
                <w:szCs w:val="20"/>
              </w:rPr>
            </w:pPr>
            <w:r>
              <w:rPr>
                <w:sz w:val="20"/>
                <w:szCs w:val="20"/>
              </w:rPr>
              <w:t>11</w:t>
            </w:r>
            <w:r w:rsidR="00917CB7">
              <w:rPr>
                <w:sz w:val="20"/>
                <w:szCs w:val="20"/>
              </w:rPr>
              <w:t>,</w:t>
            </w:r>
            <w:r>
              <w:rPr>
                <w:sz w:val="20"/>
                <w:szCs w:val="20"/>
              </w:rPr>
              <w:t>115</w:t>
            </w:r>
          </w:p>
        </w:tc>
      </w:tr>
      <w:tr w:rsidR="00E64B1A" w:rsidRPr="00676064" w14:paraId="349CAC7D" w14:textId="77777777" w:rsidTr="54F71CB4">
        <w:trPr>
          <w:jc w:val="center"/>
        </w:trPr>
        <w:tc>
          <w:tcPr>
            <w:tcW w:w="5911" w:type="dxa"/>
          </w:tcPr>
          <w:p w14:paraId="52CC8E0D"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Investigations</w:t>
            </w:r>
            <w:r w:rsidR="001C734F">
              <w:rPr>
                <w:rFonts w:cs="Arial"/>
                <w:sz w:val="20"/>
                <w:szCs w:val="20"/>
              </w:rPr>
              <w:t xml:space="preserve"> &amp; Research</w:t>
            </w:r>
          </w:p>
        </w:tc>
        <w:tc>
          <w:tcPr>
            <w:tcW w:w="1440" w:type="dxa"/>
          </w:tcPr>
          <w:p w14:paraId="0C7269FC" w14:textId="4038909A" w:rsidR="00E64B1A" w:rsidRPr="003061F1" w:rsidRDefault="00DC4563" w:rsidP="002B369A">
            <w:pPr>
              <w:jc w:val="right"/>
              <w:rPr>
                <w:sz w:val="20"/>
                <w:szCs w:val="20"/>
              </w:rPr>
            </w:pPr>
            <w:r>
              <w:rPr>
                <w:sz w:val="20"/>
                <w:szCs w:val="20"/>
              </w:rPr>
              <w:t>52</w:t>
            </w:r>
            <w:r w:rsidR="00FE10BB">
              <w:rPr>
                <w:sz w:val="20"/>
                <w:szCs w:val="20"/>
              </w:rPr>
              <w:t>,</w:t>
            </w:r>
            <w:r>
              <w:rPr>
                <w:sz w:val="20"/>
                <w:szCs w:val="20"/>
              </w:rPr>
              <w:t>701</w:t>
            </w:r>
          </w:p>
        </w:tc>
        <w:tc>
          <w:tcPr>
            <w:tcW w:w="417" w:type="dxa"/>
          </w:tcPr>
          <w:p w14:paraId="1C58932F" w14:textId="77777777" w:rsidR="00E64B1A" w:rsidRPr="003061F1" w:rsidRDefault="00E64B1A" w:rsidP="00E64B1A">
            <w:pPr>
              <w:jc w:val="right"/>
              <w:rPr>
                <w:sz w:val="20"/>
                <w:szCs w:val="20"/>
              </w:rPr>
            </w:pPr>
          </w:p>
        </w:tc>
        <w:tc>
          <w:tcPr>
            <w:tcW w:w="1245" w:type="dxa"/>
          </w:tcPr>
          <w:p w14:paraId="0D13331E" w14:textId="7D698C85" w:rsidR="00E64B1A" w:rsidRPr="003061F1" w:rsidRDefault="00DC4563" w:rsidP="00E64B1A">
            <w:pPr>
              <w:jc w:val="right"/>
              <w:rPr>
                <w:sz w:val="20"/>
                <w:szCs w:val="20"/>
              </w:rPr>
            </w:pPr>
            <w:r>
              <w:rPr>
                <w:sz w:val="20"/>
                <w:szCs w:val="20"/>
              </w:rPr>
              <w:t>49</w:t>
            </w:r>
            <w:r w:rsidR="00917CB7">
              <w:rPr>
                <w:sz w:val="20"/>
                <w:szCs w:val="20"/>
              </w:rPr>
              <w:t>,</w:t>
            </w:r>
            <w:r>
              <w:rPr>
                <w:sz w:val="20"/>
                <w:szCs w:val="20"/>
              </w:rPr>
              <w:t>375</w:t>
            </w:r>
          </w:p>
        </w:tc>
      </w:tr>
      <w:tr w:rsidR="00E64B1A" w:rsidRPr="00676064" w14:paraId="536A68BB" w14:textId="77777777" w:rsidTr="54F71CB4">
        <w:trPr>
          <w:jc w:val="center"/>
        </w:trPr>
        <w:tc>
          <w:tcPr>
            <w:tcW w:w="5911" w:type="dxa"/>
          </w:tcPr>
          <w:p w14:paraId="7991FFCA"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IT</w:t>
            </w:r>
          </w:p>
        </w:tc>
        <w:tc>
          <w:tcPr>
            <w:tcW w:w="1440" w:type="dxa"/>
          </w:tcPr>
          <w:p w14:paraId="710ED40D" w14:textId="2554F774" w:rsidR="00E64B1A" w:rsidRPr="003061F1" w:rsidRDefault="00DC4563" w:rsidP="002B369A">
            <w:pPr>
              <w:jc w:val="right"/>
              <w:rPr>
                <w:sz w:val="20"/>
                <w:szCs w:val="20"/>
              </w:rPr>
            </w:pPr>
            <w:r>
              <w:rPr>
                <w:sz w:val="20"/>
                <w:szCs w:val="20"/>
              </w:rPr>
              <w:t>80</w:t>
            </w:r>
            <w:r w:rsidR="00FE10BB">
              <w:rPr>
                <w:sz w:val="20"/>
                <w:szCs w:val="20"/>
              </w:rPr>
              <w:t>,</w:t>
            </w:r>
            <w:r>
              <w:rPr>
                <w:sz w:val="20"/>
                <w:szCs w:val="20"/>
              </w:rPr>
              <w:t>475</w:t>
            </w:r>
          </w:p>
        </w:tc>
        <w:tc>
          <w:tcPr>
            <w:tcW w:w="417" w:type="dxa"/>
          </w:tcPr>
          <w:p w14:paraId="60E9F7AC" w14:textId="77777777" w:rsidR="00E64B1A" w:rsidRPr="003061F1" w:rsidRDefault="00E64B1A" w:rsidP="00E64B1A">
            <w:pPr>
              <w:jc w:val="right"/>
              <w:rPr>
                <w:sz w:val="20"/>
                <w:szCs w:val="20"/>
              </w:rPr>
            </w:pPr>
          </w:p>
        </w:tc>
        <w:tc>
          <w:tcPr>
            <w:tcW w:w="1245" w:type="dxa"/>
          </w:tcPr>
          <w:p w14:paraId="0ACF728E" w14:textId="348E58C3" w:rsidR="00E64B1A" w:rsidRPr="003061F1" w:rsidRDefault="00DC4563" w:rsidP="00E64B1A">
            <w:pPr>
              <w:jc w:val="right"/>
              <w:rPr>
                <w:sz w:val="20"/>
                <w:szCs w:val="20"/>
              </w:rPr>
            </w:pPr>
            <w:r>
              <w:rPr>
                <w:sz w:val="20"/>
                <w:szCs w:val="20"/>
              </w:rPr>
              <w:t>46</w:t>
            </w:r>
            <w:r w:rsidR="00917CB7">
              <w:rPr>
                <w:sz w:val="20"/>
                <w:szCs w:val="20"/>
              </w:rPr>
              <w:t>,</w:t>
            </w:r>
            <w:r>
              <w:rPr>
                <w:sz w:val="20"/>
                <w:szCs w:val="20"/>
              </w:rPr>
              <w:t>838</w:t>
            </w:r>
          </w:p>
        </w:tc>
      </w:tr>
      <w:tr w:rsidR="00E64B1A" w:rsidRPr="00676064" w14:paraId="5586133B" w14:textId="77777777" w:rsidTr="54F71CB4">
        <w:trPr>
          <w:jc w:val="center"/>
        </w:trPr>
        <w:tc>
          <w:tcPr>
            <w:tcW w:w="5911" w:type="dxa"/>
          </w:tcPr>
          <w:p w14:paraId="3440C226" w14:textId="77777777" w:rsidR="00E64B1A" w:rsidRPr="003061F1" w:rsidRDefault="00E64B1A" w:rsidP="00E64B1A">
            <w:pPr>
              <w:rPr>
                <w:sz w:val="20"/>
                <w:szCs w:val="20"/>
              </w:rPr>
            </w:pPr>
            <w:r w:rsidRPr="003061F1">
              <w:rPr>
                <w:rFonts w:cs="Arial"/>
                <w:sz w:val="20"/>
                <w:szCs w:val="20"/>
              </w:rPr>
              <w:t>Legal casework (non–recoverable)</w:t>
            </w:r>
          </w:p>
        </w:tc>
        <w:tc>
          <w:tcPr>
            <w:tcW w:w="1440" w:type="dxa"/>
          </w:tcPr>
          <w:p w14:paraId="3364FB14" w14:textId="53C296AD" w:rsidR="00E64B1A" w:rsidRPr="003061F1" w:rsidRDefault="00DC4563" w:rsidP="002B369A">
            <w:pPr>
              <w:jc w:val="right"/>
              <w:rPr>
                <w:sz w:val="20"/>
                <w:szCs w:val="20"/>
              </w:rPr>
            </w:pPr>
            <w:r>
              <w:rPr>
                <w:sz w:val="20"/>
                <w:szCs w:val="20"/>
              </w:rPr>
              <w:t>78</w:t>
            </w:r>
            <w:r w:rsidR="00FE10BB">
              <w:rPr>
                <w:sz w:val="20"/>
                <w:szCs w:val="20"/>
              </w:rPr>
              <w:t>,</w:t>
            </w:r>
            <w:r>
              <w:rPr>
                <w:sz w:val="20"/>
                <w:szCs w:val="20"/>
              </w:rPr>
              <w:t>784</w:t>
            </w:r>
          </w:p>
        </w:tc>
        <w:tc>
          <w:tcPr>
            <w:tcW w:w="417" w:type="dxa"/>
          </w:tcPr>
          <w:p w14:paraId="44010ED9" w14:textId="77777777" w:rsidR="00E64B1A" w:rsidRPr="003061F1" w:rsidRDefault="00E64B1A" w:rsidP="00E64B1A">
            <w:pPr>
              <w:jc w:val="right"/>
              <w:rPr>
                <w:sz w:val="20"/>
                <w:szCs w:val="20"/>
              </w:rPr>
            </w:pPr>
          </w:p>
        </w:tc>
        <w:tc>
          <w:tcPr>
            <w:tcW w:w="1245" w:type="dxa"/>
          </w:tcPr>
          <w:p w14:paraId="77A379D7" w14:textId="2B98BB79" w:rsidR="00E64B1A" w:rsidRPr="003061F1" w:rsidRDefault="000B7C6C" w:rsidP="00E64B1A">
            <w:pPr>
              <w:jc w:val="right"/>
              <w:rPr>
                <w:sz w:val="20"/>
                <w:szCs w:val="20"/>
              </w:rPr>
            </w:pPr>
            <w:r>
              <w:rPr>
                <w:sz w:val="20"/>
                <w:szCs w:val="20"/>
              </w:rPr>
              <w:t>1</w:t>
            </w:r>
            <w:r w:rsidR="00DC4563">
              <w:rPr>
                <w:sz w:val="20"/>
                <w:szCs w:val="20"/>
              </w:rPr>
              <w:t>62</w:t>
            </w:r>
            <w:r w:rsidR="00917CB7">
              <w:rPr>
                <w:sz w:val="20"/>
                <w:szCs w:val="20"/>
              </w:rPr>
              <w:t>,</w:t>
            </w:r>
            <w:r w:rsidR="00DC4563">
              <w:rPr>
                <w:sz w:val="20"/>
                <w:szCs w:val="20"/>
              </w:rPr>
              <w:t>992</w:t>
            </w:r>
          </w:p>
        </w:tc>
      </w:tr>
      <w:tr w:rsidR="00E64B1A" w:rsidRPr="00676064" w14:paraId="0A2CAEF1" w14:textId="77777777" w:rsidTr="54F71CB4">
        <w:trPr>
          <w:jc w:val="center"/>
        </w:trPr>
        <w:tc>
          <w:tcPr>
            <w:tcW w:w="5911" w:type="dxa"/>
          </w:tcPr>
          <w:p w14:paraId="139CAE74" w14:textId="77777777" w:rsidR="00E64B1A" w:rsidRPr="003061F1" w:rsidRDefault="00E64B1A" w:rsidP="00E64B1A">
            <w:pPr>
              <w:rPr>
                <w:sz w:val="20"/>
                <w:szCs w:val="20"/>
              </w:rPr>
            </w:pPr>
            <w:r w:rsidRPr="003061F1">
              <w:rPr>
                <w:rFonts w:cs="Arial"/>
                <w:sz w:val="20"/>
                <w:szCs w:val="20"/>
              </w:rPr>
              <w:t>Light and heat</w:t>
            </w:r>
          </w:p>
        </w:tc>
        <w:tc>
          <w:tcPr>
            <w:tcW w:w="1440" w:type="dxa"/>
          </w:tcPr>
          <w:p w14:paraId="7CDD60D1" w14:textId="7B092E70" w:rsidR="00E64B1A" w:rsidRPr="003061F1" w:rsidRDefault="007F37CB" w:rsidP="002B369A">
            <w:pPr>
              <w:jc w:val="right"/>
              <w:rPr>
                <w:sz w:val="20"/>
                <w:szCs w:val="20"/>
              </w:rPr>
            </w:pPr>
            <w:r>
              <w:rPr>
                <w:sz w:val="20"/>
                <w:szCs w:val="20"/>
              </w:rPr>
              <w:t>1</w:t>
            </w:r>
            <w:r w:rsidR="00DC4563">
              <w:rPr>
                <w:sz w:val="20"/>
                <w:szCs w:val="20"/>
              </w:rPr>
              <w:t>3</w:t>
            </w:r>
            <w:r w:rsidR="00FE10BB">
              <w:rPr>
                <w:sz w:val="20"/>
                <w:szCs w:val="20"/>
              </w:rPr>
              <w:t>,</w:t>
            </w:r>
            <w:r w:rsidR="00DC4563">
              <w:rPr>
                <w:sz w:val="20"/>
                <w:szCs w:val="20"/>
              </w:rPr>
              <w:t>811</w:t>
            </w:r>
          </w:p>
        </w:tc>
        <w:tc>
          <w:tcPr>
            <w:tcW w:w="417" w:type="dxa"/>
          </w:tcPr>
          <w:p w14:paraId="53D83978" w14:textId="77777777" w:rsidR="00E64B1A" w:rsidRPr="003061F1" w:rsidRDefault="00E64B1A" w:rsidP="00E64B1A">
            <w:pPr>
              <w:jc w:val="right"/>
              <w:rPr>
                <w:sz w:val="20"/>
                <w:szCs w:val="20"/>
              </w:rPr>
            </w:pPr>
          </w:p>
        </w:tc>
        <w:tc>
          <w:tcPr>
            <w:tcW w:w="1245" w:type="dxa"/>
          </w:tcPr>
          <w:p w14:paraId="2921A110" w14:textId="1CCDDA8C" w:rsidR="00E64B1A" w:rsidRPr="003061F1" w:rsidRDefault="00DC4563" w:rsidP="00E64B1A">
            <w:pPr>
              <w:jc w:val="right"/>
              <w:rPr>
                <w:sz w:val="20"/>
                <w:szCs w:val="20"/>
              </w:rPr>
            </w:pPr>
            <w:r>
              <w:rPr>
                <w:sz w:val="20"/>
                <w:szCs w:val="20"/>
              </w:rPr>
              <w:t>12</w:t>
            </w:r>
            <w:r w:rsidR="00917CB7">
              <w:rPr>
                <w:sz w:val="20"/>
                <w:szCs w:val="20"/>
              </w:rPr>
              <w:t>,</w:t>
            </w:r>
            <w:r>
              <w:rPr>
                <w:sz w:val="20"/>
                <w:szCs w:val="20"/>
              </w:rPr>
              <w:t>413</w:t>
            </w:r>
          </w:p>
        </w:tc>
      </w:tr>
      <w:tr w:rsidR="00F96687" w:rsidRPr="00676064" w14:paraId="5DED5E06" w14:textId="77777777" w:rsidTr="54F71CB4">
        <w:trPr>
          <w:jc w:val="center"/>
        </w:trPr>
        <w:tc>
          <w:tcPr>
            <w:tcW w:w="5911" w:type="dxa"/>
          </w:tcPr>
          <w:p w14:paraId="6AEAB126" w14:textId="73549332" w:rsidR="00F96687" w:rsidRPr="003061F1" w:rsidRDefault="00F96687" w:rsidP="00E64B1A">
            <w:pPr>
              <w:rPr>
                <w:rFonts w:cs="Arial"/>
                <w:sz w:val="20"/>
                <w:szCs w:val="20"/>
              </w:rPr>
            </w:pPr>
            <w:r>
              <w:rPr>
                <w:rFonts w:cs="Arial"/>
                <w:sz w:val="20"/>
                <w:szCs w:val="20"/>
              </w:rPr>
              <w:t>Non-recoverable VAT expense</w:t>
            </w:r>
          </w:p>
        </w:tc>
        <w:tc>
          <w:tcPr>
            <w:tcW w:w="1440" w:type="dxa"/>
          </w:tcPr>
          <w:p w14:paraId="489AF81D" w14:textId="01BA4CF6" w:rsidR="00F96687" w:rsidRDefault="00F96687" w:rsidP="002B369A">
            <w:pPr>
              <w:jc w:val="right"/>
              <w:rPr>
                <w:sz w:val="20"/>
                <w:szCs w:val="20"/>
              </w:rPr>
            </w:pPr>
            <w:r>
              <w:rPr>
                <w:sz w:val="20"/>
                <w:szCs w:val="20"/>
              </w:rPr>
              <w:t>15,754</w:t>
            </w:r>
          </w:p>
        </w:tc>
        <w:tc>
          <w:tcPr>
            <w:tcW w:w="417" w:type="dxa"/>
          </w:tcPr>
          <w:p w14:paraId="7C2D4D5E" w14:textId="77777777" w:rsidR="00F96687" w:rsidRPr="003061F1" w:rsidRDefault="00F96687" w:rsidP="00E64B1A">
            <w:pPr>
              <w:jc w:val="right"/>
              <w:rPr>
                <w:sz w:val="20"/>
                <w:szCs w:val="20"/>
              </w:rPr>
            </w:pPr>
          </w:p>
        </w:tc>
        <w:tc>
          <w:tcPr>
            <w:tcW w:w="1245" w:type="dxa"/>
          </w:tcPr>
          <w:p w14:paraId="70FE115F" w14:textId="5626113C" w:rsidR="00F96687" w:rsidRDefault="000B7C6C" w:rsidP="00E64B1A">
            <w:pPr>
              <w:jc w:val="right"/>
              <w:rPr>
                <w:sz w:val="20"/>
                <w:szCs w:val="20"/>
              </w:rPr>
            </w:pPr>
            <w:r>
              <w:rPr>
                <w:sz w:val="20"/>
                <w:szCs w:val="20"/>
              </w:rPr>
              <w:t>15,754</w:t>
            </w:r>
          </w:p>
        </w:tc>
      </w:tr>
      <w:tr w:rsidR="00E64B1A" w:rsidRPr="00676064" w14:paraId="5F463FA9" w14:textId="77777777" w:rsidTr="54F71CB4">
        <w:trPr>
          <w:jc w:val="center"/>
        </w:trPr>
        <w:tc>
          <w:tcPr>
            <w:tcW w:w="5911" w:type="dxa"/>
          </w:tcPr>
          <w:p w14:paraId="6F401C01"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Other expenses</w:t>
            </w:r>
          </w:p>
        </w:tc>
        <w:tc>
          <w:tcPr>
            <w:tcW w:w="1440" w:type="dxa"/>
          </w:tcPr>
          <w:p w14:paraId="097F4502" w14:textId="51F477C9" w:rsidR="00E64B1A" w:rsidRPr="003061F1" w:rsidRDefault="00FE10BB" w:rsidP="002B369A">
            <w:pPr>
              <w:jc w:val="right"/>
              <w:rPr>
                <w:sz w:val="20"/>
                <w:szCs w:val="20"/>
              </w:rPr>
            </w:pPr>
            <w:r>
              <w:rPr>
                <w:sz w:val="20"/>
                <w:szCs w:val="20"/>
              </w:rPr>
              <w:t>8</w:t>
            </w:r>
          </w:p>
        </w:tc>
        <w:tc>
          <w:tcPr>
            <w:tcW w:w="417" w:type="dxa"/>
          </w:tcPr>
          <w:p w14:paraId="72870DE7" w14:textId="77777777" w:rsidR="00E64B1A" w:rsidRPr="003061F1" w:rsidRDefault="00E64B1A" w:rsidP="00E64B1A">
            <w:pPr>
              <w:jc w:val="right"/>
              <w:rPr>
                <w:sz w:val="20"/>
                <w:szCs w:val="20"/>
              </w:rPr>
            </w:pPr>
          </w:p>
        </w:tc>
        <w:tc>
          <w:tcPr>
            <w:tcW w:w="1245" w:type="dxa"/>
          </w:tcPr>
          <w:p w14:paraId="422D4F41" w14:textId="35993F72" w:rsidR="00E64B1A" w:rsidRPr="003061F1" w:rsidRDefault="000B7C6C" w:rsidP="00E64B1A">
            <w:pPr>
              <w:jc w:val="right"/>
              <w:rPr>
                <w:sz w:val="20"/>
                <w:szCs w:val="20"/>
              </w:rPr>
            </w:pPr>
            <w:r>
              <w:rPr>
                <w:sz w:val="20"/>
                <w:szCs w:val="20"/>
              </w:rPr>
              <w:t>8</w:t>
            </w:r>
          </w:p>
        </w:tc>
      </w:tr>
      <w:tr w:rsidR="00E64B1A" w:rsidRPr="00676064" w14:paraId="056E6FDF" w14:textId="77777777" w:rsidTr="54F71CB4">
        <w:trPr>
          <w:jc w:val="center"/>
        </w:trPr>
        <w:tc>
          <w:tcPr>
            <w:tcW w:w="5911" w:type="dxa"/>
          </w:tcPr>
          <w:p w14:paraId="25052870"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Printing, postage and stationery</w:t>
            </w:r>
          </w:p>
        </w:tc>
        <w:tc>
          <w:tcPr>
            <w:tcW w:w="1440" w:type="dxa"/>
          </w:tcPr>
          <w:p w14:paraId="51ED15B2" w14:textId="457080BB" w:rsidR="00E64B1A" w:rsidRPr="003061F1" w:rsidRDefault="00CC2AB4" w:rsidP="002B369A">
            <w:pPr>
              <w:jc w:val="right"/>
              <w:rPr>
                <w:sz w:val="20"/>
                <w:szCs w:val="20"/>
              </w:rPr>
            </w:pPr>
            <w:r>
              <w:rPr>
                <w:sz w:val="20"/>
                <w:szCs w:val="20"/>
              </w:rPr>
              <w:t>2</w:t>
            </w:r>
            <w:r w:rsidR="00FE10BB">
              <w:rPr>
                <w:sz w:val="20"/>
                <w:szCs w:val="20"/>
              </w:rPr>
              <w:t>,</w:t>
            </w:r>
            <w:r>
              <w:rPr>
                <w:sz w:val="20"/>
                <w:szCs w:val="20"/>
              </w:rPr>
              <w:t>414</w:t>
            </w:r>
          </w:p>
        </w:tc>
        <w:tc>
          <w:tcPr>
            <w:tcW w:w="417" w:type="dxa"/>
          </w:tcPr>
          <w:p w14:paraId="0F6632AC" w14:textId="77777777" w:rsidR="00E64B1A" w:rsidRPr="003061F1" w:rsidRDefault="00E64B1A" w:rsidP="00E64B1A">
            <w:pPr>
              <w:jc w:val="right"/>
              <w:rPr>
                <w:sz w:val="20"/>
                <w:szCs w:val="20"/>
              </w:rPr>
            </w:pPr>
          </w:p>
        </w:tc>
        <w:tc>
          <w:tcPr>
            <w:tcW w:w="1245" w:type="dxa"/>
          </w:tcPr>
          <w:p w14:paraId="5EB29E44" w14:textId="518F2F17" w:rsidR="00E64B1A" w:rsidRPr="003061F1" w:rsidRDefault="000B7C6C" w:rsidP="00E64B1A">
            <w:pPr>
              <w:jc w:val="right"/>
              <w:rPr>
                <w:sz w:val="20"/>
                <w:szCs w:val="20"/>
              </w:rPr>
            </w:pPr>
            <w:r>
              <w:rPr>
                <w:sz w:val="20"/>
                <w:szCs w:val="20"/>
              </w:rPr>
              <w:t>6</w:t>
            </w:r>
            <w:r w:rsidR="00917CB7">
              <w:rPr>
                <w:sz w:val="20"/>
                <w:szCs w:val="20"/>
              </w:rPr>
              <w:t>,</w:t>
            </w:r>
            <w:r w:rsidR="00DC4563">
              <w:rPr>
                <w:sz w:val="20"/>
                <w:szCs w:val="20"/>
              </w:rPr>
              <w:t>07</w:t>
            </w:r>
            <w:r>
              <w:rPr>
                <w:sz w:val="20"/>
                <w:szCs w:val="20"/>
              </w:rPr>
              <w:t>7</w:t>
            </w:r>
          </w:p>
        </w:tc>
      </w:tr>
      <w:tr w:rsidR="00E64B1A" w:rsidRPr="00676064" w14:paraId="3D24BF67" w14:textId="77777777" w:rsidTr="54F71CB4">
        <w:trPr>
          <w:jc w:val="center"/>
        </w:trPr>
        <w:tc>
          <w:tcPr>
            <w:tcW w:w="5911" w:type="dxa"/>
          </w:tcPr>
          <w:p w14:paraId="78C67754" w14:textId="77777777" w:rsidR="00E64B1A" w:rsidRPr="003061F1" w:rsidRDefault="00E64B1A" w:rsidP="00E64B1A">
            <w:pPr>
              <w:rPr>
                <w:sz w:val="20"/>
                <w:szCs w:val="20"/>
              </w:rPr>
            </w:pPr>
            <w:r w:rsidRPr="003061F1">
              <w:rPr>
                <w:rFonts w:cs="Arial"/>
                <w:sz w:val="20"/>
                <w:szCs w:val="20"/>
              </w:rPr>
              <w:t>Professional fees</w:t>
            </w:r>
          </w:p>
        </w:tc>
        <w:tc>
          <w:tcPr>
            <w:tcW w:w="1440" w:type="dxa"/>
          </w:tcPr>
          <w:p w14:paraId="70DCCFFE" w14:textId="77AB118E" w:rsidR="00E64B1A" w:rsidRPr="003061F1" w:rsidRDefault="00CC2AB4" w:rsidP="002B369A">
            <w:pPr>
              <w:jc w:val="right"/>
              <w:rPr>
                <w:sz w:val="20"/>
                <w:szCs w:val="20"/>
              </w:rPr>
            </w:pPr>
            <w:r>
              <w:rPr>
                <w:sz w:val="20"/>
                <w:szCs w:val="20"/>
              </w:rPr>
              <w:t>111</w:t>
            </w:r>
            <w:r w:rsidR="00FE10BB">
              <w:rPr>
                <w:sz w:val="20"/>
                <w:szCs w:val="20"/>
              </w:rPr>
              <w:t>,</w:t>
            </w:r>
            <w:r>
              <w:rPr>
                <w:sz w:val="20"/>
                <w:szCs w:val="20"/>
              </w:rPr>
              <w:t>972</w:t>
            </w:r>
          </w:p>
        </w:tc>
        <w:tc>
          <w:tcPr>
            <w:tcW w:w="417" w:type="dxa"/>
          </w:tcPr>
          <w:p w14:paraId="6224347D" w14:textId="77777777" w:rsidR="00E64B1A" w:rsidRPr="003061F1" w:rsidRDefault="00E64B1A" w:rsidP="00E64B1A">
            <w:pPr>
              <w:jc w:val="right"/>
              <w:rPr>
                <w:sz w:val="20"/>
                <w:szCs w:val="20"/>
              </w:rPr>
            </w:pPr>
          </w:p>
        </w:tc>
        <w:tc>
          <w:tcPr>
            <w:tcW w:w="1245" w:type="dxa"/>
          </w:tcPr>
          <w:p w14:paraId="21FE8AEF" w14:textId="24C67A31" w:rsidR="00E64B1A" w:rsidRPr="003061F1" w:rsidRDefault="00DC4563" w:rsidP="00E64B1A">
            <w:pPr>
              <w:jc w:val="right"/>
              <w:rPr>
                <w:sz w:val="20"/>
                <w:szCs w:val="20"/>
              </w:rPr>
            </w:pPr>
            <w:r>
              <w:rPr>
                <w:sz w:val="20"/>
                <w:szCs w:val="20"/>
              </w:rPr>
              <w:t>80</w:t>
            </w:r>
            <w:r w:rsidR="00917CB7">
              <w:rPr>
                <w:sz w:val="20"/>
                <w:szCs w:val="20"/>
              </w:rPr>
              <w:t>,</w:t>
            </w:r>
            <w:r>
              <w:rPr>
                <w:sz w:val="20"/>
                <w:szCs w:val="20"/>
              </w:rPr>
              <w:t>252</w:t>
            </w:r>
          </w:p>
        </w:tc>
      </w:tr>
      <w:tr w:rsidR="00E64B1A" w:rsidRPr="00676064" w14:paraId="359203F3" w14:textId="77777777" w:rsidTr="54F71CB4">
        <w:trPr>
          <w:jc w:val="center"/>
        </w:trPr>
        <w:tc>
          <w:tcPr>
            <w:tcW w:w="5911" w:type="dxa"/>
          </w:tcPr>
          <w:p w14:paraId="45CF9E52" w14:textId="46D2B0AE"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Rates</w:t>
            </w:r>
            <w:r w:rsidRPr="003061F1">
              <w:rPr>
                <w:rFonts w:cs="Arial"/>
                <w:sz w:val="20"/>
                <w:szCs w:val="20"/>
              </w:rPr>
              <w:tab/>
            </w:r>
          </w:p>
        </w:tc>
        <w:tc>
          <w:tcPr>
            <w:tcW w:w="1440" w:type="dxa"/>
          </w:tcPr>
          <w:p w14:paraId="48F989B4" w14:textId="553D60AF" w:rsidR="00E64B1A" w:rsidRPr="003061F1" w:rsidRDefault="007F37CB" w:rsidP="002B369A">
            <w:pPr>
              <w:jc w:val="right"/>
              <w:rPr>
                <w:sz w:val="20"/>
                <w:szCs w:val="20"/>
              </w:rPr>
            </w:pPr>
            <w:r>
              <w:rPr>
                <w:sz w:val="20"/>
                <w:szCs w:val="20"/>
              </w:rPr>
              <w:t>3</w:t>
            </w:r>
            <w:r w:rsidR="00CC2AB4">
              <w:rPr>
                <w:sz w:val="20"/>
                <w:szCs w:val="20"/>
              </w:rPr>
              <w:t>4</w:t>
            </w:r>
            <w:r w:rsidR="00FE10BB">
              <w:rPr>
                <w:sz w:val="20"/>
                <w:szCs w:val="20"/>
              </w:rPr>
              <w:t>,</w:t>
            </w:r>
            <w:r w:rsidR="00CC2AB4">
              <w:rPr>
                <w:sz w:val="20"/>
                <w:szCs w:val="20"/>
              </w:rPr>
              <w:t>464</w:t>
            </w:r>
          </w:p>
        </w:tc>
        <w:tc>
          <w:tcPr>
            <w:tcW w:w="417" w:type="dxa"/>
          </w:tcPr>
          <w:p w14:paraId="28249708" w14:textId="77777777" w:rsidR="00E64B1A" w:rsidRPr="003061F1" w:rsidRDefault="00E64B1A" w:rsidP="00E64B1A">
            <w:pPr>
              <w:jc w:val="right"/>
              <w:rPr>
                <w:sz w:val="20"/>
                <w:szCs w:val="20"/>
              </w:rPr>
            </w:pPr>
          </w:p>
        </w:tc>
        <w:tc>
          <w:tcPr>
            <w:tcW w:w="1245" w:type="dxa"/>
          </w:tcPr>
          <w:p w14:paraId="1EC2E32D" w14:textId="2D89F95E" w:rsidR="00E64B1A" w:rsidRPr="003061F1" w:rsidRDefault="00DC4563" w:rsidP="00E64B1A">
            <w:pPr>
              <w:jc w:val="right"/>
              <w:rPr>
                <w:sz w:val="20"/>
                <w:szCs w:val="20"/>
              </w:rPr>
            </w:pPr>
            <w:r>
              <w:rPr>
                <w:sz w:val="20"/>
                <w:szCs w:val="20"/>
              </w:rPr>
              <w:t>32</w:t>
            </w:r>
            <w:r w:rsidR="00917CB7">
              <w:rPr>
                <w:sz w:val="20"/>
                <w:szCs w:val="20"/>
              </w:rPr>
              <w:t>,</w:t>
            </w:r>
            <w:r w:rsidR="000B7C6C">
              <w:rPr>
                <w:sz w:val="20"/>
                <w:szCs w:val="20"/>
              </w:rPr>
              <w:t>8</w:t>
            </w:r>
            <w:r>
              <w:rPr>
                <w:sz w:val="20"/>
                <w:szCs w:val="20"/>
              </w:rPr>
              <w:t>04</w:t>
            </w:r>
          </w:p>
        </w:tc>
      </w:tr>
      <w:tr w:rsidR="00E64B1A" w:rsidRPr="00676064" w14:paraId="4B1A0F4E" w14:textId="77777777" w:rsidTr="54F71CB4">
        <w:trPr>
          <w:jc w:val="center"/>
        </w:trPr>
        <w:tc>
          <w:tcPr>
            <w:tcW w:w="5911" w:type="dxa"/>
          </w:tcPr>
          <w:p w14:paraId="47BA6FCD" w14:textId="77777777" w:rsidR="00E64B1A" w:rsidRPr="003061F1" w:rsidRDefault="00E64B1A" w:rsidP="00E64B1A">
            <w:pPr>
              <w:rPr>
                <w:sz w:val="20"/>
                <w:szCs w:val="20"/>
              </w:rPr>
            </w:pPr>
            <w:r w:rsidRPr="003061F1">
              <w:rPr>
                <w:rFonts w:cs="Arial"/>
                <w:sz w:val="20"/>
                <w:szCs w:val="20"/>
              </w:rPr>
              <w:t>Staff training and recruitment</w:t>
            </w:r>
          </w:p>
        </w:tc>
        <w:tc>
          <w:tcPr>
            <w:tcW w:w="1440" w:type="dxa"/>
          </w:tcPr>
          <w:p w14:paraId="565FEE9A" w14:textId="3F5744C3" w:rsidR="00E64B1A" w:rsidRPr="003061F1" w:rsidRDefault="00CC2AB4" w:rsidP="002B369A">
            <w:pPr>
              <w:jc w:val="right"/>
              <w:rPr>
                <w:sz w:val="20"/>
                <w:szCs w:val="20"/>
              </w:rPr>
            </w:pPr>
            <w:r>
              <w:rPr>
                <w:sz w:val="20"/>
                <w:szCs w:val="20"/>
              </w:rPr>
              <w:t>42</w:t>
            </w:r>
            <w:r w:rsidR="00FE10BB">
              <w:rPr>
                <w:sz w:val="20"/>
                <w:szCs w:val="20"/>
              </w:rPr>
              <w:t>,</w:t>
            </w:r>
            <w:r>
              <w:rPr>
                <w:sz w:val="20"/>
                <w:szCs w:val="20"/>
              </w:rPr>
              <w:t>330</w:t>
            </w:r>
          </w:p>
        </w:tc>
        <w:tc>
          <w:tcPr>
            <w:tcW w:w="417" w:type="dxa"/>
          </w:tcPr>
          <w:p w14:paraId="39516FB3" w14:textId="77777777" w:rsidR="00E64B1A" w:rsidRPr="003061F1" w:rsidRDefault="00E64B1A" w:rsidP="00E64B1A">
            <w:pPr>
              <w:jc w:val="right"/>
              <w:rPr>
                <w:sz w:val="20"/>
                <w:szCs w:val="20"/>
              </w:rPr>
            </w:pPr>
          </w:p>
        </w:tc>
        <w:tc>
          <w:tcPr>
            <w:tcW w:w="1245" w:type="dxa"/>
          </w:tcPr>
          <w:p w14:paraId="0436F322" w14:textId="2EE3AD4D" w:rsidR="00E64B1A" w:rsidRPr="003061F1" w:rsidRDefault="00DC4563" w:rsidP="00E64B1A">
            <w:pPr>
              <w:jc w:val="right"/>
              <w:rPr>
                <w:sz w:val="20"/>
                <w:szCs w:val="20"/>
              </w:rPr>
            </w:pPr>
            <w:r>
              <w:rPr>
                <w:sz w:val="20"/>
                <w:szCs w:val="20"/>
              </w:rPr>
              <w:t>18</w:t>
            </w:r>
            <w:r w:rsidR="00917CB7">
              <w:rPr>
                <w:sz w:val="20"/>
                <w:szCs w:val="20"/>
              </w:rPr>
              <w:t>,</w:t>
            </w:r>
            <w:r>
              <w:rPr>
                <w:sz w:val="20"/>
                <w:szCs w:val="20"/>
              </w:rPr>
              <w:t>891</w:t>
            </w:r>
          </w:p>
        </w:tc>
      </w:tr>
      <w:tr w:rsidR="00E64B1A" w:rsidRPr="00676064" w14:paraId="5FA7AA89" w14:textId="77777777" w:rsidTr="54F71CB4">
        <w:trPr>
          <w:jc w:val="center"/>
        </w:trPr>
        <w:tc>
          <w:tcPr>
            <w:tcW w:w="5911" w:type="dxa"/>
          </w:tcPr>
          <w:p w14:paraId="41CA06C4"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Telephone</w:t>
            </w:r>
          </w:p>
        </w:tc>
        <w:tc>
          <w:tcPr>
            <w:tcW w:w="1440" w:type="dxa"/>
          </w:tcPr>
          <w:p w14:paraId="7E726876" w14:textId="6CDDE824" w:rsidR="00E64B1A" w:rsidRPr="003061F1" w:rsidRDefault="00CC2AB4" w:rsidP="002B369A">
            <w:pPr>
              <w:jc w:val="right"/>
              <w:rPr>
                <w:sz w:val="20"/>
                <w:szCs w:val="20"/>
              </w:rPr>
            </w:pPr>
            <w:r>
              <w:rPr>
                <w:sz w:val="20"/>
                <w:szCs w:val="20"/>
              </w:rPr>
              <w:t>16</w:t>
            </w:r>
            <w:r w:rsidR="00FE10BB">
              <w:rPr>
                <w:sz w:val="20"/>
                <w:szCs w:val="20"/>
              </w:rPr>
              <w:t>,</w:t>
            </w:r>
            <w:r>
              <w:rPr>
                <w:sz w:val="20"/>
                <w:szCs w:val="20"/>
              </w:rPr>
              <w:t>679</w:t>
            </w:r>
          </w:p>
        </w:tc>
        <w:tc>
          <w:tcPr>
            <w:tcW w:w="417" w:type="dxa"/>
          </w:tcPr>
          <w:p w14:paraId="061E8037" w14:textId="77777777" w:rsidR="00E64B1A" w:rsidRPr="003061F1" w:rsidRDefault="00E64B1A" w:rsidP="00E64B1A">
            <w:pPr>
              <w:jc w:val="right"/>
              <w:rPr>
                <w:sz w:val="20"/>
                <w:szCs w:val="20"/>
              </w:rPr>
            </w:pPr>
          </w:p>
        </w:tc>
        <w:tc>
          <w:tcPr>
            <w:tcW w:w="1245" w:type="dxa"/>
          </w:tcPr>
          <w:p w14:paraId="5B296F82" w14:textId="5A4121AE" w:rsidR="00E64B1A" w:rsidRPr="003061F1" w:rsidRDefault="00917CB7" w:rsidP="00E64B1A">
            <w:pPr>
              <w:jc w:val="right"/>
              <w:rPr>
                <w:sz w:val="20"/>
                <w:szCs w:val="20"/>
              </w:rPr>
            </w:pPr>
            <w:r>
              <w:rPr>
                <w:sz w:val="20"/>
                <w:szCs w:val="20"/>
              </w:rPr>
              <w:t>1</w:t>
            </w:r>
            <w:r w:rsidR="00DC4563">
              <w:rPr>
                <w:sz w:val="20"/>
                <w:szCs w:val="20"/>
              </w:rPr>
              <w:t>4</w:t>
            </w:r>
            <w:r>
              <w:rPr>
                <w:sz w:val="20"/>
                <w:szCs w:val="20"/>
              </w:rPr>
              <w:t>,</w:t>
            </w:r>
            <w:r w:rsidR="00DC4563">
              <w:rPr>
                <w:sz w:val="20"/>
                <w:szCs w:val="20"/>
              </w:rPr>
              <w:t>110</w:t>
            </w:r>
          </w:p>
        </w:tc>
      </w:tr>
      <w:tr w:rsidR="00E64B1A" w:rsidRPr="00676064" w14:paraId="6CBBA8A7" w14:textId="77777777" w:rsidTr="54F71CB4">
        <w:trPr>
          <w:jc w:val="center"/>
        </w:trPr>
        <w:tc>
          <w:tcPr>
            <w:tcW w:w="5911" w:type="dxa"/>
          </w:tcPr>
          <w:p w14:paraId="3E464195" w14:textId="77777777" w:rsidR="00E64B1A" w:rsidRPr="003061F1" w:rsidRDefault="00E64B1A" w:rsidP="00E64B1A">
            <w:pPr>
              <w:rPr>
                <w:sz w:val="20"/>
                <w:szCs w:val="20"/>
              </w:rPr>
            </w:pPr>
            <w:r w:rsidRPr="003061F1">
              <w:rPr>
                <w:rFonts w:cs="Arial"/>
                <w:sz w:val="20"/>
                <w:szCs w:val="20"/>
              </w:rPr>
              <w:t>Travel, subsistence and hospitality</w:t>
            </w:r>
          </w:p>
        </w:tc>
        <w:tc>
          <w:tcPr>
            <w:tcW w:w="1440" w:type="dxa"/>
          </w:tcPr>
          <w:p w14:paraId="284EB59D" w14:textId="5A091708" w:rsidR="00E64B1A" w:rsidRPr="003061F1" w:rsidRDefault="00CC2AB4" w:rsidP="002B369A">
            <w:pPr>
              <w:jc w:val="right"/>
              <w:rPr>
                <w:sz w:val="20"/>
                <w:szCs w:val="20"/>
              </w:rPr>
            </w:pPr>
            <w:r>
              <w:rPr>
                <w:sz w:val="20"/>
                <w:szCs w:val="20"/>
              </w:rPr>
              <w:t>52</w:t>
            </w:r>
            <w:r w:rsidR="00FE10BB">
              <w:rPr>
                <w:sz w:val="20"/>
                <w:szCs w:val="20"/>
              </w:rPr>
              <w:t>,</w:t>
            </w:r>
            <w:r>
              <w:rPr>
                <w:sz w:val="20"/>
                <w:szCs w:val="20"/>
              </w:rPr>
              <w:t>323</w:t>
            </w:r>
          </w:p>
        </w:tc>
        <w:tc>
          <w:tcPr>
            <w:tcW w:w="417" w:type="dxa"/>
          </w:tcPr>
          <w:p w14:paraId="6E9A229F" w14:textId="77777777" w:rsidR="00E64B1A" w:rsidRPr="003061F1" w:rsidRDefault="00E64B1A" w:rsidP="00E64B1A">
            <w:pPr>
              <w:jc w:val="right"/>
              <w:rPr>
                <w:sz w:val="20"/>
                <w:szCs w:val="20"/>
              </w:rPr>
            </w:pPr>
          </w:p>
        </w:tc>
        <w:tc>
          <w:tcPr>
            <w:tcW w:w="1245" w:type="dxa"/>
          </w:tcPr>
          <w:p w14:paraId="2A2F1EC1" w14:textId="6F3B258C" w:rsidR="00E64B1A" w:rsidRPr="003061F1" w:rsidRDefault="00DC4563" w:rsidP="00E64B1A">
            <w:pPr>
              <w:jc w:val="right"/>
              <w:rPr>
                <w:sz w:val="20"/>
                <w:szCs w:val="20"/>
              </w:rPr>
            </w:pPr>
            <w:r>
              <w:rPr>
                <w:sz w:val="20"/>
                <w:szCs w:val="20"/>
              </w:rPr>
              <w:t>41</w:t>
            </w:r>
            <w:r w:rsidR="00917CB7">
              <w:rPr>
                <w:sz w:val="20"/>
                <w:szCs w:val="20"/>
              </w:rPr>
              <w:t>,</w:t>
            </w:r>
            <w:r>
              <w:rPr>
                <w:sz w:val="20"/>
                <w:szCs w:val="20"/>
              </w:rPr>
              <w:t>497</w:t>
            </w:r>
          </w:p>
        </w:tc>
      </w:tr>
      <w:tr w:rsidR="00E64B1A" w:rsidRPr="00676064" w14:paraId="3084E04F" w14:textId="77777777" w:rsidTr="54F71CB4">
        <w:trPr>
          <w:trHeight w:val="397"/>
          <w:jc w:val="center"/>
        </w:trPr>
        <w:tc>
          <w:tcPr>
            <w:tcW w:w="5911" w:type="dxa"/>
            <w:vAlign w:val="center"/>
          </w:tcPr>
          <w:p w14:paraId="76420700" w14:textId="77777777" w:rsidR="00E64B1A" w:rsidRPr="003061F1" w:rsidRDefault="00E64B1A" w:rsidP="00E64B1A">
            <w:pPr>
              <w:rPr>
                <w:rFonts w:cs="Arial"/>
                <w:sz w:val="20"/>
                <w:szCs w:val="20"/>
              </w:rPr>
            </w:pPr>
          </w:p>
        </w:tc>
        <w:tc>
          <w:tcPr>
            <w:tcW w:w="1440" w:type="dxa"/>
            <w:tcBorders>
              <w:top w:val="single" w:sz="4" w:space="0" w:color="auto"/>
            </w:tcBorders>
            <w:vAlign w:val="center"/>
          </w:tcPr>
          <w:p w14:paraId="5E138069" w14:textId="39026771" w:rsidR="00E64B1A" w:rsidRPr="003061F1" w:rsidRDefault="006321A7" w:rsidP="00E64B1A">
            <w:pPr>
              <w:jc w:val="right"/>
              <w:rPr>
                <w:rFonts w:cs="Arial"/>
                <w:sz w:val="20"/>
                <w:szCs w:val="20"/>
              </w:rPr>
            </w:pPr>
            <w:r w:rsidRPr="00273286">
              <w:rPr>
                <w:rFonts w:cs="Arial"/>
                <w:sz w:val="20"/>
                <w:szCs w:val="20"/>
              </w:rPr>
              <w:t>6</w:t>
            </w:r>
            <w:r w:rsidR="00CC2AB4">
              <w:rPr>
                <w:rFonts w:cs="Arial"/>
                <w:sz w:val="20"/>
                <w:szCs w:val="20"/>
              </w:rPr>
              <w:t>87</w:t>
            </w:r>
            <w:r w:rsidR="008D01FB" w:rsidRPr="00273286">
              <w:rPr>
                <w:rFonts w:cs="Arial"/>
                <w:sz w:val="20"/>
                <w:szCs w:val="20"/>
              </w:rPr>
              <w:t>,</w:t>
            </w:r>
            <w:r w:rsidR="00CC2AB4">
              <w:rPr>
                <w:rFonts w:cs="Arial"/>
                <w:sz w:val="20"/>
                <w:szCs w:val="20"/>
              </w:rPr>
              <w:t>088</w:t>
            </w:r>
          </w:p>
        </w:tc>
        <w:tc>
          <w:tcPr>
            <w:tcW w:w="417" w:type="dxa"/>
            <w:vAlign w:val="center"/>
          </w:tcPr>
          <w:p w14:paraId="2D322E43" w14:textId="77777777" w:rsidR="00E64B1A" w:rsidRPr="003061F1" w:rsidRDefault="00E64B1A" w:rsidP="00E64B1A">
            <w:pPr>
              <w:jc w:val="right"/>
              <w:rPr>
                <w:sz w:val="20"/>
                <w:szCs w:val="20"/>
              </w:rPr>
            </w:pPr>
          </w:p>
        </w:tc>
        <w:tc>
          <w:tcPr>
            <w:tcW w:w="1245" w:type="dxa"/>
            <w:tcBorders>
              <w:top w:val="single" w:sz="4" w:space="0" w:color="auto"/>
            </w:tcBorders>
            <w:vAlign w:val="center"/>
          </w:tcPr>
          <w:p w14:paraId="79258C50" w14:textId="58B2663C" w:rsidR="00E64B1A" w:rsidRPr="003061F1" w:rsidRDefault="00917CB7" w:rsidP="00E64B1A">
            <w:pPr>
              <w:jc w:val="right"/>
              <w:rPr>
                <w:rFonts w:cs="Arial"/>
                <w:sz w:val="20"/>
                <w:szCs w:val="20"/>
              </w:rPr>
            </w:pPr>
            <w:r>
              <w:rPr>
                <w:rFonts w:cs="Arial"/>
                <w:sz w:val="20"/>
                <w:szCs w:val="20"/>
              </w:rPr>
              <w:t>6</w:t>
            </w:r>
            <w:r w:rsidR="00DC4563">
              <w:rPr>
                <w:rFonts w:cs="Arial"/>
                <w:sz w:val="20"/>
                <w:szCs w:val="20"/>
              </w:rPr>
              <w:t>71</w:t>
            </w:r>
            <w:r>
              <w:rPr>
                <w:rFonts w:cs="Arial"/>
                <w:sz w:val="20"/>
                <w:szCs w:val="20"/>
              </w:rPr>
              <w:t>,</w:t>
            </w:r>
            <w:r w:rsidR="00DC4563">
              <w:rPr>
                <w:rFonts w:cs="Arial"/>
                <w:sz w:val="20"/>
                <w:szCs w:val="20"/>
              </w:rPr>
              <w:t>686</w:t>
            </w:r>
          </w:p>
        </w:tc>
      </w:tr>
      <w:tr w:rsidR="00E64B1A" w:rsidRPr="00676064" w14:paraId="644F517A" w14:textId="77777777" w:rsidTr="54F71CB4">
        <w:trPr>
          <w:jc w:val="center"/>
        </w:trPr>
        <w:tc>
          <w:tcPr>
            <w:tcW w:w="5911" w:type="dxa"/>
          </w:tcPr>
          <w:p w14:paraId="749E0B4A" w14:textId="77777777" w:rsidR="00E64B1A" w:rsidRPr="003061F1" w:rsidRDefault="00E64B1A" w:rsidP="00E64B1A">
            <w:pPr>
              <w:rPr>
                <w:rFonts w:cs="Arial"/>
                <w:sz w:val="20"/>
                <w:szCs w:val="20"/>
              </w:rPr>
            </w:pPr>
          </w:p>
        </w:tc>
        <w:tc>
          <w:tcPr>
            <w:tcW w:w="1440" w:type="dxa"/>
          </w:tcPr>
          <w:p w14:paraId="6E2418DB" w14:textId="77777777" w:rsidR="00E64B1A" w:rsidRPr="003061F1" w:rsidRDefault="00E64B1A" w:rsidP="00E64B1A">
            <w:pPr>
              <w:jc w:val="right"/>
              <w:rPr>
                <w:rFonts w:cs="Arial"/>
                <w:sz w:val="20"/>
                <w:szCs w:val="20"/>
              </w:rPr>
            </w:pPr>
          </w:p>
        </w:tc>
        <w:tc>
          <w:tcPr>
            <w:tcW w:w="417" w:type="dxa"/>
          </w:tcPr>
          <w:p w14:paraId="79DA76E0" w14:textId="77777777" w:rsidR="00E64B1A" w:rsidRPr="003061F1" w:rsidRDefault="00E64B1A" w:rsidP="00E64B1A">
            <w:pPr>
              <w:jc w:val="right"/>
              <w:rPr>
                <w:sz w:val="20"/>
                <w:szCs w:val="20"/>
              </w:rPr>
            </w:pPr>
          </w:p>
        </w:tc>
        <w:tc>
          <w:tcPr>
            <w:tcW w:w="1245" w:type="dxa"/>
          </w:tcPr>
          <w:p w14:paraId="4D0F702D" w14:textId="77777777" w:rsidR="00E64B1A" w:rsidRPr="003061F1" w:rsidRDefault="00E64B1A" w:rsidP="00E64B1A">
            <w:pPr>
              <w:jc w:val="right"/>
              <w:rPr>
                <w:rFonts w:cs="Arial"/>
                <w:sz w:val="20"/>
                <w:szCs w:val="20"/>
              </w:rPr>
            </w:pPr>
          </w:p>
        </w:tc>
      </w:tr>
      <w:tr w:rsidR="00FE10BB" w:rsidRPr="00676064" w14:paraId="2057B8D3" w14:textId="77777777" w:rsidTr="54F71CB4">
        <w:trPr>
          <w:jc w:val="center"/>
        </w:trPr>
        <w:tc>
          <w:tcPr>
            <w:tcW w:w="5911" w:type="dxa"/>
          </w:tcPr>
          <w:p w14:paraId="4AFE9196" w14:textId="1292197D" w:rsidR="00FE10BB" w:rsidRPr="00FE10BB" w:rsidRDefault="00FE10BB" w:rsidP="00E64B1A">
            <w:pPr>
              <w:rPr>
                <w:rFonts w:cs="Arial"/>
                <w:b/>
                <w:bCs/>
                <w:sz w:val="20"/>
                <w:szCs w:val="20"/>
              </w:rPr>
            </w:pPr>
            <w:r>
              <w:rPr>
                <w:rFonts w:cs="Arial"/>
                <w:b/>
                <w:bCs/>
                <w:sz w:val="20"/>
                <w:szCs w:val="20"/>
              </w:rPr>
              <w:t>Finance Costs</w:t>
            </w:r>
          </w:p>
        </w:tc>
        <w:tc>
          <w:tcPr>
            <w:tcW w:w="1440" w:type="dxa"/>
          </w:tcPr>
          <w:p w14:paraId="2323FAE4" w14:textId="77777777" w:rsidR="00FE10BB" w:rsidRPr="003061F1" w:rsidRDefault="00FE10BB" w:rsidP="00E64B1A">
            <w:pPr>
              <w:jc w:val="right"/>
              <w:rPr>
                <w:rFonts w:cs="Arial"/>
                <w:sz w:val="20"/>
                <w:szCs w:val="20"/>
              </w:rPr>
            </w:pPr>
          </w:p>
        </w:tc>
        <w:tc>
          <w:tcPr>
            <w:tcW w:w="417" w:type="dxa"/>
          </w:tcPr>
          <w:p w14:paraId="365CB6AC" w14:textId="77777777" w:rsidR="00FE10BB" w:rsidRPr="003061F1" w:rsidRDefault="00FE10BB" w:rsidP="00E64B1A">
            <w:pPr>
              <w:jc w:val="right"/>
              <w:rPr>
                <w:sz w:val="20"/>
                <w:szCs w:val="20"/>
              </w:rPr>
            </w:pPr>
          </w:p>
        </w:tc>
        <w:tc>
          <w:tcPr>
            <w:tcW w:w="1245" w:type="dxa"/>
          </w:tcPr>
          <w:p w14:paraId="1DD8C704" w14:textId="77777777" w:rsidR="00FE10BB" w:rsidRPr="003061F1" w:rsidRDefault="00FE10BB" w:rsidP="00E64B1A">
            <w:pPr>
              <w:jc w:val="right"/>
              <w:rPr>
                <w:rFonts w:cs="Arial"/>
                <w:sz w:val="20"/>
                <w:szCs w:val="20"/>
              </w:rPr>
            </w:pPr>
          </w:p>
        </w:tc>
      </w:tr>
      <w:tr w:rsidR="00FE10BB" w:rsidRPr="00676064" w14:paraId="4A0CDB33" w14:textId="77777777" w:rsidTr="54F71CB4">
        <w:trPr>
          <w:jc w:val="center"/>
        </w:trPr>
        <w:tc>
          <w:tcPr>
            <w:tcW w:w="5911" w:type="dxa"/>
          </w:tcPr>
          <w:p w14:paraId="7B272BCE" w14:textId="7541201F" w:rsidR="00FE10BB" w:rsidRPr="003061F1" w:rsidRDefault="00FE10BB" w:rsidP="00E64B1A">
            <w:pPr>
              <w:rPr>
                <w:rFonts w:cs="Arial"/>
                <w:sz w:val="20"/>
                <w:szCs w:val="20"/>
              </w:rPr>
            </w:pPr>
            <w:r>
              <w:rPr>
                <w:rFonts w:cs="Arial"/>
                <w:sz w:val="20"/>
                <w:szCs w:val="20"/>
              </w:rPr>
              <w:t>Interest Expense</w:t>
            </w:r>
          </w:p>
        </w:tc>
        <w:tc>
          <w:tcPr>
            <w:tcW w:w="1440" w:type="dxa"/>
            <w:tcBorders>
              <w:bottom w:val="single" w:sz="4" w:space="0" w:color="auto"/>
            </w:tcBorders>
          </w:tcPr>
          <w:p w14:paraId="28C86E61" w14:textId="23F3AF80" w:rsidR="006C0AAA" w:rsidRPr="003061F1" w:rsidRDefault="00CC2AB4" w:rsidP="006C0AAA">
            <w:pPr>
              <w:jc w:val="right"/>
              <w:rPr>
                <w:rFonts w:cs="Arial"/>
                <w:sz w:val="20"/>
                <w:szCs w:val="20"/>
              </w:rPr>
            </w:pPr>
            <w:r>
              <w:rPr>
                <w:rFonts w:cs="Arial"/>
                <w:sz w:val="20"/>
                <w:szCs w:val="20"/>
              </w:rPr>
              <w:t>5</w:t>
            </w:r>
            <w:r w:rsidR="008D01FB">
              <w:rPr>
                <w:rFonts w:cs="Arial"/>
                <w:sz w:val="20"/>
                <w:szCs w:val="20"/>
              </w:rPr>
              <w:t>,</w:t>
            </w:r>
            <w:r>
              <w:rPr>
                <w:rFonts w:cs="Arial"/>
                <w:sz w:val="20"/>
                <w:szCs w:val="20"/>
              </w:rPr>
              <w:t>903</w:t>
            </w:r>
          </w:p>
        </w:tc>
        <w:tc>
          <w:tcPr>
            <w:tcW w:w="417" w:type="dxa"/>
          </w:tcPr>
          <w:p w14:paraId="2C3F527C" w14:textId="77777777" w:rsidR="00FE10BB" w:rsidRPr="003061F1" w:rsidRDefault="00FE10BB" w:rsidP="00E64B1A">
            <w:pPr>
              <w:jc w:val="right"/>
              <w:rPr>
                <w:sz w:val="20"/>
                <w:szCs w:val="20"/>
              </w:rPr>
            </w:pPr>
          </w:p>
        </w:tc>
        <w:tc>
          <w:tcPr>
            <w:tcW w:w="1245" w:type="dxa"/>
            <w:tcBorders>
              <w:bottom w:val="single" w:sz="4" w:space="0" w:color="auto"/>
            </w:tcBorders>
          </w:tcPr>
          <w:p w14:paraId="144C3152" w14:textId="4294054C" w:rsidR="00FE10BB" w:rsidRPr="003061F1" w:rsidRDefault="00DC4563" w:rsidP="00E64B1A">
            <w:pPr>
              <w:jc w:val="right"/>
              <w:rPr>
                <w:rFonts w:cs="Arial"/>
                <w:sz w:val="20"/>
                <w:szCs w:val="20"/>
              </w:rPr>
            </w:pPr>
            <w:r>
              <w:rPr>
                <w:rFonts w:cs="Arial"/>
                <w:sz w:val="20"/>
                <w:szCs w:val="20"/>
              </w:rPr>
              <w:t>6</w:t>
            </w:r>
            <w:r w:rsidR="000B7C6C">
              <w:rPr>
                <w:rFonts w:cs="Arial"/>
                <w:sz w:val="20"/>
                <w:szCs w:val="20"/>
              </w:rPr>
              <w:t>,</w:t>
            </w:r>
            <w:r>
              <w:rPr>
                <w:rFonts w:cs="Arial"/>
                <w:sz w:val="20"/>
                <w:szCs w:val="20"/>
              </w:rPr>
              <w:t>651</w:t>
            </w:r>
          </w:p>
        </w:tc>
      </w:tr>
      <w:tr w:rsidR="00FE10BB" w:rsidRPr="00676064" w14:paraId="5A3F0478" w14:textId="77777777" w:rsidTr="54F71CB4">
        <w:trPr>
          <w:jc w:val="center"/>
        </w:trPr>
        <w:tc>
          <w:tcPr>
            <w:tcW w:w="5911" w:type="dxa"/>
          </w:tcPr>
          <w:p w14:paraId="48F0C23F" w14:textId="77777777" w:rsidR="00FE10BB" w:rsidRPr="003061F1" w:rsidRDefault="00FE10BB" w:rsidP="00E64B1A">
            <w:pPr>
              <w:rPr>
                <w:rFonts w:cs="Arial"/>
                <w:sz w:val="20"/>
                <w:szCs w:val="20"/>
              </w:rPr>
            </w:pPr>
          </w:p>
        </w:tc>
        <w:tc>
          <w:tcPr>
            <w:tcW w:w="1440" w:type="dxa"/>
            <w:tcBorders>
              <w:top w:val="single" w:sz="4" w:space="0" w:color="auto"/>
            </w:tcBorders>
          </w:tcPr>
          <w:p w14:paraId="5758CB18" w14:textId="5045D306" w:rsidR="00FE10BB" w:rsidRPr="003061F1" w:rsidRDefault="00FE10BB" w:rsidP="00E64B1A">
            <w:pPr>
              <w:jc w:val="right"/>
              <w:rPr>
                <w:rFonts w:cs="Arial"/>
                <w:sz w:val="20"/>
                <w:szCs w:val="20"/>
              </w:rPr>
            </w:pPr>
            <w:r>
              <w:rPr>
                <w:rFonts w:cs="Arial"/>
                <w:sz w:val="20"/>
                <w:szCs w:val="20"/>
              </w:rPr>
              <w:t>6</w:t>
            </w:r>
            <w:r w:rsidR="00CC2AB4">
              <w:rPr>
                <w:rFonts w:cs="Arial"/>
                <w:sz w:val="20"/>
                <w:szCs w:val="20"/>
              </w:rPr>
              <w:t>92</w:t>
            </w:r>
            <w:r w:rsidR="008D01FB">
              <w:rPr>
                <w:rFonts w:cs="Arial"/>
                <w:sz w:val="20"/>
                <w:szCs w:val="20"/>
              </w:rPr>
              <w:t>,</w:t>
            </w:r>
            <w:r w:rsidR="00CC2AB4">
              <w:rPr>
                <w:rFonts w:cs="Arial"/>
                <w:sz w:val="20"/>
                <w:szCs w:val="20"/>
              </w:rPr>
              <w:t>991</w:t>
            </w:r>
          </w:p>
        </w:tc>
        <w:tc>
          <w:tcPr>
            <w:tcW w:w="417" w:type="dxa"/>
          </w:tcPr>
          <w:p w14:paraId="04743A41" w14:textId="77777777" w:rsidR="00FE10BB" w:rsidRPr="003061F1" w:rsidRDefault="00FE10BB" w:rsidP="00E64B1A">
            <w:pPr>
              <w:jc w:val="right"/>
              <w:rPr>
                <w:sz w:val="20"/>
                <w:szCs w:val="20"/>
              </w:rPr>
            </w:pPr>
          </w:p>
        </w:tc>
        <w:tc>
          <w:tcPr>
            <w:tcW w:w="1245" w:type="dxa"/>
            <w:tcBorders>
              <w:top w:val="single" w:sz="4" w:space="0" w:color="auto"/>
            </w:tcBorders>
          </w:tcPr>
          <w:p w14:paraId="79EB7D9E" w14:textId="404F85E9" w:rsidR="00FE10BB" w:rsidRPr="003061F1" w:rsidRDefault="006C0AAA" w:rsidP="00E64B1A">
            <w:pPr>
              <w:jc w:val="right"/>
              <w:rPr>
                <w:rFonts w:cs="Arial"/>
                <w:sz w:val="20"/>
                <w:szCs w:val="20"/>
              </w:rPr>
            </w:pPr>
            <w:r>
              <w:rPr>
                <w:rFonts w:cs="Arial"/>
                <w:sz w:val="20"/>
                <w:szCs w:val="20"/>
              </w:rPr>
              <w:t>6</w:t>
            </w:r>
            <w:r w:rsidR="00DC4563">
              <w:rPr>
                <w:rFonts w:cs="Arial"/>
                <w:sz w:val="20"/>
                <w:szCs w:val="20"/>
              </w:rPr>
              <w:t>78</w:t>
            </w:r>
            <w:r>
              <w:rPr>
                <w:rFonts w:cs="Arial"/>
                <w:sz w:val="20"/>
                <w:szCs w:val="20"/>
              </w:rPr>
              <w:t>,</w:t>
            </w:r>
            <w:r w:rsidR="00DC4563">
              <w:rPr>
                <w:rFonts w:cs="Arial"/>
                <w:sz w:val="20"/>
                <w:szCs w:val="20"/>
              </w:rPr>
              <w:t>337</w:t>
            </w:r>
          </w:p>
        </w:tc>
      </w:tr>
      <w:tr w:rsidR="00FE10BB" w:rsidRPr="00676064" w14:paraId="7E1EAA9D" w14:textId="77777777" w:rsidTr="54F71CB4">
        <w:trPr>
          <w:jc w:val="center"/>
        </w:trPr>
        <w:tc>
          <w:tcPr>
            <w:tcW w:w="5911" w:type="dxa"/>
          </w:tcPr>
          <w:p w14:paraId="377FB746" w14:textId="77777777" w:rsidR="00FE10BB" w:rsidRPr="003061F1" w:rsidRDefault="00FE10BB" w:rsidP="00E64B1A">
            <w:pPr>
              <w:rPr>
                <w:rFonts w:cs="Arial"/>
                <w:sz w:val="20"/>
                <w:szCs w:val="20"/>
              </w:rPr>
            </w:pPr>
          </w:p>
        </w:tc>
        <w:tc>
          <w:tcPr>
            <w:tcW w:w="1440" w:type="dxa"/>
          </w:tcPr>
          <w:p w14:paraId="39A6B905" w14:textId="77777777" w:rsidR="00FE10BB" w:rsidRPr="003061F1" w:rsidRDefault="00FE10BB" w:rsidP="00E64B1A">
            <w:pPr>
              <w:jc w:val="right"/>
              <w:rPr>
                <w:rFonts w:cs="Arial"/>
                <w:sz w:val="20"/>
                <w:szCs w:val="20"/>
              </w:rPr>
            </w:pPr>
          </w:p>
        </w:tc>
        <w:tc>
          <w:tcPr>
            <w:tcW w:w="417" w:type="dxa"/>
          </w:tcPr>
          <w:p w14:paraId="4C14BE52" w14:textId="77777777" w:rsidR="00FE10BB" w:rsidRPr="003061F1" w:rsidRDefault="00FE10BB" w:rsidP="00E64B1A">
            <w:pPr>
              <w:jc w:val="right"/>
              <w:rPr>
                <w:sz w:val="20"/>
                <w:szCs w:val="20"/>
              </w:rPr>
            </w:pPr>
          </w:p>
        </w:tc>
        <w:tc>
          <w:tcPr>
            <w:tcW w:w="1245" w:type="dxa"/>
          </w:tcPr>
          <w:p w14:paraId="52D630E5" w14:textId="77777777" w:rsidR="00FE10BB" w:rsidRPr="003061F1" w:rsidRDefault="00FE10BB" w:rsidP="00E64B1A">
            <w:pPr>
              <w:jc w:val="right"/>
              <w:rPr>
                <w:rFonts w:cs="Arial"/>
                <w:sz w:val="20"/>
                <w:szCs w:val="20"/>
              </w:rPr>
            </w:pPr>
          </w:p>
        </w:tc>
      </w:tr>
      <w:tr w:rsidR="00E64B1A" w:rsidRPr="00676064" w14:paraId="45ED71D7" w14:textId="77777777" w:rsidTr="54F71CB4">
        <w:trPr>
          <w:jc w:val="center"/>
        </w:trPr>
        <w:tc>
          <w:tcPr>
            <w:tcW w:w="5911" w:type="dxa"/>
          </w:tcPr>
          <w:p w14:paraId="6888E4AC" w14:textId="77777777" w:rsidR="00DA79BF" w:rsidRDefault="00DA79BF" w:rsidP="00E64B1A">
            <w:pPr>
              <w:widowControl w:val="0"/>
              <w:tabs>
                <w:tab w:val="left" w:pos="567"/>
                <w:tab w:val="right" w:pos="6120"/>
                <w:tab w:val="right" w:leader="hyphen" w:pos="7020"/>
                <w:tab w:val="right" w:pos="8222"/>
                <w:tab w:val="right" w:pos="9072"/>
              </w:tabs>
              <w:autoSpaceDE w:val="0"/>
              <w:autoSpaceDN w:val="0"/>
              <w:adjustRightInd w:val="0"/>
              <w:rPr>
                <w:rFonts w:cs="Arial"/>
                <w:b/>
                <w:sz w:val="20"/>
                <w:szCs w:val="20"/>
              </w:rPr>
            </w:pPr>
          </w:p>
          <w:p w14:paraId="51F59B12" w14:textId="229FD3B1"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b/>
                <w:sz w:val="20"/>
                <w:szCs w:val="20"/>
              </w:rPr>
              <w:t>Non–Cash Items:</w:t>
            </w:r>
          </w:p>
        </w:tc>
        <w:tc>
          <w:tcPr>
            <w:tcW w:w="1440" w:type="dxa"/>
          </w:tcPr>
          <w:p w14:paraId="564AF501" w14:textId="77777777" w:rsidR="00E64B1A" w:rsidRPr="003061F1" w:rsidRDefault="00E64B1A" w:rsidP="00E64B1A">
            <w:pPr>
              <w:jc w:val="right"/>
              <w:rPr>
                <w:rFonts w:cs="Arial"/>
                <w:sz w:val="20"/>
                <w:szCs w:val="20"/>
              </w:rPr>
            </w:pPr>
          </w:p>
        </w:tc>
        <w:tc>
          <w:tcPr>
            <w:tcW w:w="417" w:type="dxa"/>
          </w:tcPr>
          <w:p w14:paraId="14A5FDAF" w14:textId="77777777" w:rsidR="00E64B1A" w:rsidRPr="003061F1" w:rsidRDefault="00E64B1A" w:rsidP="00E64B1A">
            <w:pPr>
              <w:jc w:val="right"/>
              <w:rPr>
                <w:sz w:val="20"/>
                <w:szCs w:val="20"/>
              </w:rPr>
            </w:pPr>
          </w:p>
        </w:tc>
        <w:tc>
          <w:tcPr>
            <w:tcW w:w="1245" w:type="dxa"/>
          </w:tcPr>
          <w:p w14:paraId="3F01DFA4" w14:textId="77777777" w:rsidR="00E64B1A" w:rsidRPr="003061F1" w:rsidRDefault="00E64B1A" w:rsidP="00E64B1A">
            <w:pPr>
              <w:jc w:val="right"/>
              <w:rPr>
                <w:rFonts w:cs="Arial"/>
                <w:sz w:val="20"/>
                <w:szCs w:val="20"/>
              </w:rPr>
            </w:pPr>
          </w:p>
        </w:tc>
      </w:tr>
      <w:tr w:rsidR="00E64B1A" w:rsidRPr="00676064" w14:paraId="13F51CD9" w14:textId="77777777" w:rsidTr="54F71CB4">
        <w:trPr>
          <w:jc w:val="center"/>
        </w:trPr>
        <w:tc>
          <w:tcPr>
            <w:tcW w:w="5911" w:type="dxa"/>
          </w:tcPr>
          <w:p w14:paraId="2F4FABCF" w14:textId="02614D02" w:rsidR="002B369A" w:rsidRDefault="00E64B1A" w:rsidP="001C734F">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Depreciation, Amortisation and Impairment</w:t>
            </w:r>
          </w:p>
          <w:p w14:paraId="1E7EF98B" w14:textId="0CB97E08" w:rsidR="006F289C" w:rsidRPr="003061F1" w:rsidRDefault="001515FF" w:rsidP="001C734F">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Pr>
                <w:rFonts w:cs="Arial"/>
                <w:sz w:val="20"/>
                <w:szCs w:val="20"/>
              </w:rPr>
              <w:t>Depreciation Right-of-Use Assets</w:t>
            </w:r>
          </w:p>
        </w:tc>
        <w:tc>
          <w:tcPr>
            <w:tcW w:w="1440" w:type="dxa"/>
          </w:tcPr>
          <w:p w14:paraId="08381F11" w14:textId="03EDAB4E" w:rsidR="006F289C" w:rsidRDefault="00243E7B" w:rsidP="002B369A">
            <w:pPr>
              <w:jc w:val="right"/>
              <w:rPr>
                <w:rFonts w:cs="Arial"/>
                <w:sz w:val="20"/>
                <w:szCs w:val="20"/>
              </w:rPr>
            </w:pPr>
            <w:r>
              <w:rPr>
                <w:rFonts w:cs="Arial"/>
                <w:sz w:val="20"/>
                <w:szCs w:val="20"/>
              </w:rPr>
              <w:t xml:space="preserve">   </w:t>
            </w:r>
            <w:r w:rsidR="002B369A">
              <w:rPr>
                <w:rFonts w:cs="Arial"/>
                <w:sz w:val="20"/>
                <w:szCs w:val="20"/>
              </w:rPr>
              <w:t>1</w:t>
            </w:r>
            <w:r w:rsidR="001515FF">
              <w:rPr>
                <w:rFonts w:cs="Arial"/>
                <w:sz w:val="20"/>
                <w:szCs w:val="20"/>
              </w:rPr>
              <w:t>0</w:t>
            </w:r>
            <w:r w:rsidR="00CC2AB4">
              <w:rPr>
                <w:rFonts w:cs="Arial"/>
                <w:sz w:val="20"/>
                <w:szCs w:val="20"/>
              </w:rPr>
              <w:t>6</w:t>
            </w:r>
            <w:r w:rsidR="001515FF">
              <w:rPr>
                <w:rFonts w:cs="Arial"/>
                <w:sz w:val="20"/>
                <w:szCs w:val="20"/>
              </w:rPr>
              <w:t>,</w:t>
            </w:r>
            <w:r w:rsidR="008E2478">
              <w:rPr>
                <w:rFonts w:cs="Arial"/>
                <w:sz w:val="20"/>
                <w:szCs w:val="20"/>
              </w:rPr>
              <w:t>727</w:t>
            </w:r>
          </w:p>
          <w:p w14:paraId="397B35A1" w14:textId="53BEA6C2" w:rsidR="00BD77E6" w:rsidRPr="003061F1" w:rsidRDefault="00243E7B" w:rsidP="002B369A">
            <w:pPr>
              <w:jc w:val="right"/>
              <w:rPr>
                <w:rFonts w:cs="Arial"/>
                <w:sz w:val="20"/>
                <w:szCs w:val="20"/>
              </w:rPr>
            </w:pPr>
            <w:r>
              <w:rPr>
                <w:rFonts w:cs="Arial"/>
                <w:sz w:val="20"/>
                <w:szCs w:val="20"/>
              </w:rPr>
              <w:t xml:space="preserve">     </w:t>
            </w:r>
            <w:r w:rsidR="007F37CB">
              <w:rPr>
                <w:rFonts w:cs="Arial"/>
                <w:sz w:val="20"/>
                <w:szCs w:val="20"/>
              </w:rPr>
              <w:t>75</w:t>
            </w:r>
            <w:r w:rsidR="008D01FB">
              <w:rPr>
                <w:rFonts w:cs="Arial"/>
                <w:sz w:val="20"/>
                <w:szCs w:val="20"/>
              </w:rPr>
              <w:t>,</w:t>
            </w:r>
            <w:r w:rsidR="008E2478">
              <w:rPr>
                <w:rFonts w:cs="Arial"/>
                <w:sz w:val="20"/>
                <w:szCs w:val="20"/>
              </w:rPr>
              <w:t>397</w:t>
            </w:r>
          </w:p>
        </w:tc>
        <w:tc>
          <w:tcPr>
            <w:tcW w:w="417" w:type="dxa"/>
          </w:tcPr>
          <w:p w14:paraId="46C540B9" w14:textId="77777777" w:rsidR="00E64B1A" w:rsidRPr="003061F1" w:rsidRDefault="00E64B1A" w:rsidP="00E64B1A">
            <w:pPr>
              <w:jc w:val="right"/>
              <w:rPr>
                <w:sz w:val="20"/>
                <w:szCs w:val="20"/>
              </w:rPr>
            </w:pPr>
          </w:p>
        </w:tc>
        <w:tc>
          <w:tcPr>
            <w:tcW w:w="1245" w:type="dxa"/>
          </w:tcPr>
          <w:p w14:paraId="1850CDE1" w14:textId="24C7294F" w:rsidR="007F3B4C" w:rsidRDefault="000B7C6C" w:rsidP="002B369A">
            <w:pPr>
              <w:jc w:val="right"/>
              <w:rPr>
                <w:rFonts w:cs="Arial"/>
                <w:sz w:val="20"/>
                <w:szCs w:val="20"/>
              </w:rPr>
            </w:pPr>
            <w:r>
              <w:rPr>
                <w:rFonts w:cs="Arial"/>
                <w:sz w:val="20"/>
                <w:szCs w:val="20"/>
              </w:rPr>
              <w:t>10</w:t>
            </w:r>
            <w:r w:rsidR="00DC4563">
              <w:rPr>
                <w:rFonts w:cs="Arial"/>
                <w:sz w:val="20"/>
                <w:szCs w:val="20"/>
              </w:rPr>
              <w:t>5</w:t>
            </w:r>
            <w:r w:rsidR="00FE10BB">
              <w:rPr>
                <w:rFonts w:cs="Arial"/>
                <w:sz w:val="20"/>
                <w:szCs w:val="20"/>
              </w:rPr>
              <w:t>,</w:t>
            </w:r>
            <w:r w:rsidR="00DC4563">
              <w:rPr>
                <w:rFonts w:cs="Arial"/>
                <w:sz w:val="20"/>
                <w:szCs w:val="20"/>
              </w:rPr>
              <w:t>149</w:t>
            </w:r>
          </w:p>
          <w:p w14:paraId="121392D8" w14:textId="68657199" w:rsidR="002B369A" w:rsidRPr="003061F1" w:rsidRDefault="000B7C6C" w:rsidP="002B369A">
            <w:pPr>
              <w:jc w:val="right"/>
              <w:rPr>
                <w:rFonts w:cs="Arial"/>
                <w:sz w:val="20"/>
                <w:szCs w:val="20"/>
              </w:rPr>
            </w:pPr>
            <w:r>
              <w:rPr>
                <w:rFonts w:cs="Arial"/>
                <w:sz w:val="20"/>
                <w:szCs w:val="20"/>
              </w:rPr>
              <w:t>75,431</w:t>
            </w:r>
          </w:p>
        </w:tc>
      </w:tr>
      <w:tr w:rsidR="00E64B1A" w:rsidRPr="00676064" w14:paraId="2D13AEEC" w14:textId="77777777" w:rsidTr="54F71CB4">
        <w:trPr>
          <w:trHeight w:val="397"/>
          <w:jc w:val="center"/>
        </w:trPr>
        <w:tc>
          <w:tcPr>
            <w:tcW w:w="5911" w:type="dxa"/>
            <w:vAlign w:val="center"/>
          </w:tcPr>
          <w:p w14:paraId="3D606309" w14:textId="77777777" w:rsidR="00E64B1A" w:rsidRPr="00676064" w:rsidRDefault="00E64B1A" w:rsidP="00E64B1A">
            <w:pPr>
              <w:rPr>
                <w:rFonts w:cs="Arial"/>
              </w:rPr>
            </w:pPr>
          </w:p>
        </w:tc>
        <w:tc>
          <w:tcPr>
            <w:tcW w:w="1440" w:type="dxa"/>
            <w:tcBorders>
              <w:top w:val="single" w:sz="4" w:space="0" w:color="auto"/>
              <w:bottom w:val="single" w:sz="4" w:space="0" w:color="auto"/>
            </w:tcBorders>
            <w:vAlign w:val="center"/>
          </w:tcPr>
          <w:p w14:paraId="35C41E92" w14:textId="2B8BB478" w:rsidR="00E64B1A" w:rsidRPr="003061F1" w:rsidRDefault="00FE10BB" w:rsidP="002B369A">
            <w:pPr>
              <w:jc w:val="right"/>
              <w:rPr>
                <w:rFonts w:cs="Arial"/>
                <w:sz w:val="20"/>
                <w:szCs w:val="20"/>
              </w:rPr>
            </w:pPr>
            <w:r w:rsidRPr="00FC1DE7">
              <w:rPr>
                <w:rFonts w:cs="Arial"/>
                <w:sz w:val="20"/>
                <w:szCs w:val="20"/>
              </w:rPr>
              <w:t>8</w:t>
            </w:r>
            <w:r w:rsidR="008E2478">
              <w:rPr>
                <w:rFonts w:cs="Arial"/>
                <w:sz w:val="20"/>
                <w:szCs w:val="20"/>
              </w:rPr>
              <w:t>75</w:t>
            </w:r>
            <w:r w:rsidRPr="00FC1DE7">
              <w:rPr>
                <w:rFonts w:cs="Arial"/>
                <w:sz w:val="20"/>
                <w:szCs w:val="20"/>
              </w:rPr>
              <w:t>,</w:t>
            </w:r>
            <w:r w:rsidR="008E2478">
              <w:rPr>
                <w:rFonts w:cs="Arial"/>
                <w:sz w:val="20"/>
                <w:szCs w:val="20"/>
              </w:rPr>
              <w:t>115</w:t>
            </w:r>
          </w:p>
        </w:tc>
        <w:tc>
          <w:tcPr>
            <w:tcW w:w="417" w:type="dxa"/>
            <w:vAlign w:val="center"/>
          </w:tcPr>
          <w:p w14:paraId="3FD599C3" w14:textId="77777777" w:rsidR="00E64B1A" w:rsidRPr="003061F1" w:rsidRDefault="00E64B1A" w:rsidP="00E64B1A">
            <w:pPr>
              <w:jc w:val="right"/>
              <w:rPr>
                <w:sz w:val="20"/>
                <w:szCs w:val="20"/>
              </w:rPr>
            </w:pPr>
          </w:p>
        </w:tc>
        <w:tc>
          <w:tcPr>
            <w:tcW w:w="1245" w:type="dxa"/>
            <w:tcBorders>
              <w:top w:val="single" w:sz="4" w:space="0" w:color="auto"/>
              <w:bottom w:val="single" w:sz="4" w:space="0" w:color="auto"/>
            </w:tcBorders>
            <w:vAlign w:val="center"/>
          </w:tcPr>
          <w:p w14:paraId="007895B3" w14:textId="16ED4CDE" w:rsidR="002B369A" w:rsidRPr="003061F1" w:rsidRDefault="000B7C6C" w:rsidP="002B369A">
            <w:pPr>
              <w:jc w:val="right"/>
              <w:rPr>
                <w:rFonts w:cs="Arial"/>
                <w:sz w:val="20"/>
                <w:szCs w:val="20"/>
              </w:rPr>
            </w:pPr>
            <w:r>
              <w:rPr>
                <w:rFonts w:cs="Arial"/>
                <w:sz w:val="20"/>
                <w:szCs w:val="20"/>
              </w:rPr>
              <w:t>8</w:t>
            </w:r>
            <w:r w:rsidR="00DC4563">
              <w:rPr>
                <w:rFonts w:cs="Arial"/>
                <w:sz w:val="20"/>
                <w:szCs w:val="20"/>
              </w:rPr>
              <w:t>58</w:t>
            </w:r>
            <w:r w:rsidR="00FE10BB">
              <w:rPr>
                <w:rFonts w:cs="Arial"/>
                <w:sz w:val="20"/>
                <w:szCs w:val="20"/>
              </w:rPr>
              <w:t>,</w:t>
            </w:r>
            <w:r w:rsidR="00DC4563">
              <w:rPr>
                <w:rFonts w:cs="Arial"/>
                <w:sz w:val="20"/>
                <w:szCs w:val="20"/>
              </w:rPr>
              <w:t>917</w:t>
            </w:r>
          </w:p>
        </w:tc>
      </w:tr>
      <w:tr w:rsidR="008B52DD" w:rsidRPr="00676064" w14:paraId="2DB05E0C" w14:textId="77777777" w:rsidTr="54F71CB4">
        <w:trPr>
          <w:trHeight w:val="397"/>
          <w:jc w:val="center"/>
        </w:trPr>
        <w:tc>
          <w:tcPr>
            <w:tcW w:w="9013" w:type="dxa"/>
            <w:gridSpan w:val="4"/>
            <w:vAlign w:val="center"/>
          </w:tcPr>
          <w:p w14:paraId="672A64BB" w14:textId="77777777" w:rsidR="008B52DD" w:rsidRDefault="008B52DD" w:rsidP="008B52DD">
            <w:pPr>
              <w:rPr>
                <w:rFonts w:cs="Arial"/>
              </w:rPr>
            </w:pPr>
          </w:p>
          <w:p w14:paraId="60674CD6" w14:textId="77777777" w:rsidR="008B52DD" w:rsidRDefault="008B52DD" w:rsidP="008B52DD">
            <w:pPr>
              <w:rPr>
                <w:rFonts w:cs="Arial"/>
              </w:rPr>
            </w:pPr>
          </w:p>
          <w:p w14:paraId="1593DAC9" w14:textId="372E0909" w:rsidR="00043F72" w:rsidRDefault="008B52DD" w:rsidP="008B52DD">
            <w:pPr>
              <w:rPr>
                <w:rFonts w:cs="Arial"/>
              </w:rPr>
            </w:pPr>
            <w:r>
              <w:rPr>
                <w:rFonts w:cs="Arial"/>
              </w:rPr>
              <w:t>There were no payments made to the auditors during the year for non-</w:t>
            </w:r>
            <w:r w:rsidR="001C734F">
              <w:rPr>
                <w:rFonts w:cs="Arial"/>
              </w:rPr>
              <w:t>audit services (202</w:t>
            </w:r>
            <w:r w:rsidR="008E2478">
              <w:rPr>
                <w:rFonts w:cs="Arial"/>
              </w:rPr>
              <w:t>3</w:t>
            </w:r>
            <w:r w:rsidR="002B369A">
              <w:rPr>
                <w:rFonts w:cs="Arial"/>
              </w:rPr>
              <w:t>-2</w:t>
            </w:r>
            <w:r w:rsidR="008E2478">
              <w:rPr>
                <w:rFonts w:cs="Arial"/>
              </w:rPr>
              <w:t>4</w:t>
            </w:r>
            <w:r>
              <w:rPr>
                <w:rFonts w:cs="Arial"/>
              </w:rPr>
              <w:t>: £nil)</w:t>
            </w:r>
            <w:r w:rsidR="008328EC">
              <w:rPr>
                <w:rFonts w:cs="Arial"/>
              </w:rPr>
              <w:t>.</w:t>
            </w:r>
          </w:p>
          <w:p w14:paraId="24E9856D" w14:textId="173E4FB5" w:rsidR="00043F72" w:rsidRPr="00043F72" w:rsidRDefault="00043F72" w:rsidP="008B52DD">
            <w:pPr>
              <w:rPr>
                <w:rFonts w:cs="Arial"/>
              </w:rPr>
            </w:pPr>
          </w:p>
        </w:tc>
      </w:tr>
    </w:tbl>
    <w:p w14:paraId="5C966946" w14:textId="77777777" w:rsidR="00A70EF7" w:rsidRDefault="00A70EF7" w:rsidP="00386F56">
      <w:pPr>
        <w:rPr>
          <w:b/>
        </w:rPr>
      </w:pPr>
    </w:p>
    <w:p w14:paraId="7FE5200B" w14:textId="77777777" w:rsidR="00A70EF7" w:rsidRDefault="00A70EF7">
      <w:pPr>
        <w:rPr>
          <w:b/>
        </w:rPr>
      </w:pPr>
      <w:r>
        <w:rPr>
          <w:b/>
        </w:rPr>
        <w:br w:type="page"/>
      </w:r>
    </w:p>
    <w:p w14:paraId="517370B8" w14:textId="11518843" w:rsidR="000C2A54" w:rsidRPr="00676064" w:rsidRDefault="000C2A54" w:rsidP="00386F56">
      <w:pPr>
        <w:rPr>
          <w:b/>
        </w:rPr>
      </w:pPr>
      <w:r w:rsidRPr="00676064">
        <w:rPr>
          <w:b/>
        </w:rPr>
        <w:lastRenderedPageBreak/>
        <w:t>5.</w:t>
      </w:r>
      <w:r w:rsidRPr="00676064">
        <w:rPr>
          <w:b/>
        </w:rPr>
        <w:tab/>
        <w:t>Income</w:t>
      </w:r>
    </w:p>
    <w:p w14:paraId="54B813C4" w14:textId="77777777" w:rsidR="000C2A54" w:rsidRPr="00676064" w:rsidRDefault="000C2A54" w:rsidP="000C2A54">
      <w:pPr>
        <w:widowControl w:val="0"/>
        <w:tabs>
          <w:tab w:val="left" w:pos="567"/>
          <w:tab w:val="right" w:pos="4140"/>
          <w:tab w:val="right" w:pos="6480"/>
          <w:tab w:val="right" w:pos="8820"/>
        </w:tabs>
        <w:autoSpaceDE w:val="0"/>
        <w:autoSpaceDN w:val="0"/>
        <w:adjustRightInd w:val="0"/>
      </w:pPr>
    </w:p>
    <w:p w14:paraId="651D6D59" w14:textId="77777777" w:rsidR="00FE10BB" w:rsidRPr="00676064" w:rsidRDefault="00FE10BB" w:rsidP="00FE10BB">
      <w:pPr>
        <w:widowControl w:val="0"/>
        <w:tabs>
          <w:tab w:val="left" w:pos="567"/>
          <w:tab w:val="right" w:pos="4140"/>
          <w:tab w:val="right" w:pos="6480"/>
          <w:tab w:val="right" w:pos="8820"/>
        </w:tabs>
        <w:autoSpaceDE w:val="0"/>
        <w:autoSpaceDN w:val="0"/>
        <w:adjustRightInd w:val="0"/>
      </w:pPr>
      <w:r w:rsidRPr="00676064">
        <w:t>The Commission also has recognised income from other sources as follows:</w:t>
      </w:r>
    </w:p>
    <w:p w14:paraId="34F8E92B" w14:textId="77777777" w:rsidR="00FE10BB" w:rsidRPr="00676064" w:rsidRDefault="00FE10BB" w:rsidP="00FE10BB">
      <w:pPr>
        <w:widowControl w:val="0"/>
        <w:tabs>
          <w:tab w:val="left" w:pos="567"/>
          <w:tab w:val="right" w:pos="4140"/>
          <w:tab w:val="right" w:pos="6480"/>
          <w:tab w:val="right" w:pos="8820"/>
        </w:tabs>
        <w:autoSpaceDE w:val="0"/>
        <w:autoSpaceDN w:val="0"/>
        <w:adjustRightInd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1935"/>
        <w:gridCol w:w="2054"/>
      </w:tblGrid>
      <w:tr w:rsidR="00FE10BB" w:rsidRPr="003061F1" w14:paraId="50DF0062" w14:textId="77777777" w:rsidTr="001958BD">
        <w:tc>
          <w:tcPr>
            <w:tcW w:w="5082" w:type="dxa"/>
          </w:tcPr>
          <w:p w14:paraId="4C15D76F"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rPr>
                <w:sz w:val="20"/>
                <w:szCs w:val="20"/>
              </w:rPr>
            </w:pPr>
          </w:p>
        </w:tc>
        <w:tc>
          <w:tcPr>
            <w:tcW w:w="1935" w:type="dxa"/>
          </w:tcPr>
          <w:p w14:paraId="7CF69BBB" w14:textId="357466D8" w:rsidR="00FE10BB" w:rsidRPr="003061F1" w:rsidRDefault="008F2A20" w:rsidP="001958BD">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2023-24</w:t>
            </w:r>
          </w:p>
          <w:p w14:paraId="1BC1500B"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jc w:val="right"/>
              <w:rPr>
                <w:b/>
                <w:sz w:val="20"/>
                <w:szCs w:val="20"/>
              </w:rPr>
            </w:pPr>
            <w:r w:rsidRPr="003061F1">
              <w:rPr>
                <w:b/>
                <w:sz w:val="20"/>
                <w:szCs w:val="20"/>
              </w:rPr>
              <w:t>£</w:t>
            </w:r>
          </w:p>
        </w:tc>
        <w:tc>
          <w:tcPr>
            <w:tcW w:w="2054" w:type="dxa"/>
          </w:tcPr>
          <w:p w14:paraId="62287A41" w14:textId="5D12624C" w:rsidR="00FE10BB" w:rsidRPr="003061F1" w:rsidRDefault="008F2A20" w:rsidP="001958BD">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202</w:t>
            </w:r>
            <w:r w:rsidR="008E2478">
              <w:rPr>
                <w:b/>
                <w:sz w:val="20"/>
                <w:szCs w:val="20"/>
              </w:rPr>
              <w:t>3</w:t>
            </w:r>
            <w:r>
              <w:rPr>
                <w:b/>
                <w:sz w:val="20"/>
                <w:szCs w:val="20"/>
              </w:rPr>
              <w:t>-2</w:t>
            </w:r>
            <w:r w:rsidR="008E2478">
              <w:rPr>
                <w:b/>
                <w:sz w:val="20"/>
                <w:szCs w:val="20"/>
              </w:rPr>
              <w:t>4</w:t>
            </w:r>
          </w:p>
          <w:p w14:paraId="45E6FBA9"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jc w:val="right"/>
              <w:rPr>
                <w:b/>
                <w:sz w:val="20"/>
                <w:szCs w:val="20"/>
              </w:rPr>
            </w:pPr>
            <w:r w:rsidRPr="003061F1">
              <w:rPr>
                <w:b/>
                <w:sz w:val="20"/>
                <w:szCs w:val="20"/>
              </w:rPr>
              <w:t>£</w:t>
            </w:r>
          </w:p>
          <w:p w14:paraId="49515963"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rPr>
                <w:b/>
                <w:sz w:val="20"/>
                <w:szCs w:val="20"/>
              </w:rPr>
            </w:pPr>
          </w:p>
        </w:tc>
      </w:tr>
      <w:tr w:rsidR="00043F72" w:rsidRPr="003061F1" w14:paraId="0BE05614" w14:textId="77777777" w:rsidTr="001958BD">
        <w:tc>
          <w:tcPr>
            <w:tcW w:w="5082" w:type="dxa"/>
          </w:tcPr>
          <w:p w14:paraId="161E8C24"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rPr>
                <w:b/>
                <w:sz w:val="20"/>
                <w:szCs w:val="20"/>
              </w:rPr>
            </w:pPr>
          </w:p>
          <w:p w14:paraId="625448B7" w14:textId="77777777" w:rsidR="008E2478" w:rsidRPr="00043F72" w:rsidRDefault="008E2478" w:rsidP="008E2478">
            <w:pPr>
              <w:widowControl w:val="0"/>
              <w:tabs>
                <w:tab w:val="left" w:pos="567"/>
                <w:tab w:val="right" w:pos="4140"/>
                <w:tab w:val="right" w:pos="6480"/>
                <w:tab w:val="right" w:pos="8820"/>
              </w:tabs>
              <w:autoSpaceDE w:val="0"/>
              <w:autoSpaceDN w:val="0"/>
              <w:adjustRightInd w:val="0"/>
              <w:rPr>
                <w:sz w:val="16"/>
                <w:szCs w:val="16"/>
              </w:rPr>
            </w:pPr>
            <w:r w:rsidRPr="00043F72">
              <w:rPr>
                <w:sz w:val="20"/>
                <w:szCs w:val="20"/>
              </w:rPr>
              <w:t>European Network of National Human Rights Institutions (ENNHRI) under a Small Grant Agreement for Project SGA-NHRI.EU-2023-02 – NI Business Human Rights Index</w:t>
            </w:r>
          </w:p>
          <w:p w14:paraId="1109D2C9" w14:textId="77777777" w:rsidR="00043F72" w:rsidRDefault="00043F72" w:rsidP="00043F72">
            <w:pPr>
              <w:widowControl w:val="0"/>
              <w:tabs>
                <w:tab w:val="left" w:pos="567"/>
                <w:tab w:val="right" w:pos="4140"/>
                <w:tab w:val="right" w:pos="6480"/>
                <w:tab w:val="right" w:pos="8820"/>
              </w:tabs>
              <w:autoSpaceDE w:val="0"/>
              <w:autoSpaceDN w:val="0"/>
              <w:adjustRightInd w:val="0"/>
              <w:rPr>
                <w:sz w:val="20"/>
                <w:szCs w:val="20"/>
              </w:rPr>
            </w:pPr>
          </w:p>
          <w:p w14:paraId="26CA6115" w14:textId="0A74744C" w:rsidR="00043F72" w:rsidRPr="00043F72" w:rsidRDefault="008E2478" w:rsidP="00043F72">
            <w:pPr>
              <w:widowControl w:val="0"/>
              <w:tabs>
                <w:tab w:val="left" w:pos="567"/>
                <w:tab w:val="right" w:pos="4140"/>
                <w:tab w:val="right" w:pos="6480"/>
                <w:tab w:val="right" w:pos="8820"/>
              </w:tabs>
              <w:autoSpaceDE w:val="0"/>
              <w:autoSpaceDN w:val="0"/>
              <w:adjustRightInd w:val="0"/>
              <w:rPr>
                <w:sz w:val="16"/>
                <w:szCs w:val="16"/>
              </w:rPr>
            </w:pPr>
            <w:r w:rsidRPr="00221C0E">
              <w:rPr>
                <w:sz w:val="20"/>
                <w:szCs w:val="20"/>
              </w:rPr>
              <w:t>Foreign Commonwealth &amp; Development Office project to establish permanent secretariat for NHRI’s in the Commonwealth</w:t>
            </w:r>
          </w:p>
          <w:p w14:paraId="7F9E52D4"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rPr>
                <w:sz w:val="20"/>
                <w:szCs w:val="20"/>
              </w:rPr>
            </w:pPr>
          </w:p>
        </w:tc>
        <w:tc>
          <w:tcPr>
            <w:tcW w:w="1935" w:type="dxa"/>
            <w:tcBorders>
              <w:bottom w:val="single" w:sz="4" w:space="0" w:color="auto"/>
            </w:tcBorders>
          </w:tcPr>
          <w:p w14:paraId="489E0A0B"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71F42D85"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3F834C3D"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2B10A2FE" w14:textId="38BBEEDF" w:rsidR="00043F72" w:rsidRDefault="008E2478" w:rsidP="00043F72">
            <w:pPr>
              <w:widowControl w:val="0"/>
              <w:tabs>
                <w:tab w:val="left" w:pos="567"/>
                <w:tab w:val="right" w:pos="4140"/>
                <w:tab w:val="right" w:pos="6480"/>
                <w:tab w:val="right" w:pos="8820"/>
              </w:tabs>
              <w:autoSpaceDE w:val="0"/>
              <w:autoSpaceDN w:val="0"/>
              <w:adjustRightInd w:val="0"/>
              <w:jc w:val="right"/>
              <w:rPr>
                <w:sz w:val="20"/>
                <w:szCs w:val="20"/>
              </w:rPr>
            </w:pPr>
            <w:r>
              <w:rPr>
                <w:sz w:val="20"/>
                <w:szCs w:val="20"/>
              </w:rPr>
              <w:t>7,362</w:t>
            </w:r>
          </w:p>
          <w:p w14:paraId="3849B427"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7E9119C0"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758C2844" w14:textId="77777777" w:rsidR="00043F72" w:rsidRDefault="00043F72" w:rsidP="00043F72">
            <w:pPr>
              <w:widowControl w:val="0"/>
              <w:tabs>
                <w:tab w:val="left" w:pos="567"/>
                <w:tab w:val="right" w:pos="4140"/>
                <w:tab w:val="right" w:pos="6480"/>
                <w:tab w:val="right" w:pos="8820"/>
              </w:tabs>
              <w:autoSpaceDE w:val="0"/>
              <w:autoSpaceDN w:val="0"/>
              <w:adjustRightInd w:val="0"/>
              <w:rPr>
                <w:sz w:val="20"/>
                <w:szCs w:val="20"/>
              </w:rPr>
            </w:pPr>
          </w:p>
          <w:p w14:paraId="7D0AF395" w14:textId="77777777" w:rsidR="00043F72" w:rsidRPr="00043F72" w:rsidRDefault="00043F72" w:rsidP="00043F72">
            <w:pPr>
              <w:rPr>
                <w:sz w:val="20"/>
                <w:szCs w:val="20"/>
              </w:rPr>
            </w:pPr>
          </w:p>
          <w:p w14:paraId="46D3ED47" w14:textId="77777777" w:rsidR="00043F72" w:rsidRDefault="00043F72" w:rsidP="00043F72">
            <w:pPr>
              <w:rPr>
                <w:sz w:val="20"/>
                <w:szCs w:val="20"/>
              </w:rPr>
            </w:pPr>
          </w:p>
          <w:p w14:paraId="3EA466D1" w14:textId="6D9305FD" w:rsidR="00043F72" w:rsidRPr="00043F72" w:rsidRDefault="008E2478" w:rsidP="00043F72">
            <w:pPr>
              <w:jc w:val="right"/>
              <w:rPr>
                <w:sz w:val="20"/>
                <w:szCs w:val="20"/>
              </w:rPr>
            </w:pPr>
            <w:r>
              <w:rPr>
                <w:sz w:val="20"/>
                <w:szCs w:val="20"/>
              </w:rPr>
              <w:t>70</w:t>
            </w:r>
            <w:r w:rsidR="00043F72">
              <w:rPr>
                <w:sz w:val="20"/>
                <w:szCs w:val="20"/>
              </w:rPr>
              <w:t>,</w:t>
            </w:r>
            <w:r>
              <w:rPr>
                <w:sz w:val="20"/>
                <w:szCs w:val="20"/>
              </w:rPr>
              <w:t>016</w:t>
            </w:r>
          </w:p>
        </w:tc>
        <w:tc>
          <w:tcPr>
            <w:tcW w:w="2054" w:type="dxa"/>
            <w:tcBorders>
              <w:bottom w:val="single" w:sz="4" w:space="0" w:color="auto"/>
            </w:tcBorders>
          </w:tcPr>
          <w:p w14:paraId="1F95D5EF"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jc w:val="right"/>
              <w:rPr>
                <w:b/>
                <w:sz w:val="20"/>
                <w:szCs w:val="20"/>
              </w:rPr>
            </w:pPr>
          </w:p>
          <w:p w14:paraId="523CFCFA"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08C1E3C8"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114C24C9" w14:textId="12AEBD13" w:rsidR="00043F72" w:rsidRDefault="008E2478" w:rsidP="00043F72">
            <w:pPr>
              <w:widowControl w:val="0"/>
              <w:tabs>
                <w:tab w:val="left" w:pos="567"/>
                <w:tab w:val="right" w:pos="4140"/>
                <w:tab w:val="right" w:pos="6480"/>
                <w:tab w:val="right" w:pos="8820"/>
              </w:tabs>
              <w:autoSpaceDE w:val="0"/>
              <w:autoSpaceDN w:val="0"/>
              <w:adjustRightInd w:val="0"/>
              <w:jc w:val="right"/>
              <w:rPr>
                <w:sz w:val="20"/>
                <w:szCs w:val="20"/>
              </w:rPr>
            </w:pPr>
            <w:r>
              <w:rPr>
                <w:sz w:val="20"/>
                <w:szCs w:val="20"/>
              </w:rPr>
              <w:t>11</w:t>
            </w:r>
            <w:r w:rsidR="00043F72">
              <w:rPr>
                <w:sz w:val="20"/>
                <w:szCs w:val="20"/>
              </w:rPr>
              <w:t>,</w:t>
            </w:r>
            <w:r>
              <w:rPr>
                <w:sz w:val="20"/>
                <w:szCs w:val="20"/>
              </w:rPr>
              <w:t>301</w:t>
            </w:r>
          </w:p>
          <w:p w14:paraId="312BDE2E"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7AF75629"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290F315B" w14:textId="77777777" w:rsidR="00043F72" w:rsidRDefault="00043F72" w:rsidP="00043F72">
            <w:pPr>
              <w:widowControl w:val="0"/>
              <w:tabs>
                <w:tab w:val="left" w:pos="567"/>
                <w:tab w:val="right" w:pos="4140"/>
                <w:tab w:val="right" w:pos="6480"/>
                <w:tab w:val="right" w:pos="8820"/>
              </w:tabs>
              <w:autoSpaceDE w:val="0"/>
              <w:autoSpaceDN w:val="0"/>
              <w:adjustRightInd w:val="0"/>
              <w:rPr>
                <w:sz w:val="20"/>
                <w:szCs w:val="20"/>
              </w:rPr>
            </w:pPr>
          </w:p>
          <w:p w14:paraId="650051D9" w14:textId="77777777" w:rsidR="00043F72" w:rsidRPr="00043F72" w:rsidRDefault="00043F72" w:rsidP="00043F72">
            <w:pPr>
              <w:rPr>
                <w:sz w:val="20"/>
                <w:szCs w:val="20"/>
              </w:rPr>
            </w:pPr>
          </w:p>
          <w:p w14:paraId="2E9C976B" w14:textId="77777777" w:rsidR="00043F72" w:rsidRDefault="00043F72" w:rsidP="00043F72">
            <w:pPr>
              <w:rPr>
                <w:sz w:val="20"/>
                <w:szCs w:val="20"/>
              </w:rPr>
            </w:pPr>
          </w:p>
          <w:p w14:paraId="61336616" w14:textId="48699F24" w:rsidR="00043F72" w:rsidRPr="00043F72" w:rsidRDefault="00043F72" w:rsidP="00043F72">
            <w:pPr>
              <w:jc w:val="right"/>
              <w:rPr>
                <w:sz w:val="20"/>
                <w:szCs w:val="20"/>
              </w:rPr>
            </w:pPr>
            <w:r>
              <w:rPr>
                <w:sz w:val="20"/>
                <w:szCs w:val="20"/>
              </w:rPr>
              <w:t>-</w:t>
            </w:r>
          </w:p>
        </w:tc>
      </w:tr>
      <w:tr w:rsidR="00043F72" w:rsidRPr="003061F1" w14:paraId="09CEDABE" w14:textId="77777777" w:rsidTr="001958BD">
        <w:tc>
          <w:tcPr>
            <w:tcW w:w="5082" w:type="dxa"/>
          </w:tcPr>
          <w:p w14:paraId="3852E8F3"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rPr>
                <w:b/>
                <w:sz w:val="20"/>
                <w:szCs w:val="20"/>
              </w:rPr>
            </w:pPr>
          </w:p>
          <w:p w14:paraId="5FBF8825"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rPr>
                <w:b/>
                <w:sz w:val="20"/>
                <w:szCs w:val="20"/>
              </w:rPr>
            </w:pPr>
            <w:r w:rsidRPr="003061F1">
              <w:rPr>
                <w:b/>
                <w:sz w:val="20"/>
                <w:szCs w:val="20"/>
              </w:rPr>
              <w:t>Total</w:t>
            </w:r>
          </w:p>
        </w:tc>
        <w:tc>
          <w:tcPr>
            <w:tcW w:w="1935" w:type="dxa"/>
            <w:tcBorders>
              <w:top w:val="single" w:sz="4" w:space="0" w:color="auto"/>
            </w:tcBorders>
          </w:tcPr>
          <w:p w14:paraId="51D6D36C"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b/>
                <w:sz w:val="20"/>
                <w:szCs w:val="20"/>
              </w:rPr>
            </w:pPr>
          </w:p>
          <w:p w14:paraId="3979CA39" w14:textId="0EBDFC65" w:rsidR="00043F72" w:rsidRPr="003061F1" w:rsidRDefault="008E2478" w:rsidP="00043F72">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77</w:t>
            </w:r>
            <w:r w:rsidR="00043F72">
              <w:rPr>
                <w:b/>
                <w:sz w:val="20"/>
                <w:szCs w:val="20"/>
              </w:rPr>
              <w:t>,3</w:t>
            </w:r>
            <w:r>
              <w:rPr>
                <w:b/>
                <w:sz w:val="20"/>
                <w:szCs w:val="20"/>
              </w:rPr>
              <w:t>78</w:t>
            </w:r>
          </w:p>
        </w:tc>
        <w:tc>
          <w:tcPr>
            <w:tcW w:w="2054" w:type="dxa"/>
            <w:tcBorders>
              <w:top w:val="single" w:sz="4" w:space="0" w:color="auto"/>
            </w:tcBorders>
          </w:tcPr>
          <w:p w14:paraId="104FCD71"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jc w:val="right"/>
              <w:rPr>
                <w:b/>
                <w:sz w:val="20"/>
                <w:szCs w:val="20"/>
              </w:rPr>
            </w:pPr>
          </w:p>
          <w:p w14:paraId="60892EA2" w14:textId="525B6EF4" w:rsidR="00043F72" w:rsidRPr="003061F1" w:rsidRDefault="008E2478" w:rsidP="00043F72">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11</w:t>
            </w:r>
            <w:r w:rsidR="00043F72">
              <w:rPr>
                <w:b/>
                <w:sz w:val="20"/>
                <w:szCs w:val="20"/>
              </w:rPr>
              <w:t>,</w:t>
            </w:r>
            <w:r>
              <w:rPr>
                <w:b/>
                <w:sz w:val="20"/>
                <w:szCs w:val="20"/>
              </w:rPr>
              <w:t>301</w:t>
            </w:r>
          </w:p>
        </w:tc>
      </w:tr>
    </w:tbl>
    <w:p w14:paraId="5FAA4EFD" w14:textId="77777777" w:rsidR="00FE10BB" w:rsidRPr="003061F1" w:rsidRDefault="00FE10BB" w:rsidP="00FE10BB">
      <w:pPr>
        <w:widowControl w:val="0"/>
        <w:tabs>
          <w:tab w:val="left" w:pos="567"/>
          <w:tab w:val="right" w:pos="4140"/>
          <w:tab w:val="right" w:pos="6480"/>
          <w:tab w:val="right" w:pos="8820"/>
        </w:tabs>
        <w:autoSpaceDE w:val="0"/>
        <w:autoSpaceDN w:val="0"/>
        <w:adjustRightInd w:val="0"/>
        <w:rPr>
          <w:sz w:val="20"/>
          <w:szCs w:val="20"/>
        </w:rPr>
      </w:pPr>
    </w:p>
    <w:p w14:paraId="7C3D9E02" w14:textId="77777777" w:rsidR="00FE10BB" w:rsidRDefault="00FE10BB" w:rsidP="002B369A">
      <w:pPr>
        <w:widowControl w:val="0"/>
        <w:tabs>
          <w:tab w:val="left" w:pos="567"/>
          <w:tab w:val="right" w:pos="4140"/>
          <w:tab w:val="right" w:pos="6480"/>
          <w:tab w:val="right" w:pos="8820"/>
        </w:tabs>
        <w:autoSpaceDE w:val="0"/>
        <w:autoSpaceDN w:val="0"/>
        <w:adjustRightInd w:val="0"/>
      </w:pPr>
    </w:p>
    <w:p w14:paraId="3A8D04D8" w14:textId="77777777" w:rsidR="00874198" w:rsidRDefault="00874198" w:rsidP="00874198">
      <w:r>
        <w:t>In line with its accounting policy, the Commission has applied the requirements of IFRS 15 to income received from sources other than the NIO, for specific projects.  The Commission seeks to recover any associated costs for the projects in line with the contract.</w:t>
      </w:r>
    </w:p>
    <w:p w14:paraId="44972C70" w14:textId="77777777" w:rsidR="00874198" w:rsidRDefault="00874198" w:rsidP="00874198"/>
    <w:p w14:paraId="035F6363" w14:textId="77777777" w:rsidR="005F35DA" w:rsidRDefault="005F35DA" w:rsidP="00C8345C">
      <w:pPr>
        <w:widowControl w:val="0"/>
        <w:autoSpaceDE w:val="0"/>
        <w:autoSpaceDN w:val="0"/>
        <w:adjustRightInd w:val="0"/>
      </w:pPr>
      <w:r>
        <w:t>The Commission received £7,362 from the European Network of National Human Rights Institutions (ENNHRI) under a Small Grant Agreement for Project SGA-NHRI.EU-2023-02 – NI Business Human Rights Index – Developing a national and human rights index for Northern Ireland.  The Commission had an agreement with Queen’s University Belfast (QUB) to implement the project within an agreed timeframe.  For the implementation of the Project, the Commission agrees to pay the funding received from ENNHRI to QUB.  Income is recognised when the obligations associated with the contract have been satisfied.</w:t>
      </w:r>
    </w:p>
    <w:p w14:paraId="7D748409" w14:textId="77777777" w:rsidR="005F35DA" w:rsidRDefault="005F35DA" w:rsidP="005F35DA">
      <w:pPr>
        <w:widowControl w:val="0"/>
        <w:autoSpaceDE w:val="0"/>
        <w:autoSpaceDN w:val="0"/>
        <w:adjustRightInd w:val="0"/>
        <w:ind w:left="1440" w:hanging="22"/>
      </w:pPr>
    </w:p>
    <w:p w14:paraId="79FA3A83" w14:textId="77777777" w:rsidR="005F35DA" w:rsidRPr="00221C0E" w:rsidRDefault="005F35DA" w:rsidP="00C8345C">
      <w:pPr>
        <w:widowControl w:val="0"/>
        <w:autoSpaceDE w:val="0"/>
        <w:autoSpaceDN w:val="0"/>
        <w:adjustRightInd w:val="0"/>
      </w:pPr>
      <w:r w:rsidRPr="00221C0E">
        <w:t xml:space="preserve">The Commission received £70,016 from the Foreign, Commonwealth &amp; Development Office (FCDO) for a Commonwealth Forum of National Human Rights Institutions (CFNHRI).  This was intended to support the CFNHRI to move towards long-term stability and strengthening the support of the CFNHRI can offer to member organisations across the Commonwealth.  </w:t>
      </w:r>
    </w:p>
    <w:p w14:paraId="0FA3AD80" w14:textId="77777777" w:rsidR="005F35DA" w:rsidRPr="00221C0E" w:rsidRDefault="005F35DA" w:rsidP="005F35DA">
      <w:pPr>
        <w:widowControl w:val="0"/>
        <w:autoSpaceDE w:val="0"/>
        <w:autoSpaceDN w:val="0"/>
        <w:adjustRightInd w:val="0"/>
        <w:ind w:left="1440" w:hanging="22"/>
      </w:pPr>
    </w:p>
    <w:p w14:paraId="1543CF5C" w14:textId="77777777" w:rsidR="005F35DA" w:rsidRPr="00221C0E" w:rsidRDefault="005F35DA" w:rsidP="00C8345C">
      <w:pPr>
        <w:widowControl w:val="0"/>
        <w:autoSpaceDE w:val="0"/>
        <w:autoSpaceDN w:val="0"/>
        <w:adjustRightInd w:val="0"/>
      </w:pPr>
      <w:r w:rsidRPr="00221C0E">
        <w:t>The project was to set the CFNHRI up as a new legal entity and registered charity creating a strong and united platform that brings together NHRIs from all corners of the Commonwealth to address some of the most serious human rights challenges facing the world, which included a focus on programmes of work that aligned with FCDO human rights priority areas.</w:t>
      </w:r>
    </w:p>
    <w:p w14:paraId="6576B750" w14:textId="77777777" w:rsidR="005F35DA" w:rsidRPr="00221C0E" w:rsidRDefault="005F35DA" w:rsidP="005F35DA">
      <w:pPr>
        <w:widowControl w:val="0"/>
        <w:autoSpaceDE w:val="0"/>
        <w:autoSpaceDN w:val="0"/>
        <w:adjustRightInd w:val="0"/>
        <w:ind w:left="1440" w:hanging="22"/>
      </w:pPr>
    </w:p>
    <w:p w14:paraId="16636F6D" w14:textId="77777777" w:rsidR="005F35DA" w:rsidRDefault="005F35DA" w:rsidP="00C8345C">
      <w:pPr>
        <w:widowControl w:val="0"/>
        <w:autoSpaceDE w:val="0"/>
        <w:autoSpaceDN w:val="0"/>
        <w:adjustRightInd w:val="0"/>
      </w:pPr>
      <w:r w:rsidRPr="00221C0E">
        <w:lastRenderedPageBreak/>
        <w:t>Although the FCDO decided not to fund the continuation of this project to establish a permanent secretariat, the project produced a business case, and a brochure as well as established the legal process to set up a permanent secretariat.</w:t>
      </w:r>
    </w:p>
    <w:p w14:paraId="49F64E9C" w14:textId="77777777" w:rsidR="008E2478" w:rsidRDefault="008E2478" w:rsidP="008E2478">
      <w:pPr>
        <w:tabs>
          <w:tab w:val="left" w:pos="567"/>
        </w:tabs>
      </w:pPr>
    </w:p>
    <w:p w14:paraId="5B64032B" w14:textId="09329ADB" w:rsidR="00FD0AA4" w:rsidRDefault="00FD0AA4" w:rsidP="003C598E"/>
    <w:p w14:paraId="168B8F29" w14:textId="77777777" w:rsidR="00043F72" w:rsidRDefault="00043F72" w:rsidP="003C598E"/>
    <w:p w14:paraId="6E39D67C" w14:textId="77777777" w:rsidR="00043F72" w:rsidRDefault="00043F72" w:rsidP="003C598E"/>
    <w:p w14:paraId="1673AF12" w14:textId="77777777" w:rsidR="00043F72" w:rsidRDefault="00043F72" w:rsidP="003C598E"/>
    <w:p w14:paraId="0E6BB178" w14:textId="77777777" w:rsidR="00A70EF7" w:rsidRDefault="00A70EF7">
      <w:pPr>
        <w:rPr>
          <w:b/>
        </w:rPr>
      </w:pPr>
      <w:r>
        <w:rPr>
          <w:b/>
        </w:rPr>
        <w:br w:type="page"/>
      </w:r>
    </w:p>
    <w:p w14:paraId="1ECA05A9" w14:textId="140B3E8F" w:rsidR="000C2A54" w:rsidRDefault="000C2A54" w:rsidP="003C598E">
      <w:pPr>
        <w:rPr>
          <w:b/>
        </w:rPr>
      </w:pPr>
      <w:r w:rsidRPr="00676064">
        <w:rPr>
          <w:b/>
        </w:rPr>
        <w:lastRenderedPageBreak/>
        <w:t>6.</w:t>
      </w:r>
      <w:r w:rsidRPr="00676064">
        <w:rPr>
          <w:b/>
        </w:rPr>
        <w:tab/>
        <w:t>Property, plant and equipment</w:t>
      </w:r>
    </w:p>
    <w:p w14:paraId="4747ED26" w14:textId="77777777" w:rsidR="00D651FB" w:rsidRDefault="00D651FB" w:rsidP="003C598E">
      <w:pPr>
        <w:rPr>
          <w:b/>
        </w:rPr>
      </w:pPr>
    </w:p>
    <w:tbl>
      <w:tblPr>
        <w:tblW w:w="8506" w:type="dxa"/>
        <w:tblLayout w:type="fixed"/>
        <w:tblLook w:val="01E0" w:firstRow="1" w:lastRow="1" w:firstColumn="1" w:lastColumn="1" w:noHBand="0" w:noVBand="0"/>
      </w:tblPr>
      <w:tblGrid>
        <w:gridCol w:w="2801"/>
        <w:gridCol w:w="1701"/>
        <w:gridCol w:w="1417"/>
        <w:gridCol w:w="1133"/>
        <w:gridCol w:w="1454"/>
      </w:tblGrid>
      <w:tr w:rsidR="00054872" w:rsidRPr="00863EC6" w14:paraId="74F39E40" w14:textId="77777777" w:rsidTr="54F71CB4">
        <w:tc>
          <w:tcPr>
            <w:tcW w:w="2801" w:type="dxa"/>
          </w:tcPr>
          <w:p w14:paraId="2D61B2F5" w14:textId="2BF9AC16" w:rsidR="00054872" w:rsidRPr="00D35926" w:rsidRDefault="00054872" w:rsidP="00D651FB">
            <w:pPr>
              <w:rPr>
                <w:b/>
                <w:sz w:val="22"/>
                <w:szCs w:val="22"/>
              </w:rPr>
            </w:pPr>
            <w:r>
              <w:rPr>
                <w:b/>
                <w:sz w:val="22"/>
                <w:szCs w:val="22"/>
              </w:rPr>
              <w:t>202</w:t>
            </w:r>
            <w:r w:rsidR="00733F00">
              <w:rPr>
                <w:b/>
                <w:sz w:val="22"/>
                <w:szCs w:val="22"/>
              </w:rPr>
              <w:t>4</w:t>
            </w:r>
            <w:r>
              <w:rPr>
                <w:b/>
                <w:sz w:val="22"/>
                <w:szCs w:val="22"/>
              </w:rPr>
              <w:t>-2</w:t>
            </w:r>
            <w:r w:rsidR="00733F00">
              <w:rPr>
                <w:b/>
                <w:sz w:val="22"/>
                <w:szCs w:val="22"/>
              </w:rPr>
              <w:t>5</w:t>
            </w:r>
          </w:p>
        </w:tc>
        <w:tc>
          <w:tcPr>
            <w:tcW w:w="1701" w:type="dxa"/>
          </w:tcPr>
          <w:p w14:paraId="181B26EA" w14:textId="77777777" w:rsidR="00054872" w:rsidRPr="00F267CA" w:rsidRDefault="00054872" w:rsidP="00C84610">
            <w:pPr>
              <w:ind w:right="-171"/>
              <w:jc w:val="center"/>
              <w:rPr>
                <w:rFonts w:cs="Arial"/>
                <w:b/>
                <w:sz w:val="16"/>
                <w:szCs w:val="16"/>
              </w:rPr>
            </w:pPr>
            <w:r w:rsidRPr="00F267CA">
              <w:rPr>
                <w:rFonts w:cs="Arial"/>
                <w:b/>
                <w:sz w:val="16"/>
                <w:szCs w:val="16"/>
              </w:rPr>
              <w:t>Leasehold Improvements</w:t>
            </w:r>
          </w:p>
        </w:tc>
        <w:tc>
          <w:tcPr>
            <w:tcW w:w="1417" w:type="dxa"/>
          </w:tcPr>
          <w:p w14:paraId="64B0A48A" w14:textId="77777777" w:rsidR="00054872" w:rsidRPr="00F267CA" w:rsidRDefault="00054872" w:rsidP="00C84610">
            <w:pPr>
              <w:jc w:val="center"/>
              <w:rPr>
                <w:b/>
                <w:sz w:val="16"/>
                <w:szCs w:val="16"/>
              </w:rPr>
            </w:pPr>
            <w:r w:rsidRPr="00F267CA">
              <w:rPr>
                <w:b/>
                <w:sz w:val="16"/>
                <w:szCs w:val="16"/>
              </w:rPr>
              <w:t>Information technology</w:t>
            </w:r>
          </w:p>
        </w:tc>
        <w:tc>
          <w:tcPr>
            <w:tcW w:w="1133" w:type="dxa"/>
          </w:tcPr>
          <w:p w14:paraId="67A5318D" w14:textId="77777777" w:rsidR="00054872" w:rsidRPr="00F267CA" w:rsidRDefault="00054872" w:rsidP="00C84610">
            <w:pPr>
              <w:jc w:val="center"/>
              <w:rPr>
                <w:b/>
                <w:sz w:val="16"/>
                <w:szCs w:val="16"/>
              </w:rPr>
            </w:pPr>
            <w:r w:rsidRPr="00F267CA">
              <w:rPr>
                <w:b/>
                <w:sz w:val="16"/>
                <w:szCs w:val="16"/>
              </w:rPr>
              <w:t>Furniture &amp; fittings</w:t>
            </w:r>
          </w:p>
        </w:tc>
        <w:tc>
          <w:tcPr>
            <w:tcW w:w="1454" w:type="dxa"/>
          </w:tcPr>
          <w:p w14:paraId="671C78E3" w14:textId="77777777" w:rsidR="00054872" w:rsidRPr="00F267CA" w:rsidRDefault="00054872" w:rsidP="00C84610">
            <w:pPr>
              <w:jc w:val="center"/>
              <w:rPr>
                <w:b/>
                <w:sz w:val="16"/>
                <w:szCs w:val="16"/>
              </w:rPr>
            </w:pPr>
            <w:r w:rsidRPr="00F267CA">
              <w:rPr>
                <w:b/>
                <w:sz w:val="16"/>
                <w:szCs w:val="16"/>
              </w:rPr>
              <w:t>Total</w:t>
            </w:r>
          </w:p>
          <w:p w14:paraId="4A5689DC" w14:textId="77777777" w:rsidR="00054872" w:rsidRPr="00F267CA" w:rsidRDefault="00054872" w:rsidP="00C84610">
            <w:pPr>
              <w:jc w:val="center"/>
              <w:rPr>
                <w:b/>
                <w:sz w:val="16"/>
                <w:szCs w:val="16"/>
              </w:rPr>
            </w:pPr>
          </w:p>
        </w:tc>
      </w:tr>
      <w:tr w:rsidR="00054872" w:rsidRPr="00863EC6" w14:paraId="1CDDCA87" w14:textId="77777777" w:rsidTr="54F71CB4">
        <w:tc>
          <w:tcPr>
            <w:tcW w:w="2801" w:type="dxa"/>
          </w:tcPr>
          <w:p w14:paraId="410AFB94" w14:textId="77777777" w:rsidR="00054872" w:rsidRPr="00863EC6" w:rsidRDefault="00054872" w:rsidP="00D651FB">
            <w:pPr>
              <w:rPr>
                <w:b/>
                <w:sz w:val="20"/>
                <w:szCs w:val="20"/>
              </w:rPr>
            </w:pPr>
            <w:r w:rsidRPr="00863EC6">
              <w:rPr>
                <w:b/>
                <w:sz w:val="20"/>
                <w:szCs w:val="20"/>
              </w:rPr>
              <w:t xml:space="preserve">Cost or valuation </w:t>
            </w:r>
          </w:p>
        </w:tc>
        <w:tc>
          <w:tcPr>
            <w:tcW w:w="1701" w:type="dxa"/>
          </w:tcPr>
          <w:p w14:paraId="5D624032" w14:textId="77777777" w:rsidR="00054872" w:rsidRPr="00863EC6" w:rsidRDefault="00054872" w:rsidP="00C84610">
            <w:pPr>
              <w:jc w:val="center"/>
              <w:rPr>
                <w:b/>
                <w:sz w:val="20"/>
                <w:szCs w:val="20"/>
              </w:rPr>
            </w:pPr>
            <w:r w:rsidRPr="00863EC6">
              <w:rPr>
                <w:b/>
                <w:sz w:val="20"/>
                <w:szCs w:val="20"/>
              </w:rPr>
              <w:t>£</w:t>
            </w:r>
          </w:p>
        </w:tc>
        <w:tc>
          <w:tcPr>
            <w:tcW w:w="1417" w:type="dxa"/>
          </w:tcPr>
          <w:p w14:paraId="1D45996E" w14:textId="77777777" w:rsidR="00054872" w:rsidRPr="00863EC6" w:rsidRDefault="00054872" w:rsidP="00C84610">
            <w:pPr>
              <w:jc w:val="center"/>
              <w:rPr>
                <w:b/>
                <w:sz w:val="20"/>
                <w:szCs w:val="20"/>
              </w:rPr>
            </w:pPr>
            <w:r w:rsidRPr="00863EC6">
              <w:rPr>
                <w:b/>
                <w:sz w:val="20"/>
                <w:szCs w:val="20"/>
              </w:rPr>
              <w:t>£</w:t>
            </w:r>
          </w:p>
        </w:tc>
        <w:tc>
          <w:tcPr>
            <w:tcW w:w="1133" w:type="dxa"/>
          </w:tcPr>
          <w:p w14:paraId="121BCD95" w14:textId="77777777" w:rsidR="00054872" w:rsidRPr="00863EC6" w:rsidRDefault="00054872" w:rsidP="00C84610">
            <w:pPr>
              <w:jc w:val="center"/>
              <w:rPr>
                <w:b/>
                <w:sz w:val="20"/>
                <w:szCs w:val="20"/>
              </w:rPr>
            </w:pPr>
            <w:r w:rsidRPr="00863EC6">
              <w:rPr>
                <w:b/>
                <w:sz w:val="20"/>
                <w:szCs w:val="20"/>
              </w:rPr>
              <w:t>£</w:t>
            </w:r>
          </w:p>
        </w:tc>
        <w:tc>
          <w:tcPr>
            <w:tcW w:w="1454" w:type="dxa"/>
          </w:tcPr>
          <w:p w14:paraId="5AC6EF79" w14:textId="77777777" w:rsidR="00054872" w:rsidRPr="00863EC6" w:rsidRDefault="00054872" w:rsidP="00C84610">
            <w:pPr>
              <w:jc w:val="center"/>
              <w:rPr>
                <w:b/>
                <w:sz w:val="20"/>
                <w:szCs w:val="20"/>
              </w:rPr>
            </w:pPr>
            <w:r w:rsidRPr="00863EC6">
              <w:rPr>
                <w:b/>
                <w:sz w:val="20"/>
                <w:szCs w:val="20"/>
              </w:rPr>
              <w:t>£</w:t>
            </w:r>
          </w:p>
        </w:tc>
      </w:tr>
      <w:tr w:rsidR="00054872" w:rsidRPr="00863EC6" w14:paraId="7808519D" w14:textId="77777777" w:rsidTr="54F71CB4">
        <w:tc>
          <w:tcPr>
            <w:tcW w:w="2801" w:type="dxa"/>
          </w:tcPr>
          <w:p w14:paraId="03AF6128" w14:textId="005EEA2A" w:rsidR="00054872" w:rsidRPr="00863EC6" w:rsidRDefault="00054872" w:rsidP="00D651FB">
            <w:pPr>
              <w:rPr>
                <w:sz w:val="20"/>
                <w:szCs w:val="20"/>
              </w:rPr>
            </w:pPr>
            <w:r w:rsidRPr="00863EC6">
              <w:rPr>
                <w:sz w:val="20"/>
                <w:szCs w:val="20"/>
              </w:rPr>
              <w:t>At 1 April 20</w:t>
            </w:r>
            <w:r>
              <w:rPr>
                <w:sz w:val="20"/>
                <w:szCs w:val="20"/>
              </w:rPr>
              <w:t>2</w:t>
            </w:r>
            <w:r w:rsidR="00733F00">
              <w:rPr>
                <w:sz w:val="20"/>
                <w:szCs w:val="20"/>
              </w:rPr>
              <w:t>4</w:t>
            </w:r>
          </w:p>
        </w:tc>
        <w:tc>
          <w:tcPr>
            <w:tcW w:w="1701" w:type="dxa"/>
          </w:tcPr>
          <w:p w14:paraId="7A2EF346" w14:textId="108DBE82" w:rsidR="00054872" w:rsidRPr="00863EC6" w:rsidRDefault="00C10832" w:rsidP="00C84610">
            <w:pPr>
              <w:jc w:val="center"/>
              <w:rPr>
                <w:sz w:val="20"/>
                <w:szCs w:val="20"/>
              </w:rPr>
            </w:pPr>
            <w:r>
              <w:rPr>
                <w:sz w:val="20"/>
                <w:szCs w:val="20"/>
              </w:rPr>
              <w:t>6</w:t>
            </w:r>
            <w:r w:rsidR="00733F00">
              <w:rPr>
                <w:sz w:val="20"/>
                <w:szCs w:val="20"/>
              </w:rPr>
              <w:t>36</w:t>
            </w:r>
            <w:r w:rsidR="00C84610">
              <w:rPr>
                <w:sz w:val="20"/>
                <w:szCs w:val="20"/>
              </w:rPr>
              <w:t>,</w:t>
            </w:r>
            <w:r w:rsidR="00733F00">
              <w:rPr>
                <w:sz w:val="20"/>
                <w:szCs w:val="20"/>
              </w:rPr>
              <w:t>934</w:t>
            </w:r>
          </w:p>
        </w:tc>
        <w:tc>
          <w:tcPr>
            <w:tcW w:w="1417" w:type="dxa"/>
          </w:tcPr>
          <w:p w14:paraId="7637CA06" w14:textId="306FCA9D" w:rsidR="00054872" w:rsidRPr="00863EC6" w:rsidRDefault="00733F00" w:rsidP="00C84610">
            <w:pPr>
              <w:jc w:val="center"/>
              <w:rPr>
                <w:sz w:val="20"/>
                <w:szCs w:val="20"/>
              </w:rPr>
            </w:pPr>
            <w:r>
              <w:rPr>
                <w:sz w:val="20"/>
                <w:szCs w:val="20"/>
              </w:rPr>
              <w:t>53</w:t>
            </w:r>
            <w:r w:rsidR="00C84610">
              <w:rPr>
                <w:sz w:val="20"/>
                <w:szCs w:val="20"/>
              </w:rPr>
              <w:t>,</w:t>
            </w:r>
            <w:r>
              <w:rPr>
                <w:sz w:val="20"/>
                <w:szCs w:val="20"/>
              </w:rPr>
              <w:t>036</w:t>
            </w:r>
          </w:p>
        </w:tc>
        <w:tc>
          <w:tcPr>
            <w:tcW w:w="1133" w:type="dxa"/>
          </w:tcPr>
          <w:p w14:paraId="554E4349" w14:textId="5492653F" w:rsidR="00054872" w:rsidRPr="00863EC6" w:rsidRDefault="00733F00" w:rsidP="00C84610">
            <w:pPr>
              <w:jc w:val="center"/>
              <w:rPr>
                <w:sz w:val="20"/>
                <w:szCs w:val="20"/>
              </w:rPr>
            </w:pPr>
            <w:r>
              <w:rPr>
                <w:sz w:val="20"/>
                <w:szCs w:val="20"/>
              </w:rPr>
              <w:t>88</w:t>
            </w:r>
            <w:r w:rsidR="00054872">
              <w:rPr>
                <w:sz w:val="20"/>
                <w:szCs w:val="20"/>
              </w:rPr>
              <w:t>,</w:t>
            </w:r>
            <w:r>
              <w:rPr>
                <w:sz w:val="20"/>
                <w:szCs w:val="20"/>
              </w:rPr>
              <w:t>155</w:t>
            </w:r>
          </w:p>
        </w:tc>
        <w:tc>
          <w:tcPr>
            <w:tcW w:w="1454" w:type="dxa"/>
          </w:tcPr>
          <w:p w14:paraId="3C287B20" w14:textId="464FA0C2" w:rsidR="00054872" w:rsidRPr="00863EC6" w:rsidRDefault="00733F00" w:rsidP="00C84610">
            <w:pPr>
              <w:jc w:val="center"/>
              <w:rPr>
                <w:sz w:val="20"/>
                <w:szCs w:val="20"/>
              </w:rPr>
            </w:pPr>
            <w:r>
              <w:rPr>
                <w:sz w:val="20"/>
                <w:szCs w:val="20"/>
              </w:rPr>
              <w:t>778</w:t>
            </w:r>
            <w:r w:rsidR="00C84610">
              <w:rPr>
                <w:sz w:val="20"/>
                <w:szCs w:val="20"/>
              </w:rPr>
              <w:t>,</w:t>
            </w:r>
            <w:r>
              <w:rPr>
                <w:sz w:val="20"/>
                <w:szCs w:val="20"/>
              </w:rPr>
              <w:t>125</w:t>
            </w:r>
          </w:p>
        </w:tc>
      </w:tr>
      <w:tr w:rsidR="00054872" w:rsidRPr="00863EC6" w14:paraId="717FE054" w14:textId="77777777" w:rsidTr="54F71CB4">
        <w:tc>
          <w:tcPr>
            <w:tcW w:w="2801" w:type="dxa"/>
          </w:tcPr>
          <w:p w14:paraId="722FEFD0" w14:textId="77777777" w:rsidR="00054872" w:rsidRPr="00863EC6" w:rsidRDefault="00054872" w:rsidP="00D651FB">
            <w:pPr>
              <w:rPr>
                <w:sz w:val="20"/>
                <w:szCs w:val="20"/>
              </w:rPr>
            </w:pPr>
            <w:r w:rsidRPr="00863EC6">
              <w:rPr>
                <w:sz w:val="20"/>
                <w:szCs w:val="20"/>
              </w:rPr>
              <w:t>Additions</w:t>
            </w:r>
          </w:p>
        </w:tc>
        <w:tc>
          <w:tcPr>
            <w:tcW w:w="1701" w:type="dxa"/>
          </w:tcPr>
          <w:p w14:paraId="34100177" w14:textId="77777777" w:rsidR="00054872" w:rsidRPr="00863EC6" w:rsidRDefault="00054872" w:rsidP="00C84610">
            <w:pPr>
              <w:jc w:val="center"/>
              <w:rPr>
                <w:sz w:val="20"/>
                <w:szCs w:val="20"/>
              </w:rPr>
            </w:pPr>
            <w:r>
              <w:rPr>
                <w:sz w:val="20"/>
                <w:szCs w:val="20"/>
              </w:rPr>
              <w:t>0</w:t>
            </w:r>
          </w:p>
        </w:tc>
        <w:tc>
          <w:tcPr>
            <w:tcW w:w="1417" w:type="dxa"/>
          </w:tcPr>
          <w:p w14:paraId="6514F24B" w14:textId="1E193AC2" w:rsidR="00054872" w:rsidRPr="00863EC6" w:rsidRDefault="00733F00" w:rsidP="00C84610">
            <w:pPr>
              <w:jc w:val="center"/>
              <w:rPr>
                <w:sz w:val="20"/>
                <w:szCs w:val="20"/>
              </w:rPr>
            </w:pPr>
            <w:r>
              <w:rPr>
                <w:sz w:val="20"/>
                <w:szCs w:val="20"/>
              </w:rPr>
              <w:t>9</w:t>
            </w:r>
            <w:r w:rsidR="00C10832">
              <w:rPr>
                <w:sz w:val="20"/>
                <w:szCs w:val="20"/>
              </w:rPr>
              <w:t>,</w:t>
            </w:r>
            <w:r>
              <w:rPr>
                <w:sz w:val="20"/>
                <w:szCs w:val="20"/>
              </w:rPr>
              <w:t>073</w:t>
            </w:r>
          </w:p>
        </w:tc>
        <w:tc>
          <w:tcPr>
            <w:tcW w:w="1133" w:type="dxa"/>
          </w:tcPr>
          <w:p w14:paraId="6FA00CB2" w14:textId="77777777" w:rsidR="00054872" w:rsidRPr="00863EC6" w:rsidRDefault="00054872" w:rsidP="00C84610">
            <w:pPr>
              <w:jc w:val="center"/>
              <w:rPr>
                <w:sz w:val="20"/>
                <w:szCs w:val="20"/>
              </w:rPr>
            </w:pPr>
            <w:r>
              <w:rPr>
                <w:sz w:val="20"/>
                <w:szCs w:val="20"/>
              </w:rPr>
              <w:t>0</w:t>
            </w:r>
          </w:p>
        </w:tc>
        <w:tc>
          <w:tcPr>
            <w:tcW w:w="1454" w:type="dxa"/>
          </w:tcPr>
          <w:p w14:paraId="1D4EC247" w14:textId="5C272ECE" w:rsidR="00054872" w:rsidRPr="00863EC6" w:rsidRDefault="00733F00" w:rsidP="00C84610">
            <w:pPr>
              <w:jc w:val="center"/>
              <w:rPr>
                <w:sz w:val="20"/>
                <w:szCs w:val="20"/>
              </w:rPr>
            </w:pPr>
            <w:r>
              <w:rPr>
                <w:sz w:val="20"/>
                <w:szCs w:val="20"/>
              </w:rPr>
              <w:t>9</w:t>
            </w:r>
            <w:r w:rsidR="00C10832">
              <w:rPr>
                <w:sz w:val="20"/>
                <w:szCs w:val="20"/>
              </w:rPr>
              <w:t>,</w:t>
            </w:r>
            <w:r>
              <w:rPr>
                <w:sz w:val="20"/>
                <w:szCs w:val="20"/>
              </w:rPr>
              <w:t>073</w:t>
            </w:r>
          </w:p>
        </w:tc>
      </w:tr>
      <w:tr w:rsidR="00054872" w:rsidRPr="00863EC6" w14:paraId="0235AB98" w14:textId="77777777" w:rsidTr="54F71CB4">
        <w:tc>
          <w:tcPr>
            <w:tcW w:w="2801" w:type="dxa"/>
          </w:tcPr>
          <w:p w14:paraId="51CDDBBE" w14:textId="77777777" w:rsidR="00054872" w:rsidRDefault="00054872" w:rsidP="00D651FB">
            <w:pPr>
              <w:rPr>
                <w:sz w:val="20"/>
                <w:szCs w:val="20"/>
              </w:rPr>
            </w:pPr>
            <w:r>
              <w:rPr>
                <w:sz w:val="20"/>
                <w:szCs w:val="20"/>
              </w:rPr>
              <w:t>Revaluation</w:t>
            </w:r>
          </w:p>
        </w:tc>
        <w:tc>
          <w:tcPr>
            <w:tcW w:w="1701" w:type="dxa"/>
          </w:tcPr>
          <w:p w14:paraId="6173F125" w14:textId="6001140C" w:rsidR="00054872" w:rsidRDefault="00733F00" w:rsidP="00C84610">
            <w:pPr>
              <w:jc w:val="center"/>
              <w:rPr>
                <w:sz w:val="20"/>
                <w:szCs w:val="20"/>
              </w:rPr>
            </w:pPr>
            <w:r>
              <w:rPr>
                <w:sz w:val="20"/>
                <w:szCs w:val="20"/>
              </w:rPr>
              <w:t>4</w:t>
            </w:r>
            <w:r w:rsidR="00C84610">
              <w:rPr>
                <w:sz w:val="20"/>
                <w:szCs w:val="20"/>
              </w:rPr>
              <w:t>,</w:t>
            </w:r>
            <w:r>
              <w:rPr>
                <w:sz w:val="20"/>
                <w:szCs w:val="20"/>
              </w:rPr>
              <w:t>383</w:t>
            </w:r>
          </w:p>
        </w:tc>
        <w:tc>
          <w:tcPr>
            <w:tcW w:w="1417" w:type="dxa"/>
          </w:tcPr>
          <w:p w14:paraId="37F71293" w14:textId="77777777" w:rsidR="00054872" w:rsidRDefault="00054872" w:rsidP="00C84610">
            <w:pPr>
              <w:jc w:val="center"/>
              <w:rPr>
                <w:sz w:val="20"/>
                <w:szCs w:val="20"/>
              </w:rPr>
            </w:pPr>
            <w:r>
              <w:rPr>
                <w:sz w:val="20"/>
                <w:szCs w:val="20"/>
              </w:rPr>
              <w:t>0</w:t>
            </w:r>
          </w:p>
        </w:tc>
        <w:tc>
          <w:tcPr>
            <w:tcW w:w="1133" w:type="dxa"/>
          </w:tcPr>
          <w:p w14:paraId="1C906E17" w14:textId="77777777" w:rsidR="00054872" w:rsidRDefault="00054872" w:rsidP="00C84610">
            <w:pPr>
              <w:jc w:val="center"/>
              <w:rPr>
                <w:sz w:val="20"/>
                <w:szCs w:val="20"/>
              </w:rPr>
            </w:pPr>
            <w:r>
              <w:rPr>
                <w:sz w:val="20"/>
                <w:szCs w:val="20"/>
              </w:rPr>
              <w:t>0</w:t>
            </w:r>
          </w:p>
        </w:tc>
        <w:tc>
          <w:tcPr>
            <w:tcW w:w="1454" w:type="dxa"/>
          </w:tcPr>
          <w:p w14:paraId="7A1B3E65" w14:textId="748EB3EF" w:rsidR="00054872" w:rsidRDefault="00733F00" w:rsidP="00C84610">
            <w:pPr>
              <w:jc w:val="center"/>
              <w:rPr>
                <w:sz w:val="20"/>
                <w:szCs w:val="20"/>
              </w:rPr>
            </w:pPr>
            <w:r>
              <w:rPr>
                <w:sz w:val="20"/>
                <w:szCs w:val="20"/>
              </w:rPr>
              <w:t>4</w:t>
            </w:r>
            <w:r w:rsidR="00C10832">
              <w:rPr>
                <w:sz w:val="20"/>
                <w:szCs w:val="20"/>
              </w:rPr>
              <w:t>,</w:t>
            </w:r>
            <w:r>
              <w:rPr>
                <w:sz w:val="20"/>
                <w:szCs w:val="20"/>
              </w:rPr>
              <w:t>383</w:t>
            </w:r>
          </w:p>
        </w:tc>
      </w:tr>
      <w:tr w:rsidR="00054872" w:rsidRPr="00863EC6" w14:paraId="3321165D" w14:textId="77777777" w:rsidTr="54F71CB4">
        <w:tc>
          <w:tcPr>
            <w:tcW w:w="2801" w:type="dxa"/>
          </w:tcPr>
          <w:p w14:paraId="6004A648" w14:textId="35C04155" w:rsidR="00054872" w:rsidRPr="00863EC6" w:rsidRDefault="00054872" w:rsidP="00D651FB">
            <w:pPr>
              <w:rPr>
                <w:sz w:val="20"/>
                <w:szCs w:val="20"/>
              </w:rPr>
            </w:pPr>
            <w:r w:rsidRPr="00863EC6">
              <w:rPr>
                <w:sz w:val="20"/>
                <w:szCs w:val="20"/>
              </w:rPr>
              <w:t xml:space="preserve">At </w:t>
            </w:r>
            <w:r>
              <w:rPr>
                <w:sz w:val="20"/>
                <w:szCs w:val="20"/>
              </w:rPr>
              <w:t>31 March 202</w:t>
            </w:r>
            <w:r w:rsidR="00733F00">
              <w:rPr>
                <w:sz w:val="20"/>
                <w:szCs w:val="20"/>
              </w:rPr>
              <w:t>5</w:t>
            </w:r>
          </w:p>
        </w:tc>
        <w:tc>
          <w:tcPr>
            <w:tcW w:w="1701" w:type="dxa"/>
            <w:tcBorders>
              <w:top w:val="single" w:sz="4" w:space="0" w:color="auto"/>
              <w:bottom w:val="single" w:sz="4" w:space="0" w:color="auto"/>
            </w:tcBorders>
          </w:tcPr>
          <w:p w14:paraId="2D6BFD9D" w14:textId="0758685E" w:rsidR="00054872" w:rsidRPr="00863EC6" w:rsidRDefault="00C84610" w:rsidP="00C84610">
            <w:pPr>
              <w:jc w:val="center"/>
              <w:rPr>
                <w:sz w:val="20"/>
                <w:szCs w:val="20"/>
              </w:rPr>
            </w:pPr>
            <w:r>
              <w:rPr>
                <w:sz w:val="20"/>
                <w:szCs w:val="20"/>
              </w:rPr>
              <w:t>6</w:t>
            </w:r>
            <w:r w:rsidR="00733F00">
              <w:rPr>
                <w:sz w:val="20"/>
                <w:szCs w:val="20"/>
              </w:rPr>
              <w:t>41</w:t>
            </w:r>
            <w:r>
              <w:rPr>
                <w:sz w:val="20"/>
                <w:szCs w:val="20"/>
              </w:rPr>
              <w:t>,</w:t>
            </w:r>
            <w:r w:rsidR="00733F00">
              <w:rPr>
                <w:sz w:val="20"/>
                <w:szCs w:val="20"/>
              </w:rPr>
              <w:t>317</w:t>
            </w:r>
          </w:p>
        </w:tc>
        <w:tc>
          <w:tcPr>
            <w:tcW w:w="1417" w:type="dxa"/>
            <w:tcBorders>
              <w:top w:val="single" w:sz="4" w:space="0" w:color="auto"/>
              <w:bottom w:val="single" w:sz="4" w:space="0" w:color="auto"/>
            </w:tcBorders>
          </w:tcPr>
          <w:p w14:paraId="22ED3845" w14:textId="077DDE48" w:rsidR="00054872" w:rsidRPr="00863EC6" w:rsidRDefault="00733F00" w:rsidP="00C84610">
            <w:pPr>
              <w:jc w:val="center"/>
              <w:rPr>
                <w:sz w:val="20"/>
                <w:szCs w:val="20"/>
              </w:rPr>
            </w:pPr>
            <w:r>
              <w:rPr>
                <w:sz w:val="20"/>
                <w:szCs w:val="20"/>
              </w:rPr>
              <w:t>62</w:t>
            </w:r>
            <w:r w:rsidR="00054872">
              <w:rPr>
                <w:sz w:val="20"/>
                <w:szCs w:val="20"/>
              </w:rPr>
              <w:t>,</w:t>
            </w:r>
            <w:r>
              <w:rPr>
                <w:sz w:val="20"/>
                <w:szCs w:val="20"/>
              </w:rPr>
              <w:t>109</w:t>
            </w:r>
          </w:p>
        </w:tc>
        <w:tc>
          <w:tcPr>
            <w:tcW w:w="1133" w:type="dxa"/>
            <w:tcBorders>
              <w:top w:val="single" w:sz="4" w:space="0" w:color="auto"/>
              <w:bottom w:val="single" w:sz="4" w:space="0" w:color="auto"/>
            </w:tcBorders>
          </w:tcPr>
          <w:p w14:paraId="01946671" w14:textId="00C69816" w:rsidR="00054872" w:rsidRPr="00863EC6" w:rsidRDefault="00C10832" w:rsidP="00C84610">
            <w:pPr>
              <w:jc w:val="center"/>
              <w:rPr>
                <w:sz w:val="20"/>
                <w:szCs w:val="20"/>
              </w:rPr>
            </w:pPr>
            <w:r>
              <w:rPr>
                <w:sz w:val="20"/>
                <w:szCs w:val="20"/>
              </w:rPr>
              <w:t>88</w:t>
            </w:r>
            <w:r w:rsidR="00054872">
              <w:rPr>
                <w:sz w:val="20"/>
                <w:szCs w:val="20"/>
              </w:rPr>
              <w:t>,</w:t>
            </w:r>
            <w:r>
              <w:rPr>
                <w:sz w:val="20"/>
                <w:szCs w:val="20"/>
              </w:rPr>
              <w:t>155</w:t>
            </w:r>
          </w:p>
        </w:tc>
        <w:tc>
          <w:tcPr>
            <w:tcW w:w="1454" w:type="dxa"/>
            <w:tcBorders>
              <w:top w:val="single" w:sz="4" w:space="0" w:color="auto"/>
              <w:bottom w:val="single" w:sz="4" w:space="0" w:color="auto"/>
            </w:tcBorders>
          </w:tcPr>
          <w:p w14:paraId="43190D54" w14:textId="37235C3E" w:rsidR="00054872" w:rsidRPr="00863EC6" w:rsidRDefault="00C10832" w:rsidP="00C84610">
            <w:pPr>
              <w:jc w:val="center"/>
              <w:rPr>
                <w:sz w:val="20"/>
                <w:szCs w:val="20"/>
              </w:rPr>
            </w:pPr>
            <w:r>
              <w:rPr>
                <w:sz w:val="20"/>
                <w:szCs w:val="20"/>
              </w:rPr>
              <w:t>7</w:t>
            </w:r>
            <w:r w:rsidR="00733F00">
              <w:rPr>
                <w:sz w:val="20"/>
                <w:szCs w:val="20"/>
              </w:rPr>
              <w:t>91</w:t>
            </w:r>
            <w:r w:rsidR="00C84610">
              <w:rPr>
                <w:sz w:val="20"/>
                <w:szCs w:val="20"/>
              </w:rPr>
              <w:t>,</w:t>
            </w:r>
            <w:r w:rsidR="00733F00">
              <w:rPr>
                <w:sz w:val="20"/>
                <w:szCs w:val="20"/>
              </w:rPr>
              <w:t>581</w:t>
            </w:r>
          </w:p>
        </w:tc>
      </w:tr>
      <w:tr w:rsidR="00054872" w:rsidRPr="00863EC6" w14:paraId="365B8ACA" w14:textId="77777777" w:rsidTr="54F71CB4">
        <w:tc>
          <w:tcPr>
            <w:tcW w:w="2801" w:type="dxa"/>
          </w:tcPr>
          <w:p w14:paraId="17FA4CAC" w14:textId="77777777" w:rsidR="00092A71" w:rsidRDefault="00092A71" w:rsidP="00D651FB">
            <w:pPr>
              <w:rPr>
                <w:b/>
                <w:sz w:val="20"/>
                <w:szCs w:val="20"/>
              </w:rPr>
            </w:pPr>
          </w:p>
          <w:p w14:paraId="1763AA7B" w14:textId="40445193" w:rsidR="00054872" w:rsidRPr="00863EC6" w:rsidRDefault="00054872" w:rsidP="00D651FB">
            <w:pPr>
              <w:rPr>
                <w:b/>
                <w:sz w:val="20"/>
                <w:szCs w:val="20"/>
              </w:rPr>
            </w:pPr>
            <w:r w:rsidRPr="00863EC6">
              <w:rPr>
                <w:b/>
                <w:sz w:val="20"/>
                <w:szCs w:val="20"/>
              </w:rPr>
              <w:t>Depreciation</w:t>
            </w:r>
          </w:p>
        </w:tc>
        <w:tc>
          <w:tcPr>
            <w:tcW w:w="1701" w:type="dxa"/>
          </w:tcPr>
          <w:p w14:paraId="658FE91A" w14:textId="77777777" w:rsidR="00054872" w:rsidRPr="00863EC6" w:rsidRDefault="00054872" w:rsidP="00C84610">
            <w:pPr>
              <w:jc w:val="center"/>
              <w:rPr>
                <w:sz w:val="20"/>
                <w:szCs w:val="20"/>
              </w:rPr>
            </w:pPr>
          </w:p>
        </w:tc>
        <w:tc>
          <w:tcPr>
            <w:tcW w:w="1417" w:type="dxa"/>
          </w:tcPr>
          <w:p w14:paraId="5CEE8208" w14:textId="77777777" w:rsidR="00054872" w:rsidRPr="00863EC6" w:rsidRDefault="00054872" w:rsidP="00C84610">
            <w:pPr>
              <w:jc w:val="center"/>
              <w:rPr>
                <w:sz w:val="20"/>
                <w:szCs w:val="20"/>
              </w:rPr>
            </w:pPr>
          </w:p>
        </w:tc>
        <w:tc>
          <w:tcPr>
            <w:tcW w:w="1133" w:type="dxa"/>
          </w:tcPr>
          <w:p w14:paraId="44FF42D9" w14:textId="77777777" w:rsidR="00054872" w:rsidRPr="00863EC6" w:rsidRDefault="00054872" w:rsidP="00C84610">
            <w:pPr>
              <w:jc w:val="center"/>
              <w:rPr>
                <w:sz w:val="20"/>
                <w:szCs w:val="20"/>
              </w:rPr>
            </w:pPr>
          </w:p>
        </w:tc>
        <w:tc>
          <w:tcPr>
            <w:tcW w:w="1454" w:type="dxa"/>
          </w:tcPr>
          <w:p w14:paraId="16B19987" w14:textId="77777777" w:rsidR="00054872" w:rsidRPr="00863EC6" w:rsidRDefault="00054872" w:rsidP="00C84610">
            <w:pPr>
              <w:jc w:val="center"/>
              <w:rPr>
                <w:sz w:val="20"/>
                <w:szCs w:val="20"/>
              </w:rPr>
            </w:pPr>
          </w:p>
        </w:tc>
      </w:tr>
      <w:tr w:rsidR="00054872" w:rsidRPr="00863EC6" w14:paraId="1ABA4210" w14:textId="77777777" w:rsidTr="54F71CB4">
        <w:tc>
          <w:tcPr>
            <w:tcW w:w="2801" w:type="dxa"/>
          </w:tcPr>
          <w:p w14:paraId="70E82A71" w14:textId="638DE12B" w:rsidR="00054872" w:rsidRPr="00863EC6" w:rsidRDefault="00054872" w:rsidP="00D651FB">
            <w:pPr>
              <w:rPr>
                <w:sz w:val="20"/>
                <w:szCs w:val="20"/>
              </w:rPr>
            </w:pPr>
            <w:r w:rsidRPr="00863EC6">
              <w:rPr>
                <w:sz w:val="20"/>
                <w:szCs w:val="20"/>
              </w:rPr>
              <w:t>At 1 April 20</w:t>
            </w:r>
            <w:r>
              <w:rPr>
                <w:sz w:val="20"/>
                <w:szCs w:val="20"/>
              </w:rPr>
              <w:t>2</w:t>
            </w:r>
            <w:r w:rsidR="00733F00">
              <w:rPr>
                <w:sz w:val="20"/>
                <w:szCs w:val="20"/>
              </w:rPr>
              <w:t>4</w:t>
            </w:r>
          </w:p>
        </w:tc>
        <w:tc>
          <w:tcPr>
            <w:tcW w:w="1701" w:type="dxa"/>
          </w:tcPr>
          <w:p w14:paraId="15B120B2" w14:textId="78C1261C" w:rsidR="00054872" w:rsidRPr="00863EC6" w:rsidRDefault="00733F00" w:rsidP="00C84610">
            <w:pPr>
              <w:jc w:val="center"/>
              <w:rPr>
                <w:sz w:val="20"/>
                <w:szCs w:val="20"/>
              </w:rPr>
            </w:pPr>
            <w:r>
              <w:rPr>
                <w:sz w:val="20"/>
                <w:szCs w:val="20"/>
              </w:rPr>
              <w:t>271</w:t>
            </w:r>
            <w:r w:rsidR="00C84610">
              <w:rPr>
                <w:sz w:val="20"/>
                <w:szCs w:val="20"/>
              </w:rPr>
              <w:t>,</w:t>
            </w:r>
            <w:r>
              <w:rPr>
                <w:sz w:val="20"/>
                <w:szCs w:val="20"/>
              </w:rPr>
              <w:t>384</w:t>
            </w:r>
          </w:p>
        </w:tc>
        <w:tc>
          <w:tcPr>
            <w:tcW w:w="1417" w:type="dxa"/>
          </w:tcPr>
          <w:p w14:paraId="47401904" w14:textId="00FB6AAE" w:rsidR="00054872" w:rsidRPr="00863EC6" w:rsidRDefault="00733F00" w:rsidP="00C84610">
            <w:pPr>
              <w:jc w:val="center"/>
              <w:rPr>
                <w:sz w:val="20"/>
                <w:szCs w:val="20"/>
              </w:rPr>
            </w:pPr>
            <w:r>
              <w:rPr>
                <w:sz w:val="20"/>
                <w:szCs w:val="20"/>
              </w:rPr>
              <w:t>28</w:t>
            </w:r>
            <w:r w:rsidR="00C84610">
              <w:rPr>
                <w:sz w:val="20"/>
                <w:szCs w:val="20"/>
              </w:rPr>
              <w:t>,</w:t>
            </w:r>
            <w:r>
              <w:rPr>
                <w:sz w:val="20"/>
                <w:szCs w:val="20"/>
              </w:rPr>
              <w:t>339</w:t>
            </w:r>
          </w:p>
        </w:tc>
        <w:tc>
          <w:tcPr>
            <w:tcW w:w="1133" w:type="dxa"/>
          </w:tcPr>
          <w:p w14:paraId="010C8BD1" w14:textId="7C67B418" w:rsidR="00054872" w:rsidRPr="00863EC6" w:rsidRDefault="00733F00" w:rsidP="00C84610">
            <w:pPr>
              <w:jc w:val="center"/>
              <w:rPr>
                <w:sz w:val="20"/>
                <w:szCs w:val="20"/>
              </w:rPr>
            </w:pPr>
            <w:r>
              <w:rPr>
                <w:sz w:val="20"/>
                <w:szCs w:val="20"/>
              </w:rPr>
              <w:t>59</w:t>
            </w:r>
            <w:r w:rsidR="00C84610">
              <w:rPr>
                <w:sz w:val="20"/>
                <w:szCs w:val="20"/>
              </w:rPr>
              <w:t>,</w:t>
            </w:r>
            <w:r>
              <w:rPr>
                <w:sz w:val="20"/>
                <w:szCs w:val="20"/>
              </w:rPr>
              <w:t>039</w:t>
            </w:r>
          </w:p>
        </w:tc>
        <w:tc>
          <w:tcPr>
            <w:tcW w:w="1454" w:type="dxa"/>
          </w:tcPr>
          <w:p w14:paraId="4F2D5F9F" w14:textId="01A40692" w:rsidR="00054872" w:rsidRPr="00863EC6" w:rsidRDefault="005F35DE" w:rsidP="00C84610">
            <w:pPr>
              <w:jc w:val="center"/>
              <w:rPr>
                <w:sz w:val="20"/>
                <w:szCs w:val="20"/>
              </w:rPr>
            </w:pPr>
            <w:r>
              <w:rPr>
                <w:sz w:val="20"/>
                <w:szCs w:val="20"/>
              </w:rPr>
              <w:t>3</w:t>
            </w:r>
            <w:r w:rsidR="00733F00">
              <w:rPr>
                <w:sz w:val="20"/>
                <w:szCs w:val="20"/>
              </w:rPr>
              <w:t>58</w:t>
            </w:r>
            <w:r w:rsidR="00C84610">
              <w:rPr>
                <w:sz w:val="20"/>
                <w:szCs w:val="20"/>
              </w:rPr>
              <w:t>,</w:t>
            </w:r>
            <w:r w:rsidR="00733F00">
              <w:rPr>
                <w:sz w:val="20"/>
                <w:szCs w:val="20"/>
              </w:rPr>
              <w:t>762</w:t>
            </w:r>
          </w:p>
        </w:tc>
      </w:tr>
      <w:tr w:rsidR="00054872" w:rsidRPr="00863EC6" w14:paraId="59081210" w14:textId="77777777" w:rsidTr="54F71CB4">
        <w:tc>
          <w:tcPr>
            <w:tcW w:w="2801" w:type="dxa"/>
          </w:tcPr>
          <w:p w14:paraId="7685177B" w14:textId="77777777" w:rsidR="00054872" w:rsidRPr="00863EC6" w:rsidRDefault="00054872" w:rsidP="00D651FB">
            <w:pPr>
              <w:rPr>
                <w:sz w:val="20"/>
                <w:szCs w:val="20"/>
              </w:rPr>
            </w:pPr>
            <w:r w:rsidRPr="00863EC6">
              <w:rPr>
                <w:sz w:val="20"/>
                <w:szCs w:val="20"/>
              </w:rPr>
              <w:t>Charged in year</w:t>
            </w:r>
          </w:p>
        </w:tc>
        <w:tc>
          <w:tcPr>
            <w:tcW w:w="1701" w:type="dxa"/>
          </w:tcPr>
          <w:p w14:paraId="6AE2C84F" w14:textId="36F4B281" w:rsidR="00054872" w:rsidRPr="00863EC6" w:rsidRDefault="00C84610" w:rsidP="00C84610">
            <w:pPr>
              <w:jc w:val="center"/>
              <w:rPr>
                <w:sz w:val="20"/>
                <w:szCs w:val="20"/>
              </w:rPr>
            </w:pPr>
            <w:r>
              <w:rPr>
                <w:sz w:val="20"/>
                <w:szCs w:val="20"/>
              </w:rPr>
              <w:t>7</w:t>
            </w:r>
            <w:r w:rsidR="00733F00">
              <w:rPr>
                <w:sz w:val="20"/>
                <w:szCs w:val="20"/>
              </w:rPr>
              <w:t>4</w:t>
            </w:r>
            <w:r>
              <w:rPr>
                <w:sz w:val="20"/>
                <w:szCs w:val="20"/>
              </w:rPr>
              <w:t>,</w:t>
            </w:r>
            <w:r w:rsidR="00733F00">
              <w:rPr>
                <w:sz w:val="20"/>
                <w:szCs w:val="20"/>
              </w:rPr>
              <w:t>518</w:t>
            </w:r>
          </w:p>
        </w:tc>
        <w:tc>
          <w:tcPr>
            <w:tcW w:w="1417" w:type="dxa"/>
          </w:tcPr>
          <w:p w14:paraId="192B7E01" w14:textId="6AB439CD" w:rsidR="00054872" w:rsidRPr="00863EC6" w:rsidRDefault="00C10832" w:rsidP="00C84610">
            <w:pPr>
              <w:jc w:val="center"/>
              <w:rPr>
                <w:sz w:val="20"/>
                <w:szCs w:val="20"/>
              </w:rPr>
            </w:pPr>
            <w:r>
              <w:rPr>
                <w:sz w:val="20"/>
                <w:szCs w:val="20"/>
              </w:rPr>
              <w:t>1</w:t>
            </w:r>
            <w:r w:rsidR="00733F00">
              <w:rPr>
                <w:sz w:val="20"/>
                <w:szCs w:val="20"/>
              </w:rPr>
              <w:t>4</w:t>
            </w:r>
            <w:r w:rsidR="00C84610">
              <w:rPr>
                <w:sz w:val="20"/>
                <w:szCs w:val="20"/>
              </w:rPr>
              <w:t>,</w:t>
            </w:r>
            <w:r w:rsidR="00733F00">
              <w:rPr>
                <w:sz w:val="20"/>
                <w:szCs w:val="20"/>
              </w:rPr>
              <w:t>488</w:t>
            </w:r>
          </w:p>
        </w:tc>
        <w:tc>
          <w:tcPr>
            <w:tcW w:w="1133" w:type="dxa"/>
          </w:tcPr>
          <w:p w14:paraId="348DB738" w14:textId="28082E20" w:rsidR="00054872" w:rsidRPr="00863EC6" w:rsidRDefault="0076474C" w:rsidP="00C84610">
            <w:pPr>
              <w:jc w:val="center"/>
              <w:rPr>
                <w:sz w:val="20"/>
                <w:szCs w:val="20"/>
              </w:rPr>
            </w:pPr>
            <w:r>
              <w:rPr>
                <w:sz w:val="20"/>
                <w:szCs w:val="20"/>
              </w:rPr>
              <w:t>1</w:t>
            </w:r>
            <w:r w:rsidR="005F35DE">
              <w:rPr>
                <w:sz w:val="20"/>
                <w:szCs w:val="20"/>
              </w:rPr>
              <w:t>7</w:t>
            </w:r>
            <w:r w:rsidR="00C84610">
              <w:rPr>
                <w:sz w:val="20"/>
                <w:szCs w:val="20"/>
              </w:rPr>
              <w:t>,</w:t>
            </w:r>
            <w:r w:rsidR="00733F00">
              <w:rPr>
                <w:sz w:val="20"/>
                <w:szCs w:val="20"/>
              </w:rPr>
              <w:t>407</w:t>
            </w:r>
          </w:p>
        </w:tc>
        <w:tc>
          <w:tcPr>
            <w:tcW w:w="1454" w:type="dxa"/>
          </w:tcPr>
          <w:p w14:paraId="0242D593" w14:textId="09BFDFED" w:rsidR="00054872" w:rsidRPr="00863EC6" w:rsidRDefault="005F35DE" w:rsidP="00C84610">
            <w:pPr>
              <w:jc w:val="center"/>
              <w:rPr>
                <w:sz w:val="20"/>
                <w:szCs w:val="20"/>
              </w:rPr>
            </w:pPr>
            <w:r>
              <w:rPr>
                <w:sz w:val="20"/>
                <w:szCs w:val="20"/>
              </w:rPr>
              <w:t>10</w:t>
            </w:r>
            <w:r w:rsidR="00733F00">
              <w:rPr>
                <w:sz w:val="20"/>
                <w:szCs w:val="20"/>
              </w:rPr>
              <w:t>6</w:t>
            </w:r>
            <w:r w:rsidR="00C84610">
              <w:rPr>
                <w:sz w:val="20"/>
                <w:szCs w:val="20"/>
              </w:rPr>
              <w:t>,</w:t>
            </w:r>
            <w:r w:rsidR="00733F00">
              <w:rPr>
                <w:sz w:val="20"/>
                <w:szCs w:val="20"/>
              </w:rPr>
              <w:t>413</w:t>
            </w:r>
          </w:p>
        </w:tc>
      </w:tr>
      <w:tr w:rsidR="00054872" w:rsidRPr="00863EC6" w14:paraId="0FB637A4" w14:textId="77777777" w:rsidTr="54F71CB4">
        <w:tc>
          <w:tcPr>
            <w:tcW w:w="2801" w:type="dxa"/>
          </w:tcPr>
          <w:p w14:paraId="32C8D09D" w14:textId="77777777" w:rsidR="00054872" w:rsidRPr="00863EC6" w:rsidRDefault="00054872" w:rsidP="00D651FB">
            <w:pPr>
              <w:rPr>
                <w:sz w:val="20"/>
                <w:szCs w:val="20"/>
              </w:rPr>
            </w:pPr>
            <w:r>
              <w:rPr>
                <w:sz w:val="20"/>
                <w:szCs w:val="20"/>
              </w:rPr>
              <w:t>Revaluation</w:t>
            </w:r>
          </w:p>
        </w:tc>
        <w:tc>
          <w:tcPr>
            <w:tcW w:w="1701" w:type="dxa"/>
          </w:tcPr>
          <w:p w14:paraId="5CF7E70F" w14:textId="534AAB45" w:rsidR="00054872" w:rsidRDefault="00733F00" w:rsidP="00C84610">
            <w:pPr>
              <w:jc w:val="center"/>
              <w:rPr>
                <w:sz w:val="20"/>
                <w:szCs w:val="20"/>
              </w:rPr>
            </w:pPr>
            <w:r>
              <w:rPr>
                <w:sz w:val="20"/>
                <w:szCs w:val="20"/>
              </w:rPr>
              <w:t>89</w:t>
            </w:r>
          </w:p>
        </w:tc>
        <w:tc>
          <w:tcPr>
            <w:tcW w:w="1417" w:type="dxa"/>
          </w:tcPr>
          <w:p w14:paraId="2D6803FD" w14:textId="77777777" w:rsidR="00054872" w:rsidRDefault="00054872" w:rsidP="00C84610">
            <w:pPr>
              <w:jc w:val="center"/>
              <w:rPr>
                <w:sz w:val="20"/>
                <w:szCs w:val="20"/>
              </w:rPr>
            </w:pPr>
            <w:r>
              <w:rPr>
                <w:sz w:val="20"/>
                <w:szCs w:val="20"/>
              </w:rPr>
              <w:t>0</w:t>
            </w:r>
          </w:p>
        </w:tc>
        <w:tc>
          <w:tcPr>
            <w:tcW w:w="1133" w:type="dxa"/>
          </w:tcPr>
          <w:p w14:paraId="0A6DDD13" w14:textId="77777777" w:rsidR="00054872" w:rsidRDefault="00054872" w:rsidP="00C84610">
            <w:pPr>
              <w:jc w:val="center"/>
              <w:rPr>
                <w:sz w:val="20"/>
                <w:szCs w:val="20"/>
              </w:rPr>
            </w:pPr>
            <w:r>
              <w:rPr>
                <w:sz w:val="20"/>
                <w:szCs w:val="20"/>
              </w:rPr>
              <w:t>0</w:t>
            </w:r>
          </w:p>
        </w:tc>
        <w:tc>
          <w:tcPr>
            <w:tcW w:w="1454" w:type="dxa"/>
          </w:tcPr>
          <w:p w14:paraId="705BE03B" w14:textId="4942923E" w:rsidR="00054872" w:rsidRDefault="00733F00" w:rsidP="00C84610">
            <w:pPr>
              <w:jc w:val="center"/>
              <w:rPr>
                <w:sz w:val="20"/>
                <w:szCs w:val="20"/>
              </w:rPr>
            </w:pPr>
            <w:r>
              <w:rPr>
                <w:sz w:val="20"/>
                <w:szCs w:val="20"/>
              </w:rPr>
              <w:t>89</w:t>
            </w:r>
          </w:p>
        </w:tc>
      </w:tr>
      <w:tr w:rsidR="00054872" w:rsidRPr="00F82840" w14:paraId="46A2CB15" w14:textId="77777777" w:rsidTr="54F71CB4">
        <w:tc>
          <w:tcPr>
            <w:tcW w:w="2801" w:type="dxa"/>
          </w:tcPr>
          <w:p w14:paraId="5C8139F6" w14:textId="190A0E6B" w:rsidR="00054872" w:rsidRPr="00F82840" w:rsidRDefault="00054872" w:rsidP="00D651FB">
            <w:pPr>
              <w:rPr>
                <w:sz w:val="20"/>
                <w:szCs w:val="20"/>
              </w:rPr>
            </w:pPr>
            <w:r w:rsidRPr="00F82840">
              <w:rPr>
                <w:sz w:val="20"/>
                <w:szCs w:val="20"/>
              </w:rPr>
              <w:t xml:space="preserve">At </w:t>
            </w:r>
            <w:r>
              <w:rPr>
                <w:sz w:val="20"/>
                <w:szCs w:val="20"/>
              </w:rPr>
              <w:t>31 March 202</w:t>
            </w:r>
            <w:r w:rsidR="00733F00">
              <w:rPr>
                <w:sz w:val="20"/>
                <w:szCs w:val="20"/>
              </w:rPr>
              <w:t>5</w:t>
            </w:r>
          </w:p>
        </w:tc>
        <w:tc>
          <w:tcPr>
            <w:tcW w:w="1701" w:type="dxa"/>
            <w:tcBorders>
              <w:top w:val="single" w:sz="4" w:space="0" w:color="auto"/>
              <w:bottom w:val="single" w:sz="4" w:space="0" w:color="auto"/>
            </w:tcBorders>
          </w:tcPr>
          <w:p w14:paraId="649972B9" w14:textId="25F7F3E5" w:rsidR="00054872" w:rsidRPr="00F82840" w:rsidRDefault="00A91F62" w:rsidP="00C84610">
            <w:pPr>
              <w:jc w:val="center"/>
              <w:rPr>
                <w:sz w:val="20"/>
                <w:szCs w:val="20"/>
              </w:rPr>
            </w:pPr>
            <w:r>
              <w:rPr>
                <w:sz w:val="20"/>
                <w:szCs w:val="20"/>
              </w:rPr>
              <w:t>345</w:t>
            </w:r>
            <w:r w:rsidR="00C84610">
              <w:rPr>
                <w:sz w:val="20"/>
                <w:szCs w:val="20"/>
              </w:rPr>
              <w:t>,</w:t>
            </w:r>
            <w:r>
              <w:rPr>
                <w:sz w:val="20"/>
                <w:szCs w:val="20"/>
              </w:rPr>
              <w:t>991</w:t>
            </w:r>
          </w:p>
        </w:tc>
        <w:tc>
          <w:tcPr>
            <w:tcW w:w="1417" w:type="dxa"/>
            <w:tcBorders>
              <w:top w:val="single" w:sz="4" w:space="0" w:color="auto"/>
              <w:bottom w:val="single" w:sz="4" w:space="0" w:color="auto"/>
            </w:tcBorders>
          </w:tcPr>
          <w:p w14:paraId="6DD313AC" w14:textId="351ED9FB" w:rsidR="00054872" w:rsidRPr="00F82840" w:rsidRDefault="00733F00" w:rsidP="00C84610">
            <w:pPr>
              <w:jc w:val="center"/>
              <w:rPr>
                <w:sz w:val="20"/>
                <w:szCs w:val="20"/>
              </w:rPr>
            </w:pPr>
            <w:r>
              <w:rPr>
                <w:sz w:val="20"/>
                <w:szCs w:val="20"/>
              </w:rPr>
              <w:t>42</w:t>
            </w:r>
            <w:r w:rsidR="00C84610">
              <w:rPr>
                <w:sz w:val="20"/>
                <w:szCs w:val="20"/>
              </w:rPr>
              <w:t>,</w:t>
            </w:r>
            <w:r>
              <w:rPr>
                <w:sz w:val="20"/>
                <w:szCs w:val="20"/>
              </w:rPr>
              <w:t>827</w:t>
            </w:r>
          </w:p>
        </w:tc>
        <w:tc>
          <w:tcPr>
            <w:tcW w:w="1133" w:type="dxa"/>
            <w:tcBorders>
              <w:top w:val="single" w:sz="4" w:space="0" w:color="auto"/>
              <w:bottom w:val="single" w:sz="4" w:space="0" w:color="auto"/>
            </w:tcBorders>
          </w:tcPr>
          <w:p w14:paraId="55A69FF9" w14:textId="2127AA37" w:rsidR="00054872" w:rsidRPr="00F82840" w:rsidRDefault="00733F00" w:rsidP="00C84610">
            <w:pPr>
              <w:jc w:val="center"/>
              <w:rPr>
                <w:sz w:val="20"/>
                <w:szCs w:val="20"/>
              </w:rPr>
            </w:pPr>
            <w:r>
              <w:rPr>
                <w:sz w:val="20"/>
                <w:szCs w:val="20"/>
              </w:rPr>
              <w:t>76</w:t>
            </w:r>
            <w:r w:rsidR="00C84610">
              <w:rPr>
                <w:sz w:val="20"/>
                <w:szCs w:val="20"/>
              </w:rPr>
              <w:t>,</w:t>
            </w:r>
            <w:r>
              <w:rPr>
                <w:sz w:val="20"/>
                <w:szCs w:val="20"/>
              </w:rPr>
              <w:t>446</w:t>
            </w:r>
          </w:p>
        </w:tc>
        <w:tc>
          <w:tcPr>
            <w:tcW w:w="1454" w:type="dxa"/>
            <w:tcBorders>
              <w:top w:val="single" w:sz="4" w:space="0" w:color="auto"/>
              <w:bottom w:val="single" w:sz="4" w:space="0" w:color="auto"/>
            </w:tcBorders>
          </w:tcPr>
          <w:p w14:paraId="55E82A12" w14:textId="513A5C97" w:rsidR="00054872" w:rsidRPr="00F82840" w:rsidRDefault="00733F00" w:rsidP="00C84610">
            <w:pPr>
              <w:jc w:val="center"/>
              <w:rPr>
                <w:sz w:val="20"/>
                <w:szCs w:val="20"/>
              </w:rPr>
            </w:pPr>
            <w:r>
              <w:rPr>
                <w:sz w:val="20"/>
                <w:szCs w:val="20"/>
              </w:rPr>
              <w:t>465</w:t>
            </w:r>
            <w:r w:rsidR="00C84610" w:rsidRPr="004E4970">
              <w:rPr>
                <w:sz w:val="20"/>
                <w:szCs w:val="20"/>
              </w:rPr>
              <w:t>,</w:t>
            </w:r>
            <w:r>
              <w:rPr>
                <w:sz w:val="20"/>
                <w:szCs w:val="20"/>
              </w:rPr>
              <w:t>264</w:t>
            </w:r>
          </w:p>
        </w:tc>
      </w:tr>
      <w:tr w:rsidR="00054872" w:rsidRPr="00F82840" w14:paraId="627C23D6" w14:textId="77777777" w:rsidTr="54F71CB4">
        <w:tc>
          <w:tcPr>
            <w:tcW w:w="2801" w:type="dxa"/>
          </w:tcPr>
          <w:p w14:paraId="6E55B699" w14:textId="77777777" w:rsidR="00054872" w:rsidRPr="00F82840" w:rsidRDefault="00054872" w:rsidP="00D651FB">
            <w:pPr>
              <w:rPr>
                <w:sz w:val="20"/>
                <w:szCs w:val="20"/>
              </w:rPr>
            </w:pPr>
          </w:p>
          <w:p w14:paraId="694B00D8" w14:textId="4156DEDD" w:rsidR="00054872" w:rsidRPr="00F82840" w:rsidRDefault="6547A7A9" w:rsidP="00D651FB">
            <w:pPr>
              <w:rPr>
                <w:sz w:val="20"/>
                <w:szCs w:val="20"/>
              </w:rPr>
            </w:pPr>
            <w:r w:rsidRPr="54F71CB4">
              <w:rPr>
                <w:sz w:val="20"/>
                <w:szCs w:val="20"/>
              </w:rPr>
              <w:t>Net book value at 31 March 202</w:t>
            </w:r>
            <w:r w:rsidR="00733F00">
              <w:rPr>
                <w:sz w:val="20"/>
                <w:szCs w:val="20"/>
              </w:rPr>
              <w:t>5</w:t>
            </w:r>
          </w:p>
        </w:tc>
        <w:tc>
          <w:tcPr>
            <w:tcW w:w="1701" w:type="dxa"/>
            <w:tcBorders>
              <w:top w:val="single" w:sz="4" w:space="0" w:color="auto"/>
              <w:bottom w:val="single" w:sz="4" w:space="0" w:color="auto"/>
            </w:tcBorders>
          </w:tcPr>
          <w:p w14:paraId="7D6C42A5" w14:textId="77777777" w:rsidR="00054872" w:rsidRDefault="00054872" w:rsidP="00C84610">
            <w:pPr>
              <w:jc w:val="center"/>
              <w:rPr>
                <w:sz w:val="20"/>
                <w:szCs w:val="20"/>
              </w:rPr>
            </w:pPr>
          </w:p>
          <w:p w14:paraId="3D45AE86" w14:textId="77777777" w:rsidR="00054872" w:rsidRDefault="00054872" w:rsidP="00C84610">
            <w:pPr>
              <w:jc w:val="center"/>
              <w:rPr>
                <w:sz w:val="20"/>
                <w:szCs w:val="20"/>
              </w:rPr>
            </w:pPr>
          </w:p>
          <w:p w14:paraId="35452AD0" w14:textId="3472F947" w:rsidR="00054872" w:rsidRPr="00F82840" w:rsidRDefault="00A91F62" w:rsidP="00C84610">
            <w:pPr>
              <w:jc w:val="center"/>
              <w:rPr>
                <w:sz w:val="20"/>
                <w:szCs w:val="20"/>
              </w:rPr>
            </w:pPr>
            <w:r>
              <w:rPr>
                <w:sz w:val="20"/>
                <w:szCs w:val="20"/>
              </w:rPr>
              <w:t>295</w:t>
            </w:r>
            <w:r w:rsidR="00C84610">
              <w:rPr>
                <w:sz w:val="20"/>
                <w:szCs w:val="20"/>
              </w:rPr>
              <w:t>,</w:t>
            </w:r>
            <w:r>
              <w:rPr>
                <w:sz w:val="20"/>
                <w:szCs w:val="20"/>
              </w:rPr>
              <w:t>326</w:t>
            </w:r>
          </w:p>
        </w:tc>
        <w:tc>
          <w:tcPr>
            <w:tcW w:w="1417" w:type="dxa"/>
            <w:tcBorders>
              <w:top w:val="single" w:sz="4" w:space="0" w:color="auto"/>
              <w:bottom w:val="single" w:sz="4" w:space="0" w:color="auto"/>
            </w:tcBorders>
          </w:tcPr>
          <w:p w14:paraId="39884920" w14:textId="77777777" w:rsidR="00054872" w:rsidRDefault="00054872" w:rsidP="00C84610">
            <w:pPr>
              <w:jc w:val="center"/>
              <w:rPr>
                <w:sz w:val="20"/>
                <w:szCs w:val="20"/>
              </w:rPr>
            </w:pPr>
          </w:p>
          <w:p w14:paraId="3C6A291E" w14:textId="77777777" w:rsidR="00054872" w:rsidRDefault="00054872" w:rsidP="00C84610">
            <w:pPr>
              <w:jc w:val="center"/>
              <w:rPr>
                <w:sz w:val="20"/>
                <w:szCs w:val="20"/>
              </w:rPr>
            </w:pPr>
          </w:p>
          <w:p w14:paraId="4FB82B3B" w14:textId="45F40E45" w:rsidR="00054872" w:rsidRPr="00F82840" w:rsidRDefault="00A91F62" w:rsidP="00C84610">
            <w:pPr>
              <w:jc w:val="center"/>
              <w:rPr>
                <w:sz w:val="20"/>
                <w:szCs w:val="20"/>
              </w:rPr>
            </w:pPr>
            <w:r>
              <w:rPr>
                <w:sz w:val="20"/>
                <w:szCs w:val="20"/>
              </w:rPr>
              <w:t>19</w:t>
            </w:r>
            <w:r w:rsidR="00C84610">
              <w:rPr>
                <w:sz w:val="20"/>
                <w:szCs w:val="20"/>
              </w:rPr>
              <w:t>,</w:t>
            </w:r>
            <w:r>
              <w:rPr>
                <w:sz w:val="20"/>
                <w:szCs w:val="20"/>
              </w:rPr>
              <w:t>282</w:t>
            </w:r>
          </w:p>
        </w:tc>
        <w:tc>
          <w:tcPr>
            <w:tcW w:w="1133" w:type="dxa"/>
            <w:tcBorders>
              <w:top w:val="single" w:sz="4" w:space="0" w:color="auto"/>
              <w:bottom w:val="single" w:sz="4" w:space="0" w:color="auto"/>
            </w:tcBorders>
          </w:tcPr>
          <w:p w14:paraId="675F4D46" w14:textId="77777777" w:rsidR="00054872" w:rsidRDefault="00054872" w:rsidP="00C84610">
            <w:pPr>
              <w:jc w:val="center"/>
              <w:rPr>
                <w:sz w:val="20"/>
                <w:szCs w:val="20"/>
              </w:rPr>
            </w:pPr>
          </w:p>
          <w:p w14:paraId="4E246446" w14:textId="77777777" w:rsidR="00054872" w:rsidRDefault="00054872" w:rsidP="00C84610">
            <w:pPr>
              <w:jc w:val="center"/>
              <w:rPr>
                <w:sz w:val="20"/>
                <w:szCs w:val="20"/>
              </w:rPr>
            </w:pPr>
          </w:p>
          <w:p w14:paraId="6527B635" w14:textId="2DBE15D9" w:rsidR="00054872" w:rsidRPr="00F82840" w:rsidRDefault="00A91F62" w:rsidP="00C84610">
            <w:pPr>
              <w:jc w:val="center"/>
              <w:rPr>
                <w:sz w:val="20"/>
                <w:szCs w:val="20"/>
              </w:rPr>
            </w:pPr>
            <w:r>
              <w:rPr>
                <w:sz w:val="20"/>
                <w:szCs w:val="20"/>
              </w:rPr>
              <w:t>11</w:t>
            </w:r>
            <w:r w:rsidR="00C84610">
              <w:rPr>
                <w:sz w:val="20"/>
                <w:szCs w:val="20"/>
              </w:rPr>
              <w:t>,</w:t>
            </w:r>
            <w:r>
              <w:rPr>
                <w:sz w:val="20"/>
                <w:szCs w:val="20"/>
              </w:rPr>
              <w:t>709</w:t>
            </w:r>
          </w:p>
        </w:tc>
        <w:tc>
          <w:tcPr>
            <w:tcW w:w="1454" w:type="dxa"/>
            <w:tcBorders>
              <w:top w:val="single" w:sz="4" w:space="0" w:color="auto"/>
              <w:bottom w:val="single" w:sz="4" w:space="0" w:color="auto"/>
            </w:tcBorders>
          </w:tcPr>
          <w:p w14:paraId="767AB8E6" w14:textId="77777777" w:rsidR="00054872" w:rsidRDefault="00054872" w:rsidP="00C84610">
            <w:pPr>
              <w:jc w:val="center"/>
              <w:rPr>
                <w:sz w:val="20"/>
                <w:szCs w:val="20"/>
              </w:rPr>
            </w:pPr>
          </w:p>
          <w:p w14:paraId="5D145839" w14:textId="77777777" w:rsidR="00054872" w:rsidRDefault="00054872" w:rsidP="00C84610">
            <w:pPr>
              <w:jc w:val="center"/>
              <w:rPr>
                <w:sz w:val="20"/>
                <w:szCs w:val="20"/>
              </w:rPr>
            </w:pPr>
          </w:p>
          <w:p w14:paraId="70896888" w14:textId="607FE9E0" w:rsidR="00054872" w:rsidRPr="00F82840" w:rsidRDefault="00A91F62" w:rsidP="00C84610">
            <w:pPr>
              <w:jc w:val="center"/>
              <w:rPr>
                <w:sz w:val="20"/>
                <w:szCs w:val="20"/>
              </w:rPr>
            </w:pPr>
            <w:r>
              <w:rPr>
                <w:sz w:val="20"/>
                <w:szCs w:val="20"/>
              </w:rPr>
              <w:t>326</w:t>
            </w:r>
            <w:r w:rsidR="00C84610">
              <w:rPr>
                <w:sz w:val="20"/>
                <w:szCs w:val="20"/>
              </w:rPr>
              <w:t>,</w:t>
            </w:r>
            <w:r w:rsidR="00C10832">
              <w:rPr>
                <w:sz w:val="20"/>
                <w:szCs w:val="20"/>
              </w:rPr>
              <w:t>3</w:t>
            </w:r>
            <w:r>
              <w:rPr>
                <w:sz w:val="20"/>
                <w:szCs w:val="20"/>
              </w:rPr>
              <w:t>17</w:t>
            </w:r>
          </w:p>
        </w:tc>
      </w:tr>
      <w:tr w:rsidR="00054872" w:rsidRPr="00F82840" w14:paraId="1A510AB7" w14:textId="77777777" w:rsidTr="54F71CB4">
        <w:tc>
          <w:tcPr>
            <w:tcW w:w="2801" w:type="dxa"/>
          </w:tcPr>
          <w:p w14:paraId="4F77C173" w14:textId="77777777" w:rsidR="00054872" w:rsidRPr="00F82840" w:rsidRDefault="00054872" w:rsidP="00D651FB">
            <w:pPr>
              <w:rPr>
                <w:sz w:val="20"/>
                <w:szCs w:val="20"/>
              </w:rPr>
            </w:pPr>
          </w:p>
          <w:p w14:paraId="40454A85" w14:textId="5F333D59" w:rsidR="00054872" w:rsidRPr="00F82840" w:rsidRDefault="00054872" w:rsidP="00D651FB">
            <w:pPr>
              <w:rPr>
                <w:sz w:val="20"/>
                <w:szCs w:val="20"/>
              </w:rPr>
            </w:pPr>
            <w:r>
              <w:rPr>
                <w:sz w:val="20"/>
                <w:szCs w:val="20"/>
              </w:rPr>
              <w:t>Net book value at 31 March 202</w:t>
            </w:r>
            <w:r w:rsidR="00733F00">
              <w:rPr>
                <w:sz w:val="20"/>
                <w:szCs w:val="20"/>
              </w:rPr>
              <w:t>4</w:t>
            </w:r>
          </w:p>
        </w:tc>
        <w:tc>
          <w:tcPr>
            <w:tcW w:w="1701" w:type="dxa"/>
            <w:tcBorders>
              <w:top w:val="single" w:sz="4" w:space="0" w:color="auto"/>
              <w:bottom w:val="single" w:sz="4" w:space="0" w:color="auto"/>
            </w:tcBorders>
          </w:tcPr>
          <w:p w14:paraId="3D489FD1" w14:textId="77777777" w:rsidR="00054872" w:rsidRDefault="00054872" w:rsidP="00C84610">
            <w:pPr>
              <w:jc w:val="center"/>
              <w:rPr>
                <w:sz w:val="20"/>
                <w:szCs w:val="20"/>
              </w:rPr>
            </w:pPr>
          </w:p>
          <w:p w14:paraId="2627E40D" w14:textId="77777777" w:rsidR="00054872" w:rsidRDefault="00054872" w:rsidP="00C84610">
            <w:pPr>
              <w:jc w:val="center"/>
              <w:rPr>
                <w:sz w:val="20"/>
                <w:szCs w:val="20"/>
              </w:rPr>
            </w:pPr>
          </w:p>
          <w:p w14:paraId="6364995E" w14:textId="4BB55485" w:rsidR="00054872" w:rsidRPr="00F82840" w:rsidRDefault="00A91F62" w:rsidP="00C84610">
            <w:pPr>
              <w:jc w:val="center"/>
              <w:rPr>
                <w:sz w:val="20"/>
                <w:szCs w:val="20"/>
              </w:rPr>
            </w:pPr>
            <w:r>
              <w:rPr>
                <w:sz w:val="20"/>
                <w:szCs w:val="20"/>
              </w:rPr>
              <w:t>365</w:t>
            </w:r>
            <w:r w:rsidR="00C84610">
              <w:rPr>
                <w:sz w:val="20"/>
                <w:szCs w:val="20"/>
              </w:rPr>
              <w:t>,</w:t>
            </w:r>
            <w:r>
              <w:rPr>
                <w:sz w:val="20"/>
                <w:szCs w:val="20"/>
              </w:rPr>
              <w:t>550</w:t>
            </w:r>
          </w:p>
        </w:tc>
        <w:tc>
          <w:tcPr>
            <w:tcW w:w="1417" w:type="dxa"/>
            <w:tcBorders>
              <w:top w:val="single" w:sz="4" w:space="0" w:color="auto"/>
              <w:bottom w:val="single" w:sz="4" w:space="0" w:color="auto"/>
            </w:tcBorders>
          </w:tcPr>
          <w:p w14:paraId="255C9267" w14:textId="77777777" w:rsidR="00054872" w:rsidRDefault="00054872" w:rsidP="00C84610">
            <w:pPr>
              <w:jc w:val="center"/>
              <w:rPr>
                <w:sz w:val="20"/>
                <w:szCs w:val="20"/>
              </w:rPr>
            </w:pPr>
          </w:p>
          <w:p w14:paraId="6B69386E" w14:textId="77777777" w:rsidR="00054872" w:rsidRDefault="00054872" w:rsidP="00C84610">
            <w:pPr>
              <w:jc w:val="center"/>
              <w:rPr>
                <w:sz w:val="20"/>
                <w:szCs w:val="20"/>
              </w:rPr>
            </w:pPr>
          </w:p>
          <w:p w14:paraId="3EA6CAF3" w14:textId="0DCAD7FB" w:rsidR="00054872" w:rsidRPr="00F82840" w:rsidRDefault="00A91F62" w:rsidP="00C84610">
            <w:pPr>
              <w:jc w:val="center"/>
              <w:rPr>
                <w:sz w:val="20"/>
                <w:szCs w:val="20"/>
              </w:rPr>
            </w:pPr>
            <w:r>
              <w:rPr>
                <w:sz w:val="20"/>
                <w:szCs w:val="20"/>
              </w:rPr>
              <w:t>24</w:t>
            </w:r>
            <w:r w:rsidR="00C84610">
              <w:rPr>
                <w:sz w:val="20"/>
                <w:szCs w:val="20"/>
              </w:rPr>
              <w:t>,</w:t>
            </w:r>
            <w:r>
              <w:rPr>
                <w:sz w:val="20"/>
                <w:szCs w:val="20"/>
              </w:rPr>
              <w:t>697</w:t>
            </w:r>
          </w:p>
        </w:tc>
        <w:tc>
          <w:tcPr>
            <w:tcW w:w="1133" w:type="dxa"/>
            <w:tcBorders>
              <w:top w:val="single" w:sz="4" w:space="0" w:color="auto"/>
              <w:bottom w:val="single" w:sz="4" w:space="0" w:color="auto"/>
            </w:tcBorders>
          </w:tcPr>
          <w:p w14:paraId="1FC490D7" w14:textId="77777777" w:rsidR="00054872" w:rsidRDefault="00054872" w:rsidP="00C84610">
            <w:pPr>
              <w:jc w:val="center"/>
              <w:rPr>
                <w:sz w:val="20"/>
                <w:szCs w:val="20"/>
              </w:rPr>
            </w:pPr>
          </w:p>
          <w:p w14:paraId="52F5434C" w14:textId="77777777" w:rsidR="00054872" w:rsidRDefault="00054872" w:rsidP="00C84610">
            <w:pPr>
              <w:jc w:val="center"/>
              <w:rPr>
                <w:sz w:val="20"/>
                <w:szCs w:val="20"/>
              </w:rPr>
            </w:pPr>
          </w:p>
          <w:p w14:paraId="2623A77B" w14:textId="0972FB74" w:rsidR="00054872" w:rsidRPr="00F82840" w:rsidRDefault="00A91F62" w:rsidP="00C84610">
            <w:pPr>
              <w:jc w:val="center"/>
              <w:rPr>
                <w:sz w:val="20"/>
                <w:szCs w:val="20"/>
              </w:rPr>
            </w:pPr>
            <w:r>
              <w:rPr>
                <w:sz w:val="20"/>
                <w:szCs w:val="20"/>
              </w:rPr>
              <w:t>29</w:t>
            </w:r>
            <w:r w:rsidR="00C84610">
              <w:rPr>
                <w:sz w:val="20"/>
                <w:szCs w:val="20"/>
              </w:rPr>
              <w:t>,</w:t>
            </w:r>
            <w:r>
              <w:rPr>
                <w:sz w:val="20"/>
                <w:szCs w:val="20"/>
              </w:rPr>
              <w:t>116</w:t>
            </w:r>
          </w:p>
        </w:tc>
        <w:tc>
          <w:tcPr>
            <w:tcW w:w="1454" w:type="dxa"/>
            <w:tcBorders>
              <w:top w:val="single" w:sz="4" w:space="0" w:color="auto"/>
              <w:bottom w:val="single" w:sz="4" w:space="0" w:color="auto"/>
            </w:tcBorders>
          </w:tcPr>
          <w:p w14:paraId="37907576" w14:textId="77777777" w:rsidR="00054872" w:rsidRDefault="00054872" w:rsidP="00C84610">
            <w:pPr>
              <w:jc w:val="center"/>
              <w:rPr>
                <w:sz w:val="20"/>
                <w:szCs w:val="20"/>
              </w:rPr>
            </w:pPr>
          </w:p>
          <w:p w14:paraId="3BF6F973" w14:textId="77777777" w:rsidR="00054872" w:rsidRDefault="00054872" w:rsidP="00C84610">
            <w:pPr>
              <w:jc w:val="center"/>
              <w:rPr>
                <w:sz w:val="20"/>
                <w:szCs w:val="20"/>
              </w:rPr>
            </w:pPr>
          </w:p>
          <w:p w14:paraId="0CCC727E" w14:textId="09BA44D9" w:rsidR="00054872" w:rsidRPr="00F82840" w:rsidRDefault="00C10832" w:rsidP="00C84610">
            <w:pPr>
              <w:jc w:val="center"/>
              <w:rPr>
                <w:sz w:val="20"/>
                <w:szCs w:val="20"/>
              </w:rPr>
            </w:pPr>
            <w:r>
              <w:rPr>
                <w:sz w:val="20"/>
                <w:szCs w:val="20"/>
              </w:rPr>
              <w:t>4</w:t>
            </w:r>
            <w:r w:rsidR="00A91F62">
              <w:rPr>
                <w:sz w:val="20"/>
                <w:szCs w:val="20"/>
              </w:rPr>
              <w:t>19</w:t>
            </w:r>
            <w:r w:rsidR="00C84610">
              <w:rPr>
                <w:sz w:val="20"/>
                <w:szCs w:val="20"/>
              </w:rPr>
              <w:t>,</w:t>
            </w:r>
            <w:r w:rsidR="00A91F62">
              <w:rPr>
                <w:sz w:val="20"/>
                <w:szCs w:val="20"/>
              </w:rPr>
              <w:t>363</w:t>
            </w:r>
          </w:p>
        </w:tc>
      </w:tr>
      <w:tr w:rsidR="00054872" w:rsidRPr="00F82840" w14:paraId="3DB836E4" w14:textId="77777777" w:rsidTr="54F71CB4">
        <w:tc>
          <w:tcPr>
            <w:tcW w:w="2801" w:type="dxa"/>
          </w:tcPr>
          <w:p w14:paraId="3214D823" w14:textId="77777777" w:rsidR="00054872" w:rsidRPr="00F82840" w:rsidRDefault="00054872" w:rsidP="00D651FB">
            <w:pPr>
              <w:rPr>
                <w:sz w:val="20"/>
                <w:szCs w:val="20"/>
              </w:rPr>
            </w:pPr>
          </w:p>
        </w:tc>
        <w:tc>
          <w:tcPr>
            <w:tcW w:w="1701" w:type="dxa"/>
            <w:tcBorders>
              <w:top w:val="single" w:sz="4" w:space="0" w:color="auto"/>
            </w:tcBorders>
          </w:tcPr>
          <w:p w14:paraId="64B47F65" w14:textId="77777777" w:rsidR="00054872" w:rsidRPr="00F82840" w:rsidRDefault="00054872" w:rsidP="00C84610">
            <w:pPr>
              <w:jc w:val="center"/>
              <w:rPr>
                <w:sz w:val="20"/>
                <w:szCs w:val="20"/>
              </w:rPr>
            </w:pPr>
          </w:p>
        </w:tc>
        <w:tc>
          <w:tcPr>
            <w:tcW w:w="1417" w:type="dxa"/>
            <w:tcBorders>
              <w:top w:val="single" w:sz="4" w:space="0" w:color="auto"/>
            </w:tcBorders>
          </w:tcPr>
          <w:p w14:paraId="7B8826DF" w14:textId="77777777" w:rsidR="00054872" w:rsidRPr="00F82840" w:rsidRDefault="00054872" w:rsidP="00C84610">
            <w:pPr>
              <w:jc w:val="center"/>
              <w:rPr>
                <w:sz w:val="20"/>
                <w:szCs w:val="20"/>
              </w:rPr>
            </w:pPr>
          </w:p>
        </w:tc>
        <w:tc>
          <w:tcPr>
            <w:tcW w:w="1133" w:type="dxa"/>
            <w:tcBorders>
              <w:top w:val="single" w:sz="4" w:space="0" w:color="auto"/>
            </w:tcBorders>
          </w:tcPr>
          <w:p w14:paraId="31482968" w14:textId="77777777" w:rsidR="00054872" w:rsidRPr="00F82840" w:rsidRDefault="00054872" w:rsidP="00C84610">
            <w:pPr>
              <w:jc w:val="center"/>
              <w:rPr>
                <w:sz w:val="20"/>
                <w:szCs w:val="20"/>
              </w:rPr>
            </w:pPr>
          </w:p>
        </w:tc>
        <w:tc>
          <w:tcPr>
            <w:tcW w:w="1454" w:type="dxa"/>
            <w:tcBorders>
              <w:top w:val="single" w:sz="4" w:space="0" w:color="auto"/>
            </w:tcBorders>
          </w:tcPr>
          <w:p w14:paraId="38C6CD21" w14:textId="77777777" w:rsidR="00054872" w:rsidRPr="00F82840" w:rsidRDefault="00054872" w:rsidP="00C84610">
            <w:pPr>
              <w:jc w:val="center"/>
              <w:rPr>
                <w:sz w:val="20"/>
                <w:szCs w:val="20"/>
              </w:rPr>
            </w:pPr>
          </w:p>
        </w:tc>
      </w:tr>
    </w:tbl>
    <w:p w14:paraId="0AEE9EAC" w14:textId="77777777" w:rsidR="00250101" w:rsidRDefault="00250101" w:rsidP="00250101">
      <w:pPr>
        <w:rPr>
          <w:b/>
        </w:rPr>
      </w:pPr>
    </w:p>
    <w:p w14:paraId="7BC99D46" w14:textId="77777777" w:rsidR="001E2AA0" w:rsidRDefault="001E2AA0" w:rsidP="00250101">
      <w:pPr>
        <w:rPr>
          <w:b/>
        </w:rPr>
      </w:pPr>
    </w:p>
    <w:tbl>
      <w:tblPr>
        <w:tblW w:w="8967" w:type="dxa"/>
        <w:tblInd w:w="-142" w:type="dxa"/>
        <w:tblLayout w:type="fixed"/>
        <w:tblLook w:val="01E0" w:firstRow="1" w:lastRow="1" w:firstColumn="1" w:lastColumn="1" w:noHBand="0" w:noVBand="0"/>
      </w:tblPr>
      <w:tblGrid>
        <w:gridCol w:w="2694"/>
        <w:gridCol w:w="1950"/>
        <w:gridCol w:w="1417"/>
        <w:gridCol w:w="1452"/>
        <w:gridCol w:w="1454"/>
      </w:tblGrid>
      <w:tr w:rsidR="00C84610" w:rsidRPr="00F267CA" w14:paraId="4063E8DF" w14:textId="77777777" w:rsidTr="54F71CB4">
        <w:tc>
          <w:tcPr>
            <w:tcW w:w="2694" w:type="dxa"/>
          </w:tcPr>
          <w:p w14:paraId="6A540FDC" w14:textId="38431FF1" w:rsidR="00C84610" w:rsidRPr="00D35926" w:rsidRDefault="00C84610" w:rsidP="001B27EA">
            <w:pPr>
              <w:rPr>
                <w:b/>
                <w:sz w:val="22"/>
                <w:szCs w:val="22"/>
              </w:rPr>
            </w:pPr>
            <w:r>
              <w:br w:type="page"/>
            </w:r>
            <w:r>
              <w:rPr>
                <w:b/>
                <w:sz w:val="22"/>
                <w:szCs w:val="22"/>
              </w:rPr>
              <w:t>202</w:t>
            </w:r>
            <w:r w:rsidR="008E2478">
              <w:rPr>
                <w:b/>
                <w:sz w:val="22"/>
                <w:szCs w:val="22"/>
              </w:rPr>
              <w:t>3</w:t>
            </w:r>
            <w:r>
              <w:rPr>
                <w:b/>
                <w:sz w:val="22"/>
                <w:szCs w:val="22"/>
              </w:rPr>
              <w:t>-2</w:t>
            </w:r>
            <w:r w:rsidR="008E2478">
              <w:rPr>
                <w:b/>
                <w:sz w:val="22"/>
                <w:szCs w:val="22"/>
              </w:rPr>
              <w:t>4</w:t>
            </w:r>
          </w:p>
        </w:tc>
        <w:tc>
          <w:tcPr>
            <w:tcW w:w="1950" w:type="dxa"/>
          </w:tcPr>
          <w:p w14:paraId="35F15AB7" w14:textId="77777777" w:rsidR="00C84610" w:rsidRPr="00F267CA" w:rsidRDefault="00C84610" w:rsidP="00C84610">
            <w:pPr>
              <w:ind w:right="-171"/>
              <w:jc w:val="center"/>
              <w:rPr>
                <w:rFonts w:cs="Arial"/>
                <w:b/>
                <w:sz w:val="16"/>
                <w:szCs w:val="16"/>
              </w:rPr>
            </w:pPr>
            <w:r w:rsidRPr="00F267CA">
              <w:rPr>
                <w:rFonts w:cs="Arial"/>
                <w:b/>
                <w:sz w:val="16"/>
                <w:szCs w:val="16"/>
              </w:rPr>
              <w:t>Leasehold Improvements</w:t>
            </w:r>
          </w:p>
        </w:tc>
        <w:tc>
          <w:tcPr>
            <w:tcW w:w="1417" w:type="dxa"/>
          </w:tcPr>
          <w:p w14:paraId="0731F89F" w14:textId="77777777" w:rsidR="00C84610" w:rsidRPr="00F267CA" w:rsidRDefault="00C84610" w:rsidP="00C84610">
            <w:pPr>
              <w:jc w:val="center"/>
              <w:rPr>
                <w:b/>
                <w:sz w:val="16"/>
                <w:szCs w:val="16"/>
              </w:rPr>
            </w:pPr>
            <w:r w:rsidRPr="00F267CA">
              <w:rPr>
                <w:b/>
                <w:sz w:val="16"/>
                <w:szCs w:val="16"/>
              </w:rPr>
              <w:t>Information technology</w:t>
            </w:r>
          </w:p>
        </w:tc>
        <w:tc>
          <w:tcPr>
            <w:tcW w:w="1452" w:type="dxa"/>
          </w:tcPr>
          <w:p w14:paraId="231BB2F2" w14:textId="401FACE4" w:rsidR="00C84610" w:rsidRDefault="00C84610" w:rsidP="00C84610">
            <w:pPr>
              <w:ind w:right="-284"/>
              <w:jc w:val="center"/>
              <w:rPr>
                <w:b/>
                <w:sz w:val="16"/>
                <w:szCs w:val="16"/>
              </w:rPr>
            </w:pPr>
            <w:r w:rsidRPr="00F267CA">
              <w:rPr>
                <w:b/>
                <w:sz w:val="16"/>
                <w:szCs w:val="16"/>
              </w:rPr>
              <w:t>Furniture</w:t>
            </w:r>
          </w:p>
          <w:p w14:paraId="78ACB6D1" w14:textId="77777777" w:rsidR="00C84610" w:rsidRPr="00F267CA" w:rsidRDefault="00C84610" w:rsidP="00C84610">
            <w:pPr>
              <w:ind w:right="-426"/>
              <w:jc w:val="center"/>
              <w:rPr>
                <w:b/>
                <w:sz w:val="16"/>
                <w:szCs w:val="16"/>
              </w:rPr>
            </w:pPr>
            <w:r w:rsidRPr="00F267CA">
              <w:rPr>
                <w:b/>
                <w:sz w:val="16"/>
                <w:szCs w:val="16"/>
              </w:rPr>
              <w:t>&amp; fittings</w:t>
            </w:r>
          </w:p>
        </w:tc>
        <w:tc>
          <w:tcPr>
            <w:tcW w:w="1454" w:type="dxa"/>
          </w:tcPr>
          <w:p w14:paraId="18CC651F" w14:textId="77777777" w:rsidR="00C84610" w:rsidRPr="00F267CA" w:rsidRDefault="00C84610" w:rsidP="00C84610">
            <w:pPr>
              <w:jc w:val="center"/>
              <w:rPr>
                <w:b/>
                <w:sz w:val="16"/>
                <w:szCs w:val="16"/>
              </w:rPr>
            </w:pPr>
            <w:r w:rsidRPr="00F267CA">
              <w:rPr>
                <w:b/>
                <w:sz w:val="16"/>
                <w:szCs w:val="16"/>
              </w:rPr>
              <w:t>Total</w:t>
            </w:r>
          </w:p>
          <w:p w14:paraId="74501C8B" w14:textId="77777777" w:rsidR="00C84610" w:rsidRPr="00F267CA" w:rsidRDefault="00C84610" w:rsidP="00C84610">
            <w:pPr>
              <w:jc w:val="center"/>
              <w:rPr>
                <w:b/>
                <w:sz w:val="16"/>
                <w:szCs w:val="16"/>
              </w:rPr>
            </w:pPr>
          </w:p>
        </w:tc>
      </w:tr>
      <w:tr w:rsidR="00C84610" w:rsidRPr="00863EC6" w14:paraId="407A4BA5" w14:textId="77777777" w:rsidTr="54F71CB4">
        <w:tc>
          <w:tcPr>
            <w:tcW w:w="2694" w:type="dxa"/>
          </w:tcPr>
          <w:p w14:paraId="53E98DE6" w14:textId="77777777" w:rsidR="00C84610" w:rsidRPr="00863EC6" w:rsidRDefault="00C84610" w:rsidP="001B27EA">
            <w:pPr>
              <w:rPr>
                <w:b/>
                <w:sz w:val="20"/>
                <w:szCs w:val="20"/>
              </w:rPr>
            </w:pPr>
            <w:r w:rsidRPr="00863EC6">
              <w:rPr>
                <w:b/>
                <w:sz w:val="20"/>
                <w:szCs w:val="20"/>
              </w:rPr>
              <w:t xml:space="preserve">Cost or valuation </w:t>
            </w:r>
          </w:p>
        </w:tc>
        <w:tc>
          <w:tcPr>
            <w:tcW w:w="1950" w:type="dxa"/>
          </w:tcPr>
          <w:p w14:paraId="41F5970F" w14:textId="77777777" w:rsidR="00C84610" w:rsidRPr="00863EC6" w:rsidRDefault="00C84610" w:rsidP="00C84610">
            <w:pPr>
              <w:jc w:val="center"/>
              <w:rPr>
                <w:b/>
                <w:sz w:val="20"/>
                <w:szCs w:val="20"/>
              </w:rPr>
            </w:pPr>
            <w:r w:rsidRPr="00863EC6">
              <w:rPr>
                <w:b/>
                <w:sz w:val="20"/>
                <w:szCs w:val="20"/>
              </w:rPr>
              <w:t>£</w:t>
            </w:r>
          </w:p>
        </w:tc>
        <w:tc>
          <w:tcPr>
            <w:tcW w:w="1417" w:type="dxa"/>
          </w:tcPr>
          <w:p w14:paraId="05B0E083" w14:textId="77777777" w:rsidR="00C84610" w:rsidRPr="00863EC6" w:rsidRDefault="00C84610" w:rsidP="00C84610">
            <w:pPr>
              <w:jc w:val="center"/>
              <w:rPr>
                <w:b/>
                <w:sz w:val="20"/>
                <w:szCs w:val="20"/>
              </w:rPr>
            </w:pPr>
            <w:r w:rsidRPr="00863EC6">
              <w:rPr>
                <w:b/>
                <w:sz w:val="20"/>
                <w:szCs w:val="20"/>
              </w:rPr>
              <w:t>£</w:t>
            </w:r>
          </w:p>
        </w:tc>
        <w:tc>
          <w:tcPr>
            <w:tcW w:w="1452" w:type="dxa"/>
          </w:tcPr>
          <w:p w14:paraId="6DA1AEB2" w14:textId="77777777" w:rsidR="00C84610" w:rsidRPr="00863EC6" w:rsidRDefault="00C84610" w:rsidP="00C84610">
            <w:pPr>
              <w:jc w:val="center"/>
              <w:rPr>
                <w:b/>
                <w:sz w:val="20"/>
                <w:szCs w:val="20"/>
              </w:rPr>
            </w:pPr>
            <w:r w:rsidRPr="00863EC6">
              <w:rPr>
                <w:b/>
                <w:sz w:val="20"/>
                <w:szCs w:val="20"/>
              </w:rPr>
              <w:t>£</w:t>
            </w:r>
          </w:p>
        </w:tc>
        <w:tc>
          <w:tcPr>
            <w:tcW w:w="1454" w:type="dxa"/>
          </w:tcPr>
          <w:p w14:paraId="1BC71B98" w14:textId="77777777" w:rsidR="00C84610" w:rsidRPr="00863EC6" w:rsidRDefault="00C84610" w:rsidP="00C84610">
            <w:pPr>
              <w:jc w:val="center"/>
              <w:rPr>
                <w:b/>
                <w:sz w:val="20"/>
                <w:szCs w:val="20"/>
              </w:rPr>
            </w:pPr>
            <w:r w:rsidRPr="00863EC6">
              <w:rPr>
                <w:b/>
                <w:sz w:val="20"/>
                <w:szCs w:val="20"/>
              </w:rPr>
              <w:t>£</w:t>
            </w:r>
          </w:p>
        </w:tc>
      </w:tr>
      <w:tr w:rsidR="00C84610" w:rsidRPr="00863EC6" w14:paraId="5B4DB702" w14:textId="77777777" w:rsidTr="54F71CB4">
        <w:tc>
          <w:tcPr>
            <w:tcW w:w="2694" w:type="dxa"/>
          </w:tcPr>
          <w:p w14:paraId="2EB4BFFA" w14:textId="1D877018" w:rsidR="00C84610" w:rsidRPr="00863EC6" w:rsidRDefault="00C84610" w:rsidP="001B27EA">
            <w:pPr>
              <w:rPr>
                <w:sz w:val="20"/>
                <w:szCs w:val="20"/>
              </w:rPr>
            </w:pPr>
            <w:r w:rsidRPr="00863EC6">
              <w:rPr>
                <w:sz w:val="20"/>
                <w:szCs w:val="20"/>
              </w:rPr>
              <w:t>At 1 April 20</w:t>
            </w:r>
            <w:r>
              <w:rPr>
                <w:sz w:val="20"/>
                <w:szCs w:val="20"/>
              </w:rPr>
              <w:t>2</w:t>
            </w:r>
            <w:r w:rsidR="008E2478">
              <w:rPr>
                <w:sz w:val="20"/>
                <w:szCs w:val="20"/>
              </w:rPr>
              <w:t>3</w:t>
            </w:r>
          </w:p>
        </w:tc>
        <w:tc>
          <w:tcPr>
            <w:tcW w:w="1950" w:type="dxa"/>
          </w:tcPr>
          <w:p w14:paraId="673594C9" w14:textId="1B4992D5" w:rsidR="00C84610" w:rsidRPr="00863EC6" w:rsidRDefault="008E2478" w:rsidP="00C84610">
            <w:pPr>
              <w:jc w:val="center"/>
              <w:rPr>
                <w:sz w:val="20"/>
                <w:szCs w:val="20"/>
              </w:rPr>
            </w:pPr>
            <w:r>
              <w:rPr>
                <w:sz w:val="20"/>
                <w:szCs w:val="20"/>
              </w:rPr>
              <w:t>621</w:t>
            </w:r>
            <w:r w:rsidR="00092A71">
              <w:rPr>
                <w:sz w:val="20"/>
                <w:szCs w:val="20"/>
              </w:rPr>
              <w:t>,</w:t>
            </w:r>
            <w:r>
              <w:rPr>
                <w:sz w:val="20"/>
                <w:szCs w:val="20"/>
              </w:rPr>
              <w:t>693</w:t>
            </w:r>
          </w:p>
        </w:tc>
        <w:tc>
          <w:tcPr>
            <w:tcW w:w="1417" w:type="dxa"/>
          </w:tcPr>
          <w:p w14:paraId="0D99E15A" w14:textId="2B740294" w:rsidR="008E2478" w:rsidRPr="00863EC6" w:rsidRDefault="00043F72" w:rsidP="008E2478">
            <w:pPr>
              <w:jc w:val="center"/>
              <w:rPr>
                <w:sz w:val="20"/>
                <w:szCs w:val="20"/>
              </w:rPr>
            </w:pPr>
            <w:r>
              <w:rPr>
                <w:sz w:val="20"/>
                <w:szCs w:val="20"/>
              </w:rPr>
              <w:t>91</w:t>
            </w:r>
            <w:r w:rsidR="00092A71">
              <w:rPr>
                <w:sz w:val="20"/>
                <w:szCs w:val="20"/>
              </w:rPr>
              <w:t>,</w:t>
            </w:r>
            <w:r>
              <w:rPr>
                <w:sz w:val="20"/>
                <w:szCs w:val="20"/>
              </w:rPr>
              <w:t>49</w:t>
            </w:r>
            <w:r w:rsidR="008E2478">
              <w:rPr>
                <w:sz w:val="20"/>
                <w:szCs w:val="20"/>
              </w:rPr>
              <w:t>3</w:t>
            </w:r>
          </w:p>
        </w:tc>
        <w:tc>
          <w:tcPr>
            <w:tcW w:w="1452" w:type="dxa"/>
          </w:tcPr>
          <w:p w14:paraId="6366F69C" w14:textId="782D4FB4" w:rsidR="00C84610" w:rsidRPr="00863EC6" w:rsidRDefault="00092A71" w:rsidP="00C84610">
            <w:pPr>
              <w:jc w:val="center"/>
              <w:rPr>
                <w:sz w:val="20"/>
                <w:szCs w:val="20"/>
              </w:rPr>
            </w:pPr>
            <w:r>
              <w:rPr>
                <w:sz w:val="20"/>
                <w:szCs w:val="20"/>
              </w:rPr>
              <w:t>93,393</w:t>
            </w:r>
          </w:p>
        </w:tc>
        <w:tc>
          <w:tcPr>
            <w:tcW w:w="1454" w:type="dxa"/>
          </w:tcPr>
          <w:p w14:paraId="753A5EA4" w14:textId="1A7FC1DD" w:rsidR="00C84610" w:rsidRPr="00863EC6" w:rsidRDefault="00733F00" w:rsidP="00C84610">
            <w:pPr>
              <w:jc w:val="center"/>
              <w:rPr>
                <w:sz w:val="20"/>
                <w:szCs w:val="20"/>
              </w:rPr>
            </w:pPr>
            <w:r>
              <w:rPr>
                <w:sz w:val="20"/>
                <w:szCs w:val="20"/>
              </w:rPr>
              <w:t>806</w:t>
            </w:r>
            <w:r w:rsidR="00092A71">
              <w:rPr>
                <w:sz w:val="20"/>
                <w:szCs w:val="20"/>
              </w:rPr>
              <w:t>,</w:t>
            </w:r>
            <w:r>
              <w:rPr>
                <w:sz w:val="20"/>
                <w:szCs w:val="20"/>
              </w:rPr>
              <w:t>579</w:t>
            </w:r>
          </w:p>
        </w:tc>
      </w:tr>
      <w:tr w:rsidR="00C84610" w:rsidRPr="00863EC6" w14:paraId="60979147" w14:textId="77777777" w:rsidTr="54F71CB4">
        <w:tc>
          <w:tcPr>
            <w:tcW w:w="2694" w:type="dxa"/>
          </w:tcPr>
          <w:p w14:paraId="3E43FC6E" w14:textId="77777777" w:rsidR="00C84610" w:rsidRDefault="008E2478" w:rsidP="001B27EA">
            <w:pPr>
              <w:rPr>
                <w:sz w:val="20"/>
                <w:szCs w:val="20"/>
              </w:rPr>
            </w:pPr>
            <w:r>
              <w:rPr>
                <w:sz w:val="20"/>
                <w:szCs w:val="20"/>
              </w:rPr>
              <w:t>Additions</w:t>
            </w:r>
          </w:p>
          <w:p w14:paraId="4F72B1E6" w14:textId="1E0D9E74" w:rsidR="008E2478" w:rsidRPr="00863EC6" w:rsidRDefault="008E2478" w:rsidP="001B27EA">
            <w:pPr>
              <w:rPr>
                <w:sz w:val="20"/>
                <w:szCs w:val="20"/>
              </w:rPr>
            </w:pPr>
            <w:r>
              <w:rPr>
                <w:sz w:val="20"/>
                <w:szCs w:val="20"/>
              </w:rPr>
              <w:t>Disposals</w:t>
            </w:r>
          </w:p>
        </w:tc>
        <w:tc>
          <w:tcPr>
            <w:tcW w:w="1950" w:type="dxa"/>
          </w:tcPr>
          <w:p w14:paraId="7F4198DC" w14:textId="77777777" w:rsidR="00C84610" w:rsidRDefault="008E2478" w:rsidP="00C84610">
            <w:pPr>
              <w:jc w:val="center"/>
              <w:rPr>
                <w:sz w:val="20"/>
                <w:szCs w:val="20"/>
              </w:rPr>
            </w:pPr>
            <w:r>
              <w:rPr>
                <w:sz w:val="20"/>
                <w:szCs w:val="20"/>
              </w:rPr>
              <w:t>0</w:t>
            </w:r>
          </w:p>
          <w:p w14:paraId="7E1FAD27" w14:textId="12922364" w:rsidR="008E2478" w:rsidRPr="00863EC6" w:rsidRDefault="008E2478" w:rsidP="00C84610">
            <w:pPr>
              <w:jc w:val="center"/>
              <w:rPr>
                <w:sz w:val="20"/>
                <w:szCs w:val="20"/>
              </w:rPr>
            </w:pPr>
            <w:r>
              <w:rPr>
                <w:sz w:val="20"/>
                <w:szCs w:val="20"/>
              </w:rPr>
              <w:t>0</w:t>
            </w:r>
          </w:p>
        </w:tc>
        <w:tc>
          <w:tcPr>
            <w:tcW w:w="1417" w:type="dxa"/>
          </w:tcPr>
          <w:p w14:paraId="5EEA378A" w14:textId="77777777" w:rsidR="00C84610" w:rsidRDefault="008E2478" w:rsidP="00C84610">
            <w:pPr>
              <w:jc w:val="center"/>
              <w:rPr>
                <w:sz w:val="20"/>
                <w:szCs w:val="20"/>
              </w:rPr>
            </w:pPr>
            <w:r>
              <w:rPr>
                <w:sz w:val="20"/>
                <w:szCs w:val="20"/>
              </w:rPr>
              <w:t>28,970</w:t>
            </w:r>
          </w:p>
          <w:p w14:paraId="2042A0E3" w14:textId="222891B0" w:rsidR="008E2478" w:rsidRPr="00863EC6" w:rsidRDefault="008E2478" w:rsidP="00C84610">
            <w:pPr>
              <w:jc w:val="center"/>
              <w:rPr>
                <w:sz w:val="20"/>
                <w:szCs w:val="20"/>
              </w:rPr>
            </w:pPr>
            <w:r>
              <w:rPr>
                <w:sz w:val="20"/>
                <w:szCs w:val="20"/>
              </w:rPr>
              <w:t>(67,427)</w:t>
            </w:r>
          </w:p>
        </w:tc>
        <w:tc>
          <w:tcPr>
            <w:tcW w:w="1452" w:type="dxa"/>
          </w:tcPr>
          <w:p w14:paraId="7376A5EF" w14:textId="77777777" w:rsidR="00C84610" w:rsidRDefault="00733F00" w:rsidP="00C84610">
            <w:pPr>
              <w:jc w:val="center"/>
              <w:rPr>
                <w:sz w:val="20"/>
                <w:szCs w:val="20"/>
              </w:rPr>
            </w:pPr>
            <w:r>
              <w:rPr>
                <w:sz w:val="20"/>
                <w:szCs w:val="20"/>
              </w:rPr>
              <w:t>0</w:t>
            </w:r>
          </w:p>
          <w:p w14:paraId="3722F7B6" w14:textId="664139E3" w:rsidR="00733F00" w:rsidRPr="00863EC6" w:rsidRDefault="00733F00" w:rsidP="00C84610">
            <w:pPr>
              <w:jc w:val="center"/>
              <w:rPr>
                <w:sz w:val="20"/>
                <w:szCs w:val="20"/>
              </w:rPr>
            </w:pPr>
            <w:r>
              <w:rPr>
                <w:sz w:val="20"/>
                <w:szCs w:val="20"/>
              </w:rPr>
              <w:t>(5,238)</w:t>
            </w:r>
          </w:p>
        </w:tc>
        <w:tc>
          <w:tcPr>
            <w:tcW w:w="1454" w:type="dxa"/>
          </w:tcPr>
          <w:p w14:paraId="4B5CD68F" w14:textId="77777777" w:rsidR="00C84610" w:rsidRDefault="00733F00" w:rsidP="00C84610">
            <w:pPr>
              <w:jc w:val="center"/>
              <w:rPr>
                <w:sz w:val="20"/>
                <w:szCs w:val="20"/>
              </w:rPr>
            </w:pPr>
            <w:r>
              <w:rPr>
                <w:sz w:val="20"/>
                <w:szCs w:val="20"/>
              </w:rPr>
              <w:t>28,970</w:t>
            </w:r>
          </w:p>
          <w:p w14:paraId="500B67BD" w14:textId="4660ABBB" w:rsidR="00733F00" w:rsidRPr="00863EC6" w:rsidRDefault="00733F00" w:rsidP="00C84610">
            <w:pPr>
              <w:jc w:val="center"/>
              <w:rPr>
                <w:sz w:val="20"/>
                <w:szCs w:val="20"/>
              </w:rPr>
            </w:pPr>
            <w:r>
              <w:rPr>
                <w:sz w:val="20"/>
                <w:szCs w:val="20"/>
              </w:rPr>
              <w:t>(72,665)</w:t>
            </w:r>
          </w:p>
        </w:tc>
      </w:tr>
      <w:tr w:rsidR="00C84610" w14:paraId="102E5BDD" w14:textId="77777777" w:rsidTr="54F71CB4">
        <w:tc>
          <w:tcPr>
            <w:tcW w:w="2694" w:type="dxa"/>
          </w:tcPr>
          <w:p w14:paraId="5A968AB4" w14:textId="41C6A193" w:rsidR="00C84610" w:rsidRDefault="00092A71" w:rsidP="001B27EA">
            <w:pPr>
              <w:rPr>
                <w:sz w:val="20"/>
                <w:szCs w:val="20"/>
              </w:rPr>
            </w:pPr>
            <w:r>
              <w:rPr>
                <w:sz w:val="20"/>
                <w:szCs w:val="20"/>
              </w:rPr>
              <w:t>Revaluation</w:t>
            </w:r>
          </w:p>
        </w:tc>
        <w:tc>
          <w:tcPr>
            <w:tcW w:w="1950" w:type="dxa"/>
          </w:tcPr>
          <w:p w14:paraId="5C5402B7" w14:textId="10749CA8" w:rsidR="00C84610" w:rsidRDefault="008E2478" w:rsidP="00C84610">
            <w:pPr>
              <w:jc w:val="center"/>
              <w:rPr>
                <w:sz w:val="20"/>
                <w:szCs w:val="20"/>
              </w:rPr>
            </w:pPr>
            <w:r>
              <w:rPr>
                <w:sz w:val="20"/>
                <w:szCs w:val="20"/>
              </w:rPr>
              <w:t>15</w:t>
            </w:r>
            <w:r w:rsidR="00092A71">
              <w:rPr>
                <w:sz w:val="20"/>
                <w:szCs w:val="20"/>
              </w:rPr>
              <w:t>,</w:t>
            </w:r>
            <w:r>
              <w:rPr>
                <w:sz w:val="20"/>
                <w:szCs w:val="20"/>
              </w:rPr>
              <w:t>241</w:t>
            </w:r>
          </w:p>
        </w:tc>
        <w:tc>
          <w:tcPr>
            <w:tcW w:w="1417" w:type="dxa"/>
          </w:tcPr>
          <w:p w14:paraId="1DF912D4" w14:textId="77777777" w:rsidR="00C84610" w:rsidRDefault="00C84610" w:rsidP="00C84610">
            <w:pPr>
              <w:jc w:val="center"/>
              <w:rPr>
                <w:sz w:val="20"/>
                <w:szCs w:val="20"/>
              </w:rPr>
            </w:pPr>
            <w:r>
              <w:rPr>
                <w:sz w:val="20"/>
                <w:szCs w:val="20"/>
              </w:rPr>
              <w:t>0</w:t>
            </w:r>
          </w:p>
        </w:tc>
        <w:tc>
          <w:tcPr>
            <w:tcW w:w="1452" w:type="dxa"/>
          </w:tcPr>
          <w:p w14:paraId="77541B84" w14:textId="70B03D98" w:rsidR="00C84610" w:rsidRDefault="00C84610" w:rsidP="00C84610">
            <w:pPr>
              <w:jc w:val="center"/>
              <w:rPr>
                <w:sz w:val="20"/>
                <w:szCs w:val="20"/>
              </w:rPr>
            </w:pPr>
            <w:r>
              <w:rPr>
                <w:sz w:val="20"/>
                <w:szCs w:val="20"/>
              </w:rPr>
              <w:t>0</w:t>
            </w:r>
          </w:p>
        </w:tc>
        <w:tc>
          <w:tcPr>
            <w:tcW w:w="1454" w:type="dxa"/>
          </w:tcPr>
          <w:p w14:paraId="3E81AF49" w14:textId="6B6A34EB" w:rsidR="00C84610" w:rsidRDefault="00733F00" w:rsidP="00C84610">
            <w:pPr>
              <w:jc w:val="center"/>
              <w:rPr>
                <w:sz w:val="20"/>
                <w:szCs w:val="20"/>
              </w:rPr>
            </w:pPr>
            <w:r>
              <w:rPr>
                <w:sz w:val="20"/>
                <w:szCs w:val="20"/>
              </w:rPr>
              <w:t>15</w:t>
            </w:r>
            <w:r w:rsidR="00092A71">
              <w:rPr>
                <w:sz w:val="20"/>
                <w:szCs w:val="20"/>
              </w:rPr>
              <w:t>,</w:t>
            </w:r>
            <w:r>
              <w:rPr>
                <w:sz w:val="20"/>
                <w:szCs w:val="20"/>
              </w:rPr>
              <w:t>241</w:t>
            </w:r>
          </w:p>
        </w:tc>
      </w:tr>
      <w:tr w:rsidR="00C84610" w:rsidRPr="00863EC6" w14:paraId="0959773C" w14:textId="77777777" w:rsidTr="54F71CB4">
        <w:tc>
          <w:tcPr>
            <w:tcW w:w="2694" w:type="dxa"/>
          </w:tcPr>
          <w:p w14:paraId="5D86E6AE" w14:textId="1CC41F80" w:rsidR="00C84610" w:rsidRPr="00863EC6" w:rsidRDefault="00C84610" w:rsidP="001B27EA">
            <w:pPr>
              <w:rPr>
                <w:sz w:val="20"/>
                <w:szCs w:val="20"/>
              </w:rPr>
            </w:pPr>
            <w:r w:rsidRPr="00863EC6">
              <w:rPr>
                <w:sz w:val="20"/>
                <w:szCs w:val="20"/>
              </w:rPr>
              <w:t xml:space="preserve">At </w:t>
            </w:r>
            <w:r>
              <w:rPr>
                <w:sz w:val="20"/>
                <w:szCs w:val="20"/>
              </w:rPr>
              <w:t>31 March 202</w:t>
            </w:r>
            <w:r w:rsidR="008E2478">
              <w:rPr>
                <w:sz w:val="20"/>
                <w:szCs w:val="20"/>
              </w:rPr>
              <w:t>4</w:t>
            </w:r>
          </w:p>
        </w:tc>
        <w:tc>
          <w:tcPr>
            <w:tcW w:w="1950" w:type="dxa"/>
            <w:tcBorders>
              <w:top w:val="single" w:sz="4" w:space="0" w:color="auto"/>
              <w:bottom w:val="single" w:sz="4" w:space="0" w:color="auto"/>
            </w:tcBorders>
          </w:tcPr>
          <w:p w14:paraId="1B4C804C" w14:textId="561256BC" w:rsidR="00C84610" w:rsidRPr="00863EC6" w:rsidRDefault="00043F72" w:rsidP="00C84610">
            <w:pPr>
              <w:jc w:val="center"/>
              <w:rPr>
                <w:sz w:val="20"/>
                <w:szCs w:val="20"/>
              </w:rPr>
            </w:pPr>
            <w:r>
              <w:rPr>
                <w:sz w:val="20"/>
                <w:szCs w:val="20"/>
              </w:rPr>
              <w:t>6</w:t>
            </w:r>
            <w:r w:rsidR="00733F00">
              <w:rPr>
                <w:sz w:val="20"/>
                <w:szCs w:val="20"/>
              </w:rPr>
              <w:t>36</w:t>
            </w:r>
            <w:r w:rsidR="00092A71">
              <w:rPr>
                <w:sz w:val="20"/>
                <w:szCs w:val="20"/>
              </w:rPr>
              <w:t>,</w:t>
            </w:r>
            <w:r w:rsidR="00733F00">
              <w:rPr>
                <w:sz w:val="20"/>
                <w:szCs w:val="20"/>
              </w:rPr>
              <w:t>934</w:t>
            </w:r>
          </w:p>
        </w:tc>
        <w:tc>
          <w:tcPr>
            <w:tcW w:w="1417" w:type="dxa"/>
            <w:tcBorders>
              <w:top w:val="single" w:sz="4" w:space="0" w:color="auto"/>
              <w:bottom w:val="single" w:sz="4" w:space="0" w:color="auto"/>
            </w:tcBorders>
          </w:tcPr>
          <w:p w14:paraId="60E2AA57" w14:textId="3EB5BFD7" w:rsidR="00C84610" w:rsidRPr="00863EC6" w:rsidRDefault="008E2478" w:rsidP="00C84610">
            <w:pPr>
              <w:jc w:val="center"/>
              <w:rPr>
                <w:sz w:val="20"/>
                <w:szCs w:val="20"/>
              </w:rPr>
            </w:pPr>
            <w:r>
              <w:rPr>
                <w:sz w:val="20"/>
                <w:szCs w:val="20"/>
              </w:rPr>
              <w:t>53</w:t>
            </w:r>
            <w:r w:rsidR="00092A71">
              <w:rPr>
                <w:sz w:val="20"/>
                <w:szCs w:val="20"/>
              </w:rPr>
              <w:t>,</w:t>
            </w:r>
            <w:r>
              <w:rPr>
                <w:sz w:val="20"/>
                <w:szCs w:val="20"/>
              </w:rPr>
              <w:t>036</w:t>
            </w:r>
          </w:p>
        </w:tc>
        <w:tc>
          <w:tcPr>
            <w:tcW w:w="1452" w:type="dxa"/>
            <w:tcBorders>
              <w:top w:val="single" w:sz="4" w:space="0" w:color="auto"/>
              <w:bottom w:val="single" w:sz="4" w:space="0" w:color="auto"/>
            </w:tcBorders>
          </w:tcPr>
          <w:p w14:paraId="72ADB76D" w14:textId="3DDB90A3" w:rsidR="00C84610" w:rsidRPr="00863EC6" w:rsidRDefault="00733F00" w:rsidP="00C84610">
            <w:pPr>
              <w:jc w:val="center"/>
              <w:rPr>
                <w:sz w:val="20"/>
                <w:szCs w:val="20"/>
              </w:rPr>
            </w:pPr>
            <w:r>
              <w:rPr>
                <w:sz w:val="20"/>
                <w:szCs w:val="20"/>
              </w:rPr>
              <w:t>88</w:t>
            </w:r>
            <w:r w:rsidR="00C84610">
              <w:rPr>
                <w:sz w:val="20"/>
                <w:szCs w:val="20"/>
              </w:rPr>
              <w:t>,</w:t>
            </w:r>
            <w:r>
              <w:rPr>
                <w:sz w:val="20"/>
                <w:szCs w:val="20"/>
              </w:rPr>
              <w:t>155</w:t>
            </w:r>
          </w:p>
        </w:tc>
        <w:tc>
          <w:tcPr>
            <w:tcW w:w="1454" w:type="dxa"/>
            <w:tcBorders>
              <w:top w:val="single" w:sz="4" w:space="0" w:color="auto"/>
              <w:bottom w:val="single" w:sz="4" w:space="0" w:color="auto"/>
            </w:tcBorders>
          </w:tcPr>
          <w:p w14:paraId="1F61E34B" w14:textId="0E5DB010" w:rsidR="00C84610" w:rsidRPr="00863EC6" w:rsidRDefault="00733F00" w:rsidP="00C84610">
            <w:pPr>
              <w:jc w:val="center"/>
              <w:rPr>
                <w:sz w:val="20"/>
                <w:szCs w:val="20"/>
              </w:rPr>
            </w:pPr>
            <w:r>
              <w:rPr>
                <w:sz w:val="20"/>
                <w:szCs w:val="20"/>
              </w:rPr>
              <w:t>778</w:t>
            </w:r>
            <w:r w:rsidR="00092A71">
              <w:rPr>
                <w:sz w:val="20"/>
                <w:szCs w:val="20"/>
              </w:rPr>
              <w:t>,</w:t>
            </w:r>
            <w:r>
              <w:rPr>
                <w:sz w:val="20"/>
                <w:szCs w:val="20"/>
              </w:rPr>
              <w:t>125</w:t>
            </w:r>
          </w:p>
        </w:tc>
      </w:tr>
      <w:tr w:rsidR="00C84610" w:rsidRPr="00863EC6" w14:paraId="647499A9" w14:textId="77777777" w:rsidTr="54F71CB4">
        <w:tc>
          <w:tcPr>
            <w:tcW w:w="2694" w:type="dxa"/>
          </w:tcPr>
          <w:p w14:paraId="7F9B11D9" w14:textId="77777777" w:rsidR="00092A71" w:rsidRDefault="00092A71" w:rsidP="001B27EA">
            <w:pPr>
              <w:rPr>
                <w:b/>
                <w:sz w:val="20"/>
                <w:szCs w:val="20"/>
              </w:rPr>
            </w:pPr>
          </w:p>
          <w:p w14:paraId="483FFB1C" w14:textId="785C14E8" w:rsidR="00C84610" w:rsidRPr="00863EC6" w:rsidRDefault="00C84610" w:rsidP="001B27EA">
            <w:pPr>
              <w:rPr>
                <w:b/>
                <w:sz w:val="20"/>
                <w:szCs w:val="20"/>
              </w:rPr>
            </w:pPr>
            <w:r w:rsidRPr="00863EC6">
              <w:rPr>
                <w:b/>
                <w:sz w:val="20"/>
                <w:szCs w:val="20"/>
              </w:rPr>
              <w:t>Depreciation</w:t>
            </w:r>
          </w:p>
        </w:tc>
        <w:tc>
          <w:tcPr>
            <w:tcW w:w="1950" w:type="dxa"/>
          </w:tcPr>
          <w:p w14:paraId="5991317E" w14:textId="77777777" w:rsidR="00C84610" w:rsidRPr="00863EC6" w:rsidRDefault="00C84610" w:rsidP="00C84610">
            <w:pPr>
              <w:jc w:val="center"/>
              <w:rPr>
                <w:sz w:val="20"/>
                <w:szCs w:val="20"/>
              </w:rPr>
            </w:pPr>
          </w:p>
        </w:tc>
        <w:tc>
          <w:tcPr>
            <w:tcW w:w="1417" w:type="dxa"/>
          </w:tcPr>
          <w:p w14:paraId="3224A430" w14:textId="77777777" w:rsidR="00C84610" w:rsidRPr="00863EC6" w:rsidRDefault="00C84610" w:rsidP="00C84610">
            <w:pPr>
              <w:jc w:val="center"/>
              <w:rPr>
                <w:sz w:val="20"/>
                <w:szCs w:val="20"/>
              </w:rPr>
            </w:pPr>
          </w:p>
        </w:tc>
        <w:tc>
          <w:tcPr>
            <w:tcW w:w="1452" w:type="dxa"/>
          </w:tcPr>
          <w:p w14:paraId="42BB911E" w14:textId="77777777" w:rsidR="00C84610" w:rsidRPr="00863EC6" w:rsidRDefault="00C84610" w:rsidP="00C84610">
            <w:pPr>
              <w:jc w:val="center"/>
              <w:rPr>
                <w:sz w:val="20"/>
                <w:szCs w:val="20"/>
              </w:rPr>
            </w:pPr>
          </w:p>
        </w:tc>
        <w:tc>
          <w:tcPr>
            <w:tcW w:w="1454" w:type="dxa"/>
          </w:tcPr>
          <w:p w14:paraId="0EB8D94A" w14:textId="77777777" w:rsidR="00C84610" w:rsidRPr="00863EC6" w:rsidRDefault="00C84610" w:rsidP="00C84610">
            <w:pPr>
              <w:jc w:val="center"/>
              <w:rPr>
                <w:sz w:val="20"/>
                <w:szCs w:val="20"/>
              </w:rPr>
            </w:pPr>
          </w:p>
        </w:tc>
      </w:tr>
      <w:tr w:rsidR="00C84610" w:rsidRPr="00863EC6" w14:paraId="36074DCC" w14:textId="77777777" w:rsidTr="54F71CB4">
        <w:tc>
          <w:tcPr>
            <w:tcW w:w="2694" w:type="dxa"/>
          </w:tcPr>
          <w:p w14:paraId="6837E7EC" w14:textId="33AD5540" w:rsidR="00C84610" w:rsidRPr="00863EC6" w:rsidRDefault="00C84610" w:rsidP="001B27EA">
            <w:pPr>
              <w:rPr>
                <w:sz w:val="20"/>
                <w:szCs w:val="20"/>
              </w:rPr>
            </w:pPr>
            <w:r w:rsidRPr="00863EC6">
              <w:rPr>
                <w:sz w:val="20"/>
                <w:szCs w:val="20"/>
              </w:rPr>
              <w:t>At 1 April 20</w:t>
            </w:r>
            <w:r>
              <w:rPr>
                <w:sz w:val="20"/>
                <w:szCs w:val="20"/>
              </w:rPr>
              <w:t>2</w:t>
            </w:r>
            <w:r w:rsidR="008E2478">
              <w:rPr>
                <w:sz w:val="20"/>
                <w:szCs w:val="20"/>
              </w:rPr>
              <w:t>3</w:t>
            </w:r>
          </w:p>
        </w:tc>
        <w:tc>
          <w:tcPr>
            <w:tcW w:w="1950" w:type="dxa"/>
          </w:tcPr>
          <w:p w14:paraId="43C9286B" w14:textId="6A56FAA0" w:rsidR="00C84610" w:rsidRPr="00863EC6" w:rsidRDefault="00043F72" w:rsidP="00C84610">
            <w:pPr>
              <w:jc w:val="center"/>
              <w:rPr>
                <w:sz w:val="20"/>
                <w:szCs w:val="20"/>
              </w:rPr>
            </w:pPr>
            <w:r>
              <w:rPr>
                <w:sz w:val="20"/>
                <w:szCs w:val="20"/>
              </w:rPr>
              <w:t>1</w:t>
            </w:r>
            <w:r w:rsidR="00733F00">
              <w:rPr>
                <w:sz w:val="20"/>
                <w:szCs w:val="20"/>
              </w:rPr>
              <w:t>97</w:t>
            </w:r>
            <w:r w:rsidR="00092A71">
              <w:rPr>
                <w:sz w:val="20"/>
                <w:szCs w:val="20"/>
              </w:rPr>
              <w:t>,</w:t>
            </w:r>
            <w:r w:rsidR="00733F00">
              <w:rPr>
                <w:sz w:val="20"/>
                <w:szCs w:val="20"/>
              </w:rPr>
              <w:t>431</w:t>
            </w:r>
          </w:p>
        </w:tc>
        <w:tc>
          <w:tcPr>
            <w:tcW w:w="1417" w:type="dxa"/>
          </w:tcPr>
          <w:p w14:paraId="172068FD" w14:textId="5580BB8A" w:rsidR="00C84610" w:rsidRPr="00863EC6" w:rsidRDefault="00733F00" w:rsidP="00C84610">
            <w:pPr>
              <w:jc w:val="center"/>
              <w:rPr>
                <w:sz w:val="20"/>
                <w:szCs w:val="20"/>
              </w:rPr>
            </w:pPr>
            <w:r>
              <w:rPr>
                <w:sz w:val="20"/>
                <w:szCs w:val="20"/>
              </w:rPr>
              <w:t>82</w:t>
            </w:r>
            <w:r w:rsidR="00092A71">
              <w:rPr>
                <w:sz w:val="20"/>
                <w:szCs w:val="20"/>
              </w:rPr>
              <w:t>,</w:t>
            </w:r>
            <w:r>
              <w:rPr>
                <w:sz w:val="20"/>
                <w:szCs w:val="20"/>
              </w:rPr>
              <w:t>461</w:t>
            </w:r>
          </w:p>
        </w:tc>
        <w:tc>
          <w:tcPr>
            <w:tcW w:w="1452" w:type="dxa"/>
          </w:tcPr>
          <w:p w14:paraId="51687CC3" w14:textId="37536A89" w:rsidR="00C84610" w:rsidRPr="00863EC6" w:rsidRDefault="00733F00" w:rsidP="00C84610">
            <w:pPr>
              <w:jc w:val="center"/>
              <w:rPr>
                <w:sz w:val="20"/>
                <w:szCs w:val="20"/>
              </w:rPr>
            </w:pPr>
            <w:r>
              <w:rPr>
                <w:sz w:val="20"/>
                <w:szCs w:val="20"/>
              </w:rPr>
              <w:t>46</w:t>
            </w:r>
            <w:r w:rsidR="00092A71">
              <w:rPr>
                <w:sz w:val="20"/>
                <w:szCs w:val="20"/>
              </w:rPr>
              <w:t>,</w:t>
            </w:r>
            <w:r>
              <w:rPr>
                <w:sz w:val="20"/>
                <w:szCs w:val="20"/>
              </w:rPr>
              <w:t>602</w:t>
            </w:r>
          </w:p>
        </w:tc>
        <w:tc>
          <w:tcPr>
            <w:tcW w:w="1454" w:type="dxa"/>
          </w:tcPr>
          <w:p w14:paraId="4D544C7E" w14:textId="3D4114ED" w:rsidR="00C84610" w:rsidRPr="00863EC6" w:rsidRDefault="00733F00" w:rsidP="00C84610">
            <w:pPr>
              <w:jc w:val="center"/>
              <w:rPr>
                <w:sz w:val="20"/>
                <w:szCs w:val="20"/>
              </w:rPr>
            </w:pPr>
            <w:r>
              <w:rPr>
                <w:sz w:val="20"/>
                <w:szCs w:val="20"/>
              </w:rPr>
              <w:t>326</w:t>
            </w:r>
            <w:r w:rsidR="00092A71">
              <w:rPr>
                <w:sz w:val="20"/>
                <w:szCs w:val="20"/>
              </w:rPr>
              <w:t>,</w:t>
            </w:r>
            <w:r>
              <w:rPr>
                <w:sz w:val="20"/>
                <w:szCs w:val="20"/>
              </w:rPr>
              <w:t>494</w:t>
            </w:r>
          </w:p>
        </w:tc>
      </w:tr>
      <w:tr w:rsidR="00C84610" w:rsidRPr="00863EC6" w14:paraId="1A80CBA8" w14:textId="77777777" w:rsidTr="54F71CB4">
        <w:tc>
          <w:tcPr>
            <w:tcW w:w="2694" w:type="dxa"/>
          </w:tcPr>
          <w:p w14:paraId="567792ED" w14:textId="77777777" w:rsidR="00C84610" w:rsidRDefault="00C84610" w:rsidP="001B27EA">
            <w:pPr>
              <w:rPr>
                <w:sz w:val="20"/>
                <w:szCs w:val="20"/>
              </w:rPr>
            </w:pPr>
            <w:r w:rsidRPr="00863EC6">
              <w:rPr>
                <w:sz w:val="20"/>
                <w:szCs w:val="20"/>
              </w:rPr>
              <w:t>Charged in year</w:t>
            </w:r>
          </w:p>
          <w:p w14:paraId="514064A6" w14:textId="189C8842" w:rsidR="00733F00" w:rsidRPr="00863EC6" w:rsidRDefault="00733F00" w:rsidP="001B27EA">
            <w:pPr>
              <w:rPr>
                <w:sz w:val="20"/>
                <w:szCs w:val="20"/>
              </w:rPr>
            </w:pPr>
            <w:r>
              <w:rPr>
                <w:sz w:val="20"/>
                <w:szCs w:val="20"/>
              </w:rPr>
              <w:t>Disposals</w:t>
            </w:r>
          </w:p>
        </w:tc>
        <w:tc>
          <w:tcPr>
            <w:tcW w:w="1950" w:type="dxa"/>
          </w:tcPr>
          <w:p w14:paraId="286DA96C" w14:textId="77777777" w:rsidR="00C84610" w:rsidRDefault="00043F72" w:rsidP="00C84610">
            <w:pPr>
              <w:jc w:val="center"/>
              <w:rPr>
                <w:sz w:val="20"/>
                <w:szCs w:val="20"/>
              </w:rPr>
            </w:pPr>
            <w:r>
              <w:rPr>
                <w:sz w:val="20"/>
                <w:szCs w:val="20"/>
              </w:rPr>
              <w:t>7</w:t>
            </w:r>
            <w:r w:rsidR="00733F00">
              <w:rPr>
                <w:sz w:val="20"/>
                <w:szCs w:val="20"/>
              </w:rPr>
              <w:t>3</w:t>
            </w:r>
            <w:r w:rsidR="00092A71">
              <w:rPr>
                <w:sz w:val="20"/>
                <w:szCs w:val="20"/>
              </w:rPr>
              <w:t>,</w:t>
            </w:r>
            <w:r w:rsidR="00733F00">
              <w:rPr>
                <w:sz w:val="20"/>
                <w:szCs w:val="20"/>
              </w:rPr>
              <w:t>688</w:t>
            </w:r>
          </w:p>
          <w:p w14:paraId="2E621078" w14:textId="12094B89" w:rsidR="00733F00" w:rsidRPr="00863EC6" w:rsidRDefault="00733F00" w:rsidP="00C84610">
            <w:pPr>
              <w:jc w:val="center"/>
              <w:rPr>
                <w:sz w:val="20"/>
                <w:szCs w:val="20"/>
              </w:rPr>
            </w:pPr>
            <w:r>
              <w:rPr>
                <w:sz w:val="20"/>
                <w:szCs w:val="20"/>
              </w:rPr>
              <w:t>0</w:t>
            </w:r>
          </w:p>
        </w:tc>
        <w:tc>
          <w:tcPr>
            <w:tcW w:w="1417" w:type="dxa"/>
          </w:tcPr>
          <w:p w14:paraId="06A50F84" w14:textId="77777777" w:rsidR="00C84610" w:rsidRDefault="00733F00" w:rsidP="00C84610">
            <w:pPr>
              <w:jc w:val="center"/>
              <w:rPr>
                <w:sz w:val="20"/>
                <w:szCs w:val="20"/>
              </w:rPr>
            </w:pPr>
            <w:r>
              <w:rPr>
                <w:sz w:val="20"/>
                <w:szCs w:val="20"/>
              </w:rPr>
              <w:t>13</w:t>
            </w:r>
            <w:r w:rsidR="00092A71">
              <w:rPr>
                <w:sz w:val="20"/>
                <w:szCs w:val="20"/>
              </w:rPr>
              <w:t>,</w:t>
            </w:r>
            <w:r>
              <w:rPr>
                <w:sz w:val="20"/>
                <w:szCs w:val="20"/>
              </w:rPr>
              <w:t>305</w:t>
            </w:r>
          </w:p>
          <w:p w14:paraId="031E8F1C" w14:textId="59C7F568" w:rsidR="00733F00" w:rsidRPr="00863EC6" w:rsidRDefault="00733F00" w:rsidP="00C84610">
            <w:pPr>
              <w:jc w:val="center"/>
              <w:rPr>
                <w:sz w:val="20"/>
                <w:szCs w:val="20"/>
              </w:rPr>
            </w:pPr>
            <w:r>
              <w:rPr>
                <w:sz w:val="20"/>
                <w:szCs w:val="20"/>
              </w:rPr>
              <w:t>(67,427)</w:t>
            </w:r>
          </w:p>
        </w:tc>
        <w:tc>
          <w:tcPr>
            <w:tcW w:w="1452" w:type="dxa"/>
          </w:tcPr>
          <w:p w14:paraId="4F37E7A7" w14:textId="77777777" w:rsidR="00C84610" w:rsidRDefault="00092A71" w:rsidP="00C84610">
            <w:pPr>
              <w:jc w:val="center"/>
              <w:rPr>
                <w:sz w:val="20"/>
                <w:szCs w:val="20"/>
              </w:rPr>
            </w:pPr>
            <w:r>
              <w:rPr>
                <w:sz w:val="20"/>
                <w:szCs w:val="20"/>
              </w:rPr>
              <w:t>1</w:t>
            </w:r>
            <w:r w:rsidR="00733F00">
              <w:rPr>
                <w:sz w:val="20"/>
                <w:szCs w:val="20"/>
              </w:rPr>
              <w:t>7</w:t>
            </w:r>
            <w:r>
              <w:rPr>
                <w:sz w:val="20"/>
                <w:szCs w:val="20"/>
              </w:rPr>
              <w:t>,</w:t>
            </w:r>
            <w:r w:rsidR="00733F00">
              <w:rPr>
                <w:sz w:val="20"/>
                <w:szCs w:val="20"/>
              </w:rPr>
              <w:t>675</w:t>
            </w:r>
          </w:p>
          <w:p w14:paraId="4664CB89" w14:textId="637A9588" w:rsidR="00733F00" w:rsidRPr="00863EC6" w:rsidRDefault="00733F00" w:rsidP="00C84610">
            <w:pPr>
              <w:jc w:val="center"/>
              <w:rPr>
                <w:sz w:val="20"/>
                <w:szCs w:val="20"/>
              </w:rPr>
            </w:pPr>
            <w:r>
              <w:rPr>
                <w:sz w:val="20"/>
                <w:szCs w:val="20"/>
              </w:rPr>
              <w:t>(5,238)</w:t>
            </w:r>
          </w:p>
        </w:tc>
        <w:tc>
          <w:tcPr>
            <w:tcW w:w="1454" w:type="dxa"/>
          </w:tcPr>
          <w:p w14:paraId="09E69845" w14:textId="77777777" w:rsidR="00C84610" w:rsidRDefault="00733F00" w:rsidP="00C84610">
            <w:pPr>
              <w:jc w:val="center"/>
              <w:rPr>
                <w:sz w:val="20"/>
                <w:szCs w:val="20"/>
              </w:rPr>
            </w:pPr>
            <w:r>
              <w:rPr>
                <w:sz w:val="20"/>
                <w:szCs w:val="20"/>
              </w:rPr>
              <w:t>104</w:t>
            </w:r>
            <w:r w:rsidR="00092A71">
              <w:rPr>
                <w:sz w:val="20"/>
                <w:szCs w:val="20"/>
              </w:rPr>
              <w:t>,</w:t>
            </w:r>
            <w:r>
              <w:rPr>
                <w:sz w:val="20"/>
                <w:szCs w:val="20"/>
              </w:rPr>
              <w:t>668</w:t>
            </w:r>
          </w:p>
          <w:p w14:paraId="0EACE95A" w14:textId="5F30B8DD" w:rsidR="00733F00" w:rsidRPr="00863EC6" w:rsidRDefault="00733F00" w:rsidP="00C84610">
            <w:pPr>
              <w:jc w:val="center"/>
              <w:rPr>
                <w:sz w:val="20"/>
                <w:szCs w:val="20"/>
              </w:rPr>
            </w:pPr>
            <w:r>
              <w:rPr>
                <w:sz w:val="20"/>
                <w:szCs w:val="20"/>
              </w:rPr>
              <w:t>(72,665)</w:t>
            </w:r>
          </w:p>
        </w:tc>
      </w:tr>
      <w:tr w:rsidR="00C84610" w14:paraId="30CFC4FC" w14:textId="77777777" w:rsidTr="54F71CB4">
        <w:tc>
          <w:tcPr>
            <w:tcW w:w="2694" w:type="dxa"/>
          </w:tcPr>
          <w:p w14:paraId="5A11BB14" w14:textId="3521AABD" w:rsidR="00C84610" w:rsidRPr="00F82840" w:rsidRDefault="00092A71" w:rsidP="001B27EA">
            <w:pPr>
              <w:rPr>
                <w:sz w:val="20"/>
                <w:szCs w:val="20"/>
              </w:rPr>
            </w:pPr>
            <w:r>
              <w:rPr>
                <w:sz w:val="20"/>
                <w:szCs w:val="20"/>
              </w:rPr>
              <w:t>Revaluation</w:t>
            </w:r>
          </w:p>
        </w:tc>
        <w:tc>
          <w:tcPr>
            <w:tcW w:w="1950" w:type="dxa"/>
          </w:tcPr>
          <w:p w14:paraId="7542E04E" w14:textId="47AF30E5" w:rsidR="00C84610" w:rsidRDefault="00733F00" w:rsidP="00C84610">
            <w:pPr>
              <w:jc w:val="center"/>
              <w:rPr>
                <w:sz w:val="20"/>
                <w:szCs w:val="20"/>
              </w:rPr>
            </w:pPr>
            <w:r>
              <w:rPr>
                <w:sz w:val="20"/>
                <w:szCs w:val="20"/>
              </w:rPr>
              <w:t>265</w:t>
            </w:r>
          </w:p>
        </w:tc>
        <w:tc>
          <w:tcPr>
            <w:tcW w:w="1417" w:type="dxa"/>
          </w:tcPr>
          <w:p w14:paraId="21A3FBB6" w14:textId="77777777" w:rsidR="00C84610" w:rsidRPr="00F82840" w:rsidRDefault="00C84610" w:rsidP="00C84610">
            <w:pPr>
              <w:jc w:val="center"/>
              <w:rPr>
                <w:sz w:val="20"/>
                <w:szCs w:val="20"/>
              </w:rPr>
            </w:pPr>
            <w:r>
              <w:rPr>
                <w:sz w:val="20"/>
                <w:szCs w:val="20"/>
              </w:rPr>
              <w:t>0</w:t>
            </w:r>
          </w:p>
        </w:tc>
        <w:tc>
          <w:tcPr>
            <w:tcW w:w="1452" w:type="dxa"/>
          </w:tcPr>
          <w:p w14:paraId="2AFC33D5" w14:textId="0E07BE39" w:rsidR="00C84610" w:rsidRPr="00F82840" w:rsidRDefault="00092A71" w:rsidP="00C84610">
            <w:pPr>
              <w:jc w:val="center"/>
              <w:rPr>
                <w:sz w:val="20"/>
                <w:szCs w:val="20"/>
              </w:rPr>
            </w:pPr>
            <w:r>
              <w:rPr>
                <w:sz w:val="20"/>
                <w:szCs w:val="20"/>
              </w:rPr>
              <w:t>0</w:t>
            </w:r>
          </w:p>
        </w:tc>
        <w:tc>
          <w:tcPr>
            <w:tcW w:w="1454" w:type="dxa"/>
          </w:tcPr>
          <w:p w14:paraId="1E72AFD2" w14:textId="6D23B768" w:rsidR="00C84610" w:rsidRDefault="00733F00" w:rsidP="00C84610">
            <w:pPr>
              <w:jc w:val="center"/>
              <w:rPr>
                <w:sz w:val="20"/>
                <w:szCs w:val="20"/>
              </w:rPr>
            </w:pPr>
            <w:r>
              <w:rPr>
                <w:sz w:val="20"/>
                <w:szCs w:val="20"/>
              </w:rPr>
              <w:t>265</w:t>
            </w:r>
          </w:p>
        </w:tc>
      </w:tr>
      <w:tr w:rsidR="00C84610" w:rsidRPr="00F82840" w14:paraId="55C77E9B" w14:textId="77777777" w:rsidTr="54F71CB4">
        <w:tc>
          <w:tcPr>
            <w:tcW w:w="2694" w:type="dxa"/>
          </w:tcPr>
          <w:p w14:paraId="648A7647" w14:textId="3CADCFD7" w:rsidR="00C84610" w:rsidRPr="00F82840" w:rsidRDefault="00C84610" w:rsidP="001B27EA">
            <w:pPr>
              <w:rPr>
                <w:sz w:val="20"/>
                <w:szCs w:val="20"/>
              </w:rPr>
            </w:pPr>
            <w:r w:rsidRPr="00F82840">
              <w:rPr>
                <w:sz w:val="20"/>
                <w:szCs w:val="20"/>
              </w:rPr>
              <w:t xml:space="preserve">At </w:t>
            </w:r>
            <w:r>
              <w:rPr>
                <w:sz w:val="20"/>
                <w:szCs w:val="20"/>
              </w:rPr>
              <w:t>31 March 202</w:t>
            </w:r>
            <w:r w:rsidR="008E2478">
              <w:rPr>
                <w:sz w:val="20"/>
                <w:szCs w:val="20"/>
              </w:rPr>
              <w:t>4</w:t>
            </w:r>
          </w:p>
        </w:tc>
        <w:tc>
          <w:tcPr>
            <w:tcW w:w="1950" w:type="dxa"/>
            <w:tcBorders>
              <w:top w:val="single" w:sz="4" w:space="0" w:color="auto"/>
              <w:bottom w:val="single" w:sz="4" w:space="0" w:color="auto"/>
            </w:tcBorders>
          </w:tcPr>
          <w:p w14:paraId="2EE868BF" w14:textId="3839EAE9" w:rsidR="00C84610" w:rsidRPr="00F82840" w:rsidRDefault="00733F00" w:rsidP="00C84610">
            <w:pPr>
              <w:jc w:val="center"/>
              <w:rPr>
                <w:sz w:val="20"/>
                <w:szCs w:val="20"/>
              </w:rPr>
            </w:pPr>
            <w:r>
              <w:rPr>
                <w:sz w:val="20"/>
                <w:szCs w:val="20"/>
              </w:rPr>
              <w:t>271</w:t>
            </w:r>
            <w:r w:rsidR="00092A71">
              <w:rPr>
                <w:sz w:val="20"/>
                <w:szCs w:val="20"/>
              </w:rPr>
              <w:t>,</w:t>
            </w:r>
            <w:r>
              <w:rPr>
                <w:sz w:val="20"/>
                <w:szCs w:val="20"/>
              </w:rPr>
              <w:t>384</w:t>
            </w:r>
          </w:p>
        </w:tc>
        <w:tc>
          <w:tcPr>
            <w:tcW w:w="1417" w:type="dxa"/>
            <w:tcBorders>
              <w:top w:val="single" w:sz="4" w:space="0" w:color="auto"/>
              <w:bottom w:val="single" w:sz="4" w:space="0" w:color="auto"/>
            </w:tcBorders>
          </w:tcPr>
          <w:p w14:paraId="250730E5" w14:textId="59EF4B66" w:rsidR="00C84610" w:rsidRPr="00F82840" w:rsidRDefault="00733F00" w:rsidP="00C84610">
            <w:pPr>
              <w:jc w:val="center"/>
              <w:rPr>
                <w:sz w:val="20"/>
                <w:szCs w:val="20"/>
              </w:rPr>
            </w:pPr>
            <w:r>
              <w:rPr>
                <w:sz w:val="20"/>
                <w:szCs w:val="20"/>
              </w:rPr>
              <w:t>28</w:t>
            </w:r>
            <w:r w:rsidR="00092A71">
              <w:rPr>
                <w:sz w:val="20"/>
                <w:szCs w:val="20"/>
              </w:rPr>
              <w:t>,</w:t>
            </w:r>
            <w:r>
              <w:rPr>
                <w:sz w:val="20"/>
                <w:szCs w:val="20"/>
              </w:rPr>
              <w:t>339</w:t>
            </w:r>
          </w:p>
        </w:tc>
        <w:tc>
          <w:tcPr>
            <w:tcW w:w="1452" w:type="dxa"/>
            <w:tcBorders>
              <w:top w:val="single" w:sz="4" w:space="0" w:color="auto"/>
              <w:bottom w:val="single" w:sz="4" w:space="0" w:color="auto"/>
            </w:tcBorders>
          </w:tcPr>
          <w:p w14:paraId="1FEB7BF0" w14:textId="30F8127D" w:rsidR="00C84610" w:rsidRPr="00F82840" w:rsidRDefault="00733F00" w:rsidP="00C84610">
            <w:pPr>
              <w:jc w:val="center"/>
              <w:rPr>
                <w:sz w:val="20"/>
                <w:szCs w:val="20"/>
              </w:rPr>
            </w:pPr>
            <w:r>
              <w:rPr>
                <w:sz w:val="20"/>
                <w:szCs w:val="20"/>
              </w:rPr>
              <w:t>59</w:t>
            </w:r>
            <w:r w:rsidR="00092A71">
              <w:rPr>
                <w:sz w:val="20"/>
                <w:szCs w:val="20"/>
              </w:rPr>
              <w:t>,</w:t>
            </w:r>
            <w:r>
              <w:rPr>
                <w:sz w:val="20"/>
                <w:szCs w:val="20"/>
              </w:rPr>
              <w:t>039</w:t>
            </w:r>
          </w:p>
        </w:tc>
        <w:tc>
          <w:tcPr>
            <w:tcW w:w="1454" w:type="dxa"/>
            <w:tcBorders>
              <w:top w:val="single" w:sz="4" w:space="0" w:color="auto"/>
              <w:bottom w:val="single" w:sz="4" w:space="0" w:color="auto"/>
            </w:tcBorders>
          </w:tcPr>
          <w:p w14:paraId="66188587" w14:textId="57D425D9" w:rsidR="00C84610" w:rsidRPr="00F82840" w:rsidRDefault="00043F72" w:rsidP="00C84610">
            <w:pPr>
              <w:jc w:val="center"/>
              <w:rPr>
                <w:sz w:val="20"/>
                <w:szCs w:val="20"/>
              </w:rPr>
            </w:pPr>
            <w:r>
              <w:rPr>
                <w:sz w:val="20"/>
                <w:szCs w:val="20"/>
              </w:rPr>
              <w:t>3</w:t>
            </w:r>
            <w:r w:rsidR="00733F00">
              <w:rPr>
                <w:sz w:val="20"/>
                <w:szCs w:val="20"/>
              </w:rPr>
              <w:t>58</w:t>
            </w:r>
            <w:r w:rsidR="00092A71">
              <w:rPr>
                <w:sz w:val="20"/>
                <w:szCs w:val="20"/>
              </w:rPr>
              <w:t>,</w:t>
            </w:r>
            <w:r w:rsidR="00733F00">
              <w:rPr>
                <w:sz w:val="20"/>
                <w:szCs w:val="20"/>
              </w:rPr>
              <w:t>762</w:t>
            </w:r>
          </w:p>
        </w:tc>
      </w:tr>
      <w:tr w:rsidR="00C84610" w:rsidRPr="00F82840" w14:paraId="2611D8B6" w14:textId="77777777" w:rsidTr="54F71CB4">
        <w:tc>
          <w:tcPr>
            <w:tcW w:w="2694" w:type="dxa"/>
          </w:tcPr>
          <w:p w14:paraId="6150F618" w14:textId="77777777" w:rsidR="00C84610" w:rsidRPr="00F82840" w:rsidRDefault="00C84610" w:rsidP="001B27EA">
            <w:pPr>
              <w:rPr>
                <w:sz w:val="20"/>
                <w:szCs w:val="20"/>
              </w:rPr>
            </w:pPr>
          </w:p>
          <w:p w14:paraId="79FDE53C" w14:textId="0F756B37" w:rsidR="00C84610" w:rsidRPr="00F82840" w:rsidRDefault="00C84610" w:rsidP="001B27EA">
            <w:pPr>
              <w:rPr>
                <w:sz w:val="20"/>
                <w:szCs w:val="20"/>
              </w:rPr>
            </w:pPr>
            <w:r w:rsidRPr="00F82840">
              <w:rPr>
                <w:sz w:val="20"/>
                <w:szCs w:val="20"/>
              </w:rPr>
              <w:t xml:space="preserve">Net book value at </w:t>
            </w:r>
            <w:r>
              <w:rPr>
                <w:sz w:val="20"/>
                <w:szCs w:val="20"/>
              </w:rPr>
              <w:t>31 March 202</w:t>
            </w:r>
            <w:r w:rsidR="008E2478">
              <w:rPr>
                <w:sz w:val="20"/>
                <w:szCs w:val="20"/>
              </w:rPr>
              <w:t>4</w:t>
            </w:r>
          </w:p>
        </w:tc>
        <w:tc>
          <w:tcPr>
            <w:tcW w:w="1950" w:type="dxa"/>
            <w:tcBorders>
              <w:top w:val="single" w:sz="4" w:space="0" w:color="auto"/>
              <w:bottom w:val="single" w:sz="4" w:space="0" w:color="auto"/>
            </w:tcBorders>
          </w:tcPr>
          <w:p w14:paraId="1C502BEE" w14:textId="77777777" w:rsidR="00C84610" w:rsidRDefault="00C84610" w:rsidP="00C84610">
            <w:pPr>
              <w:jc w:val="center"/>
              <w:rPr>
                <w:sz w:val="20"/>
                <w:szCs w:val="20"/>
              </w:rPr>
            </w:pPr>
          </w:p>
          <w:p w14:paraId="4AB20A20" w14:textId="77777777" w:rsidR="00C84610" w:rsidRDefault="00C84610" w:rsidP="00C84610">
            <w:pPr>
              <w:jc w:val="center"/>
              <w:rPr>
                <w:sz w:val="20"/>
                <w:szCs w:val="20"/>
              </w:rPr>
            </w:pPr>
          </w:p>
          <w:p w14:paraId="2B3B3E19" w14:textId="0C591C21" w:rsidR="00C84610" w:rsidRPr="00F82840" w:rsidRDefault="00733F00" w:rsidP="00C84610">
            <w:pPr>
              <w:jc w:val="center"/>
              <w:rPr>
                <w:sz w:val="20"/>
                <w:szCs w:val="20"/>
              </w:rPr>
            </w:pPr>
            <w:r>
              <w:rPr>
                <w:sz w:val="20"/>
                <w:szCs w:val="20"/>
              </w:rPr>
              <w:t>365</w:t>
            </w:r>
            <w:r w:rsidR="00092A71">
              <w:rPr>
                <w:sz w:val="20"/>
                <w:szCs w:val="20"/>
              </w:rPr>
              <w:t>,</w:t>
            </w:r>
            <w:r>
              <w:rPr>
                <w:sz w:val="20"/>
                <w:szCs w:val="20"/>
              </w:rPr>
              <w:t>550</w:t>
            </w:r>
          </w:p>
        </w:tc>
        <w:tc>
          <w:tcPr>
            <w:tcW w:w="1417" w:type="dxa"/>
            <w:tcBorders>
              <w:top w:val="single" w:sz="4" w:space="0" w:color="auto"/>
              <w:bottom w:val="single" w:sz="4" w:space="0" w:color="auto"/>
            </w:tcBorders>
          </w:tcPr>
          <w:p w14:paraId="1ACA2212" w14:textId="77777777" w:rsidR="00C84610" w:rsidRDefault="00C84610" w:rsidP="00C84610">
            <w:pPr>
              <w:jc w:val="center"/>
              <w:rPr>
                <w:sz w:val="20"/>
                <w:szCs w:val="20"/>
              </w:rPr>
            </w:pPr>
          </w:p>
          <w:p w14:paraId="5789CFF9" w14:textId="77777777" w:rsidR="00C84610" w:rsidRDefault="00C84610" w:rsidP="00C84610">
            <w:pPr>
              <w:jc w:val="center"/>
              <w:rPr>
                <w:sz w:val="20"/>
                <w:szCs w:val="20"/>
              </w:rPr>
            </w:pPr>
          </w:p>
          <w:p w14:paraId="5CFC6F94" w14:textId="0CECD9F0" w:rsidR="00C84610" w:rsidRPr="00F82840" w:rsidRDefault="00733F00" w:rsidP="00C84610">
            <w:pPr>
              <w:jc w:val="center"/>
              <w:rPr>
                <w:sz w:val="20"/>
                <w:szCs w:val="20"/>
              </w:rPr>
            </w:pPr>
            <w:r>
              <w:rPr>
                <w:sz w:val="20"/>
                <w:szCs w:val="20"/>
              </w:rPr>
              <w:t>24</w:t>
            </w:r>
            <w:r w:rsidR="00092A71">
              <w:rPr>
                <w:sz w:val="20"/>
                <w:szCs w:val="20"/>
              </w:rPr>
              <w:t>,</w:t>
            </w:r>
            <w:r>
              <w:rPr>
                <w:sz w:val="20"/>
                <w:szCs w:val="20"/>
              </w:rPr>
              <w:t>697</w:t>
            </w:r>
          </w:p>
        </w:tc>
        <w:tc>
          <w:tcPr>
            <w:tcW w:w="1452" w:type="dxa"/>
            <w:tcBorders>
              <w:top w:val="single" w:sz="4" w:space="0" w:color="auto"/>
              <w:bottom w:val="single" w:sz="4" w:space="0" w:color="auto"/>
            </w:tcBorders>
          </w:tcPr>
          <w:p w14:paraId="5B515EB9" w14:textId="77777777" w:rsidR="00C84610" w:rsidRDefault="00C84610" w:rsidP="00C84610">
            <w:pPr>
              <w:jc w:val="center"/>
              <w:rPr>
                <w:sz w:val="20"/>
                <w:szCs w:val="20"/>
              </w:rPr>
            </w:pPr>
          </w:p>
          <w:p w14:paraId="5BABD6DE" w14:textId="77777777" w:rsidR="00C84610" w:rsidRDefault="00C84610" w:rsidP="00C84610">
            <w:pPr>
              <w:jc w:val="center"/>
              <w:rPr>
                <w:sz w:val="20"/>
                <w:szCs w:val="20"/>
              </w:rPr>
            </w:pPr>
          </w:p>
          <w:p w14:paraId="6A5EDF8F" w14:textId="30536DA0" w:rsidR="00C84610" w:rsidRPr="00F82840" w:rsidRDefault="00733F00" w:rsidP="00C84610">
            <w:pPr>
              <w:jc w:val="center"/>
              <w:rPr>
                <w:sz w:val="20"/>
                <w:szCs w:val="20"/>
              </w:rPr>
            </w:pPr>
            <w:r>
              <w:rPr>
                <w:sz w:val="20"/>
                <w:szCs w:val="20"/>
              </w:rPr>
              <w:t>29</w:t>
            </w:r>
            <w:r w:rsidR="00092A71">
              <w:rPr>
                <w:sz w:val="20"/>
                <w:szCs w:val="20"/>
              </w:rPr>
              <w:t>,</w:t>
            </w:r>
            <w:r>
              <w:rPr>
                <w:sz w:val="20"/>
                <w:szCs w:val="20"/>
              </w:rPr>
              <w:t>116</w:t>
            </w:r>
          </w:p>
        </w:tc>
        <w:tc>
          <w:tcPr>
            <w:tcW w:w="1454" w:type="dxa"/>
            <w:tcBorders>
              <w:top w:val="single" w:sz="4" w:space="0" w:color="auto"/>
              <w:bottom w:val="single" w:sz="4" w:space="0" w:color="auto"/>
            </w:tcBorders>
          </w:tcPr>
          <w:p w14:paraId="385F19F4" w14:textId="77777777" w:rsidR="00C84610" w:rsidRDefault="00C84610" w:rsidP="00C84610">
            <w:pPr>
              <w:jc w:val="center"/>
              <w:rPr>
                <w:sz w:val="20"/>
                <w:szCs w:val="20"/>
              </w:rPr>
            </w:pPr>
          </w:p>
          <w:p w14:paraId="337377C3" w14:textId="7447C6DB" w:rsidR="00C84610" w:rsidRDefault="00C84610" w:rsidP="00C84610">
            <w:pPr>
              <w:jc w:val="center"/>
              <w:rPr>
                <w:sz w:val="20"/>
                <w:szCs w:val="20"/>
              </w:rPr>
            </w:pPr>
          </w:p>
          <w:p w14:paraId="6FC650AC" w14:textId="4F0879C2" w:rsidR="00C84610" w:rsidRPr="00F82840" w:rsidRDefault="00C10832" w:rsidP="00C84610">
            <w:pPr>
              <w:jc w:val="center"/>
              <w:rPr>
                <w:sz w:val="20"/>
                <w:szCs w:val="20"/>
              </w:rPr>
            </w:pPr>
            <w:r>
              <w:rPr>
                <w:sz w:val="20"/>
                <w:szCs w:val="20"/>
              </w:rPr>
              <w:t>4</w:t>
            </w:r>
            <w:r w:rsidR="00733F00">
              <w:rPr>
                <w:sz w:val="20"/>
                <w:szCs w:val="20"/>
              </w:rPr>
              <w:t>19</w:t>
            </w:r>
            <w:r w:rsidR="00092A71">
              <w:rPr>
                <w:sz w:val="20"/>
                <w:szCs w:val="20"/>
              </w:rPr>
              <w:t>,</w:t>
            </w:r>
            <w:r w:rsidR="00733F00">
              <w:rPr>
                <w:sz w:val="20"/>
                <w:szCs w:val="20"/>
              </w:rPr>
              <w:t>363</w:t>
            </w:r>
          </w:p>
        </w:tc>
      </w:tr>
      <w:tr w:rsidR="00C84610" w:rsidRPr="00F82840" w14:paraId="2A2E53D1" w14:textId="77777777" w:rsidTr="54F71CB4">
        <w:tc>
          <w:tcPr>
            <w:tcW w:w="2694" w:type="dxa"/>
          </w:tcPr>
          <w:p w14:paraId="15B38C45" w14:textId="77777777" w:rsidR="00C84610" w:rsidRPr="00F82840" w:rsidRDefault="00C84610" w:rsidP="001B27EA">
            <w:pPr>
              <w:rPr>
                <w:sz w:val="20"/>
                <w:szCs w:val="20"/>
              </w:rPr>
            </w:pPr>
          </w:p>
          <w:p w14:paraId="2418F7DA" w14:textId="353CEF5A" w:rsidR="00C84610" w:rsidRPr="00F82840" w:rsidRDefault="00C84610" w:rsidP="001B27EA">
            <w:pPr>
              <w:rPr>
                <w:sz w:val="20"/>
                <w:szCs w:val="20"/>
              </w:rPr>
            </w:pPr>
            <w:r>
              <w:rPr>
                <w:sz w:val="20"/>
                <w:szCs w:val="20"/>
              </w:rPr>
              <w:t>Net book value at 31 March 202</w:t>
            </w:r>
            <w:r w:rsidR="008E2478">
              <w:rPr>
                <w:sz w:val="20"/>
                <w:szCs w:val="20"/>
              </w:rPr>
              <w:t>3</w:t>
            </w:r>
          </w:p>
        </w:tc>
        <w:tc>
          <w:tcPr>
            <w:tcW w:w="1950" w:type="dxa"/>
            <w:tcBorders>
              <w:top w:val="single" w:sz="4" w:space="0" w:color="auto"/>
              <w:bottom w:val="single" w:sz="4" w:space="0" w:color="auto"/>
            </w:tcBorders>
          </w:tcPr>
          <w:p w14:paraId="6CE9364B" w14:textId="77777777" w:rsidR="00C84610" w:rsidRDefault="00C84610" w:rsidP="00C84610">
            <w:pPr>
              <w:jc w:val="center"/>
              <w:rPr>
                <w:sz w:val="20"/>
                <w:szCs w:val="20"/>
              </w:rPr>
            </w:pPr>
          </w:p>
          <w:p w14:paraId="49D4BBC1" w14:textId="77777777" w:rsidR="00C84610" w:rsidRDefault="00C84610" w:rsidP="00C84610">
            <w:pPr>
              <w:jc w:val="center"/>
              <w:rPr>
                <w:sz w:val="20"/>
                <w:szCs w:val="20"/>
              </w:rPr>
            </w:pPr>
          </w:p>
          <w:p w14:paraId="0133B328" w14:textId="5B826598" w:rsidR="00C84610" w:rsidRPr="00F82840" w:rsidRDefault="00092A71" w:rsidP="00C84610">
            <w:pPr>
              <w:jc w:val="center"/>
              <w:rPr>
                <w:sz w:val="20"/>
                <w:szCs w:val="20"/>
              </w:rPr>
            </w:pPr>
            <w:r>
              <w:rPr>
                <w:sz w:val="20"/>
                <w:szCs w:val="20"/>
              </w:rPr>
              <w:t>4</w:t>
            </w:r>
            <w:r w:rsidR="00733F00">
              <w:rPr>
                <w:sz w:val="20"/>
                <w:szCs w:val="20"/>
              </w:rPr>
              <w:t>2</w:t>
            </w:r>
            <w:r w:rsidR="00C10832">
              <w:rPr>
                <w:sz w:val="20"/>
                <w:szCs w:val="20"/>
              </w:rPr>
              <w:t>4</w:t>
            </w:r>
            <w:r>
              <w:rPr>
                <w:sz w:val="20"/>
                <w:szCs w:val="20"/>
              </w:rPr>
              <w:t>,</w:t>
            </w:r>
            <w:r w:rsidR="00C10832">
              <w:rPr>
                <w:sz w:val="20"/>
                <w:szCs w:val="20"/>
              </w:rPr>
              <w:t>2</w:t>
            </w:r>
            <w:r w:rsidR="00733F00">
              <w:rPr>
                <w:sz w:val="20"/>
                <w:szCs w:val="20"/>
              </w:rPr>
              <w:t>62</w:t>
            </w:r>
          </w:p>
        </w:tc>
        <w:tc>
          <w:tcPr>
            <w:tcW w:w="1417" w:type="dxa"/>
            <w:tcBorders>
              <w:top w:val="single" w:sz="4" w:space="0" w:color="auto"/>
              <w:bottom w:val="single" w:sz="4" w:space="0" w:color="auto"/>
            </w:tcBorders>
          </w:tcPr>
          <w:p w14:paraId="376CC96B" w14:textId="77777777" w:rsidR="00C84610" w:rsidRDefault="00C84610" w:rsidP="00C84610">
            <w:pPr>
              <w:jc w:val="center"/>
              <w:rPr>
                <w:sz w:val="20"/>
                <w:szCs w:val="20"/>
              </w:rPr>
            </w:pPr>
          </w:p>
          <w:p w14:paraId="6377D713" w14:textId="77777777" w:rsidR="00C84610" w:rsidRDefault="00C84610" w:rsidP="00C84610">
            <w:pPr>
              <w:jc w:val="center"/>
              <w:rPr>
                <w:sz w:val="20"/>
                <w:szCs w:val="20"/>
              </w:rPr>
            </w:pPr>
          </w:p>
          <w:p w14:paraId="0782EAF8" w14:textId="1C744F18" w:rsidR="00C84610" w:rsidRPr="00F82840" w:rsidRDefault="00733F00" w:rsidP="00C84610">
            <w:pPr>
              <w:jc w:val="center"/>
              <w:rPr>
                <w:sz w:val="20"/>
                <w:szCs w:val="20"/>
              </w:rPr>
            </w:pPr>
            <w:r>
              <w:rPr>
                <w:sz w:val="20"/>
                <w:szCs w:val="20"/>
              </w:rPr>
              <w:t>9</w:t>
            </w:r>
            <w:r w:rsidR="00092A71">
              <w:rPr>
                <w:sz w:val="20"/>
                <w:szCs w:val="20"/>
              </w:rPr>
              <w:t>,</w:t>
            </w:r>
            <w:r>
              <w:rPr>
                <w:sz w:val="20"/>
                <w:szCs w:val="20"/>
              </w:rPr>
              <w:t>032</w:t>
            </w:r>
          </w:p>
        </w:tc>
        <w:tc>
          <w:tcPr>
            <w:tcW w:w="1452" w:type="dxa"/>
            <w:tcBorders>
              <w:top w:val="single" w:sz="4" w:space="0" w:color="auto"/>
              <w:bottom w:val="single" w:sz="4" w:space="0" w:color="auto"/>
            </w:tcBorders>
          </w:tcPr>
          <w:p w14:paraId="447CD142" w14:textId="77777777" w:rsidR="00C84610" w:rsidRDefault="00C84610" w:rsidP="00C84610">
            <w:pPr>
              <w:jc w:val="center"/>
              <w:rPr>
                <w:sz w:val="20"/>
                <w:szCs w:val="20"/>
              </w:rPr>
            </w:pPr>
          </w:p>
          <w:p w14:paraId="0374AE6B" w14:textId="77777777" w:rsidR="00C84610" w:rsidRDefault="00C84610" w:rsidP="00C84610">
            <w:pPr>
              <w:jc w:val="center"/>
              <w:rPr>
                <w:sz w:val="20"/>
                <w:szCs w:val="20"/>
              </w:rPr>
            </w:pPr>
          </w:p>
          <w:p w14:paraId="2E53DF64" w14:textId="273FC7D2" w:rsidR="00C84610" w:rsidRPr="00F82840" w:rsidRDefault="00733F00" w:rsidP="00C84610">
            <w:pPr>
              <w:jc w:val="center"/>
              <w:rPr>
                <w:sz w:val="20"/>
                <w:szCs w:val="20"/>
              </w:rPr>
            </w:pPr>
            <w:r>
              <w:rPr>
                <w:sz w:val="20"/>
                <w:szCs w:val="20"/>
              </w:rPr>
              <w:t>46</w:t>
            </w:r>
            <w:r w:rsidR="00092A71">
              <w:rPr>
                <w:sz w:val="20"/>
                <w:szCs w:val="20"/>
              </w:rPr>
              <w:t>,</w:t>
            </w:r>
            <w:r>
              <w:rPr>
                <w:sz w:val="20"/>
                <w:szCs w:val="20"/>
              </w:rPr>
              <w:t>791</w:t>
            </w:r>
          </w:p>
        </w:tc>
        <w:tc>
          <w:tcPr>
            <w:tcW w:w="1454" w:type="dxa"/>
            <w:tcBorders>
              <w:top w:val="single" w:sz="4" w:space="0" w:color="auto"/>
              <w:bottom w:val="single" w:sz="4" w:space="0" w:color="auto"/>
            </w:tcBorders>
          </w:tcPr>
          <w:p w14:paraId="7C0A2000" w14:textId="77777777" w:rsidR="00C84610" w:rsidRDefault="00C84610" w:rsidP="00C84610">
            <w:pPr>
              <w:jc w:val="center"/>
              <w:rPr>
                <w:sz w:val="20"/>
                <w:szCs w:val="20"/>
              </w:rPr>
            </w:pPr>
          </w:p>
          <w:p w14:paraId="2B7A8E39" w14:textId="77777777" w:rsidR="00C84610" w:rsidRDefault="00C84610" w:rsidP="00C84610">
            <w:pPr>
              <w:jc w:val="center"/>
              <w:rPr>
                <w:sz w:val="20"/>
                <w:szCs w:val="20"/>
              </w:rPr>
            </w:pPr>
          </w:p>
          <w:p w14:paraId="17AEDBAE" w14:textId="467D7CCB" w:rsidR="00C84610" w:rsidRPr="00F82840" w:rsidRDefault="00733F00" w:rsidP="00C84610">
            <w:pPr>
              <w:jc w:val="center"/>
              <w:rPr>
                <w:sz w:val="20"/>
                <w:szCs w:val="20"/>
              </w:rPr>
            </w:pPr>
            <w:r>
              <w:rPr>
                <w:sz w:val="20"/>
                <w:szCs w:val="20"/>
              </w:rPr>
              <w:t>480</w:t>
            </w:r>
            <w:r w:rsidR="00092A71">
              <w:rPr>
                <w:sz w:val="20"/>
                <w:szCs w:val="20"/>
              </w:rPr>
              <w:t>,</w:t>
            </w:r>
            <w:r>
              <w:rPr>
                <w:sz w:val="20"/>
                <w:szCs w:val="20"/>
              </w:rPr>
              <w:t>085</w:t>
            </w:r>
          </w:p>
        </w:tc>
      </w:tr>
      <w:tr w:rsidR="00C84610" w:rsidRPr="00F82840" w14:paraId="4FA6A1C4" w14:textId="77777777" w:rsidTr="54F71CB4">
        <w:tc>
          <w:tcPr>
            <w:tcW w:w="2694" w:type="dxa"/>
          </w:tcPr>
          <w:p w14:paraId="4E5235D8" w14:textId="77777777" w:rsidR="00C84610" w:rsidRPr="00F82840" w:rsidRDefault="00C84610" w:rsidP="001B27EA">
            <w:pPr>
              <w:rPr>
                <w:sz w:val="20"/>
                <w:szCs w:val="20"/>
              </w:rPr>
            </w:pPr>
          </w:p>
        </w:tc>
        <w:tc>
          <w:tcPr>
            <w:tcW w:w="1950" w:type="dxa"/>
            <w:tcBorders>
              <w:top w:val="single" w:sz="4" w:space="0" w:color="auto"/>
            </w:tcBorders>
          </w:tcPr>
          <w:p w14:paraId="42E86CCB" w14:textId="77777777" w:rsidR="00C84610" w:rsidRPr="00F82840" w:rsidRDefault="00C84610" w:rsidP="00C84610">
            <w:pPr>
              <w:jc w:val="center"/>
              <w:rPr>
                <w:sz w:val="20"/>
                <w:szCs w:val="20"/>
              </w:rPr>
            </w:pPr>
          </w:p>
        </w:tc>
        <w:tc>
          <w:tcPr>
            <w:tcW w:w="1417" w:type="dxa"/>
            <w:tcBorders>
              <w:top w:val="single" w:sz="4" w:space="0" w:color="auto"/>
            </w:tcBorders>
          </w:tcPr>
          <w:p w14:paraId="69A292F7" w14:textId="77777777" w:rsidR="00C84610" w:rsidRPr="00F82840" w:rsidRDefault="00C84610" w:rsidP="00C84610">
            <w:pPr>
              <w:jc w:val="center"/>
              <w:rPr>
                <w:sz w:val="20"/>
                <w:szCs w:val="20"/>
              </w:rPr>
            </w:pPr>
          </w:p>
        </w:tc>
        <w:tc>
          <w:tcPr>
            <w:tcW w:w="1452" w:type="dxa"/>
            <w:tcBorders>
              <w:top w:val="single" w:sz="4" w:space="0" w:color="auto"/>
            </w:tcBorders>
          </w:tcPr>
          <w:p w14:paraId="1CED0B2A" w14:textId="77777777" w:rsidR="00C84610" w:rsidRPr="00F82840" w:rsidRDefault="00C84610" w:rsidP="00C84610">
            <w:pPr>
              <w:jc w:val="center"/>
              <w:rPr>
                <w:sz w:val="20"/>
                <w:szCs w:val="20"/>
              </w:rPr>
            </w:pPr>
          </w:p>
        </w:tc>
        <w:tc>
          <w:tcPr>
            <w:tcW w:w="1454" w:type="dxa"/>
            <w:tcBorders>
              <w:top w:val="single" w:sz="4" w:space="0" w:color="auto"/>
            </w:tcBorders>
          </w:tcPr>
          <w:p w14:paraId="2F61A293" w14:textId="77777777" w:rsidR="00C84610" w:rsidRPr="00F82840" w:rsidRDefault="00C84610" w:rsidP="00C84610">
            <w:pPr>
              <w:jc w:val="center"/>
              <w:rPr>
                <w:sz w:val="20"/>
                <w:szCs w:val="20"/>
              </w:rPr>
            </w:pPr>
          </w:p>
        </w:tc>
      </w:tr>
    </w:tbl>
    <w:p w14:paraId="6C8A57F3" w14:textId="77777777" w:rsidR="006C0AAA" w:rsidRDefault="006C0AAA" w:rsidP="00A36F2F">
      <w:pPr>
        <w:rPr>
          <w:b/>
        </w:rPr>
      </w:pPr>
    </w:p>
    <w:p w14:paraId="553AE452" w14:textId="77777777" w:rsidR="00043F72" w:rsidRDefault="00043F72" w:rsidP="00A36F2F">
      <w:pPr>
        <w:rPr>
          <w:b/>
        </w:rPr>
      </w:pPr>
    </w:p>
    <w:p w14:paraId="7ED7F655" w14:textId="77777777" w:rsidR="00C10832" w:rsidRDefault="00C10832" w:rsidP="00A36F2F">
      <w:pPr>
        <w:rPr>
          <w:b/>
        </w:rPr>
      </w:pPr>
    </w:p>
    <w:p w14:paraId="590A3657" w14:textId="77777777" w:rsidR="00C10832" w:rsidRDefault="00C10832" w:rsidP="00A36F2F">
      <w:pPr>
        <w:rPr>
          <w:b/>
        </w:rPr>
      </w:pPr>
    </w:p>
    <w:p w14:paraId="073C6E0C" w14:textId="77777777" w:rsidR="00C10832" w:rsidRDefault="00C10832" w:rsidP="00A36F2F">
      <w:pPr>
        <w:rPr>
          <w:b/>
        </w:rPr>
      </w:pPr>
    </w:p>
    <w:p w14:paraId="18427353" w14:textId="77777777" w:rsidR="005F35DE" w:rsidRDefault="005F35DE" w:rsidP="00A36F2F">
      <w:pPr>
        <w:rPr>
          <w:b/>
        </w:rPr>
      </w:pPr>
    </w:p>
    <w:p w14:paraId="75749315" w14:textId="77777777" w:rsidR="00C10832" w:rsidRDefault="00C10832" w:rsidP="00A36F2F">
      <w:pPr>
        <w:rPr>
          <w:b/>
        </w:rPr>
      </w:pPr>
    </w:p>
    <w:p w14:paraId="4940B406" w14:textId="77777777" w:rsidR="00C10832" w:rsidRDefault="00C10832" w:rsidP="00A36F2F">
      <w:pPr>
        <w:rPr>
          <w:b/>
        </w:rPr>
      </w:pPr>
    </w:p>
    <w:p w14:paraId="2F6E7425" w14:textId="77777777" w:rsidR="00043F72" w:rsidRDefault="00043F72" w:rsidP="00A36F2F">
      <w:pPr>
        <w:rPr>
          <w:b/>
        </w:rPr>
      </w:pPr>
    </w:p>
    <w:p w14:paraId="473D7203" w14:textId="68D6C3EB" w:rsidR="00A36F2F" w:rsidRPr="00EF4A8A" w:rsidRDefault="000B0A57" w:rsidP="007A6076">
      <w:pPr>
        <w:pStyle w:val="ListParagraph"/>
        <w:numPr>
          <w:ilvl w:val="0"/>
          <w:numId w:val="26"/>
        </w:numPr>
        <w:ind w:hanging="720"/>
        <w:rPr>
          <w:b/>
        </w:rPr>
      </w:pPr>
      <w:r>
        <w:rPr>
          <w:b/>
        </w:rPr>
        <w:lastRenderedPageBreak/>
        <w:t>Leases</w:t>
      </w:r>
    </w:p>
    <w:p w14:paraId="3F2C65E4" w14:textId="77777777" w:rsidR="00E34F6F" w:rsidRDefault="00E34F6F" w:rsidP="00E34F6F">
      <w:pPr>
        <w:rPr>
          <w:b/>
        </w:rPr>
      </w:pPr>
    </w:p>
    <w:p w14:paraId="0298B05E" w14:textId="20AAB7FF" w:rsidR="00245C91" w:rsidRDefault="00245C91" w:rsidP="00245C91">
      <w:pPr>
        <w:rPr>
          <w:bCs/>
        </w:rPr>
      </w:pPr>
      <w:r>
        <w:rPr>
          <w:bCs/>
        </w:rPr>
        <w:t>Following the adoption of IFRS16 in the 2022-23 financial accounts, the Commission’s leases are now recognised on the balance sheet, with the exception of those leases which are exempt by having less than 12 months to run from 31 March 2022 or are considered low value (less than £1,000).</w:t>
      </w:r>
    </w:p>
    <w:p w14:paraId="50468A02" w14:textId="77777777" w:rsidR="00097903" w:rsidRDefault="00097903" w:rsidP="00E34F6F">
      <w:pPr>
        <w:rPr>
          <w:bCs/>
        </w:rPr>
      </w:pPr>
    </w:p>
    <w:p w14:paraId="2366792B" w14:textId="1F5665EA" w:rsidR="00097903" w:rsidRDefault="00097903" w:rsidP="00E34F6F">
      <w:pPr>
        <w:rPr>
          <w:bCs/>
        </w:rPr>
      </w:pPr>
      <w:r>
        <w:rPr>
          <w:bCs/>
        </w:rPr>
        <w:t>The finance lease is recognised as an asset and a corresponding lease liability at the net present value of future lease payments.  Lease payments are apportioned between the finance charge and the reduction of the outstanding liability.</w:t>
      </w:r>
    </w:p>
    <w:p w14:paraId="257C89C3" w14:textId="77777777" w:rsidR="00097903" w:rsidRDefault="00097903" w:rsidP="00E34F6F">
      <w:pPr>
        <w:rPr>
          <w:bCs/>
        </w:rPr>
      </w:pPr>
    </w:p>
    <w:p w14:paraId="39C61FB3" w14:textId="08CD4A27" w:rsidR="00097903" w:rsidRDefault="00097903" w:rsidP="00E34F6F">
      <w:pPr>
        <w:rPr>
          <w:bCs/>
        </w:rPr>
      </w:pPr>
      <w:r>
        <w:rPr>
          <w:bCs/>
        </w:rPr>
        <w:t>A discount rate of 1.27% has been applied in the calculation on lease liabilities</w:t>
      </w:r>
      <w:r w:rsidR="000C4FC1">
        <w:rPr>
          <w:bCs/>
        </w:rPr>
        <w:t xml:space="preserve"> for leasehold improvements and a discounts rate of 4.72% has been applied in the calculation on lease liabilities for photocopier leased in September 2024</w:t>
      </w:r>
      <w:r>
        <w:rPr>
          <w:bCs/>
        </w:rPr>
        <w:t>.  As at 31 March 202</w:t>
      </w:r>
      <w:r w:rsidR="000C4FC1">
        <w:rPr>
          <w:bCs/>
        </w:rPr>
        <w:t>5</w:t>
      </w:r>
      <w:r>
        <w:rPr>
          <w:bCs/>
        </w:rPr>
        <w:t xml:space="preserve"> the Commission was committed to making the following payments in respect of finance leases:</w:t>
      </w:r>
    </w:p>
    <w:p w14:paraId="15648F44" w14:textId="77777777" w:rsidR="001E2AA0" w:rsidRDefault="001E2AA0" w:rsidP="00E34F6F">
      <w:pPr>
        <w:rPr>
          <w:bCs/>
        </w:rPr>
      </w:pPr>
    </w:p>
    <w:p w14:paraId="1B4BA4E0" w14:textId="77777777" w:rsidR="00A36F2F" w:rsidRDefault="00A36F2F" w:rsidP="00A36F2F">
      <w:pPr>
        <w:rPr>
          <w:b/>
        </w:rPr>
      </w:pPr>
    </w:p>
    <w:tbl>
      <w:tblPr>
        <w:tblW w:w="8741" w:type="dxa"/>
        <w:tblLayout w:type="fixed"/>
        <w:tblLook w:val="01E0" w:firstRow="1" w:lastRow="1" w:firstColumn="1" w:lastColumn="1" w:noHBand="0" w:noVBand="0"/>
      </w:tblPr>
      <w:tblGrid>
        <w:gridCol w:w="2835"/>
        <w:gridCol w:w="1843"/>
        <w:gridCol w:w="1541"/>
        <w:gridCol w:w="18"/>
        <w:gridCol w:w="2268"/>
        <w:gridCol w:w="236"/>
      </w:tblGrid>
      <w:tr w:rsidR="00A36F2F" w:rsidRPr="00863EC6" w14:paraId="632426AA" w14:textId="77777777" w:rsidTr="54F71CB4">
        <w:trPr>
          <w:gridAfter w:val="1"/>
          <w:wAfter w:w="236" w:type="dxa"/>
        </w:trPr>
        <w:tc>
          <w:tcPr>
            <w:tcW w:w="2835" w:type="dxa"/>
          </w:tcPr>
          <w:p w14:paraId="4000D94D" w14:textId="4A8AB939" w:rsidR="00A36F2F" w:rsidRPr="00D35926" w:rsidRDefault="00A36F2F" w:rsidP="001958BD">
            <w:pPr>
              <w:rPr>
                <w:b/>
                <w:sz w:val="22"/>
                <w:szCs w:val="22"/>
              </w:rPr>
            </w:pPr>
            <w:r>
              <w:rPr>
                <w:b/>
                <w:sz w:val="22"/>
                <w:szCs w:val="22"/>
              </w:rPr>
              <w:t>202</w:t>
            </w:r>
            <w:r w:rsidR="000C4FC1">
              <w:rPr>
                <w:b/>
                <w:sz w:val="22"/>
                <w:szCs w:val="22"/>
              </w:rPr>
              <w:t>4</w:t>
            </w:r>
            <w:r>
              <w:rPr>
                <w:b/>
                <w:sz w:val="22"/>
                <w:szCs w:val="22"/>
              </w:rPr>
              <w:t>-2</w:t>
            </w:r>
            <w:r w:rsidR="000C4FC1">
              <w:rPr>
                <w:b/>
                <w:sz w:val="22"/>
                <w:szCs w:val="22"/>
              </w:rPr>
              <w:t>5</w:t>
            </w:r>
          </w:p>
        </w:tc>
        <w:tc>
          <w:tcPr>
            <w:tcW w:w="1843" w:type="dxa"/>
          </w:tcPr>
          <w:p w14:paraId="7B9D3416" w14:textId="77777777" w:rsidR="00A36F2F" w:rsidRPr="00F267CA" w:rsidRDefault="00A36F2F" w:rsidP="001958BD">
            <w:pPr>
              <w:ind w:right="-171"/>
              <w:jc w:val="center"/>
              <w:rPr>
                <w:rFonts w:cs="Arial"/>
                <w:b/>
                <w:sz w:val="16"/>
                <w:szCs w:val="16"/>
              </w:rPr>
            </w:pPr>
            <w:r w:rsidRPr="00F267CA">
              <w:rPr>
                <w:rFonts w:cs="Arial"/>
                <w:b/>
                <w:sz w:val="16"/>
                <w:szCs w:val="16"/>
              </w:rPr>
              <w:t>Leasehold Improvements</w:t>
            </w:r>
          </w:p>
        </w:tc>
        <w:tc>
          <w:tcPr>
            <w:tcW w:w="1559" w:type="dxa"/>
            <w:gridSpan w:val="2"/>
          </w:tcPr>
          <w:p w14:paraId="4713A926" w14:textId="77777777" w:rsidR="00A36F2F" w:rsidRPr="00F267CA" w:rsidRDefault="00A36F2F" w:rsidP="001958BD">
            <w:pPr>
              <w:jc w:val="center"/>
              <w:rPr>
                <w:b/>
                <w:sz w:val="16"/>
                <w:szCs w:val="16"/>
              </w:rPr>
            </w:pPr>
            <w:r w:rsidRPr="00F267CA">
              <w:rPr>
                <w:b/>
                <w:sz w:val="16"/>
                <w:szCs w:val="16"/>
              </w:rPr>
              <w:t>Furniture &amp; fittings</w:t>
            </w:r>
          </w:p>
        </w:tc>
        <w:tc>
          <w:tcPr>
            <w:tcW w:w="2268" w:type="dxa"/>
          </w:tcPr>
          <w:p w14:paraId="584CFAC2" w14:textId="77777777" w:rsidR="00A36F2F" w:rsidRPr="00F267CA" w:rsidRDefault="00A36F2F" w:rsidP="001958BD">
            <w:pPr>
              <w:jc w:val="center"/>
              <w:rPr>
                <w:b/>
                <w:sz w:val="16"/>
                <w:szCs w:val="16"/>
              </w:rPr>
            </w:pPr>
            <w:r w:rsidRPr="00F267CA">
              <w:rPr>
                <w:b/>
                <w:sz w:val="16"/>
                <w:szCs w:val="16"/>
              </w:rPr>
              <w:t>Total</w:t>
            </w:r>
          </w:p>
          <w:p w14:paraId="1C3CCA28" w14:textId="77777777" w:rsidR="00A36F2F" w:rsidRPr="00F267CA" w:rsidRDefault="00A36F2F" w:rsidP="001958BD">
            <w:pPr>
              <w:jc w:val="center"/>
              <w:rPr>
                <w:b/>
                <w:sz w:val="16"/>
                <w:szCs w:val="16"/>
              </w:rPr>
            </w:pPr>
          </w:p>
        </w:tc>
      </w:tr>
      <w:tr w:rsidR="00A36F2F" w:rsidRPr="00863EC6" w14:paraId="656C234E" w14:textId="77777777" w:rsidTr="54F71CB4">
        <w:trPr>
          <w:gridAfter w:val="1"/>
          <w:wAfter w:w="236" w:type="dxa"/>
        </w:trPr>
        <w:tc>
          <w:tcPr>
            <w:tcW w:w="2835" w:type="dxa"/>
          </w:tcPr>
          <w:p w14:paraId="4326A2F2" w14:textId="7908B7C9" w:rsidR="0040613A" w:rsidRDefault="0040613A" w:rsidP="001958BD">
            <w:pPr>
              <w:rPr>
                <w:b/>
                <w:sz w:val="20"/>
                <w:szCs w:val="20"/>
              </w:rPr>
            </w:pPr>
            <w:r>
              <w:rPr>
                <w:b/>
                <w:sz w:val="20"/>
                <w:szCs w:val="20"/>
              </w:rPr>
              <w:t>Right of use asse</w:t>
            </w:r>
            <w:r w:rsidR="005C7A16">
              <w:rPr>
                <w:b/>
                <w:sz w:val="20"/>
                <w:szCs w:val="20"/>
              </w:rPr>
              <w:t>ts</w:t>
            </w:r>
          </w:p>
          <w:p w14:paraId="7CEC2231" w14:textId="141D4D2E" w:rsidR="00A36F2F" w:rsidRPr="00863EC6" w:rsidRDefault="00A36F2F" w:rsidP="001958BD">
            <w:pPr>
              <w:rPr>
                <w:b/>
                <w:sz w:val="20"/>
                <w:szCs w:val="20"/>
              </w:rPr>
            </w:pPr>
            <w:r w:rsidRPr="00863EC6">
              <w:rPr>
                <w:b/>
                <w:sz w:val="20"/>
                <w:szCs w:val="20"/>
              </w:rPr>
              <w:t xml:space="preserve">Cost or valuation </w:t>
            </w:r>
          </w:p>
        </w:tc>
        <w:tc>
          <w:tcPr>
            <w:tcW w:w="1843" w:type="dxa"/>
          </w:tcPr>
          <w:p w14:paraId="09E8BB39" w14:textId="77777777" w:rsidR="00A36F2F" w:rsidRPr="00863EC6" w:rsidRDefault="00A36F2F" w:rsidP="001958BD">
            <w:pPr>
              <w:jc w:val="center"/>
              <w:rPr>
                <w:b/>
                <w:sz w:val="20"/>
                <w:szCs w:val="20"/>
              </w:rPr>
            </w:pPr>
            <w:r w:rsidRPr="00863EC6">
              <w:rPr>
                <w:b/>
                <w:sz w:val="20"/>
                <w:szCs w:val="20"/>
              </w:rPr>
              <w:t>£</w:t>
            </w:r>
          </w:p>
        </w:tc>
        <w:tc>
          <w:tcPr>
            <w:tcW w:w="1559" w:type="dxa"/>
            <w:gridSpan w:val="2"/>
          </w:tcPr>
          <w:p w14:paraId="388CACF4" w14:textId="77777777" w:rsidR="00A36F2F" w:rsidRPr="00863EC6" w:rsidRDefault="00A36F2F" w:rsidP="001958BD">
            <w:pPr>
              <w:jc w:val="center"/>
              <w:rPr>
                <w:b/>
                <w:sz w:val="20"/>
                <w:szCs w:val="20"/>
              </w:rPr>
            </w:pPr>
            <w:r w:rsidRPr="00863EC6">
              <w:rPr>
                <w:b/>
                <w:sz w:val="20"/>
                <w:szCs w:val="20"/>
              </w:rPr>
              <w:t>£</w:t>
            </w:r>
          </w:p>
        </w:tc>
        <w:tc>
          <w:tcPr>
            <w:tcW w:w="2268" w:type="dxa"/>
          </w:tcPr>
          <w:p w14:paraId="07D3DA58" w14:textId="77777777" w:rsidR="00A36F2F" w:rsidRPr="00863EC6" w:rsidRDefault="00A36F2F" w:rsidP="001958BD">
            <w:pPr>
              <w:jc w:val="center"/>
              <w:rPr>
                <w:b/>
                <w:sz w:val="20"/>
                <w:szCs w:val="20"/>
              </w:rPr>
            </w:pPr>
            <w:r w:rsidRPr="00863EC6">
              <w:rPr>
                <w:b/>
                <w:sz w:val="20"/>
                <w:szCs w:val="20"/>
              </w:rPr>
              <w:t>£</w:t>
            </w:r>
          </w:p>
        </w:tc>
      </w:tr>
      <w:tr w:rsidR="00A36F2F" w:rsidRPr="00863EC6" w14:paraId="723F1B34" w14:textId="77777777" w:rsidTr="54F71CB4">
        <w:trPr>
          <w:gridAfter w:val="1"/>
          <w:wAfter w:w="236" w:type="dxa"/>
        </w:trPr>
        <w:tc>
          <w:tcPr>
            <w:tcW w:w="2835" w:type="dxa"/>
          </w:tcPr>
          <w:p w14:paraId="0093502A" w14:textId="18A3D17F" w:rsidR="00A36F2F" w:rsidRPr="00863EC6" w:rsidRDefault="00A36F2F" w:rsidP="001958BD">
            <w:pPr>
              <w:rPr>
                <w:sz w:val="20"/>
                <w:szCs w:val="20"/>
              </w:rPr>
            </w:pPr>
            <w:r w:rsidRPr="00863EC6">
              <w:rPr>
                <w:sz w:val="20"/>
                <w:szCs w:val="20"/>
              </w:rPr>
              <w:t>At 1 April 20</w:t>
            </w:r>
            <w:r>
              <w:rPr>
                <w:sz w:val="20"/>
                <w:szCs w:val="20"/>
              </w:rPr>
              <w:t>2</w:t>
            </w:r>
            <w:r w:rsidR="000C4FC1">
              <w:rPr>
                <w:sz w:val="20"/>
                <w:szCs w:val="20"/>
              </w:rPr>
              <w:t>4</w:t>
            </w:r>
          </w:p>
        </w:tc>
        <w:tc>
          <w:tcPr>
            <w:tcW w:w="1843" w:type="dxa"/>
          </w:tcPr>
          <w:p w14:paraId="2E771328" w14:textId="70BBA103" w:rsidR="00A36F2F" w:rsidRPr="00863EC6" w:rsidRDefault="005F35DE" w:rsidP="001958BD">
            <w:pPr>
              <w:jc w:val="center"/>
              <w:rPr>
                <w:sz w:val="20"/>
                <w:szCs w:val="20"/>
              </w:rPr>
            </w:pPr>
            <w:r>
              <w:rPr>
                <w:sz w:val="20"/>
                <w:szCs w:val="20"/>
              </w:rPr>
              <w:t>593,068</w:t>
            </w:r>
          </w:p>
        </w:tc>
        <w:tc>
          <w:tcPr>
            <w:tcW w:w="1559" w:type="dxa"/>
            <w:gridSpan w:val="2"/>
          </w:tcPr>
          <w:p w14:paraId="4BAE5D89" w14:textId="78E8F27B" w:rsidR="00A36F2F" w:rsidRPr="00863EC6" w:rsidRDefault="005F35DE" w:rsidP="001958BD">
            <w:pPr>
              <w:jc w:val="center"/>
              <w:rPr>
                <w:sz w:val="20"/>
                <w:szCs w:val="20"/>
              </w:rPr>
            </w:pPr>
            <w:r>
              <w:rPr>
                <w:sz w:val="20"/>
                <w:szCs w:val="20"/>
              </w:rPr>
              <w:t>2,815</w:t>
            </w:r>
          </w:p>
        </w:tc>
        <w:tc>
          <w:tcPr>
            <w:tcW w:w="2268" w:type="dxa"/>
          </w:tcPr>
          <w:p w14:paraId="7B471D61" w14:textId="292165A5" w:rsidR="00A36F2F" w:rsidRPr="00863EC6" w:rsidRDefault="005F35DE" w:rsidP="001958BD">
            <w:pPr>
              <w:jc w:val="center"/>
              <w:rPr>
                <w:sz w:val="20"/>
                <w:szCs w:val="20"/>
              </w:rPr>
            </w:pPr>
            <w:r>
              <w:rPr>
                <w:sz w:val="20"/>
                <w:szCs w:val="20"/>
              </w:rPr>
              <w:t>595,883</w:t>
            </w:r>
          </w:p>
        </w:tc>
      </w:tr>
      <w:tr w:rsidR="000C4FC1" w:rsidRPr="00863EC6" w14:paraId="1396E14D" w14:textId="77777777" w:rsidTr="54F71CB4">
        <w:trPr>
          <w:gridAfter w:val="1"/>
          <w:wAfter w:w="236" w:type="dxa"/>
        </w:trPr>
        <w:tc>
          <w:tcPr>
            <w:tcW w:w="2835" w:type="dxa"/>
          </w:tcPr>
          <w:p w14:paraId="4EA3A2BA" w14:textId="6602DCBA" w:rsidR="000C4FC1" w:rsidRPr="00863EC6" w:rsidRDefault="000C4FC1" w:rsidP="001958BD">
            <w:pPr>
              <w:rPr>
                <w:sz w:val="20"/>
                <w:szCs w:val="20"/>
              </w:rPr>
            </w:pPr>
            <w:r>
              <w:rPr>
                <w:sz w:val="20"/>
                <w:szCs w:val="20"/>
              </w:rPr>
              <w:t xml:space="preserve">Additions </w:t>
            </w:r>
          </w:p>
        </w:tc>
        <w:tc>
          <w:tcPr>
            <w:tcW w:w="1843" w:type="dxa"/>
          </w:tcPr>
          <w:p w14:paraId="76A6A9E3" w14:textId="357A0645" w:rsidR="000C4FC1" w:rsidRDefault="000C4FC1" w:rsidP="000C4FC1">
            <w:pPr>
              <w:jc w:val="center"/>
              <w:rPr>
                <w:sz w:val="20"/>
                <w:szCs w:val="20"/>
              </w:rPr>
            </w:pPr>
            <w:r>
              <w:rPr>
                <w:sz w:val="20"/>
                <w:szCs w:val="20"/>
              </w:rPr>
              <w:t>0</w:t>
            </w:r>
          </w:p>
        </w:tc>
        <w:tc>
          <w:tcPr>
            <w:tcW w:w="1559" w:type="dxa"/>
            <w:gridSpan w:val="2"/>
          </w:tcPr>
          <w:p w14:paraId="72D04E04" w14:textId="55228A9F" w:rsidR="000C4FC1" w:rsidRDefault="00ED6202" w:rsidP="001958BD">
            <w:pPr>
              <w:jc w:val="center"/>
              <w:rPr>
                <w:sz w:val="20"/>
                <w:szCs w:val="20"/>
              </w:rPr>
            </w:pPr>
            <w:r>
              <w:rPr>
                <w:sz w:val="20"/>
                <w:szCs w:val="20"/>
              </w:rPr>
              <w:t>4,152</w:t>
            </w:r>
          </w:p>
        </w:tc>
        <w:tc>
          <w:tcPr>
            <w:tcW w:w="2268" w:type="dxa"/>
          </w:tcPr>
          <w:p w14:paraId="3C4DE6AA" w14:textId="04A383C6" w:rsidR="000C4FC1" w:rsidRDefault="00ED6202" w:rsidP="001958BD">
            <w:pPr>
              <w:jc w:val="center"/>
              <w:rPr>
                <w:sz w:val="20"/>
                <w:szCs w:val="20"/>
              </w:rPr>
            </w:pPr>
            <w:r>
              <w:rPr>
                <w:sz w:val="20"/>
                <w:szCs w:val="20"/>
              </w:rPr>
              <w:t>4,152</w:t>
            </w:r>
          </w:p>
        </w:tc>
      </w:tr>
      <w:tr w:rsidR="000C4FC1" w:rsidRPr="00863EC6" w14:paraId="36B999D9" w14:textId="77777777" w:rsidTr="54F71CB4">
        <w:trPr>
          <w:gridAfter w:val="1"/>
          <w:wAfter w:w="236" w:type="dxa"/>
        </w:trPr>
        <w:tc>
          <w:tcPr>
            <w:tcW w:w="2835" w:type="dxa"/>
          </w:tcPr>
          <w:p w14:paraId="3EE65A6D" w14:textId="2F6080DA" w:rsidR="000C4FC1" w:rsidRPr="00863EC6" w:rsidRDefault="000C4FC1" w:rsidP="001958BD">
            <w:pPr>
              <w:rPr>
                <w:sz w:val="20"/>
                <w:szCs w:val="20"/>
              </w:rPr>
            </w:pPr>
            <w:r>
              <w:rPr>
                <w:sz w:val="20"/>
                <w:szCs w:val="20"/>
              </w:rPr>
              <w:t>Disposals</w:t>
            </w:r>
          </w:p>
        </w:tc>
        <w:tc>
          <w:tcPr>
            <w:tcW w:w="1843" w:type="dxa"/>
          </w:tcPr>
          <w:p w14:paraId="2627D839" w14:textId="254F4DC0" w:rsidR="000C4FC1" w:rsidRDefault="000C4FC1" w:rsidP="001958BD">
            <w:pPr>
              <w:jc w:val="center"/>
              <w:rPr>
                <w:sz w:val="20"/>
                <w:szCs w:val="20"/>
              </w:rPr>
            </w:pPr>
            <w:r>
              <w:rPr>
                <w:sz w:val="20"/>
                <w:szCs w:val="20"/>
              </w:rPr>
              <w:t>0</w:t>
            </w:r>
          </w:p>
        </w:tc>
        <w:tc>
          <w:tcPr>
            <w:tcW w:w="1559" w:type="dxa"/>
            <w:gridSpan w:val="2"/>
          </w:tcPr>
          <w:p w14:paraId="619EC744" w14:textId="4BCBA190" w:rsidR="000C4FC1" w:rsidRDefault="00ED6202" w:rsidP="001958BD">
            <w:pPr>
              <w:jc w:val="center"/>
              <w:rPr>
                <w:sz w:val="20"/>
                <w:szCs w:val="20"/>
              </w:rPr>
            </w:pPr>
            <w:r>
              <w:rPr>
                <w:sz w:val="20"/>
                <w:szCs w:val="20"/>
              </w:rPr>
              <w:t>(2,815)</w:t>
            </w:r>
          </w:p>
        </w:tc>
        <w:tc>
          <w:tcPr>
            <w:tcW w:w="2268" w:type="dxa"/>
          </w:tcPr>
          <w:p w14:paraId="234F5D43" w14:textId="4DDC2E56" w:rsidR="000C4FC1" w:rsidRDefault="00ED6202" w:rsidP="001958BD">
            <w:pPr>
              <w:jc w:val="center"/>
              <w:rPr>
                <w:sz w:val="20"/>
                <w:szCs w:val="20"/>
              </w:rPr>
            </w:pPr>
            <w:r>
              <w:rPr>
                <w:sz w:val="20"/>
                <w:szCs w:val="20"/>
              </w:rPr>
              <w:t>(2,815)</w:t>
            </w:r>
          </w:p>
        </w:tc>
      </w:tr>
      <w:tr w:rsidR="00A36F2F" w:rsidRPr="00863EC6" w14:paraId="5D3FE552" w14:textId="77777777" w:rsidTr="54F71CB4">
        <w:trPr>
          <w:gridAfter w:val="1"/>
          <w:wAfter w:w="236" w:type="dxa"/>
        </w:trPr>
        <w:tc>
          <w:tcPr>
            <w:tcW w:w="2835" w:type="dxa"/>
          </w:tcPr>
          <w:p w14:paraId="717ED216" w14:textId="6830747A" w:rsidR="00A36F2F" w:rsidRPr="00863EC6" w:rsidRDefault="00A36F2F" w:rsidP="001958BD">
            <w:pPr>
              <w:rPr>
                <w:sz w:val="20"/>
                <w:szCs w:val="20"/>
              </w:rPr>
            </w:pPr>
            <w:r w:rsidRPr="00863EC6">
              <w:rPr>
                <w:sz w:val="20"/>
                <w:szCs w:val="20"/>
              </w:rPr>
              <w:t xml:space="preserve">At </w:t>
            </w:r>
            <w:r>
              <w:rPr>
                <w:sz w:val="20"/>
                <w:szCs w:val="20"/>
              </w:rPr>
              <w:t>31 March 202</w:t>
            </w:r>
            <w:r w:rsidR="000C4FC1">
              <w:rPr>
                <w:sz w:val="20"/>
                <w:szCs w:val="20"/>
              </w:rPr>
              <w:t>5</w:t>
            </w:r>
          </w:p>
        </w:tc>
        <w:tc>
          <w:tcPr>
            <w:tcW w:w="1843" w:type="dxa"/>
            <w:tcBorders>
              <w:top w:val="single" w:sz="4" w:space="0" w:color="auto"/>
              <w:bottom w:val="single" w:sz="4" w:space="0" w:color="auto"/>
            </w:tcBorders>
          </w:tcPr>
          <w:p w14:paraId="294E8B8E" w14:textId="64CB380E" w:rsidR="00A36F2F" w:rsidRPr="00863EC6" w:rsidRDefault="008D01FB" w:rsidP="001958BD">
            <w:pPr>
              <w:jc w:val="center"/>
              <w:rPr>
                <w:sz w:val="20"/>
                <w:szCs w:val="20"/>
              </w:rPr>
            </w:pPr>
            <w:r>
              <w:rPr>
                <w:sz w:val="20"/>
                <w:szCs w:val="20"/>
              </w:rPr>
              <w:t>593,068</w:t>
            </w:r>
          </w:p>
        </w:tc>
        <w:tc>
          <w:tcPr>
            <w:tcW w:w="1559" w:type="dxa"/>
            <w:gridSpan w:val="2"/>
            <w:tcBorders>
              <w:top w:val="single" w:sz="4" w:space="0" w:color="auto"/>
              <w:bottom w:val="single" w:sz="4" w:space="0" w:color="auto"/>
            </w:tcBorders>
          </w:tcPr>
          <w:p w14:paraId="27AD8788" w14:textId="5B7482E8" w:rsidR="00A36F2F" w:rsidRPr="00863EC6" w:rsidRDefault="00ED6202" w:rsidP="001958BD">
            <w:pPr>
              <w:jc w:val="center"/>
              <w:rPr>
                <w:sz w:val="20"/>
                <w:szCs w:val="20"/>
              </w:rPr>
            </w:pPr>
            <w:r>
              <w:rPr>
                <w:sz w:val="20"/>
                <w:szCs w:val="20"/>
              </w:rPr>
              <w:t>4,152</w:t>
            </w:r>
          </w:p>
        </w:tc>
        <w:tc>
          <w:tcPr>
            <w:tcW w:w="2268" w:type="dxa"/>
            <w:tcBorders>
              <w:top w:val="single" w:sz="4" w:space="0" w:color="auto"/>
              <w:bottom w:val="single" w:sz="4" w:space="0" w:color="auto"/>
            </w:tcBorders>
          </w:tcPr>
          <w:p w14:paraId="473527AD" w14:textId="73535882" w:rsidR="00A36F2F" w:rsidRPr="00863EC6" w:rsidRDefault="008D01FB" w:rsidP="001958BD">
            <w:pPr>
              <w:jc w:val="center"/>
              <w:rPr>
                <w:sz w:val="20"/>
                <w:szCs w:val="20"/>
              </w:rPr>
            </w:pPr>
            <w:r>
              <w:rPr>
                <w:sz w:val="20"/>
                <w:szCs w:val="20"/>
              </w:rPr>
              <w:t>59</w:t>
            </w:r>
            <w:r w:rsidR="00ED6202">
              <w:rPr>
                <w:sz w:val="20"/>
                <w:szCs w:val="20"/>
              </w:rPr>
              <w:t>7</w:t>
            </w:r>
            <w:r>
              <w:rPr>
                <w:sz w:val="20"/>
                <w:szCs w:val="20"/>
              </w:rPr>
              <w:t>,</w:t>
            </w:r>
            <w:r w:rsidR="00ED6202">
              <w:rPr>
                <w:sz w:val="20"/>
                <w:szCs w:val="20"/>
              </w:rPr>
              <w:t>220</w:t>
            </w:r>
          </w:p>
        </w:tc>
      </w:tr>
      <w:tr w:rsidR="00A36F2F" w:rsidRPr="00863EC6" w14:paraId="543C96C6" w14:textId="77777777" w:rsidTr="54F71CB4">
        <w:tc>
          <w:tcPr>
            <w:tcW w:w="2835" w:type="dxa"/>
          </w:tcPr>
          <w:p w14:paraId="774D73F2" w14:textId="77777777" w:rsidR="00A36F2F" w:rsidRDefault="00A36F2F" w:rsidP="001958BD">
            <w:pPr>
              <w:rPr>
                <w:b/>
                <w:sz w:val="20"/>
                <w:szCs w:val="20"/>
              </w:rPr>
            </w:pPr>
          </w:p>
          <w:p w14:paraId="71660019" w14:textId="77777777" w:rsidR="00A36F2F" w:rsidRPr="00863EC6" w:rsidRDefault="00A36F2F" w:rsidP="001958BD">
            <w:pPr>
              <w:rPr>
                <w:b/>
                <w:sz w:val="20"/>
                <w:szCs w:val="20"/>
              </w:rPr>
            </w:pPr>
            <w:r w:rsidRPr="00863EC6">
              <w:rPr>
                <w:b/>
                <w:sz w:val="20"/>
                <w:szCs w:val="20"/>
              </w:rPr>
              <w:t>Depreciation</w:t>
            </w:r>
          </w:p>
        </w:tc>
        <w:tc>
          <w:tcPr>
            <w:tcW w:w="1843" w:type="dxa"/>
          </w:tcPr>
          <w:p w14:paraId="711EC294" w14:textId="77777777" w:rsidR="00A36F2F" w:rsidRPr="00863EC6" w:rsidRDefault="00A36F2F" w:rsidP="001958BD">
            <w:pPr>
              <w:jc w:val="center"/>
              <w:rPr>
                <w:sz w:val="20"/>
                <w:szCs w:val="20"/>
              </w:rPr>
            </w:pPr>
          </w:p>
        </w:tc>
        <w:tc>
          <w:tcPr>
            <w:tcW w:w="1541" w:type="dxa"/>
          </w:tcPr>
          <w:p w14:paraId="441B9F93" w14:textId="77777777" w:rsidR="00A36F2F" w:rsidRPr="00863EC6" w:rsidRDefault="00A36F2F" w:rsidP="001958BD">
            <w:pPr>
              <w:jc w:val="center"/>
              <w:rPr>
                <w:sz w:val="20"/>
                <w:szCs w:val="20"/>
              </w:rPr>
            </w:pPr>
          </w:p>
        </w:tc>
        <w:tc>
          <w:tcPr>
            <w:tcW w:w="2286" w:type="dxa"/>
            <w:gridSpan w:val="2"/>
          </w:tcPr>
          <w:p w14:paraId="72C5B552" w14:textId="77777777" w:rsidR="00A36F2F" w:rsidRPr="00863EC6" w:rsidRDefault="00A36F2F" w:rsidP="001958BD">
            <w:pPr>
              <w:jc w:val="center"/>
              <w:rPr>
                <w:sz w:val="20"/>
                <w:szCs w:val="20"/>
              </w:rPr>
            </w:pPr>
          </w:p>
        </w:tc>
        <w:tc>
          <w:tcPr>
            <w:tcW w:w="236" w:type="dxa"/>
          </w:tcPr>
          <w:p w14:paraId="25CA12B6" w14:textId="77777777" w:rsidR="00A36F2F" w:rsidRPr="00863EC6" w:rsidRDefault="00A36F2F" w:rsidP="001958BD">
            <w:pPr>
              <w:jc w:val="center"/>
              <w:rPr>
                <w:sz w:val="20"/>
                <w:szCs w:val="20"/>
              </w:rPr>
            </w:pPr>
          </w:p>
        </w:tc>
      </w:tr>
      <w:tr w:rsidR="00A36F2F" w:rsidRPr="00863EC6" w14:paraId="235F89A2" w14:textId="77777777" w:rsidTr="54F71CB4">
        <w:trPr>
          <w:gridAfter w:val="1"/>
          <w:wAfter w:w="236" w:type="dxa"/>
        </w:trPr>
        <w:tc>
          <w:tcPr>
            <w:tcW w:w="2835" w:type="dxa"/>
          </w:tcPr>
          <w:p w14:paraId="33710EC9" w14:textId="358D5403" w:rsidR="00A36F2F" w:rsidRPr="00863EC6" w:rsidRDefault="00A36F2F" w:rsidP="001958BD">
            <w:pPr>
              <w:rPr>
                <w:sz w:val="20"/>
                <w:szCs w:val="20"/>
              </w:rPr>
            </w:pPr>
            <w:r w:rsidRPr="00863EC6">
              <w:rPr>
                <w:sz w:val="20"/>
                <w:szCs w:val="20"/>
              </w:rPr>
              <w:t>At 1 April 20</w:t>
            </w:r>
            <w:r>
              <w:rPr>
                <w:sz w:val="20"/>
                <w:szCs w:val="20"/>
              </w:rPr>
              <w:t>2</w:t>
            </w:r>
            <w:r w:rsidR="000C4FC1">
              <w:rPr>
                <w:sz w:val="20"/>
                <w:szCs w:val="20"/>
              </w:rPr>
              <w:t>4</w:t>
            </w:r>
          </w:p>
        </w:tc>
        <w:tc>
          <w:tcPr>
            <w:tcW w:w="1843" w:type="dxa"/>
          </w:tcPr>
          <w:p w14:paraId="1350FB3B" w14:textId="6F2CB03E" w:rsidR="00A36F2F" w:rsidRPr="00863EC6" w:rsidRDefault="00ED6202" w:rsidP="001958BD">
            <w:pPr>
              <w:jc w:val="center"/>
              <w:rPr>
                <w:sz w:val="20"/>
                <w:szCs w:val="20"/>
              </w:rPr>
            </w:pPr>
            <w:r>
              <w:rPr>
                <w:sz w:val="20"/>
                <w:szCs w:val="20"/>
              </w:rPr>
              <w:t>148</w:t>
            </w:r>
            <w:r w:rsidR="005F35DE">
              <w:rPr>
                <w:sz w:val="20"/>
                <w:szCs w:val="20"/>
              </w:rPr>
              <w:t>,</w:t>
            </w:r>
            <w:r>
              <w:rPr>
                <w:sz w:val="20"/>
                <w:szCs w:val="20"/>
              </w:rPr>
              <w:t>930</w:t>
            </w:r>
          </w:p>
        </w:tc>
        <w:tc>
          <w:tcPr>
            <w:tcW w:w="1559" w:type="dxa"/>
            <w:gridSpan w:val="2"/>
          </w:tcPr>
          <w:p w14:paraId="5E854441" w14:textId="27F5C4D1" w:rsidR="00A36F2F" w:rsidRPr="00863EC6" w:rsidRDefault="00ED6202" w:rsidP="001958BD">
            <w:pPr>
              <w:jc w:val="center"/>
              <w:rPr>
                <w:sz w:val="20"/>
                <w:szCs w:val="20"/>
              </w:rPr>
            </w:pPr>
            <w:r>
              <w:rPr>
                <w:sz w:val="20"/>
                <w:szCs w:val="20"/>
              </w:rPr>
              <w:t>1,932</w:t>
            </w:r>
          </w:p>
        </w:tc>
        <w:tc>
          <w:tcPr>
            <w:tcW w:w="2268" w:type="dxa"/>
          </w:tcPr>
          <w:p w14:paraId="399850C6" w14:textId="1E81B545" w:rsidR="00A36F2F" w:rsidRPr="00863EC6" w:rsidRDefault="00ED6202" w:rsidP="001958BD">
            <w:pPr>
              <w:jc w:val="center"/>
              <w:rPr>
                <w:sz w:val="20"/>
                <w:szCs w:val="20"/>
              </w:rPr>
            </w:pPr>
            <w:r>
              <w:rPr>
                <w:sz w:val="20"/>
                <w:szCs w:val="20"/>
              </w:rPr>
              <w:t>150</w:t>
            </w:r>
            <w:r w:rsidR="005F35DE">
              <w:rPr>
                <w:sz w:val="20"/>
                <w:szCs w:val="20"/>
              </w:rPr>
              <w:t>,</w:t>
            </w:r>
            <w:r>
              <w:rPr>
                <w:sz w:val="20"/>
                <w:szCs w:val="20"/>
              </w:rPr>
              <w:t>862</w:t>
            </w:r>
          </w:p>
        </w:tc>
      </w:tr>
      <w:tr w:rsidR="00A36F2F" w:rsidRPr="00863EC6" w14:paraId="0E9CF33F" w14:textId="77777777" w:rsidTr="54F71CB4">
        <w:trPr>
          <w:gridAfter w:val="1"/>
          <w:wAfter w:w="236" w:type="dxa"/>
        </w:trPr>
        <w:tc>
          <w:tcPr>
            <w:tcW w:w="2835" w:type="dxa"/>
          </w:tcPr>
          <w:p w14:paraId="232FCD31" w14:textId="77777777" w:rsidR="00A36F2F" w:rsidRPr="00863EC6" w:rsidRDefault="00A36F2F" w:rsidP="001958BD">
            <w:pPr>
              <w:rPr>
                <w:sz w:val="20"/>
                <w:szCs w:val="20"/>
              </w:rPr>
            </w:pPr>
            <w:r w:rsidRPr="00863EC6">
              <w:rPr>
                <w:sz w:val="20"/>
                <w:szCs w:val="20"/>
              </w:rPr>
              <w:t>Charged in year</w:t>
            </w:r>
          </w:p>
        </w:tc>
        <w:tc>
          <w:tcPr>
            <w:tcW w:w="1843" w:type="dxa"/>
          </w:tcPr>
          <w:p w14:paraId="7BDF9342" w14:textId="62EA8DF8" w:rsidR="00A36F2F" w:rsidRPr="00863EC6" w:rsidRDefault="008D01FB" w:rsidP="001958BD">
            <w:pPr>
              <w:jc w:val="center"/>
              <w:rPr>
                <w:sz w:val="20"/>
                <w:szCs w:val="20"/>
              </w:rPr>
            </w:pPr>
            <w:r>
              <w:rPr>
                <w:sz w:val="20"/>
                <w:szCs w:val="20"/>
              </w:rPr>
              <w:t>74,465</w:t>
            </w:r>
          </w:p>
        </w:tc>
        <w:tc>
          <w:tcPr>
            <w:tcW w:w="1559" w:type="dxa"/>
            <w:gridSpan w:val="2"/>
          </w:tcPr>
          <w:p w14:paraId="57F78DE7" w14:textId="538B8FAB" w:rsidR="00A36F2F" w:rsidRPr="00863EC6" w:rsidRDefault="008D01FB" w:rsidP="001958BD">
            <w:pPr>
              <w:jc w:val="center"/>
              <w:rPr>
                <w:sz w:val="20"/>
                <w:szCs w:val="20"/>
              </w:rPr>
            </w:pPr>
            <w:r>
              <w:rPr>
                <w:sz w:val="20"/>
                <w:szCs w:val="20"/>
              </w:rPr>
              <w:t>9</w:t>
            </w:r>
            <w:r w:rsidR="00ED6202">
              <w:rPr>
                <w:sz w:val="20"/>
                <w:szCs w:val="20"/>
              </w:rPr>
              <w:t>32</w:t>
            </w:r>
          </w:p>
        </w:tc>
        <w:tc>
          <w:tcPr>
            <w:tcW w:w="2268" w:type="dxa"/>
          </w:tcPr>
          <w:p w14:paraId="4F0BB148" w14:textId="69F25765" w:rsidR="00A36F2F" w:rsidRPr="00863EC6" w:rsidRDefault="008D01FB" w:rsidP="001958BD">
            <w:pPr>
              <w:jc w:val="center"/>
              <w:rPr>
                <w:sz w:val="20"/>
                <w:szCs w:val="20"/>
              </w:rPr>
            </w:pPr>
            <w:r>
              <w:rPr>
                <w:sz w:val="20"/>
                <w:szCs w:val="20"/>
              </w:rPr>
              <w:t>75,431</w:t>
            </w:r>
          </w:p>
        </w:tc>
      </w:tr>
      <w:tr w:rsidR="00ED6202" w:rsidRPr="00863EC6" w14:paraId="12B7424D" w14:textId="77777777" w:rsidTr="54F71CB4">
        <w:trPr>
          <w:gridAfter w:val="1"/>
          <w:wAfter w:w="236" w:type="dxa"/>
        </w:trPr>
        <w:tc>
          <w:tcPr>
            <w:tcW w:w="2835" w:type="dxa"/>
          </w:tcPr>
          <w:p w14:paraId="725C70C1" w14:textId="05F3BC18" w:rsidR="00ED6202" w:rsidRPr="00863EC6" w:rsidRDefault="00ED6202" w:rsidP="001958BD">
            <w:pPr>
              <w:rPr>
                <w:sz w:val="20"/>
                <w:szCs w:val="20"/>
              </w:rPr>
            </w:pPr>
            <w:r>
              <w:rPr>
                <w:sz w:val="20"/>
                <w:szCs w:val="20"/>
              </w:rPr>
              <w:t>Disposals</w:t>
            </w:r>
          </w:p>
        </w:tc>
        <w:tc>
          <w:tcPr>
            <w:tcW w:w="1843" w:type="dxa"/>
          </w:tcPr>
          <w:p w14:paraId="5F5E8756" w14:textId="7518C0BB" w:rsidR="00ED6202" w:rsidRDefault="00ED6202" w:rsidP="001958BD">
            <w:pPr>
              <w:jc w:val="center"/>
              <w:rPr>
                <w:sz w:val="20"/>
                <w:szCs w:val="20"/>
              </w:rPr>
            </w:pPr>
            <w:r>
              <w:rPr>
                <w:sz w:val="20"/>
                <w:szCs w:val="20"/>
              </w:rPr>
              <w:t>0</w:t>
            </w:r>
          </w:p>
        </w:tc>
        <w:tc>
          <w:tcPr>
            <w:tcW w:w="1559" w:type="dxa"/>
            <w:gridSpan w:val="2"/>
          </w:tcPr>
          <w:p w14:paraId="487AC562" w14:textId="05B51A84" w:rsidR="00ED6202" w:rsidRDefault="00ED6202" w:rsidP="001958BD">
            <w:pPr>
              <w:jc w:val="center"/>
              <w:rPr>
                <w:sz w:val="20"/>
                <w:szCs w:val="20"/>
              </w:rPr>
            </w:pPr>
            <w:r>
              <w:rPr>
                <w:sz w:val="20"/>
                <w:szCs w:val="20"/>
              </w:rPr>
              <w:t>(2,419)</w:t>
            </w:r>
          </w:p>
        </w:tc>
        <w:tc>
          <w:tcPr>
            <w:tcW w:w="2268" w:type="dxa"/>
          </w:tcPr>
          <w:p w14:paraId="28F323F5" w14:textId="73E43072" w:rsidR="00ED6202" w:rsidRDefault="00ED6202" w:rsidP="001958BD">
            <w:pPr>
              <w:jc w:val="center"/>
              <w:rPr>
                <w:sz w:val="20"/>
                <w:szCs w:val="20"/>
              </w:rPr>
            </w:pPr>
            <w:r>
              <w:rPr>
                <w:sz w:val="20"/>
                <w:szCs w:val="20"/>
              </w:rPr>
              <w:t>(2,419)</w:t>
            </w:r>
          </w:p>
        </w:tc>
      </w:tr>
      <w:tr w:rsidR="00A36F2F" w:rsidRPr="00F82840" w14:paraId="5F2DA801" w14:textId="77777777" w:rsidTr="54F71CB4">
        <w:trPr>
          <w:gridAfter w:val="1"/>
          <w:wAfter w:w="236" w:type="dxa"/>
        </w:trPr>
        <w:tc>
          <w:tcPr>
            <w:tcW w:w="2835" w:type="dxa"/>
          </w:tcPr>
          <w:p w14:paraId="1D84F285" w14:textId="78A6BC5A" w:rsidR="00A36F2F" w:rsidRPr="00F82840" w:rsidRDefault="00A36F2F" w:rsidP="001958BD">
            <w:pPr>
              <w:rPr>
                <w:sz w:val="20"/>
                <w:szCs w:val="20"/>
              </w:rPr>
            </w:pPr>
            <w:r w:rsidRPr="00F82840">
              <w:rPr>
                <w:sz w:val="20"/>
                <w:szCs w:val="20"/>
              </w:rPr>
              <w:t xml:space="preserve">At </w:t>
            </w:r>
            <w:r>
              <w:rPr>
                <w:sz w:val="20"/>
                <w:szCs w:val="20"/>
              </w:rPr>
              <w:t>31 March 202</w:t>
            </w:r>
            <w:r w:rsidR="000C4FC1">
              <w:rPr>
                <w:sz w:val="20"/>
                <w:szCs w:val="20"/>
              </w:rPr>
              <w:t>5</w:t>
            </w:r>
          </w:p>
        </w:tc>
        <w:tc>
          <w:tcPr>
            <w:tcW w:w="1843" w:type="dxa"/>
            <w:tcBorders>
              <w:top w:val="single" w:sz="4" w:space="0" w:color="auto"/>
              <w:bottom w:val="single" w:sz="4" w:space="0" w:color="auto"/>
            </w:tcBorders>
          </w:tcPr>
          <w:p w14:paraId="1058A6EB" w14:textId="281B437B" w:rsidR="00A36F2F" w:rsidRPr="00F82840" w:rsidRDefault="00ED6202" w:rsidP="001958BD">
            <w:pPr>
              <w:jc w:val="center"/>
              <w:rPr>
                <w:sz w:val="20"/>
                <w:szCs w:val="20"/>
              </w:rPr>
            </w:pPr>
            <w:r>
              <w:rPr>
                <w:sz w:val="20"/>
                <w:szCs w:val="20"/>
              </w:rPr>
              <w:t>223</w:t>
            </w:r>
            <w:r w:rsidR="008D01FB">
              <w:rPr>
                <w:sz w:val="20"/>
                <w:szCs w:val="20"/>
              </w:rPr>
              <w:t>,</w:t>
            </w:r>
            <w:r>
              <w:rPr>
                <w:sz w:val="20"/>
                <w:szCs w:val="20"/>
              </w:rPr>
              <w:t>395</w:t>
            </w:r>
          </w:p>
        </w:tc>
        <w:tc>
          <w:tcPr>
            <w:tcW w:w="1559" w:type="dxa"/>
            <w:gridSpan w:val="2"/>
            <w:tcBorders>
              <w:top w:val="single" w:sz="4" w:space="0" w:color="auto"/>
              <w:bottom w:val="single" w:sz="4" w:space="0" w:color="auto"/>
            </w:tcBorders>
          </w:tcPr>
          <w:p w14:paraId="3D95EAAE" w14:textId="24A0C21F" w:rsidR="00A36F2F" w:rsidRPr="00F82840" w:rsidRDefault="00ED6202" w:rsidP="001958BD">
            <w:pPr>
              <w:jc w:val="center"/>
              <w:rPr>
                <w:sz w:val="20"/>
                <w:szCs w:val="20"/>
              </w:rPr>
            </w:pPr>
            <w:r>
              <w:rPr>
                <w:sz w:val="20"/>
                <w:szCs w:val="20"/>
              </w:rPr>
              <w:t>445</w:t>
            </w:r>
          </w:p>
        </w:tc>
        <w:tc>
          <w:tcPr>
            <w:tcW w:w="2268" w:type="dxa"/>
            <w:tcBorders>
              <w:top w:val="single" w:sz="4" w:space="0" w:color="auto"/>
              <w:bottom w:val="single" w:sz="4" w:space="0" w:color="auto"/>
            </w:tcBorders>
          </w:tcPr>
          <w:p w14:paraId="3B58F7F8" w14:textId="0AF12197" w:rsidR="00A36F2F" w:rsidRPr="00F82840" w:rsidRDefault="00ED6202" w:rsidP="001958BD">
            <w:pPr>
              <w:jc w:val="center"/>
              <w:rPr>
                <w:sz w:val="20"/>
                <w:szCs w:val="20"/>
              </w:rPr>
            </w:pPr>
            <w:r>
              <w:rPr>
                <w:sz w:val="20"/>
                <w:szCs w:val="20"/>
              </w:rPr>
              <w:t>223</w:t>
            </w:r>
            <w:r w:rsidR="008D01FB" w:rsidRPr="00976068">
              <w:rPr>
                <w:sz w:val="20"/>
                <w:szCs w:val="20"/>
              </w:rPr>
              <w:t>,</w:t>
            </w:r>
            <w:r w:rsidR="005F35DE" w:rsidRPr="00976068">
              <w:rPr>
                <w:sz w:val="20"/>
                <w:szCs w:val="20"/>
              </w:rPr>
              <w:t>8</w:t>
            </w:r>
            <w:r>
              <w:rPr>
                <w:sz w:val="20"/>
                <w:szCs w:val="20"/>
              </w:rPr>
              <w:t>40</w:t>
            </w:r>
          </w:p>
        </w:tc>
      </w:tr>
      <w:tr w:rsidR="00A36F2F" w:rsidRPr="00F82840" w14:paraId="42FA5DB4" w14:textId="77777777" w:rsidTr="54F71CB4">
        <w:trPr>
          <w:gridAfter w:val="1"/>
          <w:wAfter w:w="236" w:type="dxa"/>
        </w:trPr>
        <w:tc>
          <w:tcPr>
            <w:tcW w:w="2835" w:type="dxa"/>
          </w:tcPr>
          <w:p w14:paraId="75931011" w14:textId="77777777" w:rsidR="00A36F2F" w:rsidRPr="00F82840" w:rsidRDefault="00A36F2F" w:rsidP="001958BD">
            <w:pPr>
              <w:rPr>
                <w:sz w:val="20"/>
                <w:szCs w:val="20"/>
              </w:rPr>
            </w:pPr>
          </w:p>
          <w:p w14:paraId="25DC56FC" w14:textId="793F790F" w:rsidR="00A36F2F" w:rsidRPr="004520CE" w:rsidRDefault="00A36F2F" w:rsidP="001958BD">
            <w:pPr>
              <w:rPr>
                <w:b/>
                <w:bCs/>
                <w:sz w:val="20"/>
                <w:szCs w:val="20"/>
              </w:rPr>
            </w:pPr>
            <w:r w:rsidRPr="004520CE">
              <w:rPr>
                <w:b/>
                <w:bCs/>
                <w:sz w:val="20"/>
                <w:szCs w:val="20"/>
              </w:rPr>
              <w:t>Net book value at 31 March 202</w:t>
            </w:r>
            <w:r w:rsidR="000C4FC1">
              <w:rPr>
                <w:b/>
                <w:bCs/>
                <w:sz w:val="20"/>
                <w:szCs w:val="20"/>
              </w:rPr>
              <w:t>5</w:t>
            </w:r>
          </w:p>
        </w:tc>
        <w:tc>
          <w:tcPr>
            <w:tcW w:w="1843" w:type="dxa"/>
            <w:tcBorders>
              <w:top w:val="single" w:sz="4" w:space="0" w:color="auto"/>
              <w:bottom w:val="single" w:sz="4" w:space="0" w:color="auto"/>
            </w:tcBorders>
          </w:tcPr>
          <w:p w14:paraId="1101D04D" w14:textId="77777777" w:rsidR="00A36F2F" w:rsidRDefault="00A36F2F" w:rsidP="001958BD">
            <w:pPr>
              <w:jc w:val="center"/>
              <w:rPr>
                <w:sz w:val="20"/>
                <w:szCs w:val="20"/>
              </w:rPr>
            </w:pPr>
          </w:p>
          <w:p w14:paraId="0DA0C9C8" w14:textId="77777777" w:rsidR="00A36F2F" w:rsidRDefault="00A36F2F" w:rsidP="001958BD">
            <w:pPr>
              <w:jc w:val="center"/>
              <w:rPr>
                <w:sz w:val="20"/>
                <w:szCs w:val="20"/>
              </w:rPr>
            </w:pPr>
          </w:p>
          <w:p w14:paraId="6C69ACC9" w14:textId="573320BE" w:rsidR="00A36F2F" w:rsidRPr="00F82840" w:rsidRDefault="00ED6202" w:rsidP="001958BD">
            <w:pPr>
              <w:jc w:val="center"/>
              <w:rPr>
                <w:sz w:val="20"/>
                <w:szCs w:val="20"/>
              </w:rPr>
            </w:pPr>
            <w:r>
              <w:rPr>
                <w:sz w:val="20"/>
                <w:szCs w:val="20"/>
              </w:rPr>
              <w:t>369</w:t>
            </w:r>
            <w:r w:rsidR="008D01FB">
              <w:rPr>
                <w:sz w:val="20"/>
                <w:szCs w:val="20"/>
              </w:rPr>
              <w:t>,</w:t>
            </w:r>
            <w:r>
              <w:rPr>
                <w:sz w:val="20"/>
                <w:szCs w:val="20"/>
              </w:rPr>
              <w:t>673</w:t>
            </w:r>
          </w:p>
        </w:tc>
        <w:tc>
          <w:tcPr>
            <w:tcW w:w="1559" w:type="dxa"/>
            <w:gridSpan w:val="2"/>
            <w:tcBorders>
              <w:top w:val="single" w:sz="4" w:space="0" w:color="auto"/>
              <w:bottom w:val="single" w:sz="4" w:space="0" w:color="auto"/>
            </w:tcBorders>
          </w:tcPr>
          <w:p w14:paraId="0DB1CE0F" w14:textId="77777777" w:rsidR="00A36F2F" w:rsidRDefault="00A36F2F" w:rsidP="001958BD">
            <w:pPr>
              <w:jc w:val="center"/>
              <w:rPr>
                <w:sz w:val="20"/>
                <w:szCs w:val="20"/>
              </w:rPr>
            </w:pPr>
          </w:p>
          <w:p w14:paraId="793AC0E8" w14:textId="77777777" w:rsidR="00A36F2F" w:rsidRDefault="00A36F2F" w:rsidP="001958BD">
            <w:pPr>
              <w:jc w:val="center"/>
              <w:rPr>
                <w:sz w:val="20"/>
                <w:szCs w:val="20"/>
              </w:rPr>
            </w:pPr>
          </w:p>
          <w:p w14:paraId="5E076B9B" w14:textId="32E5B601" w:rsidR="00A36F2F" w:rsidRPr="00F82840" w:rsidRDefault="00ED6202" w:rsidP="001958BD">
            <w:pPr>
              <w:jc w:val="center"/>
              <w:rPr>
                <w:sz w:val="20"/>
                <w:szCs w:val="20"/>
              </w:rPr>
            </w:pPr>
            <w:r>
              <w:rPr>
                <w:sz w:val="20"/>
                <w:szCs w:val="20"/>
              </w:rPr>
              <w:t>3,707</w:t>
            </w:r>
          </w:p>
        </w:tc>
        <w:tc>
          <w:tcPr>
            <w:tcW w:w="2268" w:type="dxa"/>
            <w:tcBorders>
              <w:top w:val="single" w:sz="4" w:space="0" w:color="auto"/>
              <w:bottom w:val="single" w:sz="4" w:space="0" w:color="auto"/>
            </w:tcBorders>
          </w:tcPr>
          <w:p w14:paraId="5DB805BA" w14:textId="77777777" w:rsidR="00A36F2F" w:rsidRDefault="00A36F2F" w:rsidP="001958BD">
            <w:pPr>
              <w:jc w:val="center"/>
              <w:rPr>
                <w:sz w:val="20"/>
                <w:szCs w:val="20"/>
              </w:rPr>
            </w:pPr>
          </w:p>
          <w:p w14:paraId="77C0AA67" w14:textId="77777777" w:rsidR="00A36F2F" w:rsidRDefault="00A36F2F" w:rsidP="001958BD">
            <w:pPr>
              <w:jc w:val="center"/>
              <w:rPr>
                <w:sz w:val="20"/>
                <w:szCs w:val="20"/>
              </w:rPr>
            </w:pPr>
          </w:p>
          <w:p w14:paraId="35561898" w14:textId="4248BCAE" w:rsidR="00A36F2F" w:rsidRPr="00F82840" w:rsidRDefault="00ED6202" w:rsidP="001958BD">
            <w:pPr>
              <w:jc w:val="center"/>
              <w:rPr>
                <w:sz w:val="20"/>
                <w:szCs w:val="20"/>
              </w:rPr>
            </w:pPr>
            <w:r>
              <w:rPr>
                <w:sz w:val="20"/>
                <w:szCs w:val="20"/>
              </w:rPr>
              <w:t>373</w:t>
            </w:r>
            <w:r w:rsidR="008D01FB">
              <w:rPr>
                <w:sz w:val="20"/>
                <w:szCs w:val="20"/>
              </w:rPr>
              <w:t>,</w:t>
            </w:r>
            <w:r>
              <w:rPr>
                <w:sz w:val="20"/>
                <w:szCs w:val="20"/>
              </w:rPr>
              <w:t>380</w:t>
            </w:r>
          </w:p>
        </w:tc>
      </w:tr>
      <w:tr w:rsidR="005F35DE" w:rsidRPr="00F82840" w14:paraId="6DF4A3BE" w14:textId="77777777" w:rsidTr="54F71CB4">
        <w:trPr>
          <w:gridAfter w:val="1"/>
          <w:wAfter w:w="236" w:type="dxa"/>
        </w:trPr>
        <w:tc>
          <w:tcPr>
            <w:tcW w:w="2835" w:type="dxa"/>
          </w:tcPr>
          <w:p w14:paraId="181C249D" w14:textId="77777777" w:rsidR="005F35DE" w:rsidRPr="00F82840" w:rsidRDefault="005F35DE" w:rsidP="0055153F">
            <w:pPr>
              <w:rPr>
                <w:sz w:val="20"/>
                <w:szCs w:val="20"/>
              </w:rPr>
            </w:pPr>
          </w:p>
          <w:p w14:paraId="0AB55EC6" w14:textId="06FE75F8" w:rsidR="005F35DE" w:rsidRPr="004520CE" w:rsidRDefault="005F35DE" w:rsidP="0055153F">
            <w:pPr>
              <w:rPr>
                <w:b/>
                <w:bCs/>
                <w:sz w:val="20"/>
                <w:szCs w:val="20"/>
              </w:rPr>
            </w:pPr>
            <w:r w:rsidRPr="004520CE">
              <w:rPr>
                <w:b/>
                <w:bCs/>
                <w:sz w:val="20"/>
                <w:szCs w:val="20"/>
              </w:rPr>
              <w:t>Net book value at 31 March 202</w:t>
            </w:r>
            <w:r w:rsidR="000C4FC1">
              <w:rPr>
                <w:b/>
                <w:bCs/>
                <w:sz w:val="20"/>
                <w:szCs w:val="20"/>
              </w:rPr>
              <w:t>4</w:t>
            </w:r>
          </w:p>
        </w:tc>
        <w:tc>
          <w:tcPr>
            <w:tcW w:w="1843" w:type="dxa"/>
            <w:tcBorders>
              <w:top w:val="single" w:sz="4" w:space="0" w:color="auto"/>
              <w:bottom w:val="single" w:sz="4" w:space="0" w:color="auto"/>
            </w:tcBorders>
          </w:tcPr>
          <w:p w14:paraId="6B018D32" w14:textId="77777777" w:rsidR="005F35DE" w:rsidRDefault="005F35DE" w:rsidP="0055153F">
            <w:pPr>
              <w:jc w:val="center"/>
              <w:rPr>
                <w:sz w:val="20"/>
                <w:szCs w:val="20"/>
              </w:rPr>
            </w:pPr>
          </w:p>
          <w:p w14:paraId="3592AB01" w14:textId="77777777" w:rsidR="005F35DE" w:rsidRDefault="005F35DE" w:rsidP="0055153F">
            <w:pPr>
              <w:jc w:val="center"/>
              <w:rPr>
                <w:sz w:val="20"/>
                <w:szCs w:val="20"/>
              </w:rPr>
            </w:pPr>
          </w:p>
          <w:p w14:paraId="56B7184F" w14:textId="774522BC" w:rsidR="005F35DE" w:rsidRPr="00F82840" w:rsidRDefault="000C4FC1" w:rsidP="0055153F">
            <w:pPr>
              <w:jc w:val="center"/>
              <w:rPr>
                <w:sz w:val="20"/>
                <w:szCs w:val="20"/>
              </w:rPr>
            </w:pPr>
            <w:r>
              <w:rPr>
                <w:sz w:val="20"/>
                <w:szCs w:val="20"/>
              </w:rPr>
              <w:t>444</w:t>
            </w:r>
            <w:r w:rsidR="005F35DE">
              <w:rPr>
                <w:sz w:val="20"/>
                <w:szCs w:val="20"/>
              </w:rPr>
              <w:t>,</w:t>
            </w:r>
            <w:r>
              <w:rPr>
                <w:sz w:val="20"/>
                <w:szCs w:val="20"/>
              </w:rPr>
              <w:t>138</w:t>
            </w:r>
          </w:p>
        </w:tc>
        <w:tc>
          <w:tcPr>
            <w:tcW w:w="1559" w:type="dxa"/>
            <w:gridSpan w:val="2"/>
            <w:tcBorders>
              <w:top w:val="single" w:sz="4" w:space="0" w:color="auto"/>
              <w:bottom w:val="single" w:sz="4" w:space="0" w:color="auto"/>
            </w:tcBorders>
          </w:tcPr>
          <w:p w14:paraId="492C6B76" w14:textId="77777777" w:rsidR="005F35DE" w:rsidRDefault="005F35DE" w:rsidP="0055153F">
            <w:pPr>
              <w:jc w:val="center"/>
              <w:rPr>
                <w:sz w:val="20"/>
                <w:szCs w:val="20"/>
              </w:rPr>
            </w:pPr>
          </w:p>
          <w:p w14:paraId="482362C3" w14:textId="77777777" w:rsidR="005F35DE" w:rsidRDefault="005F35DE" w:rsidP="0055153F">
            <w:pPr>
              <w:jc w:val="center"/>
              <w:rPr>
                <w:sz w:val="20"/>
                <w:szCs w:val="20"/>
              </w:rPr>
            </w:pPr>
          </w:p>
          <w:p w14:paraId="1090A4F7" w14:textId="4DC3BF70" w:rsidR="005F35DE" w:rsidRPr="00F82840" w:rsidRDefault="005F35DE" w:rsidP="0055153F">
            <w:pPr>
              <w:jc w:val="center"/>
              <w:rPr>
                <w:sz w:val="20"/>
                <w:szCs w:val="20"/>
              </w:rPr>
            </w:pPr>
            <w:r>
              <w:rPr>
                <w:sz w:val="20"/>
                <w:szCs w:val="20"/>
              </w:rPr>
              <w:t>8</w:t>
            </w:r>
            <w:r w:rsidR="000C4FC1">
              <w:rPr>
                <w:sz w:val="20"/>
                <w:szCs w:val="20"/>
              </w:rPr>
              <w:t>83</w:t>
            </w:r>
          </w:p>
        </w:tc>
        <w:tc>
          <w:tcPr>
            <w:tcW w:w="2268" w:type="dxa"/>
            <w:tcBorders>
              <w:top w:val="single" w:sz="4" w:space="0" w:color="auto"/>
              <w:bottom w:val="single" w:sz="4" w:space="0" w:color="auto"/>
            </w:tcBorders>
          </w:tcPr>
          <w:p w14:paraId="18154E35" w14:textId="77777777" w:rsidR="005F35DE" w:rsidRDefault="005F35DE" w:rsidP="0055153F">
            <w:pPr>
              <w:jc w:val="center"/>
              <w:rPr>
                <w:sz w:val="20"/>
                <w:szCs w:val="20"/>
              </w:rPr>
            </w:pPr>
          </w:p>
          <w:p w14:paraId="0465FCC2" w14:textId="77777777" w:rsidR="005F35DE" w:rsidRDefault="005F35DE" w:rsidP="0055153F">
            <w:pPr>
              <w:jc w:val="center"/>
              <w:rPr>
                <w:sz w:val="20"/>
                <w:szCs w:val="20"/>
              </w:rPr>
            </w:pPr>
          </w:p>
          <w:p w14:paraId="579E461D" w14:textId="261C1030" w:rsidR="005F35DE" w:rsidRPr="00F82840" w:rsidRDefault="000C4FC1" w:rsidP="0055153F">
            <w:pPr>
              <w:jc w:val="center"/>
              <w:rPr>
                <w:sz w:val="20"/>
                <w:szCs w:val="20"/>
              </w:rPr>
            </w:pPr>
            <w:r>
              <w:rPr>
                <w:sz w:val="20"/>
                <w:szCs w:val="20"/>
              </w:rPr>
              <w:t>445</w:t>
            </w:r>
            <w:r w:rsidR="005F35DE">
              <w:rPr>
                <w:sz w:val="20"/>
                <w:szCs w:val="20"/>
              </w:rPr>
              <w:t>,</w:t>
            </w:r>
            <w:r>
              <w:rPr>
                <w:sz w:val="20"/>
                <w:szCs w:val="20"/>
              </w:rPr>
              <w:t>021</w:t>
            </w:r>
          </w:p>
        </w:tc>
      </w:tr>
      <w:tr w:rsidR="005F35DE" w:rsidRPr="00F82840" w14:paraId="152E216E" w14:textId="77777777" w:rsidTr="54F71CB4">
        <w:trPr>
          <w:gridAfter w:val="5"/>
          <w:wAfter w:w="5906" w:type="dxa"/>
        </w:trPr>
        <w:tc>
          <w:tcPr>
            <w:tcW w:w="2835" w:type="dxa"/>
          </w:tcPr>
          <w:p w14:paraId="45B3D497" w14:textId="77777777" w:rsidR="005F35DE" w:rsidRPr="00F82840" w:rsidRDefault="005F35DE" w:rsidP="001958BD">
            <w:pPr>
              <w:rPr>
                <w:sz w:val="20"/>
                <w:szCs w:val="20"/>
              </w:rPr>
            </w:pPr>
          </w:p>
        </w:tc>
      </w:tr>
    </w:tbl>
    <w:p w14:paraId="301EBDE7" w14:textId="77777777" w:rsidR="007A6076" w:rsidRDefault="007A6076" w:rsidP="007A6076">
      <w:pPr>
        <w:pStyle w:val="ListParagraph"/>
        <w:rPr>
          <w:b/>
        </w:rPr>
      </w:pPr>
    </w:p>
    <w:p w14:paraId="024D94B5" w14:textId="77777777" w:rsidR="007A6076" w:rsidRDefault="007A6076" w:rsidP="007A6076">
      <w:pPr>
        <w:pStyle w:val="ListParagraph"/>
        <w:rPr>
          <w:b/>
        </w:rPr>
      </w:pPr>
    </w:p>
    <w:p w14:paraId="618B5570" w14:textId="77777777" w:rsidR="007A6076" w:rsidRDefault="007A6076" w:rsidP="007A6076">
      <w:pPr>
        <w:pStyle w:val="ListParagraph"/>
        <w:rPr>
          <w:b/>
        </w:rPr>
      </w:pPr>
    </w:p>
    <w:p w14:paraId="3A00A4C0" w14:textId="77777777" w:rsidR="007A6076" w:rsidRDefault="007A6076" w:rsidP="007A6076">
      <w:pPr>
        <w:pStyle w:val="ListParagraph"/>
        <w:rPr>
          <w:b/>
        </w:rPr>
      </w:pPr>
    </w:p>
    <w:p w14:paraId="0590C39E" w14:textId="77777777" w:rsidR="007A6076" w:rsidRDefault="007A6076" w:rsidP="007A6076">
      <w:pPr>
        <w:pStyle w:val="ListParagraph"/>
        <w:rPr>
          <w:b/>
        </w:rPr>
      </w:pPr>
    </w:p>
    <w:p w14:paraId="1B61C5BC" w14:textId="77777777" w:rsidR="007A6076" w:rsidRDefault="007A6076" w:rsidP="007A6076">
      <w:pPr>
        <w:pStyle w:val="ListParagraph"/>
        <w:rPr>
          <w:b/>
        </w:rPr>
      </w:pPr>
    </w:p>
    <w:p w14:paraId="37E13919" w14:textId="77777777" w:rsidR="007A6076" w:rsidRDefault="007A6076" w:rsidP="007A6076">
      <w:pPr>
        <w:pStyle w:val="ListParagraph"/>
        <w:rPr>
          <w:b/>
        </w:rPr>
      </w:pPr>
    </w:p>
    <w:p w14:paraId="111A51CB" w14:textId="77777777" w:rsidR="007A6076" w:rsidRDefault="007A6076" w:rsidP="007A6076">
      <w:pPr>
        <w:pStyle w:val="ListParagraph"/>
        <w:rPr>
          <w:b/>
        </w:rPr>
      </w:pPr>
    </w:p>
    <w:p w14:paraId="2CE6E053" w14:textId="77777777" w:rsidR="007A6076" w:rsidRDefault="007A6076" w:rsidP="007A6076">
      <w:pPr>
        <w:pStyle w:val="ListParagraph"/>
        <w:rPr>
          <w:b/>
        </w:rPr>
      </w:pPr>
    </w:p>
    <w:p w14:paraId="08E9C66F" w14:textId="77777777" w:rsidR="007A6076" w:rsidRDefault="007A6076" w:rsidP="007A6076">
      <w:pPr>
        <w:pStyle w:val="ListParagraph"/>
        <w:rPr>
          <w:b/>
        </w:rPr>
      </w:pPr>
    </w:p>
    <w:p w14:paraId="1DA23E60" w14:textId="77777777" w:rsidR="007A6076" w:rsidRDefault="007A6076" w:rsidP="007A6076">
      <w:pPr>
        <w:pStyle w:val="ListParagraph"/>
        <w:rPr>
          <w:b/>
        </w:rPr>
      </w:pPr>
    </w:p>
    <w:p w14:paraId="5CCA1494" w14:textId="7ECA40A4" w:rsidR="005F35DE" w:rsidRPr="005F35DE" w:rsidRDefault="005F35DE" w:rsidP="007A6076">
      <w:pPr>
        <w:pStyle w:val="ListParagraph"/>
        <w:numPr>
          <w:ilvl w:val="0"/>
          <w:numId w:val="32"/>
        </w:numPr>
        <w:ind w:hanging="578"/>
        <w:rPr>
          <w:b/>
        </w:rPr>
      </w:pPr>
      <w:r>
        <w:rPr>
          <w:b/>
        </w:rPr>
        <w:lastRenderedPageBreak/>
        <w:t>Leases</w:t>
      </w:r>
      <w:r>
        <w:rPr>
          <w:bCs/>
        </w:rPr>
        <w:t xml:space="preserve"> </w:t>
      </w:r>
      <w:r w:rsidRPr="005F35DE">
        <w:rPr>
          <w:b/>
        </w:rPr>
        <w:t>(cont.)</w:t>
      </w:r>
    </w:p>
    <w:p w14:paraId="0B8391D8" w14:textId="77777777" w:rsidR="00BF7ED8" w:rsidRPr="005F35DE" w:rsidRDefault="00BF7ED8">
      <w:pPr>
        <w:rPr>
          <w:b/>
          <w:bCs/>
        </w:rPr>
      </w:pPr>
    </w:p>
    <w:tbl>
      <w:tblPr>
        <w:tblW w:w="8506" w:type="dxa"/>
        <w:tblLayout w:type="fixed"/>
        <w:tblLook w:val="01E0" w:firstRow="1" w:lastRow="1" w:firstColumn="1" w:lastColumn="1" w:noHBand="0" w:noVBand="0"/>
      </w:tblPr>
      <w:tblGrid>
        <w:gridCol w:w="2871"/>
        <w:gridCol w:w="1758"/>
        <w:gridCol w:w="1546"/>
        <w:gridCol w:w="2331"/>
      </w:tblGrid>
      <w:tr w:rsidR="00097903" w:rsidRPr="00F267CA" w14:paraId="7B553912" w14:textId="77777777" w:rsidTr="54F71CB4">
        <w:tc>
          <w:tcPr>
            <w:tcW w:w="2871" w:type="dxa"/>
          </w:tcPr>
          <w:p w14:paraId="4208F3D4" w14:textId="5D6EF654" w:rsidR="00097903" w:rsidRPr="00D35926" w:rsidRDefault="00097903" w:rsidP="0055153F">
            <w:pPr>
              <w:rPr>
                <w:b/>
                <w:sz w:val="22"/>
                <w:szCs w:val="22"/>
              </w:rPr>
            </w:pPr>
            <w:r>
              <w:rPr>
                <w:b/>
                <w:sz w:val="22"/>
                <w:szCs w:val="22"/>
              </w:rPr>
              <w:t>202</w:t>
            </w:r>
            <w:r w:rsidR="00466C0E">
              <w:rPr>
                <w:b/>
                <w:sz w:val="22"/>
                <w:szCs w:val="22"/>
              </w:rPr>
              <w:t>4</w:t>
            </w:r>
            <w:r>
              <w:rPr>
                <w:b/>
                <w:sz w:val="22"/>
                <w:szCs w:val="22"/>
              </w:rPr>
              <w:t>-2</w:t>
            </w:r>
            <w:r w:rsidR="00466C0E">
              <w:rPr>
                <w:b/>
                <w:sz w:val="22"/>
                <w:szCs w:val="22"/>
              </w:rPr>
              <w:t>5</w:t>
            </w:r>
          </w:p>
        </w:tc>
        <w:tc>
          <w:tcPr>
            <w:tcW w:w="1758" w:type="dxa"/>
          </w:tcPr>
          <w:p w14:paraId="6C7EF49D" w14:textId="77777777" w:rsidR="00097903" w:rsidRPr="00F267CA" w:rsidRDefault="00097903" w:rsidP="0055153F">
            <w:pPr>
              <w:ind w:right="-171"/>
              <w:jc w:val="center"/>
              <w:rPr>
                <w:rFonts w:cs="Arial"/>
                <w:b/>
                <w:sz w:val="16"/>
                <w:szCs w:val="16"/>
              </w:rPr>
            </w:pPr>
            <w:r w:rsidRPr="00F267CA">
              <w:rPr>
                <w:rFonts w:cs="Arial"/>
                <w:b/>
                <w:sz w:val="16"/>
                <w:szCs w:val="16"/>
              </w:rPr>
              <w:t>Leasehold Improvements</w:t>
            </w:r>
          </w:p>
        </w:tc>
        <w:tc>
          <w:tcPr>
            <w:tcW w:w="1546" w:type="dxa"/>
          </w:tcPr>
          <w:p w14:paraId="5D7B1AC0" w14:textId="77777777" w:rsidR="00097903" w:rsidRPr="00F267CA" w:rsidRDefault="00097903" w:rsidP="0055153F">
            <w:pPr>
              <w:jc w:val="center"/>
              <w:rPr>
                <w:b/>
                <w:sz w:val="16"/>
                <w:szCs w:val="16"/>
              </w:rPr>
            </w:pPr>
            <w:r w:rsidRPr="00F267CA">
              <w:rPr>
                <w:b/>
                <w:sz w:val="16"/>
                <w:szCs w:val="16"/>
              </w:rPr>
              <w:t>Furniture &amp; fittings</w:t>
            </w:r>
          </w:p>
        </w:tc>
        <w:tc>
          <w:tcPr>
            <w:tcW w:w="2331" w:type="dxa"/>
          </w:tcPr>
          <w:p w14:paraId="56BE315C" w14:textId="77777777" w:rsidR="00097903" w:rsidRPr="00F267CA" w:rsidRDefault="00097903" w:rsidP="0055153F">
            <w:pPr>
              <w:jc w:val="center"/>
              <w:rPr>
                <w:b/>
                <w:sz w:val="16"/>
                <w:szCs w:val="16"/>
              </w:rPr>
            </w:pPr>
            <w:r w:rsidRPr="00F267CA">
              <w:rPr>
                <w:b/>
                <w:sz w:val="16"/>
                <w:szCs w:val="16"/>
              </w:rPr>
              <w:t>Total</w:t>
            </w:r>
          </w:p>
          <w:p w14:paraId="597868B1" w14:textId="77777777" w:rsidR="00097903" w:rsidRPr="00F267CA" w:rsidRDefault="00097903" w:rsidP="0055153F">
            <w:pPr>
              <w:jc w:val="center"/>
              <w:rPr>
                <w:b/>
                <w:sz w:val="16"/>
                <w:szCs w:val="16"/>
              </w:rPr>
            </w:pPr>
          </w:p>
        </w:tc>
      </w:tr>
      <w:tr w:rsidR="00097903" w:rsidRPr="00863EC6" w14:paraId="6B6B9F43" w14:textId="77777777" w:rsidTr="54F71CB4">
        <w:tc>
          <w:tcPr>
            <w:tcW w:w="2871" w:type="dxa"/>
          </w:tcPr>
          <w:p w14:paraId="0F7B6187" w14:textId="2B88B43D" w:rsidR="00097903" w:rsidRPr="00863EC6" w:rsidRDefault="00097903" w:rsidP="0055153F">
            <w:pPr>
              <w:rPr>
                <w:b/>
                <w:sz w:val="20"/>
                <w:szCs w:val="20"/>
              </w:rPr>
            </w:pPr>
            <w:r>
              <w:rPr>
                <w:b/>
                <w:sz w:val="20"/>
                <w:szCs w:val="20"/>
              </w:rPr>
              <w:t>Lease Liabilities</w:t>
            </w:r>
            <w:r w:rsidRPr="00863EC6">
              <w:rPr>
                <w:b/>
                <w:sz w:val="20"/>
                <w:szCs w:val="20"/>
              </w:rPr>
              <w:t xml:space="preserve"> </w:t>
            </w:r>
          </w:p>
        </w:tc>
        <w:tc>
          <w:tcPr>
            <w:tcW w:w="1758" w:type="dxa"/>
          </w:tcPr>
          <w:p w14:paraId="0B59206F" w14:textId="77777777" w:rsidR="00097903" w:rsidRPr="00863EC6" w:rsidRDefault="00097903" w:rsidP="0055153F">
            <w:pPr>
              <w:jc w:val="center"/>
              <w:rPr>
                <w:b/>
                <w:sz w:val="20"/>
                <w:szCs w:val="20"/>
              </w:rPr>
            </w:pPr>
            <w:r w:rsidRPr="00863EC6">
              <w:rPr>
                <w:b/>
                <w:sz w:val="20"/>
                <w:szCs w:val="20"/>
              </w:rPr>
              <w:t>£</w:t>
            </w:r>
          </w:p>
        </w:tc>
        <w:tc>
          <w:tcPr>
            <w:tcW w:w="1546" w:type="dxa"/>
          </w:tcPr>
          <w:p w14:paraId="753DF220" w14:textId="77777777" w:rsidR="00097903" w:rsidRPr="00863EC6" w:rsidRDefault="00097903" w:rsidP="0055153F">
            <w:pPr>
              <w:jc w:val="center"/>
              <w:rPr>
                <w:b/>
                <w:sz w:val="20"/>
                <w:szCs w:val="20"/>
              </w:rPr>
            </w:pPr>
            <w:r w:rsidRPr="00863EC6">
              <w:rPr>
                <w:b/>
                <w:sz w:val="20"/>
                <w:szCs w:val="20"/>
              </w:rPr>
              <w:t>£</w:t>
            </w:r>
          </w:p>
        </w:tc>
        <w:tc>
          <w:tcPr>
            <w:tcW w:w="2331" w:type="dxa"/>
          </w:tcPr>
          <w:p w14:paraId="647EB17B" w14:textId="77777777" w:rsidR="00097903" w:rsidRPr="00863EC6" w:rsidRDefault="00097903" w:rsidP="0055153F">
            <w:pPr>
              <w:jc w:val="center"/>
              <w:rPr>
                <w:b/>
                <w:sz w:val="20"/>
                <w:szCs w:val="20"/>
              </w:rPr>
            </w:pPr>
            <w:r w:rsidRPr="00863EC6">
              <w:rPr>
                <w:b/>
                <w:sz w:val="20"/>
                <w:szCs w:val="20"/>
              </w:rPr>
              <w:t>£</w:t>
            </w:r>
          </w:p>
        </w:tc>
      </w:tr>
      <w:tr w:rsidR="00097903" w:rsidRPr="00863EC6" w14:paraId="3CC5C3E6" w14:textId="77777777" w:rsidTr="54F71CB4">
        <w:tc>
          <w:tcPr>
            <w:tcW w:w="2871" w:type="dxa"/>
          </w:tcPr>
          <w:p w14:paraId="1AC9B68B" w14:textId="745320A8" w:rsidR="00097903" w:rsidRPr="00863EC6" w:rsidRDefault="00097903" w:rsidP="0055153F">
            <w:pPr>
              <w:rPr>
                <w:sz w:val="20"/>
                <w:szCs w:val="20"/>
              </w:rPr>
            </w:pPr>
            <w:r w:rsidRPr="00863EC6">
              <w:rPr>
                <w:sz w:val="20"/>
                <w:szCs w:val="20"/>
              </w:rPr>
              <w:t>At 1 April 20</w:t>
            </w:r>
            <w:r>
              <w:rPr>
                <w:sz w:val="20"/>
                <w:szCs w:val="20"/>
              </w:rPr>
              <w:t>2</w:t>
            </w:r>
            <w:r w:rsidR="00ED6202">
              <w:rPr>
                <w:sz w:val="20"/>
                <w:szCs w:val="20"/>
              </w:rPr>
              <w:t>4</w:t>
            </w:r>
          </w:p>
        </w:tc>
        <w:tc>
          <w:tcPr>
            <w:tcW w:w="1758" w:type="dxa"/>
          </w:tcPr>
          <w:p w14:paraId="476CA6DF" w14:textId="7EDF9D6B" w:rsidR="00097903" w:rsidRPr="00863EC6" w:rsidRDefault="005F35DE" w:rsidP="0055153F">
            <w:pPr>
              <w:jc w:val="center"/>
              <w:rPr>
                <w:sz w:val="20"/>
                <w:szCs w:val="20"/>
              </w:rPr>
            </w:pPr>
            <w:r>
              <w:rPr>
                <w:sz w:val="20"/>
                <w:szCs w:val="20"/>
              </w:rPr>
              <w:t>(</w:t>
            </w:r>
            <w:r w:rsidR="00ED6202">
              <w:rPr>
                <w:sz w:val="20"/>
                <w:szCs w:val="20"/>
              </w:rPr>
              <w:t>449</w:t>
            </w:r>
            <w:r>
              <w:rPr>
                <w:sz w:val="20"/>
                <w:szCs w:val="20"/>
              </w:rPr>
              <w:t>,</w:t>
            </w:r>
            <w:r w:rsidR="00ED6202">
              <w:rPr>
                <w:sz w:val="20"/>
                <w:szCs w:val="20"/>
              </w:rPr>
              <w:t>691</w:t>
            </w:r>
            <w:r>
              <w:rPr>
                <w:sz w:val="20"/>
                <w:szCs w:val="20"/>
              </w:rPr>
              <w:t>)</w:t>
            </w:r>
          </w:p>
        </w:tc>
        <w:tc>
          <w:tcPr>
            <w:tcW w:w="1546" w:type="dxa"/>
          </w:tcPr>
          <w:p w14:paraId="2E4A9194" w14:textId="0057FFF3" w:rsidR="00097903" w:rsidRPr="00863EC6" w:rsidRDefault="004B308B" w:rsidP="0055153F">
            <w:pPr>
              <w:jc w:val="center"/>
              <w:rPr>
                <w:sz w:val="20"/>
                <w:szCs w:val="20"/>
              </w:rPr>
            </w:pPr>
            <w:r>
              <w:rPr>
                <w:sz w:val="20"/>
                <w:szCs w:val="20"/>
              </w:rPr>
              <w:t>(</w:t>
            </w:r>
            <w:r w:rsidR="00F92E03">
              <w:rPr>
                <w:sz w:val="20"/>
                <w:szCs w:val="20"/>
              </w:rPr>
              <w:t>895</w:t>
            </w:r>
            <w:r>
              <w:rPr>
                <w:sz w:val="20"/>
                <w:szCs w:val="20"/>
              </w:rPr>
              <w:t>)</w:t>
            </w:r>
          </w:p>
        </w:tc>
        <w:tc>
          <w:tcPr>
            <w:tcW w:w="2331" w:type="dxa"/>
          </w:tcPr>
          <w:p w14:paraId="7DBFA910" w14:textId="56E9D34F" w:rsidR="00097903" w:rsidRPr="00863EC6" w:rsidRDefault="1DEED4A0" w:rsidP="0055153F">
            <w:pPr>
              <w:jc w:val="center"/>
              <w:rPr>
                <w:sz w:val="20"/>
                <w:szCs w:val="20"/>
              </w:rPr>
            </w:pPr>
            <w:r w:rsidRPr="54F71CB4">
              <w:rPr>
                <w:sz w:val="20"/>
                <w:szCs w:val="20"/>
              </w:rPr>
              <w:t>(</w:t>
            </w:r>
            <w:r w:rsidR="00F92E03">
              <w:rPr>
                <w:sz w:val="20"/>
                <w:szCs w:val="20"/>
              </w:rPr>
              <w:t>450</w:t>
            </w:r>
            <w:r w:rsidR="3547B437" w:rsidRPr="54F71CB4">
              <w:rPr>
                <w:sz w:val="20"/>
                <w:szCs w:val="20"/>
              </w:rPr>
              <w:t>,</w:t>
            </w:r>
            <w:r w:rsidR="00F92E03">
              <w:rPr>
                <w:sz w:val="20"/>
                <w:szCs w:val="20"/>
              </w:rPr>
              <w:t>586</w:t>
            </w:r>
            <w:r w:rsidR="3547B437" w:rsidRPr="54F71CB4">
              <w:rPr>
                <w:sz w:val="20"/>
                <w:szCs w:val="20"/>
              </w:rPr>
              <w:t>)</w:t>
            </w:r>
          </w:p>
        </w:tc>
      </w:tr>
      <w:tr w:rsidR="00F92E03" w:rsidRPr="00863EC6" w14:paraId="3F5E7AC9" w14:textId="77777777" w:rsidTr="54F71CB4">
        <w:tc>
          <w:tcPr>
            <w:tcW w:w="2871" w:type="dxa"/>
          </w:tcPr>
          <w:p w14:paraId="71D44B9D" w14:textId="59EC369F" w:rsidR="00F92E03" w:rsidRPr="00863EC6" w:rsidRDefault="00F92E03" w:rsidP="0055153F">
            <w:pPr>
              <w:rPr>
                <w:sz w:val="20"/>
                <w:szCs w:val="20"/>
              </w:rPr>
            </w:pPr>
            <w:r>
              <w:rPr>
                <w:sz w:val="20"/>
                <w:szCs w:val="20"/>
              </w:rPr>
              <w:t>Adjustment following early termination</w:t>
            </w:r>
          </w:p>
        </w:tc>
        <w:tc>
          <w:tcPr>
            <w:tcW w:w="1758" w:type="dxa"/>
          </w:tcPr>
          <w:p w14:paraId="7865BFA4" w14:textId="77777777" w:rsidR="00F92E03" w:rsidRDefault="00F92E03" w:rsidP="0055153F">
            <w:pPr>
              <w:jc w:val="center"/>
              <w:rPr>
                <w:sz w:val="20"/>
                <w:szCs w:val="20"/>
              </w:rPr>
            </w:pPr>
          </w:p>
        </w:tc>
        <w:tc>
          <w:tcPr>
            <w:tcW w:w="1546" w:type="dxa"/>
          </w:tcPr>
          <w:p w14:paraId="7275EF49" w14:textId="1CC8E96F" w:rsidR="00F92E03" w:rsidRDefault="00466C0E" w:rsidP="0055153F">
            <w:pPr>
              <w:jc w:val="center"/>
              <w:rPr>
                <w:sz w:val="20"/>
                <w:szCs w:val="20"/>
              </w:rPr>
            </w:pPr>
            <w:r>
              <w:rPr>
                <w:sz w:val="20"/>
                <w:szCs w:val="20"/>
              </w:rPr>
              <w:t>396</w:t>
            </w:r>
          </w:p>
        </w:tc>
        <w:tc>
          <w:tcPr>
            <w:tcW w:w="2331" w:type="dxa"/>
          </w:tcPr>
          <w:p w14:paraId="3169B556" w14:textId="2068E539" w:rsidR="00F92E03" w:rsidRPr="54F71CB4" w:rsidRDefault="00466C0E" w:rsidP="0055153F">
            <w:pPr>
              <w:jc w:val="center"/>
              <w:rPr>
                <w:sz w:val="20"/>
                <w:szCs w:val="20"/>
              </w:rPr>
            </w:pPr>
            <w:r>
              <w:rPr>
                <w:sz w:val="20"/>
                <w:szCs w:val="20"/>
              </w:rPr>
              <w:t>396</w:t>
            </w:r>
          </w:p>
        </w:tc>
      </w:tr>
      <w:tr w:rsidR="00097903" w:rsidRPr="00863EC6" w14:paraId="0455039A" w14:textId="77777777" w:rsidTr="54F71CB4">
        <w:tc>
          <w:tcPr>
            <w:tcW w:w="2871" w:type="dxa"/>
          </w:tcPr>
          <w:p w14:paraId="09F9166A" w14:textId="77777777" w:rsidR="00097903" w:rsidRPr="00863EC6" w:rsidRDefault="00097903" w:rsidP="0055153F">
            <w:pPr>
              <w:rPr>
                <w:sz w:val="20"/>
                <w:szCs w:val="20"/>
              </w:rPr>
            </w:pPr>
            <w:r w:rsidRPr="00863EC6">
              <w:rPr>
                <w:sz w:val="20"/>
                <w:szCs w:val="20"/>
              </w:rPr>
              <w:t>Additions</w:t>
            </w:r>
          </w:p>
        </w:tc>
        <w:tc>
          <w:tcPr>
            <w:tcW w:w="1758" w:type="dxa"/>
          </w:tcPr>
          <w:p w14:paraId="33DD9B67" w14:textId="0B14990A" w:rsidR="00097903" w:rsidRPr="00863EC6" w:rsidRDefault="005F35DE" w:rsidP="0055153F">
            <w:pPr>
              <w:jc w:val="center"/>
              <w:rPr>
                <w:sz w:val="20"/>
                <w:szCs w:val="20"/>
              </w:rPr>
            </w:pPr>
            <w:r>
              <w:rPr>
                <w:sz w:val="20"/>
                <w:szCs w:val="20"/>
              </w:rPr>
              <w:t>0</w:t>
            </w:r>
          </w:p>
        </w:tc>
        <w:tc>
          <w:tcPr>
            <w:tcW w:w="1546" w:type="dxa"/>
          </w:tcPr>
          <w:p w14:paraId="579F8F6A" w14:textId="39847A01" w:rsidR="00097903" w:rsidRPr="00863EC6" w:rsidRDefault="00F92E03" w:rsidP="00097903">
            <w:pPr>
              <w:jc w:val="center"/>
              <w:rPr>
                <w:sz w:val="20"/>
                <w:szCs w:val="20"/>
              </w:rPr>
            </w:pPr>
            <w:r>
              <w:rPr>
                <w:sz w:val="20"/>
                <w:szCs w:val="20"/>
              </w:rPr>
              <w:t>(4</w:t>
            </w:r>
            <w:r w:rsidR="009B528F">
              <w:rPr>
                <w:sz w:val="20"/>
                <w:szCs w:val="20"/>
              </w:rPr>
              <w:t>,</w:t>
            </w:r>
            <w:r>
              <w:rPr>
                <w:sz w:val="20"/>
                <w:szCs w:val="20"/>
              </w:rPr>
              <w:t>152)</w:t>
            </w:r>
          </w:p>
        </w:tc>
        <w:tc>
          <w:tcPr>
            <w:tcW w:w="2331" w:type="dxa"/>
          </w:tcPr>
          <w:p w14:paraId="1F4DBCE9" w14:textId="452F0FF8" w:rsidR="00097903" w:rsidRPr="00863EC6" w:rsidRDefault="00F92E03" w:rsidP="0055153F">
            <w:pPr>
              <w:jc w:val="center"/>
              <w:rPr>
                <w:sz w:val="20"/>
                <w:szCs w:val="20"/>
              </w:rPr>
            </w:pPr>
            <w:r>
              <w:rPr>
                <w:sz w:val="20"/>
                <w:szCs w:val="20"/>
              </w:rPr>
              <w:t>(4</w:t>
            </w:r>
            <w:r w:rsidR="009B528F">
              <w:rPr>
                <w:sz w:val="20"/>
                <w:szCs w:val="20"/>
              </w:rPr>
              <w:t>,</w:t>
            </w:r>
            <w:r>
              <w:rPr>
                <w:sz w:val="20"/>
                <w:szCs w:val="20"/>
              </w:rPr>
              <w:t>152)</w:t>
            </w:r>
          </w:p>
        </w:tc>
      </w:tr>
      <w:tr w:rsidR="00097903" w:rsidRPr="00863EC6" w14:paraId="174EBC3A" w14:textId="77777777" w:rsidTr="54F71CB4">
        <w:tc>
          <w:tcPr>
            <w:tcW w:w="2871" w:type="dxa"/>
          </w:tcPr>
          <w:p w14:paraId="7D66C161" w14:textId="245E1C0E" w:rsidR="00097903" w:rsidRPr="00863EC6" w:rsidRDefault="00097903" w:rsidP="0055153F">
            <w:pPr>
              <w:rPr>
                <w:sz w:val="20"/>
                <w:szCs w:val="20"/>
              </w:rPr>
            </w:pPr>
            <w:r>
              <w:rPr>
                <w:sz w:val="20"/>
                <w:szCs w:val="20"/>
              </w:rPr>
              <w:t>Interest on lease liabilities @ 1.27%</w:t>
            </w:r>
          </w:p>
        </w:tc>
        <w:tc>
          <w:tcPr>
            <w:tcW w:w="1758" w:type="dxa"/>
          </w:tcPr>
          <w:p w14:paraId="3487F4B3" w14:textId="7FE22909" w:rsidR="00097903" w:rsidRDefault="00097903" w:rsidP="0055153F">
            <w:pPr>
              <w:jc w:val="center"/>
              <w:rPr>
                <w:sz w:val="20"/>
                <w:szCs w:val="20"/>
              </w:rPr>
            </w:pPr>
            <w:r>
              <w:rPr>
                <w:sz w:val="20"/>
                <w:szCs w:val="20"/>
              </w:rPr>
              <w:t>(</w:t>
            </w:r>
            <w:r w:rsidR="00ED6202">
              <w:rPr>
                <w:sz w:val="20"/>
                <w:szCs w:val="20"/>
              </w:rPr>
              <w:t>5</w:t>
            </w:r>
            <w:r w:rsidR="008D01FB">
              <w:rPr>
                <w:sz w:val="20"/>
                <w:szCs w:val="20"/>
              </w:rPr>
              <w:t>,</w:t>
            </w:r>
            <w:r w:rsidR="00ED6202">
              <w:rPr>
                <w:sz w:val="20"/>
                <w:szCs w:val="20"/>
              </w:rPr>
              <w:t>711</w:t>
            </w:r>
            <w:r>
              <w:rPr>
                <w:sz w:val="20"/>
                <w:szCs w:val="20"/>
              </w:rPr>
              <w:t>)</w:t>
            </w:r>
          </w:p>
          <w:p w14:paraId="6A159428" w14:textId="15E28AC5" w:rsidR="00097903" w:rsidRDefault="00097903" w:rsidP="0055153F">
            <w:pPr>
              <w:jc w:val="center"/>
              <w:rPr>
                <w:sz w:val="20"/>
                <w:szCs w:val="20"/>
              </w:rPr>
            </w:pPr>
          </w:p>
        </w:tc>
        <w:tc>
          <w:tcPr>
            <w:tcW w:w="1546" w:type="dxa"/>
          </w:tcPr>
          <w:p w14:paraId="58E1AE5A" w14:textId="7C0E1B8D" w:rsidR="00097903" w:rsidRDefault="007067EF" w:rsidP="0055153F">
            <w:pPr>
              <w:jc w:val="center"/>
              <w:rPr>
                <w:sz w:val="20"/>
                <w:szCs w:val="20"/>
              </w:rPr>
            </w:pPr>
            <w:r>
              <w:rPr>
                <w:sz w:val="20"/>
                <w:szCs w:val="20"/>
              </w:rPr>
              <w:t>3</w:t>
            </w:r>
          </w:p>
        </w:tc>
        <w:tc>
          <w:tcPr>
            <w:tcW w:w="2331" w:type="dxa"/>
          </w:tcPr>
          <w:p w14:paraId="64EA9B25" w14:textId="7262B356" w:rsidR="00097903" w:rsidRDefault="005C373A" w:rsidP="0055153F">
            <w:pPr>
              <w:jc w:val="center"/>
              <w:rPr>
                <w:sz w:val="20"/>
                <w:szCs w:val="20"/>
              </w:rPr>
            </w:pPr>
            <w:r w:rsidRPr="54F71CB4">
              <w:rPr>
                <w:sz w:val="20"/>
                <w:szCs w:val="20"/>
              </w:rPr>
              <w:t>(</w:t>
            </w:r>
            <w:r w:rsidR="00F92E03">
              <w:rPr>
                <w:sz w:val="20"/>
                <w:szCs w:val="20"/>
              </w:rPr>
              <w:t>5</w:t>
            </w:r>
            <w:r w:rsidRPr="54F71CB4">
              <w:rPr>
                <w:sz w:val="20"/>
                <w:szCs w:val="20"/>
              </w:rPr>
              <w:t>,</w:t>
            </w:r>
            <w:r w:rsidR="00F92E03">
              <w:rPr>
                <w:sz w:val="20"/>
                <w:szCs w:val="20"/>
              </w:rPr>
              <w:t>7</w:t>
            </w:r>
            <w:r w:rsidR="007067EF">
              <w:rPr>
                <w:sz w:val="20"/>
                <w:szCs w:val="20"/>
              </w:rPr>
              <w:t>08</w:t>
            </w:r>
            <w:r w:rsidRPr="54F71CB4">
              <w:rPr>
                <w:sz w:val="20"/>
                <w:szCs w:val="20"/>
              </w:rPr>
              <w:t>)</w:t>
            </w:r>
          </w:p>
        </w:tc>
      </w:tr>
      <w:tr w:rsidR="00F92E03" w:rsidRPr="00863EC6" w14:paraId="006CBDD9" w14:textId="77777777" w:rsidTr="54F71CB4">
        <w:tc>
          <w:tcPr>
            <w:tcW w:w="2871" w:type="dxa"/>
          </w:tcPr>
          <w:p w14:paraId="2E42EDD0" w14:textId="597AD254" w:rsidR="00F92E03" w:rsidRDefault="00F92E03" w:rsidP="0055153F">
            <w:pPr>
              <w:rPr>
                <w:sz w:val="20"/>
                <w:szCs w:val="20"/>
              </w:rPr>
            </w:pPr>
            <w:r>
              <w:rPr>
                <w:sz w:val="20"/>
                <w:szCs w:val="20"/>
              </w:rPr>
              <w:t>Interest on lease liability @ 4.27%</w:t>
            </w:r>
          </w:p>
        </w:tc>
        <w:tc>
          <w:tcPr>
            <w:tcW w:w="1758" w:type="dxa"/>
          </w:tcPr>
          <w:p w14:paraId="58AA1F39" w14:textId="77777777" w:rsidR="00F92E03" w:rsidRDefault="00F92E03" w:rsidP="0055153F">
            <w:pPr>
              <w:jc w:val="center"/>
              <w:rPr>
                <w:sz w:val="20"/>
                <w:szCs w:val="20"/>
              </w:rPr>
            </w:pPr>
          </w:p>
        </w:tc>
        <w:tc>
          <w:tcPr>
            <w:tcW w:w="1546" w:type="dxa"/>
          </w:tcPr>
          <w:p w14:paraId="117CC5AC" w14:textId="0236B345" w:rsidR="00F92E03" w:rsidRDefault="00F92E03" w:rsidP="0055153F">
            <w:pPr>
              <w:jc w:val="center"/>
              <w:rPr>
                <w:sz w:val="20"/>
                <w:szCs w:val="20"/>
              </w:rPr>
            </w:pPr>
            <w:r>
              <w:rPr>
                <w:sz w:val="20"/>
                <w:szCs w:val="20"/>
              </w:rPr>
              <w:t>(19</w:t>
            </w:r>
            <w:r w:rsidR="007067EF">
              <w:rPr>
                <w:sz w:val="20"/>
                <w:szCs w:val="20"/>
              </w:rPr>
              <w:t>5</w:t>
            </w:r>
            <w:r>
              <w:rPr>
                <w:sz w:val="20"/>
                <w:szCs w:val="20"/>
              </w:rPr>
              <w:t>)</w:t>
            </w:r>
          </w:p>
        </w:tc>
        <w:tc>
          <w:tcPr>
            <w:tcW w:w="2331" w:type="dxa"/>
          </w:tcPr>
          <w:p w14:paraId="7AB8038A" w14:textId="0B99E1B7" w:rsidR="00F92E03" w:rsidRPr="54F71CB4" w:rsidRDefault="00F92E03" w:rsidP="0055153F">
            <w:pPr>
              <w:jc w:val="center"/>
              <w:rPr>
                <w:sz w:val="20"/>
                <w:szCs w:val="20"/>
              </w:rPr>
            </w:pPr>
            <w:r>
              <w:rPr>
                <w:sz w:val="20"/>
                <w:szCs w:val="20"/>
              </w:rPr>
              <w:t>(19</w:t>
            </w:r>
            <w:r w:rsidR="007067EF">
              <w:rPr>
                <w:sz w:val="20"/>
                <w:szCs w:val="20"/>
              </w:rPr>
              <w:t>5</w:t>
            </w:r>
            <w:r>
              <w:rPr>
                <w:sz w:val="20"/>
                <w:szCs w:val="20"/>
              </w:rPr>
              <w:t>)</w:t>
            </w:r>
          </w:p>
        </w:tc>
      </w:tr>
      <w:tr w:rsidR="00097903" w:rsidRPr="00863EC6" w14:paraId="30554455" w14:textId="77777777" w:rsidTr="54F71CB4">
        <w:tc>
          <w:tcPr>
            <w:tcW w:w="2871" w:type="dxa"/>
          </w:tcPr>
          <w:p w14:paraId="7E339509" w14:textId="0FCCFE59" w:rsidR="00097903" w:rsidRPr="00863EC6" w:rsidRDefault="00097903" w:rsidP="0055153F">
            <w:pPr>
              <w:rPr>
                <w:sz w:val="20"/>
                <w:szCs w:val="20"/>
              </w:rPr>
            </w:pPr>
            <w:r>
              <w:rPr>
                <w:sz w:val="20"/>
                <w:szCs w:val="20"/>
              </w:rPr>
              <w:t>Cash Payment</w:t>
            </w:r>
          </w:p>
        </w:tc>
        <w:tc>
          <w:tcPr>
            <w:tcW w:w="1758" w:type="dxa"/>
          </w:tcPr>
          <w:p w14:paraId="1BE97F0C" w14:textId="10A32710" w:rsidR="00097903" w:rsidRDefault="008D01FB" w:rsidP="0055153F">
            <w:pPr>
              <w:jc w:val="center"/>
              <w:rPr>
                <w:sz w:val="20"/>
                <w:szCs w:val="20"/>
              </w:rPr>
            </w:pPr>
            <w:r>
              <w:rPr>
                <w:sz w:val="20"/>
                <w:szCs w:val="20"/>
              </w:rPr>
              <w:t>78,768</w:t>
            </w:r>
          </w:p>
        </w:tc>
        <w:tc>
          <w:tcPr>
            <w:tcW w:w="1546" w:type="dxa"/>
          </w:tcPr>
          <w:p w14:paraId="67BB9DBD" w14:textId="4981637E" w:rsidR="00097903" w:rsidRDefault="00F92E03" w:rsidP="0055153F">
            <w:pPr>
              <w:jc w:val="center"/>
              <w:rPr>
                <w:sz w:val="20"/>
                <w:szCs w:val="20"/>
              </w:rPr>
            </w:pPr>
            <w:r>
              <w:rPr>
                <w:sz w:val="20"/>
                <w:szCs w:val="20"/>
              </w:rPr>
              <w:t>1</w:t>
            </w:r>
            <w:r w:rsidR="009B528F">
              <w:rPr>
                <w:sz w:val="20"/>
                <w:szCs w:val="20"/>
              </w:rPr>
              <w:t>,</w:t>
            </w:r>
            <w:r>
              <w:rPr>
                <w:sz w:val="20"/>
                <w:szCs w:val="20"/>
              </w:rPr>
              <w:t>014</w:t>
            </w:r>
          </w:p>
        </w:tc>
        <w:tc>
          <w:tcPr>
            <w:tcW w:w="2331" w:type="dxa"/>
          </w:tcPr>
          <w:p w14:paraId="239F4636" w14:textId="6C174200" w:rsidR="00097903" w:rsidRDefault="00CC54C1" w:rsidP="0055153F">
            <w:pPr>
              <w:jc w:val="center"/>
              <w:rPr>
                <w:sz w:val="20"/>
                <w:szCs w:val="20"/>
              </w:rPr>
            </w:pPr>
            <w:r>
              <w:rPr>
                <w:sz w:val="20"/>
                <w:szCs w:val="20"/>
              </w:rPr>
              <w:t>79,7</w:t>
            </w:r>
            <w:r w:rsidR="00F92E03">
              <w:rPr>
                <w:sz w:val="20"/>
                <w:szCs w:val="20"/>
              </w:rPr>
              <w:t>82</w:t>
            </w:r>
          </w:p>
        </w:tc>
      </w:tr>
      <w:tr w:rsidR="00097903" w:rsidRPr="00863EC6" w14:paraId="63CA53E4" w14:textId="77777777" w:rsidTr="54F71CB4">
        <w:tc>
          <w:tcPr>
            <w:tcW w:w="2871" w:type="dxa"/>
          </w:tcPr>
          <w:p w14:paraId="4C77CCF6" w14:textId="2E85A576" w:rsidR="00097903" w:rsidRPr="00863EC6" w:rsidRDefault="00097903" w:rsidP="0055153F">
            <w:pPr>
              <w:rPr>
                <w:sz w:val="20"/>
                <w:szCs w:val="20"/>
              </w:rPr>
            </w:pPr>
            <w:r w:rsidRPr="00863EC6">
              <w:rPr>
                <w:sz w:val="20"/>
                <w:szCs w:val="20"/>
              </w:rPr>
              <w:t xml:space="preserve">At </w:t>
            </w:r>
            <w:r>
              <w:rPr>
                <w:sz w:val="20"/>
                <w:szCs w:val="20"/>
              </w:rPr>
              <w:t>31 March 202</w:t>
            </w:r>
            <w:r w:rsidR="00466C0E">
              <w:rPr>
                <w:sz w:val="20"/>
                <w:szCs w:val="20"/>
              </w:rPr>
              <w:t>5</w:t>
            </w:r>
          </w:p>
        </w:tc>
        <w:tc>
          <w:tcPr>
            <w:tcW w:w="1758" w:type="dxa"/>
            <w:tcBorders>
              <w:top w:val="single" w:sz="4" w:space="0" w:color="auto"/>
              <w:bottom w:val="single" w:sz="4" w:space="0" w:color="auto"/>
            </w:tcBorders>
          </w:tcPr>
          <w:p w14:paraId="2AFEE50A" w14:textId="0C9922CC" w:rsidR="00097903" w:rsidRPr="00863EC6" w:rsidRDefault="00097903" w:rsidP="0055153F">
            <w:pPr>
              <w:jc w:val="center"/>
              <w:rPr>
                <w:sz w:val="20"/>
                <w:szCs w:val="20"/>
              </w:rPr>
            </w:pPr>
            <w:r>
              <w:rPr>
                <w:sz w:val="20"/>
                <w:szCs w:val="20"/>
              </w:rPr>
              <w:t>(</w:t>
            </w:r>
            <w:r w:rsidR="00F92E03">
              <w:rPr>
                <w:sz w:val="20"/>
                <w:szCs w:val="20"/>
              </w:rPr>
              <w:t>376</w:t>
            </w:r>
            <w:r w:rsidR="008D01FB">
              <w:rPr>
                <w:sz w:val="20"/>
                <w:szCs w:val="20"/>
              </w:rPr>
              <w:t>,</w:t>
            </w:r>
            <w:r w:rsidR="00F92E03">
              <w:rPr>
                <w:sz w:val="20"/>
                <w:szCs w:val="20"/>
              </w:rPr>
              <w:t>634</w:t>
            </w:r>
            <w:r>
              <w:rPr>
                <w:sz w:val="20"/>
                <w:szCs w:val="20"/>
              </w:rPr>
              <w:t>)</w:t>
            </w:r>
          </w:p>
        </w:tc>
        <w:tc>
          <w:tcPr>
            <w:tcW w:w="1546" w:type="dxa"/>
            <w:tcBorders>
              <w:top w:val="single" w:sz="4" w:space="0" w:color="auto"/>
              <w:bottom w:val="single" w:sz="4" w:space="0" w:color="auto"/>
            </w:tcBorders>
          </w:tcPr>
          <w:p w14:paraId="0FA58B26" w14:textId="2BA08E57" w:rsidR="00097903" w:rsidRPr="00863EC6" w:rsidRDefault="00097903" w:rsidP="0055153F">
            <w:pPr>
              <w:jc w:val="center"/>
              <w:rPr>
                <w:sz w:val="20"/>
                <w:szCs w:val="20"/>
              </w:rPr>
            </w:pPr>
            <w:r>
              <w:rPr>
                <w:sz w:val="20"/>
                <w:szCs w:val="20"/>
              </w:rPr>
              <w:t>(</w:t>
            </w:r>
            <w:r w:rsidR="00F92E03">
              <w:rPr>
                <w:sz w:val="20"/>
                <w:szCs w:val="20"/>
              </w:rPr>
              <w:t>3</w:t>
            </w:r>
            <w:r w:rsidR="009B528F">
              <w:rPr>
                <w:sz w:val="20"/>
                <w:szCs w:val="20"/>
              </w:rPr>
              <w:t>,</w:t>
            </w:r>
            <w:r w:rsidR="00F92E03">
              <w:rPr>
                <w:sz w:val="20"/>
                <w:szCs w:val="20"/>
              </w:rPr>
              <w:t>829</w:t>
            </w:r>
            <w:r>
              <w:rPr>
                <w:sz w:val="20"/>
                <w:szCs w:val="20"/>
              </w:rPr>
              <w:t>)</w:t>
            </w:r>
          </w:p>
        </w:tc>
        <w:tc>
          <w:tcPr>
            <w:tcW w:w="2331" w:type="dxa"/>
            <w:tcBorders>
              <w:top w:val="single" w:sz="4" w:space="0" w:color="auto"/>
              <w:bottom w:val="single" w:sz="4" w:space="0" w:color="auto"/>
            </w:tcBorders>
          </w:tcPr>
          <w:p w14:paraId="5CD7F477" w14:textId="3C0C769C" w:rsidR="00097903" w:rsidRPr="00863EC6" w:rsidRDefault="00775CA7" w:rsidP="0055153F">
            <w:pPr>
              <w:jc w:val="center"/>
              <w:rPr>
                <w:sz w:val="20"/>
                <w:szCs w:val="20"/>
              </w:rPr>
            </w:pPr>
            <w:r w:rsidRPr="54F71CB4">
              <w:rPr>
                <w:sz w:val="20"/>
                <w:szCs w:val="20"/>
              </w:rPr>
              <w:t>(</w:t>
            </w:r>
            <w:r w:rsidR="009B528F">
              <w:rPr>
                <w:sz w:val="20"/>
                <w:szCs w:val="20"/>
              </w:rPr>
              <w:t>380</w:t>
            </w:r>
            <w:r w:rsidR="00A83734" w:rsidRPr="54F71CB4">
              <w:rPr>
                <w:sz w:val="20"/>
                <w:szCs w:val="20"/>
              </w:rPr>
              <w:t>,</w:t>
            </w:r>
            <w:r w:rsidR="009B528F">
              <w:rPr>
                <w:sz w:val="20"/>
                <w:szCs w:val="20"/>
              </w:rPr>
              <w:t>463</w:t>
            </w:r>
            <w:r w:rsidRPr="54F71CB4">
              <w:rPr>
                <w:sz w:val="20"/>
                <w:szCs w:val="20"/>
              </w:rPr>
              <w:t>)</w:t>
            </w:r>
          </w:p>
        </w:tc>
      </w:tr>
      <w:tr w:rsidR="004520CE" w:rsidRPr="00F82840" w14:paraId="18D79ABB" w14:textId="77777777" w:rsidTr="54F71CB4">
        <w:tc>
          <w:tcPr>
            <w:tcW w:w="8506" w:type="dxa"/>
            <w:gridSpan w:val="4"/>
          </w:tcPr>
          <w:p w14:paraId="2D2A130F" w14:textId="77777777" w:rsidR="004520CE" w:rsidRDefault="004520CE" w:rsidP="004520CE">
            <w:pPr>
              <w:rPr>
                <w:b/>
                <w:bCs/>
                <w:sz w:val="20"/>
                <w:szCs w:val="20"/>
              </w:rPr>
            </w:pPr>
          </w:p>
          <w:p w14:paraId="36313554" w14:textId="3222A4DF" w:rsidR="004520CE" w:rsidRPr="00F7114B" w:rsidRDefault="004520CE" w:rsidP="004520CE">
            <w:pPr>
              <w:rPr>
                <w:b/>
                <w:bCs/>
                <w:sz w:val="20"/>
                <w:szCs w:val="20"/>
              </w:rPr>
            </w:pPr>
            <w:r w:rsidRPr="004520CE">
              <w:rPr>
                <w:b/>
                <w:bCs/>
                <w:sz w:val="20"/>
                <w:szCs w:val="20"/>
              </w:rPr>
              <w:t>Total future lease payments under leases are given in the table below for each of the following periods:</w:t>
            </w:r>
          </w:p>
        </w:tc>
      </w:tr>
      <w:tr w:rsidR="00097903" w14:paraId="7B620B2C" w14:textId="77777777" w:rsidTr="54F71CB4">
        <w:tc>
          <w:tcPr>
            <w:tcW w:w="2871" w:type="dxa"/>
          </w:tcPr>
          <w:p w14:paraId="2257A8CA" w14:textId="77777777" w:rsidR="00097903" w:rsidRPr="00F82840" w:rsidRDefault="00097903" w:rsidP="0055153F">
            <w:pPr>
              <w:rPr>
                <w:sz w:val="20"/>
                <w:szCs w:val="20"/>
              </w:rPr>
            </w:pPr>
            <w:r>
              <w:rPr>
                <w:sz w:val="20"/>
                <w:szCs w:val="20"/>
              </w:rPr>
              <w:t>No later than one year</w:t>
            </w:r>
          </w:p>
        </w:tc>
        <w:tc>
          <w:tcPr>
            <w:tcW w:w="1758" w:type="dxa"/>
            <w:tcBorders>
              <w:top w:val="single" w:sz="4" w:space="0" w:color="auto"/>
              <w:bottom w:val="single" w:sz="4" w:space="0" w:color="auto"/>
            </w:tcBorders>
          </w:tcPr>
          <w:p w14:paraId="17F31158" w14:textId="77777777" w:rsidR="00097903" w:rsidRDefault="00097903" w:rsidP="0055153F">
            <w:pPr>
              <w:jc w:val="center"/>
              <w:rPr>
                <w:sz w:val="20"/>
                <w:szCs w:val="20"/>
              </w:rPr>
            </w:pPr>
          </w:p>
          <w:p w14:paraId="62ED2D24" w14:textId="6B775CAE" w:rsidR="00097903" w:rsidRDefault="004520CE" w:rsidP="0055153F">
            <w:pPr>
              <w:jc w:val="center"/>
              <w:rPr>
                <w:sz w:val="20"/>
                <w:szCs w:val="20"/>
              </w:rPr>
            </w:pPr>
            <w:r>
              <w:rPr>
                <w:sz w:val="20"/>
                <w:szCs w:val="20"/>
              </w:rPr>
              <w:t>(</w:t>
            </w:r>
            <w:r w:rsidR="00CC54C1">
              <w:rPr>
                <w:sz w:val="20"/>
                <w:szCs w:val="20"/>
              </w:rPr>
              <w:t>7</w:t>
            </w:r>
            <w:r w:rsidR="004B308B">
              <w:rPr>
                <w:sz w:val="20"/>
                <w:szCs w:val="20"/>
              </w:rPr>
              <w:t>3</w:t>
            </w:r>
            <w:r w:rsidR="00CC54C1">
              <w:rPr>
                <w:sz w:val="20"/>
                <w:szCs w:val="20"/>
              </w:rPr>
              <w:t>,</w:t>
            </w:r>
            <w:r w:rsidR="004A3141">
              <w:rPr>
                <w:sz w:val="20"/>
                <w:szCs w:val="20"/>
              </w:rPr>
              <w:t>985</w:t>
            </w:r>
            <w:r>
              <w:rPr>
                <w:sz w:val="20"/>
                <w:szCs w:val="20"/>
              </w:rPr>
              <w:t>)</w:t>
            </w:r>
          </w:p>
        </w:tc>
        <w:tc>
          <w:tcPr>
            <w:tcW w:w="1546" w:type="dxa"/>
            <w:tcBorders>
              <w:top w:val="single" w:sz="4" w:space="0" w:color="auto"/>
              <w:bottom w:val="single" w:sz="4" w:space="0" w:color="auto"/>
            </w:tcBorders>
          </w:tcPr>
          <w:p w14:paraId="3FE9A58E" w14:textId="77777777" w:rsidR="00097903" w:rsidRDefault="00097903" w:rsidP="0055153F">
            <w:pPr>
              <w:jc w:val="center"/>
              <w:rPr>
                <w:sz w:val="20"/>
                <w:szCs w:val="20"/>
              </w:rPr>
            </w:pPr>
          </w:p>
          <w:p w14:paraId="01810C82" w14:textId="7F965ABD" w:rsidR="00097903" w:rsidRDefault="004520CE" w:rsidP="0055153F">
            <w:pPr>
              <w:jc w:val="center"/>
              <w:rPr>
                <w:sz w:val="20"/>
                <w:szCs w:val="20"/>
              </w:rPr>
            </w:pPr>
            <w:r>
              <w:rPr>
                <w:sz w:val="20"/>
                <w:szCs w:val="20"/>
              </w:rPr>
              <w:t>(</w:t>
            </w:r>
            <w:r w:rsidR="004A3141">
              <w:rPr>
                <w:sz w:val="20"/>
                <w:szCs w:val="20"/>
              </w:rPr>
              <w:t>791</w:t>
            </w:r>
            <w:r w:rsidR="004B308B">
              <w:rPr>
                <w:sz w:val="20"/>
                <w:szCs w:val="20"/>
              </w:rPr>
              <w:t>)</w:t>
            </w:r>
          </w:p>
        </w:tc>
        <w:tc>
          <w:tcPr>
            <w:tcW w:w="2331" w:type="dxa"/>
            <w:tcBorders>
              <w:top w:val="single" w:sz="4" w:space="0" w:color="auto"/>
              <w:bottom w:val="single" w:sz="4" w:space="0" w:color="auto"/>
            </w:tcBorders>
          </w:tcPr>
          <w:p w14:paraId="4EC99B7C" w14:textId="77777777" w:rsidR="00097903" w:rsidRDefault="00097903" w:rsidP="0055153F">
            <w:pPr>
              <w:jc w:val="center"/>
              <w:rPr>
                <w:sz w:val="20"/>
                <w:szCs w:val="20"/>
              </w:rPr>
            </w:pPr>
          </w:p>
          <w:p w14:paraId="275ED019" w14:textId="0FAB1D73" w:rsidR="00097903" w:rsidRDefault="004520CE" w:rsidP="0055153F">
            <w:pPr>
              <w:jc w:val="center"/>
              <w:rPr>
                <w:sz w:val="20"/>
                <w:szCs w:val="20"/>
              </w:rPr>
            </w:pPr>
            <w:r>
              <w:rPr>
                <w:sz w:val="20"/>
                <w:szCs w:val="20"/>
              </w:rPr>
              <w:t>(</w:t>
            </w:r>
            <w:r w:rsidR="00CC54C1">
              <w:rPr>
                <w:sz w:val="20"/>
                <w:szCs w:val="20"/>
              </w:rPr>
              <w:t>7</w:t>
            </w:r>
            <w:r w:rsidR="009B528F">
              <w:rPr>
                <w:sz w:val="20"/>
                <w:szCs w:val="20"/>
              </w:rPr>
              <w:t>4</w:t>
            </w:r>
            <w:r w:rsidR="00CC54C1">
              <w:rPr>
                <w:sz w:val="20"/>
                <w:szCs w:val="20"/>
              </w:rPr>
              <w:t>,</w:t>
            </w:r>
            <w:r w:rsidR="009B528F">
              <w:rPr>
                <w:sz w:val="20"/>
                <w:szCs w:val="20"/>
              </w:rPr>
              <w:t>776</w:t>
            </w:r>
            <w:r>
              <w:rPr>
                <w:sz w:val="20"/>
                <w:szCs w:val="20"/>
              </w:rPr>
              <w:t>)</w:t>
            </w:r>
          </w:p>
        </w:tc>
      </w:tr>
      <w:tr w:rsidR="00097903" w14:paraId="216E92E0" w14:textId="77777777" w:rsidTr="54F71CB4">
        <w:tc>
          <w:tcPr>
            <w:tcW w:w="2871" w:type="dxa"/>
          </w:tcPr>
          <w:p w14:paraId="7B538ABF" w14:textId="77777777" w:rsidR="00097903" w:rsidRPr="00F82840" w:rsidRDefault="00097903" w:rsidP="0055153F">
            <w:pPr>
              <w:rPr>
                <w:sz w:val="20"/>
                <w:szCs w:val="20"/>
              </w:rPr>
            </w:pPr>
            <w:r>
              <w:rPr>
                <w:sz w:val="20"/>
                <w:szCs w:val="20"/>
              </w:rPr>
              <w:t>Later than one year and not later than five years</w:t>
            </w:r>
          </w:p>
        </w:tc>
        <w:tc>
          <w:tcPr>
            <w:tcW w:w="1758" w:type="dxa"/>
            <w:tcBorders>
              <w:top w:val="single" w:sz="4" w:space="0" w:color="auto"/>
              <w:bottom w:val="single" w:sz="4" w:space="0" w:color="auto"/>
            </w:tcBorders>
          </w:tcPr>
          <w:p w14:paraId="4EFEB3A7" w14:textId="77777777" w:rsidR="00097903" w:rsidRDefault="00097903" w:rsidP="0055153F">
            <w:pPr>
              <w:jc w:val="center"/>
              <w:rPr>
                <w:sz w:val="20"/>
                <w:szCs w:val="20"/>
              </w:rPr>
            </w:pPr>
          </w:p>
          <w:p w14:paraId="1C3EE7A9" w14:textId="77777777" w:rsidR="00097903" w:rsidRDefault="00097903" w:rsidP="0055153F">
            <w:pPr>
              <w:jc w:val="center"/>
              <w:rPr>
                <w:sz w:val="20"/>
                <w:szCs w:val="20"/>
              </w:rPr>
            </w:pPr>
          </w:p>
          <w:p w14:paraId="3449F7A4" w14:textId="4BDF9A4C" w:rsidR="00097903" w:rsidRDefault="004520CE" w:rsidP="0055153F">
            <w:pPr>
              <w:jc w:val="center"/>
              <w:rPr>
                <w:sz w:val="20"/>
                <w:szCs w:val="20"/>
              </w:rPr>
            </w:pPr>
            <w:r>
              <w:rPr>
                <w:sz w:val="20"/>
                <w:szCs w:val="20"/>
              </w:rPr>
              <w:t>(</w:t>
            </w:r>
            <w:r w:rsidR="004B308B">
              <w:rPr>
                <w:sz w:val="20"/>
                <w:szCs w:val="20"/>
              </w:rPr>
              <w:t>30</w:t>
            </w:r>
            <w:r w:rsidR="004A3141">
              <w:rPr>
                <w:sz w:val="20"/>
                <w:szCs w:val="20"/>
              </w:rPr>
              <w:t>2</w:t>
            </w:r>
            <w:r w:rsidR="00CC54C1">
              <w:rPr>
                <w:sz w:val="20"/>
                <w:szCs w:val="20"/>
              </w:rPr>
              <w:t>,</w:t>
            </w:r>
            <w:r w:rsidR="004B308B">
              <w:rPr>
                <w:sz w:val="20"/>
                <w:szCs w:val="20"/>
              </w:rPr>
              <w:t>6</w:t>
            </w:r>
            <w:r w:rsidR="004A3141">
              <w:rPr>
                <w:sz w:val="20"/>
                <w:szCs w:val="20"/>
              </w:rPr>
              <w:t>49</w:t>
            </w:r>
            <w:r>
              <w:rPr>
                <w:sz w:val="20"/>
                <w:szCs w:val="20"/>
              </w:rPr>
              <w:t>)</w:t>
            </w:r>
          </w:p>
        </w:tc>
        <w:tc>
          <w:tcPr>
            <w:tcW w:w="1546" w:type="dxa"/>
            <w:tcBorders>
              <w:top w:val="single" w:sz="4" w:space="0" w:color="auto"/>
              <w:bottom w:val="single" w:sz="4" w:space="0" w:color="auto"/>
            </w:tcBorders>
          </w:tcPr>
          <w:p w14:paraId="14AE1FBA" w14:textId="77777777" w:rsidR="00097903" w:rsidRDefault="00097903" w:rsidP="0055153F">
            <w:pPr>
              <w:jc w:val="center"/>
              <w:rPr>
                <w:sz w:val="20"/>
                <w:szCs w:val="20"/>
              </w:rPr>
            </w:pPr>
          </w:p>
          <w:p w14:paraId="7703F18B" w14:textId="77777777" w:rsidR="00097903" w:rsidRDefault="00097903" w:rsidP="0055153F">
            <w:pPr>
              <w:jc w:val="center"/>
              <w:rPr>
                <w:sz w:val="20"/>
                <w:szCs w:val="20"/>
              </w:rPr>
            </w:pPr>
          </w:p>
          <w:p w14:paraId="6D564C91" w14:textId="38E22E41" w:rsidR="00097903" w:rsidRDefault="004A3141" w:rsidP="0055153F">
            <w:pPr>
              <w:jc w:val="center"/>
              <w:rPr>
                <w:sz w:val="20"/>
                <w:szCs w:val="20"/>
              </w:rPr>
            </w:pPr>
            <w:r>
              <w:rPr>
                <w:sz w:val="20"/>
                <w:szCs w:val="20"/>
              </w:rPr>
              <w:t>(3,03</w:t>
            </w:r>
            <w:r w:rsidR="009B528F">
              <w:rPr>
                <w:sz w:val="20"/>
                <w:szCs w:val="20"/>
              </w:rPr>
              <w:t>8</w:t>
            </w:r>
            <w:r>
              <w:rPr>
                <w:sz w:val="20"/>
                <w:szCs w:val="20"/>
              </w:rPr>
              <w:t>)</w:t>
            </w:r>
          </w:p>
        </w:tc>
        <w:tc>
          <w:tcPr>
            <w:tcW w:w="2331" w:type="dxa"/>
            <w:tcBorders>
              <w:top w:val="single" w:sz="4" w:space="0" w:color="auto"/>
              <w:bottom w:val="single" w:sz="4" w:space="0" w:color="auto"/>
            </w:tcBorders>
          </w:tcPr>
          <w:p w14:paraId="22C4463F" w14:textId="77777777" w:rsidR="00097903" w:rsidRDefault="00097903" w:rsidP="0055153F">
            <w:pPr>
              <w:jc w:val="center"/>
              <w:rPr>
                <w:sz w:val="20"/>
                <w:szCs w:val="20"/>
              </w:rPr>
            </w:pPr>
          </w:p>
          <w:p w14:paraId="5EC7A432" w14:textId="77777777" w:rsidR="00097903" w:rsidRDefault="00097903" w:rsidP="0055153F">
            <w:pPr>
              <w:jc w:val="center"/>
              <w:rPr>
                <w:sz w:val="20"/>
                <w:szCs w:val="20"/>
              </w:rPr>
            </w:pPr>
          </w:p>
          <w:p w14:paraId="2BF2ECAE" w14:textId="7AB8078F" w:rsidR="00097903" w:rsidRDefault="004520CE" w:rsidP="0055153F">
            <w:pPr>
              <w:jc w:val="center"/>
              <w:rPr>
                <w:sz w:val="20"/>
                <w:szCs w:val="20"/>
              </w:rPr>
            </w:pPr>
            <w:r>
              <w:rPr>
                <w:sz w:val="20"/>
                <w:szCs w:val="20"/>
              </w:rPr>
              <w:t>(</w:t>
            </w:r>
            <w:r w:rsidR="004B308B">
              <w:rPr>
                <w:sz w:val="20"/>
                <w:szCs w:val="20"/>
              </w:rPr>
              <w:t>30</w:t>
            </w:r>
            <w:r w:rsidR="009B528F">
              <w:rPr>
                <w:sz w:val="20"/>
                <w:szCs w:val="20"/>
              </w:rPr>
              <w:t>5</w:t>
            </w:r>
            <w:r w:rsidR="004B308B">
              <w:rPr>
                <w:sz w:val="20"/>
                <w:szCs w:val="20"/>
              </w:rPr>
              <w:t>,6</w:t>
            </w:r>
            <w:r w:rsidR="009B528F">
              <w:rPr>
                <w:sz w:val="20"/>
                <w:szCs w:val="20"/>
              </w:rPr>
              <w:t>87</w:t>
            </w:r>
            <w:r>
              <w:rPr>
                <w:sz w:val="20"/>
                <w:szCs w:val="20"/>
              </w:rPr>
              <w:t>)</w:t>
            </w:r>
          </w:p>
        </w:tc>
      </w:tr>
      <w:tr w:rsidR="00097903" w14:paraId="31B12B4E" w14:textId="77777777" w:rsidTr="54F71CB4">
        <w:tc>
          <w:tcPr>
            <w:tcW w:w="2871" w:type="dxa"/>
          </w:tcPr>
          <w:p w14:paraId="2A054FAD" w14:textId="77777777" w:rsidR="00097903" w:rsidRDefault="00097903" w:rsidP="0055153F">
            <w:pPr>
              <w:rPr>
                <w:sz w:val="20"/>
                <w:szCs w:val="20"/>
              </w:rPr>
            </w:pPr>
            <w:r>
              <w:rPr>
                <w:sz w:val="20"/>
                <w:szCs w:val="20"/>
              </w:rPr>
              <w:t>Later than five years</w:t>
            </w:r>
          </w:p>
          <w:p w14:paraId="28CE7172" w14:textId="77777777" w:rsidR="00097903" w:rsidRPr="00F82840" w:rsidRDefault="00097903" w:rsidP="0055153F">
            <w:pPr>
              <w:rPr>
                <w:sz w:val="20"/>
                <w:szCs w:val="20"/>
              </w:rPr>
            </w:pPr>
          </w:p>
        </w:tc>
        <w:tc>
          <w:tcPr>
            <w:tcW w:w="1758" w:type="dxa"/>
            <w:tcBorders>
              <w:top w:val="single" w:sz="4" w:space="0" w:color="auto"/>
              <w:bottom w:val="single" w:sz="4" w:space="0" w:color="auto"/>
            </w:tcBorders>
          </w:tcPr>
          <w:p w14:paraId="12E2F4D7" w14:textId="77777777" w:rsidR="00097903" w:rsidRDefault="00097903" w:rsidP="0055153F">
            <w:pPr>
              <w:jc w:val="center"/>
              <w:rPr>
                <w:sz w:val="20"/>
                <w:szCs w:val="20"/>
              </w:rPr>
            </w:pPr>
          </w:p>
          <w:p w14:paraId="27D78817" w14:textId="47C95DE3" w:rsidR="00097903" w:rsidRDefault="004A3141" w:rsidP="0055153F">
            <w:pPr>
              <w:jc w:val="center"/>
              <w:rPr>
                <w:sz w:val="20"/>
                <w:szCs w:val="20"/>
              </w:rPr>
            </w:pPr>
            <w:r>
              <w:rPr>
                <w:sz w:val="20"/>
                <w:szCs w:val="20"/>
              </w:rPr>
              <w:t>0</w:t>
            </w:r>
          </w:p>
        </w:tc>
        <w:tc>
          <w:tcPr>
            <w:tcW w:w="1546" w:type="dxa"/>
            <w:tcBorders>
              <w:top w:val="single" w:sz="4" w:space="0" w:color="auto"/>
              <w:bottom w:val="single" w:sz="4" w:space="0" w:color="auto"/>
            </w:tcBorders>
          </w:tcPr>
          <w:p w14:paraId="128CA5BD" w14:textId="77777777" w:rsidR="00097903" w:rsidRDefault="00097903" w:rsidP="0055153F">
            <w:pPr>
              <w:jc w:val="center"/>
              <w:rPr>
                <w:sz w:val="20"/>
                <w:szCs w:val="20"/>
              </w:rPr>
            </w:pPr>
          </w:p>
          <w:p w14:paraId="38BEECCC" w14:textId="77777777" w:rsidR="00097903" w:rsidRDefault="00097903" w:rsidP="0055153F">
            <w:pPr>
              <w:jc w:val="center"/>
              <w:rPr>
                <w:sz w:val="20"/>
                <w:szCs w:val="20"/>
              </w:rPr>
            </w:pPr>
            <w:r>
              <w:rPr>
                <w:sz w:val="20"/>
                <w:szCs w:val="20"/>
              </w:rPr>
              <w:t>0</w:t>
            </w:r>
          </w:p>
        </w:tc>
        <w:tc>
          <w:tcPr>
            <w:tcW w:w="2331" w:type="dxa"/>
            <w:tcBorders>
              <w:top w:val="single" w:sz="4" w:space="0" w:color="auto"/>
              <w:bottom w:val="single" w:sz="4" w:space="0" w:color="auto"/>
            </w:tcBorders>
          </w:tcPr>
          <w:p w14:paraId="0F8F1D3D" w14:textId="77777777" w:rsidR="00097903" w:rsidRDefault="00097903" w:rsidP="0055153F">
            <w:pPr>
              <w:jc w:val="center"/>
              <w:rPr>
                <w:sz w:val="20"/>
                <w:szCs w:val="20"/>
              </w:rPr>
            </w:pPr>
          </w:p>
          <w:p w14:paraId="00615972" w14:textId="4FDF6C86" w:rsidR="00097903" w:rsidRDefault="009B528F" w:rsidP="0055153F">
            <w:pPr>
              <w:jc w:val="center"/>
              <w:rPr>
                <w:sz w:val="20"/>
                <w:szCs w:val="20"/>
              </w:rPr>
            </w:pPr>
            <w:r>
              <w:rPr>
                <w:sz w:val="20"/>
                <w:szCs w:val="20"/>
              </w:rPr>
              <w:t>0</w:t>
            </w:r>
          </w:p>
        </w:tc>
      </w:tr>
      <w:tr w:rsidR="004520CE" w:rsidRPr="00F82840" w14:paraId="531C615E" w14:textId="77777777" w:rsidTr="54F71CB4">
        <w:tc>
          <w:tcPr>
            <w:tcW w:w="2871" w:type="dxa"/>
          </w:tcPr>
          <w:p w14:paraId="2527A58C" w14:textId="0C702254" w:rsidR="004520CE" w:rsidRPr="004520CE" w:rsidRDefault="004520CE" w:rsidP="0055153F">
            <w:pPr>
              <w:rPr>
                <w:b/>
                <w:bCs/>
                <w:sz w:val="20"/>
                <w:szCs w:val="20"/>
              </w:rPr>
            </w:pPr>
            <w:r w:rsidRPr="004520CE">
              <w:rPr>
                <w:b/>
                <w:bCs/>
                <w:sz w:val="20"/>
                <w:szCs w:val="20"/>
              </w:rPr>
              <w:t>Balance at 31 March 202</w:t>
            </w:r>
            <w:r w:rsidR="00466C0E">
              <w:rPr>
                <w:b/>
                <w:bCs/>
                <w:sz w:val="20"/>
                <w:szCs w:val="20"/>
              </w:rPr>
              <w:t>5</w:t>
            </w:r>
          </w:p>
        </w:tc>
        <w:tc>
          <w:tcPr>
            <w:tcW w:w="1758" w:type="dxa"/>
            <w:tcBorders>
              <w:top w:val="single" w:sz="4" w:space="0" w:color="auto"/>
              <w:bottom w:val="single" w:sz="4" w:space="0" w:color="auto"/>
            </w:tcBorders>
          </w:tcPr>
          <w:p w14:paraId="7D06A0FB" w14:textId="77777777" w:rsidR="004520CE" w:rsidRDefault="004520CE" w:rsidP="004520CE">
            <w:pPr>
              <w:rPr>
                <w:sz w:val="20"/>
                <w:szCs w:val="20"/>
              </w:rPr>
            </w:pPr>
          </w:p>
          <w:p w14:paraId="025AB513" w14:textId="0683C32D" w:rsidR="004520CE" w:rsidRPr="00F82840" w:rsidRDefault="004520CE" w:rsidP="0055153F">
            <w:pPr>
              <w:jc w:val="center"/>
              <w:rPr>
                <w:sz w:val="20"/>
                <w:szCs w:val="20"/>
              </w:rPr>
            </w:pPr>
            <w:r>
              <w:rPr>
                <w:sz w:val="20"/>
                <w:szCs w:val="20"/>
              </w:rPr>
              <w:t>(</w:t>
            </w:r>
            <w:r w:rsidR="004A3141">
              <w:rPr>
                <w:sz w:val="20"/>
                <w:szCs w:val="20"/>
              </w:rPr>
              <w:t>376</w:t>
            </w:r>
            <w:r w:rsidR="00CC54C1">
              <w:rPr>
                <w:sz w:val="20"/>
                <w:szCs w:val="20"/>
              </w:rPr>
              <w:t>,</w:t>
            </w:r>
            <w:r w:rsidR="004A3141">
              <w:rPr>
                <w:sz w:val="20"/>
                <w:szCs w:val="20"/>
              </w:rPr>
              <w:t>634</w:t>
            </w:r>
            <w:r>
              <w:rPr>
                <w:sz w:val="20"/>
                <w:szCs w:val="20"/>
              </w:rPr>
              <w:t>)</w:t>
            </w:r>
          </w:p>
        </w:tc>
        <w:tc>
          <w:tcPr>
            <w:tcW w:w="1546" w:type="dxa"/>
            <w:tcBorders>
              <w:top w:val="single" w:sz="4" w:space="0" w:color="auto"/>
              <w:bottom w:val="single" w:sz="4" w:space="0" w:color="auto"/>
            </w:tcBorders>
          </w:tcPr>
          <w:p w14:paraId="6CE13EFD" w14:textId="77777777" w:rsidR="004520CE" w:rsidRDefault="004520CE" w:rsidP="0055153F">
            <w:pPr>
              <w:jc w:val="center"/>
              <w:rPr>
                <w:sz w:val="20"/>
                <w:szCs w:val="20"/>
              </w:rPr>
            </w:pPr>
          </w:p>
          <w:p w14:paraId="183A6CBF" w14:textId="3E8912BC" w:rsidR="004520CE" w:rsidRPr="00F82840" w:rsidRDefault="004520CE" w:rsidP="0055153F">
            <w:pPr>
              <w:jc w:val="center"/>
              <w:rPr>
                <w:sz w:val="20"/>
                <w:szCs w:val="20"/>
              </w:rPr>
            </w:pPr>
            <w:r>
              <w:rPr>
                <w:sz w:val="20"/>
                <w:szCs w:val="20"/>
              </w:rPr>
              <w:t>(</w:t>
            </w:r>
            <w:r w:rsidR="009B528F">
              <w:rPr>
                <w:sz w:val="20"/>
                <w:szCs w:val="20"/>
              </w:rPr>
              <w:t>3,829</w:t>
            </w:r>
            <w:r>
              <w:rPr>
                <w:sz w:val="20"/>
                <w:szCs w:val="20"/>
              </w:rPr>
              <w:t>)</w:t>
            </w:r>
          </w:p>
        </w:tc>
        <w:tc>
          <w:tcPr>
            <w:tcW w:w="2331" w:type="dxa"/>
            <w:tcBorders>
              <w:top w:val="single" w:sz="4" w:space="0" w:color="auto"/>
              <w:bottom w:val="single" w:sz="4" w:space="0" w:color="auto"/>
            </w:tcBorders>
          </w:tcPr>
          <w:p w14:paraId="146A971C" w14:textId="77777777" w:rsidR="004520CE" w:rsidRDefault="004520CE" w:rsidP="0055153F">
            <w:pPr>
              <w:jc w:val="center"/>
              <w:rPr>
                <w:sz w:val="20"/>
                <w:szCs w:val="20"/>
              </w:rPr>
            </w:pPr>
          </w:p>
          <w:p w14:paraId="5833B7BB" w14:textId="7D9D20DE" w:rsidR="004520CE" w:rsidRPr="00F82840" w:rsidRDefault="004520CE" w:rsidP="0055153F">
            <w:pPr>
              <w:jc w:val="center"/>
              <w:rPr>
                <w:sz w:val="20"/>
                <w:szCs w:val="20"/>
              </w:rPr>
            </w:pPr>
            <w:r>
              <w:rPr>
                <w:sz w:val="20"/>
                <w:szCs w:val="20"/>
              </w:rPr>
              <w:t>(</w:t>
            </w:r>
            <w:r w:rsidR="009B528F">
              <w:rPr>
                <w:sz w:val="20"/>
                <w:szCs w:val="20"/>
              </w:rPr>
              <w:t>380</w:t>
            </w:r>
            <w:r w:rsidR="00CC54C1">
              <w:rPr>
                <w:sz w:val="20"/>
                <w:szCs w:val="20"/>
              </w:rPr>
              <w:t>,</w:t>
            </w:r>
            <w:r w:rsidR="009B528F">
              <w:rPr>
                <w:sz w:val="20"/>
                <w:szCs w:val="20"/>
              </w:rPr>
              <w:t>463</w:t>
            </w:r>
            <w:r>
              <w:rPr>
                <w:sz w:val="20"/>
                <w:szCs w:val="20"/>
              </w:rPr>
              <w:t>)</w:t>
            </w:r>
          </w:p>
        </w:tc>
      </w:tr>
    </w:tbl>
    <w:p w14:paraId="52C674C8" w14:textId="77777777" w:rsidR="00A36F2F" w:rsidRDefault="00A36F2F" w:rsidP="00567379">
      <w:pPr>
        <w:rPr>
          <w:rFonts w:cs="Arial"/>
          <w:b/>
          <w:bCs/>
        </w:rPr>
      </w:pPr>
    </w:p>
    <w:p w14:paraId="0A84B5D6" w14:textId="77777777" w:rsidR="00F7114B" w:rsidRDefault="00F7114B" w:rsidP="00567379">
      <w:pPr>
        <w:rPr>
          <w:rFonts w:cs="Arial"/>
          <w:b/>
          <w:bCs/>
        </w:rPr>
      </w:pPr>
    </w:p>
    <w:p w14:paraId="4FB08E5B" w14:textId="77777777" w:rsidR="00EF4A8A" w:rsidRDefault="00EF4A8A" w:rsidP="00EF4A8A">
      <w:r>
        <w:t>The lease for the Alfred Street premises ends in March 2030 with a five-year break clause.</w:t>
      </w:r>
    </w:p>
    <w:p w14:paraId="4F5D99D7" w14:textId="77777777" w:rsidR="00EF4A8A" w:rsidRDefault="00EF4A8A" w:rsidP="00EF4A8A"/>
    <w:p w14:paraId="40C27B2C" w14:textId="4FD20E69" w:rsidR="00EF4A8A" w:rsidRDefault="00EF4A8A" w:rsidP="00EF4A8A">
      <w:r>
        <w:t>The lease for a photocopier at Alfred Street end</w:t>
      </w:r>
      <w:r w:rsidR="009B528F">
        <w:t>ed</w:t>
      </w:r>
      <w:r>
        <w:t xml:space="preserve"> </w:t>
      </w:r>
      <w:r w:rsidR="009B528F">
        <w:t xml:space="preserve">early </w:t>
      </w:r>
      <w:r>
        <w:t xml:space="preserve">in </w:t>
      </w:r>
      <w:r w:rsidR="009B528F">
        <w:t>August</w:t>
      </w:r>
      <w:r>
        <w:t xml:space="preserve"> 202</w:t>
      </w:r>
      <w:r w:rsidR="009B528F">
        <w:t>4 and a new photocopier lease started in September 2024 and will end in September 2029.</w:t>
      </w:r>
    </w:p>
    <w:p w14:paraId="635AA6B6" w14:textId="77777777" w:rsidR="009B528F" w:rsidRDefault="009B528F" w:rsidP="00EF4A8A"/>
    <w:p w14:paraId="381BAA87" w14:textId="77777777" w:rsidR="009B528F" w:rsidRDefault="009B528F" w:rsidP="00EF4A8A"/>
    <w:p w14:paraId="2E03DDAF" w14:textId="77777777" w:rsidR="009B528F" w:rsidRDefault="009B528F" w:rsidP="00EF4A8A"/>
    <w:p w14:paraId="1EBA7514" w14:textId="77777777" w:rsidR="009B528F" w:rsidRDefault="009B528F" w:rsidP="00EF4A8A"/>
    <w:p w14:paraId="579FB6BD" w14:textId="77777777" w:rsidR="009B528F" w:rsidRDefault="009B528F" w:rsidP="00EF4A8A"/>
    <w:p w14:paraId="16695647" w14:textId="77777777" w:rsidR="009B528F" w:rsidRDefault="009B528F" w:rsidP="00EF4A8A"/>
    <w:p w14:paraId="714982C1" w14:textId="77777777" w:rsidR="009B528F" w:rsidRDefault="009B528F" w:rsidP="00EF4A8A"/>
    <w:p w14:paraId="6360F8F8" w14:textId="77777777" w:rsidR="009B528F" w:rsidRDefault="009B528F" w:rsidP="00EF4A8A"/>
    <w:p w14:paraId="13F658BA" w14:textId="77777777" w:rsidR="009B528F" w:rsidRDefault="009B528F" w:rsidP="00EF4A8A"/>
    <w:p w14:paraId="31070849" w14:textId="77777777" w:rsidR="009B528F" w:rsidRDefault="009B528F" w:rsidP="00EF4A8A"/>
    <w:p w14:paraId="48E4E8C7" w14:textId="77777777" w:rsidR="007A6076" w:rsidRDefault="007A6076" w:rsidP="00EF4A8A"/>
    <w:p w14:paraId="244FF4AD" w14:textId="77777777" w:rsidR="007A6076" w:rsidRDefault="007A6076" w:rsidP="00EF4A8A"/>
    <w:p w14:paraId="4F29F801" w14:textId="77777777" w:rsidR="007A6076" w:rsidRDefault="007A6076" w:rsidP="00EF4A8A"/>
    <w:p w14:paraId="1E56F111" w14:textId="77777777" w:rsidR="009B528F" w:rsidRDefault="009B528F" w:rsidP="00EF4A8A"/>
    <w:p w14:paraId="587D6864" w14:textId="77777777" w:rsidR="009B528F" w:rsidRDefault="009B528F" w:rsidP="00EF4A8A"/>
    <w:p w14:paraId="08B3D490" w14:textId="77777777" w:rsidR="00EF4A8A" w:rsidRDefault="00EF4A8A" w:rsidP="00EF4A8A"/>
    <w:p w14:paraId="2178288C" w14:textId="77777777" w:rsidR="001E2AA0" w:rsidRDefault="001E2AA0" w:rsidP="00567379">
      <w:pPr>
        <w:rPr>
          <w:rFonts w:cs="Arial"/>
          <w:b/>
          <w:bCs/>
        </w:rPr>
      </w:pPr>
    </w:p>
    <w:p w14:paraId="12CA8628" w14:textId="3D8F8F94" w:rsidR="000C2A54" w:rsidRPr="00676064" w:rsidRDefault="002A5A05" w:rsidP="001E2AA0">
      <w:pPr>
        <w:rPr>
          <w:rFonts w:cs="Arial"/>
          <w:b/>
          <w:bCs/>
        </w:rPr>
      </w:pPr>
      <w:r>
        <w:rPr>
          <w:rFonts w:cs="Arial"/>
          <w:b/>
          <w:bCs/>
        </w:rPr>
        <w:lastRenderedPageBreak/>
        <w:t>8</w:t>
      </w:r>
      <w:r w:rsidR="000C2A54" w:rsidRPr="00676064">
        <w:rPr>
          <w:rFonts w:cs="Arial"/>
          <w:b/>
          <w:bCs/>
        </w:rPr>
        <w:t>.</w:t>
      </w:r>
      <w:r w:rsidR="000C2A54" w:rsidRPr="00676064">
        <w:rPr>
          <w:rFonts w:cs="Arial"/>
          <w:b/>
          <w:bCs/>
        </w:rPr>
        <w:tab/>
        <w:t>Intangible Assets</w:t>
      </w:r>
    </w:p>
    <w:tbl>
      <w:tblPr>
        <w:tblStyle w:val="TableGrid"/>
        <w:tblW w:w="850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1820"/>
        <w:gridCol w:w="2055"/>
      </w:tblGrid>
      <w:tr w:rsidR="00A73CBF" w:rsidRPr="00676064" w14:paraId="4227AB26" w14:textId="77777777" w:rsidTr="00A73CBF">
        <w:tc>
          <w:tcPr>
            <w:tcW w:w="4629" w:type="dxa"/>
          </w:tcPr>
          <w:p w14:paraId="7E8954EA" w14:textId="77777777" w:rsidR="00A73CBF" w:rsidRPr="00676064" w:rsidRDefault="00A73CBF" w:rsidP="00A73CBF">
            <w:pPr>
              <w:widowControl w:val="0"/>
              <w:autoSpaceDE w:val="0"/>
              <w:autoSpaceDN w:val="0"/>
              <w:adjustRightInd w:val="0"/>
              <w:rPr>
                <w:rFonts w:cs="Arial"/>
                <w:b/>
                <w:bCs/>
              </w:rPr>
            </w:pPr>
          </w:p>
        </w:tc>
        <w:tc>
          <w:tcPr>
            <w:tcW w:w="1820" w:type="dxa"/>
          </w:tcPr>
          <w:p w14:paraId="758B9189"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Software &amp; Licences</w:t>
            </w:r>
          </w:p>
          <w:p w14:paraId="065B30C8" w14:textId="3B5D7C5E" w:rsidR="00A73CBF" w:rsidRPr="003061F1" w:rsidRDefault="00567379" w:rsidP="00A73CBF">
            <w:pPr>
              <w:widowControl w:val="0"/>
              <w:autoSpaceDE w:val="0"/>
              <w:autoSpaceDN w:val="0"/>
              <w:adjustRightInd w:val="0"/>
              <w:jc w:val="right"/>
              <w:rPr>
                <w:rFonts w:cs="Arial"/>
                <w:b/>
                <w:bCs/>
                <w:sz w:val="20"/>
                <w:szCs w:val="20"/>
              </w:rPr>
            </w:pPr>
            <w:r>
              <w:rPr>
                <w:rFonts w:cs="Arial"/>
                <w:b/>
                <w:bCs/>
                <w:sz w:val="20"/>
                <w:szCs w:val="20"/>
              </w:rPr>
              <w:t>202</w:t>
            </w:r>
            <w:r w:rsidR="009B528F">
              <w:rPr>
                <w:rFonts w:cs="Arial"/>
                <w:b/>
                <w:bCs/>
                <w:sz w:val="20"/>
                <w:szCs w:val="20"/>
              </w:rPr>
              <w:t>4</w:t>
            </w:r>
            <w:r>
              <w:rPr>
                <w:rFonts w:cs="Arial"/>
                <w:b/>
                <w:bCs/>
                <w:sz w:val="20"/>
                <w:szCs w:val="20"/>
              </w:rPr>
              <w:t>-2</w:t>
            </w:r>
            <w:r w:rsidR="009B528F">
              <w:rPr>
                <w:rFonts w:cs="Arial"/>
                <w:b/>
                <w:bCs/>
                <w:sz w:val="20"/>
                <w:szCs w:val="20"/>
              </w:rPr>
              <w:t>5</w:t>
            </w:r>
          </w:p>
        </w:tc>
        <w:tc>
          <w:tcPr>
            <w:tcW w:w="2055" w:type="dxa"/>
          </w:tcPr>
          <w:p w14:paraId="736B0D71"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Software &amp; Licences</w:t>
            </w:r>
          </w:p>
          <w:p w14:paraId="6CEFAF5E" w14:textId="25DF47CE" w:rsidR="00A73CBF" w:rsidRPr="003061F1" w:rsidRDefault="00567379" w:rsidP="00A73CBF">
            <w:pPr>
              <w:widowControl w:val="0"/>
              <w:autoSpaceDE w:val="0"/>
              <w:autoSpaceDN w:val="0"/>
              <w:adjustRightInd w:val="0"/>
              <w:jc w:val="right"/>
              <w:rPr>
                <w:rFonts w:cs="Arial"/>
                <w:b/>
                <w:bCs/>
                <w:sz w:val="20"/>
                <w:szCs w:val="20"/>
              </w:rPr>
            </w:pPr>
            <w:r>
              <w:rPr>
                <w:rFonts w:cs="Arial"/>
                <w:b/>
                <w:bCs/>
                <w:sz w:val="20"/>
                <w:szCs w:val="20"/>
              </w:rPr>
              <w:t>202</w:t>
            </w:r>
            <w:r w:rsidR="009B528F">
              <w:rPr>
                <w:rFonts w:cs="Arial"/>
                <w:b/>
                <w:bCs/>
                <w:sz w:val="20"/>
                <w:szCs w:val="20"/>
              </w:rPr>
              <w:t>3</w:t>
            </w:r>
            <w:r>
              <w:rPr>
                <w:rFonts w:cs="Arial"/>
                <w:b/>
                <w:bCs/>
                <w:sz w:val="20"/>
                <w:szCs w:val="20"/>
              </w:rPr>
              <w:t>-2</w:t>
            </w:r>
            <w:r w:rsidR="009B528F">
              <w:rPr>
                <w:rFonts w:cs="Arial"/>
                <w:b/>
                <w:bCs/>
                <w:sz w:val="20"/>
                <w:szCs w:val="20"/>
              </w:rPr>
              <w:t>4</w:t>
            </w:r>
          </w:p>
        </w:tc>
      </w:tr>
      <w:tr w:rsidR="00A73CBF" w:rsidRPr="00676064" w14:paraId="0279483D" w14:textId="77777777" w:rsidTr="00A73CBF">
        <w:tc>
          <w:tcPr>
            <w:tcW w:w="4629" w:type="dxa"/>
          </w:tcPr>
          <w:p w14:paraId="06DDB058" w14:textId="77777777" w:rsidR="00A73CBF" w:rsidRPr="003061F1" w:rsidRDefault="00A73CBF" w:rsidP="00A73CBF">
            <w:pPr>
              <w:widowControl w:val="0"/>
              <w:autoSpaceDE w:val="0"/>
              <w:autoSpaceDN w:val="0"/>
              <w:adjustRightInd w:val="0"/>
              <w:rPr>
                <w:rFonts w:cs="Arial"/>
                <w:b/>
                <w:bCs/>
                <w:sz w:val="20"/>
                <w:szCs w:val="20"/>
              </w:rPr>
            </w:pPr>
            <w:r w:rsidRPr="003061F1">
              <w:rPr>
                <w:rFonts w:cs="Arial"/>
                <w:b/>
                <w:bCs/>
                <w:sz w:val="20"/>
                <w:szCs w:val="20"/>
              </w:rPr>
              <w:t>Cost or valuation</w:t>
            </w:r>
          </w:p>
        </w:tc>
        <w:tc>
          <w:tcPr>
            <w:tcW w:w="1820" w:type="dxa"/>
          </w:tcPr>
          <w:p w14:paraId="01C2C3CA"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w:t>
            </w:r>
          </w:p>
        </w:tc>
        <w:tc>
          <w:tcPr>
            <w:tcW w:w="2055" w:type="dxa"/>
          </w:tcPr>
          <w:p w14:paraId="27DDC91E"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w:t>
            </w:r>
          </w:p>
        </w:tc>
      </w:tr>
      <w:tr w:rsidR="00A73CBF" w:rsidRPr="00676064" w14:paraId="51E5E6A3" w14:textId="77777777" w:rsidTr="00A73CBF">
        <w:tc>
          <w:tcPr>
            <w:tcW w:w="4629" w:type="dxa"/>
          </w:tcPr>
          <w:p w14:paraId="01D50975" w14:textId="0ED59DD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at 1 April</w:t>
            </w:r>
            <w:r w:rsidR="00A36F2F">
              <w:rPr>
                <w:rFonts w:cs="Arial"/>
                <w:bCs/>
                <w:sz w:val="20"/>
                <w:szCs w:val="20"/>
              </w:rPr>
              <w:t xml:space="preserve"> </w:t>
            </w:r>
          </w:p>
        </w:tc>
        <w:tc>
          <w:tcPr>
            <w:tcW w:w="1820" w:type="dxa"/>
          </w:tcPr>
          <w:p w14:paraId="64D870F2" w14:textId="0DE31A33" w:rsidR="00DD02ED" w:rsidRPr="003061F1" w:rsidRDefault="00144D0C" w:rsidP="007B1A0B">
            <w:pPr>
              <w:widowControl w:val="0"/>
              <w:autoSpaceDE w:val="0"/>
              <w:autoSpaceDN w:val="0"/>
              <w:adjustRightInd w:val="0"/>
              <w:jc w:val="right"/>
              <w:rPr>
                <w:rFonts w:cs="Arial"/>
                <w:bCs/>
                <w:sz w:val="20"/>
                <w:szCs w:val="20"/>
              </w:rPr>
            </w:pPr>
            <w:r>
              <w:rPr>
                <w:rFonts w:cs="Arial"/>
                <w:bCs/>
                <w:sz w:val="20"/>
                <w:szCs w:val="20"/>
              </w:rPr>
              <w:t xml:space="preserve">        </w:t>
            </w:r>
            <w:r w:rsidR="004B308B">
              <w:rPr>
                <w:rFonts w:cs="Arial"/>
                <w:bCs/>
                <w:sz w:val="20"/>
                <w:szCs w:val="20"/>
              </w:rPr>
              <w:t>33</w:t>
            </w:r>
            <w:r w:rsidR="00963912">
              <w:rPr>
                <w:rFonts w:cs="Arial"/>
                <w:bCs/>
                <w:sz w:val="20"/>
                <w:szCs w:val="20"/>
              </w:rPr>
              <w:t>,</w:t>
            </w:r>
            <w:r w:rsidR="004B308B">
              <w:rPr>
                <w:rFonts w:cs="Arial"/>
                <w:bCs/>
                <w:sz w:val="20"/>
                <w:szCs w:val="20"/>
              </w:rPr>
              <w:t>578</w:t>
            </w:r>
            <w:r>
              <w:rPr>
                <w:rFonts w:cs="Arial"/>
                <w:bCs/>
                <w:sz w:val="20"/>
                <w:szCs w:val="20"/>
              </w:rPr>
              <w:t xml:space="preserve"> </w:t>
            </w:r>
          </w:p>
        </w:tc>
        <w:tc>
          <w:tcPr>
            <w:tcW w:w="2055" w:type="dxa"/>
          </w:tcPr>
          <w:p w14:paraId="5E71E187" w14:textId="1ABDB0C2" w:rsidR="00A73CBF" w:rsidRPr="003061F1" w:rsidRDefault="009B528F" w:rsidP="00A73CBF">
            <w:pPr>
              <w:widowControl w:val="0"/>
              <w:autoSpaceDE w:val="0"/>
              <w:autoSpaceDN w:val="0"/>
              <w:adjustRightInd w:val="0"/>
              <w:jc w:val="right"/>
              <w:rPr>
                <w:rFonts w:cs="Arial"/>
                <w:bCs/>
                <w:sz w:val="20"/>
                <w:szCs w:val="20"/>
              </w:rPr>
            </w:pPr>
            <w:r>
              <w:rPr>
                <w:rFonts w:cs="Arial"/>
                <w:bCs/>
                <w:sz w:val="20"/>
                <w:szCs w:val="20"/>
              </w:rPr>
              <w:t>33</w:t>
            </w:r>
            <w:r w:rsidR="00A36F2F">
              <w:rPr>
                <w:rFonts w:cs="Arial"/>
                <w:bCs/>
                <w:sz w:val="20"/>
                <w:szCs w:val="20"/>
              </w:rPr>
              <w:t>,</w:t>
            </w:r>
            <w:r>
              <w:rPr>
                <w:rFonts w:cs="Arial"/>
                <w:bCs/>
                <w:sz w:val="20"/>
                <w:szCs w:val="20"/>
              </w:rPr>
              <w:t>578</w:t>
            </w:r>
          </w:p>
        </w:tc>
      </w:tr>
      <w:tr w:rsidR="00A73CBF" w:rsidRPr="00676064" w14:paraId="7DB55F28" w14:textId="77777777" w:rsidTr="00A73CBF">
        <w:tc>
          <w:tcPr>
            <w:tcW w:w="4629" w:type="dxa"/>
          </w:tcPr>
          <w:p w14:paraId="7BCDD8F2"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Additions</w:t>
            </w:r>
          </w:p>
        </w:tc>
        <w:tc>
          <w:tcPr>
            <w:tcW w:w="1820" w:type="dxa"/>
          </w:tcPr>
          <w:p w14:paraId="2308C509" w14:textId="77777777" w:rsidR="00A73CBF" w:rsidRPr="003061F1" w:rsidRDefault="007B1A0B" w:rsidP="00A73CBF">
            <w:pPr>
              <w:widowControl w:val="0"/>
              <w:autoSpaceDE w:val="0"/>
              <w:autoSpaceDN w:val="0"/>
              <w:adjustRightInd w:val="0"/>
              <w:jc w:val="right"/>
              <w:rPr>
                <w:rFonts w:cs="Arial"/>
                <w:bCs/>
                <w:sz w:val="20"/>
                <w:szCs w:val="20"/>
              </w:rPr>
            </w:pPr>
            <w:r>
              <w:rPr>
                <w:rFonts w:cs="Arial"/>
                <w:bCs/>
                <w:sz w:val="20"/>
                <w:szCs w:val="20"/>
              </w:rPr>
              <w:t>0</w:t>
            </w:r>
          </w:p>
        </w:tc>
        <w:tc>
          <w:tcPr>
            <w:tcW w:w="2055" w:type="dxa"/>
          </w:tcPr>
          <w:p w14:paraId="227BAD55" w14:textId="77777777" w:rsidR="00A73CBF" w:rsidRPr="003061F1" w:rsidRDefault="00567379" w:rsidP="00A73CBF">
            <w:pPr>
              <w:widowControl w:val="0"/>
              <w:autoSpaceDE w:val="0"/>
              <w:autoSpaceDN w:val="0"/>
              <w:adjustRightInd w:val="0"/>
              <w:jc w:val="right"/>
              <w:rPr>
                <w:rFonts w:cs="Arial"/>
                <w:bCs/>
                <w:sz w:val="20"/>
                <w:szCs w:val="20"/>
              </w:rPr>
            </w:pPr>
            <w:r>
              <w:rPr>
                <w:rFonts w:cs="Arial"/>
                <w:bCs/>
                <w:sz w:val="20"/>
                <w:szCs w:val="20"/>
              </w:rPr>
              <w:t>0</w:t>
            </w:r>
          </w:p>
        </w:tc>
      </w:tr>
      <w:tr w:rsidR="00A36F2F" w:rsidRPr="00676064" w14:paraId="147DD590" w14:textId="77777777" w:rsidTr="00A73CBF">
        <w:tc>
          <w:tcPr>
            <w:tcW w:w="4629" w:type="dxa"/>
          </w:tcPr>
          <w:p w14:paraId="4CCCD253" w14:textId="50E57AD7" w:rsidR="00A36F2F" w:rsidRPr="003061F1" w:rsidRDefault="00A36F2F" w:rsidP="00A73CBF">
            <w:pPr>
              <w:widowControl w:val="0"/>
              <w:autoSpaceDE w:val="0"/>
              <w:autoSpaceDN w:val="0"/>
              <w:adjustRightInd w:val="0"/>
              <w:rPr>
                <w:rFonts w:cs="Arial"/>
                <w:bCs/>
                <w:sz w:val="20"/>
                <w:szCs w:val="20"/>
              </w:rPr>
            </w:pPr>
            <w:r>
              <w:rPr>
                <w:rFonts w:cs="Arial"/>
                <w:bCs/>
                <w:sz w:val="20"/>
                <w:szCs w:val="20"/>
              </w:rPr>
              <w:t>Disposals</w:t>
            </w:r>
          </w:p>
        </w:tc>
        <w:tc>
          <w:tcPr>
            <w:tcW w:w="1820" w:type="dxa"/>
          </w:tcPr>
          <w:p w14:paraId="68AD9EC7" w14:textId="4643C340" w:rsidR="00A36F2F" w:rsidRDefault="004B308B" w:rsidP="00A73CBF">
            <w:pPr>
              <w:widowControl w:val="0"/>
              <w:autoSpaceDE w:val="0"/>
              <w:autoSpaceDN w:val="0"/>
              <w:adjustRightInd w:val="0"/>
              <w:jc w:val="right"/>
              <w:rPr>
                <w:rFonts w:cs="Arial"/>
                <w:bCs/>
                <w:sz w:val="20"/>
                <w:szCs w:val="20"/>
              </w:rPr>
            </w:pPr>
            <w:r>
              <w:rPr>
                <w:rFonts w:cs="Arial"/>
                <w:bCs/>
                <w:sz w:val="20"/>
                <w:szCs w:val="20"/>
              </w:rPr>
              <w:t>0</w:t>
            </w:r>
          </w:p>
        </w:tc>
        <w:tc>
          <w:tcPr>
            <w:tcW w:w="2055" w:type="dxa"/>
          </w:tcPr>
          <w:p w14:paraId="67B13652" w14:textId="7073D35A" w:rsidR="00A36F2F" w:rsidRDefault="009B528F" w:rsidP="00A73CBF">
            <w:pPr>
              <w:widowControl w:val="0"/>
              <w:autoSpaceDE w:val="0"/>
              <w:autoSpaceDN w:val="0"/>
              <w:adjustRightInd w:val="0"/>
              <w:jc w:val="right"/>
              <w:rPr>
                <w:rFonts w:cs="Arial"/>
                <w:bCs/>
                <w:sz w:val="20"/>
                <w:szCs w:val="20"/>
              </w:rPr>
            </w:pPr>
            <w:r>
              <w:rPr>
                <w:rFonts w:cs="Arial"/>
                <w:bCs/>
                <w:sz w:val="20"/>
                <w:szCs w:val="20"/>
              </w:rPr>
              <w:t>0</w:t>
            </w:r>
          </w:p>
        </w:tc>
      </w:tr>
      <w:tr w:rsidR="00A73CBF" w:rsidRPr="00676064" w14:paraId="09D40943" w14:textId="77777777" w:rsidTr="00A73CBF">
        <w:tc>
          <w:tcPr>
            <w:tcW w:w="4629" w:type="dxa"/>
          </w:tcPr>
          <w:p w14:paraId="32107419" w14:textId="5959663B"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at 31 March</w:t>
            </w:r>
            <w:r w:rsidR="00A36F2F">
              <w:rPr>
                <w:rFonts w:cs="Arial"/>
                <w:bCs/>
                <w:sz w:val="20"/>
                <w:szCs w:val="20"/>
              </w:rPr>
              <w:t xml:space="preserve"> </w:t>
            </w:r>
          </w:p>
        </w:tc>
        <w:tc>
          <w:tcPr>
            <w:tcW w:w="1820" w:type="dxa"/>
            <w:tcBorders>
              <w:top w:val="single" w:sz="4" w:space="0" w:color="auto"/>
              <w:bottom w:val="single" w:sz="4" w:space="0" w:color="auto"/>
            </w:tcBorders>
          </w:tcPr>
          <w:p w14:paraId="3C42B295" w14:textId="227DC47D" w:rsidR="00BF0DCC" w:rsidRPr="003061F1" w:rsidRDefault="00A36F2F" w:rsidP="007B1A0B">
            <w:pPr>
              <w:widowControl w:val="0"/>
              <w:autoSpaceDE w:val="0"/>
              <w:autoSpaceDN w:val="0"/>
              <w:adjustRightInd w:val="0"/>
              <w:jc w:val="right"/>
              <w:rPr>
                <w:rFonts w:cs="Arial"/>
                <w:bCs/>
                <w:sz w:val="20"/>
                <w:szCs w:val="20"/>
              </w:rPr>
            </w:pPr>
            <w:r>
              <w:rPr>
                <w:rFonts w:cs="Arial"/>
                <w:bCs/>
                <w:sz w:val="20"/>
                <w:szCs w:val="20"/>
              </w:rPr>
              <w:t>33,578</w:t>
            </w:r>
          </w:p>
        </w:tc>
        <w:tc>
          <w:tcPr>
            <w:tcW w:w="2055" w:type="dxa"/>
            <w:tcBorders>
              <w:top w:val="single" w:sz="4" w:space="0" w:color="auto"/>
              <w:bottom w:val="single" w:sz="4" w:space="0" w:color="auto"/>
            </w:tcBorders>
          </w:tcPr>
          <w:p w14:paraId="65C9CD40" w14:textId="320759FF" w:rsidR="00A73CBF" w:rsidRPr="003061F1" w:rsidRDefault="004B308B" w:rsidP="00A73CBF">
            <w:pPr>
              <w:widowControl w:val="0"/>
              <w:autoSpaceDE w:val="0"/>
              <w:autoSpaceDN w:val="0"/>
              <w:adjustRightInd w:val="0"/>
              <w:jc w:val="right"/>
              <w:rPr>
                <w:rFonts w:cs="Arial"/>
                <w:bCs/>
                <w:sz w:val="20"/>
                <w:szCs w:val="20"/>
              </w:rPr>
            </w:pPr>
            <w:r>
              <w:rPr>
                <w:rFonts w:cs="Arial"/>
                <w:bCs/>
                <w:sz w:val="20"/>
                <w:szCs w:val="20"/>
              </w:rPr>
              <w:t>33</w:t>
            </w:r>
            <w:r w:rsidR="00642BF8">
              <w:rPr>
                <w:rFonts w:cs="Arial"/>
                <w:bCs/>
                <w:sz w:val="20"/>
                <w:szCs w:val="20"/>
              </w:rPr>
              <w:t>,</w:t>
            </w:r>
            <w:r>
              <w:rPr>
                <w:rFonts w:cs="Arial"/>
                <w:bCs/>
                <w:sz w:val="20"/>
                <w:szCs w:val="20"/>
              </w:rPr>
              <w:t>578</w:t>
            </w:r>
          </w:p>
        </w:tc>
      </w:tr>
      <w:tr w:rsidR="00A73CBF" w:rsidRPr="00676064" w14:paraId="2543A5FB" w14:textId="77777777" w:rsidTr="00A73CBF">
        <w:tc>
          <w:tcPr>
            <w:tcW w:w="4629" w:type="dxa"/>
          </w:tcPr>
          <w:p w14:paraId="2674103B" w14:textId="77777777" w:rsidR="00A73CBF" w:rsidRPr="003061F1" w:rsidRDefault="00A73CBF" w:rsidP="00A73CBF">
            <w:pPr>
              <w:widowControl w:val="0"/>
              <w:autoSpaceDE w:val="0"/>
              <w:autoSpaceDN w:val="0"/>
              <w:adjustRightInd w:val="0"/>
              <w:rPr>
                <w:rFonts w:cs="Arial"/>
                <w:bCs/>
                <w:sz w:val="20"/>
                <w:szCs w:val="20"/>
              </w:rPr>
            </w:pPr>
          </w:p>
        </w:tc>
        <w:tc>
          <w:tcPr>
            <w:tcW w:w="1820" w:type="dxa"/>
            <w:tcBorders>
              <w:top w:val="single" w:sz="4" w:space="0" w:color="auto"/>
            </w:tcBorders>
          </w:tcPr>
          <w:p w14:paraId="4D9F6673" w14:textId="77777777" w:rsidR="00A73CBF" w:rsidRPr="003061F1" w:rsidRDefault="00A73CBF" w:rsidP="00A73CBF">
            <w:pPr>
              <w:widowControl w:val="0"/>
              <w:autoSpaceDE w:val="0"/>
              <w:autoSpaceDN w:val="0"/>
              <w:adjustRightInd w:val="0"/>
              <w:jc w:val="right"/>
              <w:rPr>
                <w:rFonts w:cs="Arial"/>
                <w:bCs/>
                <w:sz w:val="20"/>
                <w:szCs w:val="20"/>
              </w:rPr>
            </w:pPr>
          </w:p>
        </w:tc>
        <w:tc>
          <w:tcPr>
            <w:tcW w:w="2055" w:type="dxa"/>
            <w:tcBorders>
              <w:top w:val="single" w:sz="4" w:space="0" w:color="auto"/>
            </w:tcBorders>
          </w:tcPr>
          <w:p w14:paraId="772A1A66"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2F1520FD" w14:textId="77777777" w:rsidTr="00A73CBF">
        <w:tc>
          <w:tcPr>
            <w:tcW w:w="4629" w:type="dxa"/>
          </w:tcPr>
          <w:p w14:paraId="2F434974" w14:textId="77777777" w:rsidR="00A73CBF" w:rsidRPr="003061F1" w:rsidRDefault="00A73CBF" w:rsidP="00A73CBF">
            <w:pPr>
              <w:widowControl w:val="0"/>
              <w:autoSpaceDE w:val="0"/>
              <w:autoSpaceDN w:val="0"/>
              <w:adjustRightInd w:val="0"/>
              <w:rPr>
                <w:rFonts w:cs="Arial"/>
                <w:b/>
                <w:bCs/>
                <w:sz w:val="20"/>
                <w:szCs w:val="20"/>
              </w:rPr>
            </w:pPr>
            <w:r w:rsidRPr="003061F1">
              <w:rPr>
                <w:rFonts w:cs="Arial"/>
                <w:b/>
                <w:bCs/>
                <w:sz w:val="20"/>
                <w:szCs w:val="20"/>
              </w:rPr>
              <w:t>Amortisation</w:t>
            </w:r>
          </w:p>
        </w:tc>
        <w:tc>
          <w:tcPr>
            <w:tcW w:w="1820" w:type="dxa"/>
          </w:tcPr>
          <w:p w14:paraId="4365B49E" w14:textId="77777777" w:rsidR="00A73CBF" w:rsidRPr="003061F1" w:rsidRDefault="00A73CBF" w:rsidP="00A73CBF">
            <w:pPr>
              <w:widowControl w:val="0"/>
              <w:autoSpaceDE w:val="0"/>
              <w:autoSpaceDN w:val="0"/>
              <w:adjustRightInd w:val="0"/>
              <w:jc w:val="right"/>
              <w:rPr>
                <w:rFonts w:cs="Arial"/>
                <w:b/>
                <w:bCs/>
                <w:sz w:val="20"/>
                <w:szCs w:val="20"/>
              </w:rPr>
            </w:pPr>
          </w:p>
        </w:tc>
        <w:tc>
          <w:tcPr>
            <w:tcW w:w="2055" w:type="dxa"/>
          </w:tcPr>
          <w:p w14:paraId="2FCEE432"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5F95F758" w14:textId="77777777" w:rsidTr="00A73CBF">
        <w:tc>
          <w:tcPr>
            <w:tcW w:w="4629" w:type="dxa"/>
          </w:tcPr>
          <w:p w14:paraId="589F670B" w14:textId="71A3DFF2"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at 1 April</w:t>
            </w:r>
            <w:r w:rsidR="00A36F2F">
              <w:rPr>
                <w:rFonts w:cs="Arial"/>
                <w:bCs/>
                <w:sz w:val="20"/>
                <w:szCs w:val="20"/>
              </w:rPr>
              <w:t xml:space="preserve"> </w:t>
            </w:r>
          </w:p>
        </w:tc>
        <w:tc>
          <w:tcPr>
            <w:tcW w:w="1820" w:type="dxa"/>
          </w:tcPr>
          <w:p w14:paraId="764108BA" w14:textId="27D13FDA" w:rsidR="00A73CBF" w:rsidRPr="003061F1" w:rsidRDefault="004B308B" w:rsidP="007B1A0B">
            <w:pPr>
              <w:widowControl w:val="0"/>
              <w:autoSpaceDE w:val="0"/>
              <w:autoSpaceDN w:val="0"/>
              <w:adjustRightInd w:val="0"/>
              <w:jc w:val="right"/>
              <w:rPr>
                <w:rFonts w:cs="Arial"/>
                <w:bCs/>
                <w:sz w:val="20"/>
                <w:szCs w:val="20"/>
              </w:rPr>
            </w:pPr>
            <w:r>
              <w:rPr>
                <w:rFonts w:cs="Arial"/>
                <w:bCs/>
                <w:sz w:val="20"/>
                <w:szCs w:val="20"/>
              </w:rPr>
              <w:t>3</w:t>
            </w:r>
            <w:r w:rsidR="009B528F">
              <w:rPr>
                <w:rFonts w:cs="Arial"/>
                <w:bCs/>
                <w:sz w:val="20"/>
                <w:szCs w:val="20"/>
              </w:rPr>
              <w:t>3</w:t>
            </w:r>
            <w:r w:rsidR="00A36F2F">
              <w:rPr>
                <w:rFonts w:cs="Arial"/>
                <w:bCs/>
                <w:sz w:val="20"/>
                <w:szCs w:val="20"/>
              </w:rPr>
              <w:t>,</w:t>
            </w:r>
            <w:r w:rsidR="009B528F">
              <w:rPr>
                <w:rFonts w:cs="Arial"/>
                <w:bCs/>
                <w:sz w:val="20"/>
                <w:szCs w:val="20"/>
              </w:rPr>
              <w:t>263</w:t>
            </w:r>
          </w:p>
        </w:tc>
        <w:tc>
          <w:tcPr>
            <w:tcW w:w="2055" w:type="dxa"/>
          </w:tcPr>
          <w:p w14:paraId="37F8D1D0" w14:textId="6AEF36AF" w:rsidR="00A73CBF" w:rsidRPr="003061F1" w:rsidRDefault="009B528F" w:rsidP="00A73CBF">
            <w:pPr>
              <w:widowControl w:val="0"/>
              <w:autoSpaceDE w:val="0"/>
              <w:autoSpaceDN w:val="0"/>
              <w:adjustRightInd w:val="0"/>
              <w:jc w:val="right"/>
              <w:rPr>
                <w:rFonts w:cs="Arial"/>
                <w:bCs/>
                <w:sz w:val="20"/>
                <w:szCs w:val="20"/>
              </w:rPr>
            </w:pPr>
            <w:r>
              <w:rPr>
                <w:rFonts w:cs="Arial"/>
                <w:bCs/>
                <w:sz w:val="20"/>
                <w:szCs w:val="20"/>
              </w:rPr>
              <w:t>32</w:t>
            </w:r>
            <w:r w:rsidR="002A5A05">
              <w:rPr>
                <w:rFonts w:cs="Arial"/>
                <w:bCs/>
                <w:sz w:val="20"/>
                <w:szCs w:val="20"/>
              </w:rPr>
              <w:t>,</w:t>
            </w:r>
            <w:r>
              <w:rPr>
                <w:rFonts w:cs="Arial"/>
                <w:bCs/>
                <w:sz w:val="20"/>
                <w:szCs w:val="20"/>
              </w:rPr>
              <w:t>783</w:t>
            </w:r>
          </w:p>
        </w:tc>
      </w:tr>
      <w:tr w:rsidR="00A73CBF" w:rsidRPr="00676064" w14:paraId="5C1E2C24" w14:textId="77777777" w:rsidTr="00A73CBF">
        <w:tc>
          <w:tcPr>
            <w:tcW w:w="4629" w:type="dxa"/>
          </w:tcPr>
          <w:p w14:paraId="173EE28F"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Charged in year</w:t>
            </w:r>
          </w:p>
        </w:tc>
        <w:tc>
          <w:tcPr>
            <w:tcW w:w="1820" w:type="dxa"/>
          </w:tcPr>
          <w:p w14:paraId="62863787" w14:textId="7FDD06A3" w:rsidR="00A73CBF" w:rsidRPr="003061F1" w:rsidRDefault="009B528F" w:rsidP="007B1A0B">
            <w:pPr>
              <w:widowControl w:val="0"/>
              <w:autoSpaceDE w:val="0"/>
              <w:autoSpaceDN w:val="0"/>
              <w:adjustRightInd w:val="0"/>
              <w:jc w:val="right"/>
              <w:rPr>
                <w:rFonts w:cs="Arial"/>
                <w:bCs/>
                <w:sz w:val="20"/>
                <w:szCs w:val="20"/>
              </w:rPr>
            </w:pPr>
            <w:r>
              <w:rPr>
                <w:rFonts w:cs="Arial"/>
                <w:bCs/>
                <w:sz w:val="20"/>
                <w:szCs w:val="20"/>
              </w:rPr>
              <w:t>315</w:t>
            </w:r>
          </w:p>
        </w:tc>
        <w:tc>
          <w:tcPr>
            <w:tcW w:w="2055" w:type="dxa"/>
          </w:tcPr>
          <w:p w14:paraId="520D1CFE" w14:textId="6CA4A1B6" w:rsidR="00A73CBF" w:rsidRPr="003061F1" w:rsidRDefault="009B528F" w:rsidP="00A73CBF">
            <w:pPr>
              <w:widowControl w:val="0"/>
              <w:autoSpaceDE w:val="0"/>
              <w:autoSpaceDN w:val="0"/>
              <w:adjustRightInd w:val="0"/>
              <w:jc w:val="right"/>
              <w:rPr>
                <w:rFonts w:cs="Arial"/>
                <w:bCs/>
                <w:sz w:val="20"/>
                <w:szCs w:val="20"/>
              </w:rPr>
            </w:pPr>
            <w:r>
              <w:rPr>
                <w:rFonts w:cs="Arial"/>
                <w:bCs/>
                <w:sz w:val="20"/>
                <w:szCs w:val="20"/>
              </w:rPr>
              <w:t>480</w:t>
            </w:r>
          </w:p>
        </w:tc>
      </w:tr>
      <w:tr w:rsidR="00A36F2F" w:rsidRPr="00676064" w14:paraId="7458F9F1" w14:textId="77777777" w:rsidTr="00A73CBF">
        <w:tc>
          <w:tcPr>
            <w:tcW w:w="4629" w:type="dxa"/>
          </w:tcPr>
          <w:p w14:paraId="4CC7B73E" w14:textId="0BFB4DBF" w:rsidR="00A36F2F" w:rsidRPr="003061F1" w:rsidRDefault="00A36F2F" w:rsidP="00A73CBF">
            <w:pPr>
              <w:widowControl w:val="0"/>
              <w:autoSpaceDE w:val="0"/>
              <w:autoSpaceDN w:val="0"/>
              <w:adjustRightInd w:val="0"/>
              <w:rPr>
                <w:rFonts w:cs="Arial"/>
                <w:bCs/>
                <w:sz w:val="20"/>
                <w:szCs w:val="20"/>
              </w:rPr>
            </w:pPr>
            <w:r>
              <w:rPr>
                <w:rFonts w:cs="Arial"/>
                <w:bCs/>
                <w:sz w:val="20"/>
                <w:szCs w:val="20"/>
              </w:rPr>
              <w:t>Disposals</w:t>
            </w:r>
          </w:p>
        </w:tc>
        <w:tc>
          <w:tcPr>
            <w:tcW w:w="1820" w:type="dxa"/>
          </w:tcPr>
          <w:p w14:paraId="24CDA62F" w14:textId="4B5B9E7D" w:rsidR="00A36F2F" w:rsidRDefault="004B308B" w:rsidP="007B1A0B">
            <w:pPr>
              <w:widowControl w:val="0"/>
              <w:autoSpaceDE w:val="0"/>
              <w:autoSpaceDN w:val="0"/>
              <w:adjustRightInd w:val="0"/>
              <w:jc w:val="right"/>
              <w:rPr>
                <w:rFonts w:cs="Arial"/>
                <w:bCs/>
                <w:sz w:val="20"/>
                <w:szCs w:val="20"/>
              </w:rPr>
            </w:pPr>
            <w:r>
              <w:rPr>
                <w:rFonts w:cs="Arial"/>
                <w:bCs/>
                <w:sz w:val="20"/>
                <w:szCs w:val="20"/>
              </w:rPr>
              <w:t>0</w:t>
            </w:r>
          </w:p>
        </w:tc>
        <w:tc>
          <w:tcPr>
            <w:tcW w:w="2055" w:type="dxa"/>
          </w:tcPr>
          <w:p w14:paraId="006D18B1" w14:textId="1BCB44B8" w:rsidR="00A36F2F" w:rsidRDefault="009B528F" w:rsidP="00A73CBF">
            <w:pPr>
              <w:widowControl w:val="0"/>
              <w:autoSpaceDE w:val="0"/>
              <w:autoSpaceDN w:val="0"/>
              <w:adjustRightInd w:val="0"/>
              <w:jc w:val="right"/>
              <w:rPr>
                <w:rFonts w:cs="Arial"/>
                <w:bCs/>
                <w:sz w:val="20"/>
                <w:szCs w:val="20"/>
              </w:rPr>
            </w:pPr>
            <w:r>
              <w:rPr>
                <w:rFonts w:cs="Arial"/>
                <w:bCs/>
                <w:sz w:val="20"/>
                <w:szCs w:val="20"/>
              </w:rPr>
              <w:t>0</w:t>
            </w:r>
          </w:p>
        </w:tc>
      </w:tr>
      <w:tr w:rsidR="00A73CBF" w:rsidRPr="00676064" w14:paraId="16A15DDC" w14:textId="77777777" w:rsidTr="00A73CBF">
        <w:tc>
          <w:tcPr>
            <w:tcW w:w="4629" w:type="dxa"/>
          </w:tcPr>
          <w:p w14:paraId="0C904230" w14:textId="463A6A28"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at 31 March</w:t>
            </w:r>
          </w:p>
        </w:tc>
        <w:tc>
          <w:tcPr>
            <w:tcW w:w="1820" w:type="dxa"/>
            <w:tcBorders>
              <w:top w:val="single" w:sz="4" w:space="0" w:color="auto"/>
              <w:bottom w:val="single" w:sz="4" w:space="0" w:color="auto"/>
            </w:tcBorders>
          </w:tcPr>
          <w:p w14:paraId="1547EE80" w14:textId="497FAE0A" w:rsidR="00A73CBF" w:rsidRPr="003061F1" w:rsidRDefault="009B528F" w:rsidP="007B1A0B">
            <w:pPr>
              <w:widowControl w:val="0"/>
              <w:autoSpaceDE w:val="0"/>
              <w:autoSpaceDN w:val="0"/>
              <w:adjustRightInd w:val="0"/>
              <w:jc w:val="right"/>
              <w:rPr>
                <w:rFonts w:cs="Arial"/>
                <w:bCs/>
                <w:sz w:val="20"/>
                <w:szCs w:val="20"/>
              </w:rPr>
            </w:pPr>
            <w:r>
              <w:rPr>
                <w:rFonts w:cs="Arial"/>
                <w:bCs/>
                <w:sz w:val="20"/>
                <w:szCs w:val="20"/>
              </w:rPr>
              <w:t>0</w:t>
            </w:r>
          </w:p>
        </w:tc>
        <w:tc>
          <w:tcPr>
            <w:tcW w:w="2055" w:type="dxa"/>
            <w:tcBorders>
              <w:top w:val="single" w:sz="4" w:space="0" w:color="auto"/>
              <w:bottom w:val="single" w:sz="4" w:space="0" w:color="auto"/>
            </w:tcBorders>
          </w:tcPr>
          <w:p w14:paraId="03956DC9" w14:textId="6460D24A" w:rsidR="00A73CBF" w:rsidRPr="003061F1" w:rsidRDefault="004B308B" w:rsidP="00A73CBF">
            <w:pPr>
              <w:widowControl w:val="0"/>
              <w:autoSpaceDE w:val="0"/>
              <w:autoSpaceDN w:val="0"/>
              <w:adjustRightInd w:val="0"/>
              <w:jc w:val="right"/>
              <w:rPr>
                <w:rFonts w:cs="Arial"/>
                <w:bCs/>
                <w:sz w:val="20"/>
                <w:szCs w:val="20"/>
              </w:rPr>
            </w:pPr>
            <w:r>
              <w:rPr>
                <w:rFonts w:cs="Arial"/>
                <w:bCs/>
                <w:sz w:val="20"/>
                <w:szCs w:val="20"/>
              </w:rPr>
              <w:t>3</w:t>
            </w:r>
            <w:r w:rsidR="009B528F">
              <w:rPr>
                <w:rFonts w:cs="Arial"/>
                <w:bCs/>
                <w:sz w:val="20"/>
                <w:szCs w:val="20"/>
              </w:rPr>
              <w:t>3</w:t>
            </w:r>
            <w:r w:rsidR="002A5A05">
              <w:rPr>
                <w:rFonts w:cs="Arial"/>
                <w:bCs/>
                <w:sz w:val="20"/>
                <w:szCs w:val="20"/>
              </w:rPr>
              <w:t>,</w:t>
            </w:r>
            <w:r w:rsidR="009B528F">
              <w:rPr>
                <w:rFonts w:cs="Arial"/>
                <w:bCs/>
                <w:sz w:val="20"/>
                <w:szCs w:val="20"/>
              </w:rPr>
              <w:t>263</w:t>
            </w:r>
          </w:p>
        </w:tc>
      </w:tr>
      <w:tr w:rsidR="00A73CBF" w:rsidRPr="00676064" w14:paraId="6D640D39" w14:textId="77777777" w:rsidTr="00A73CBF">
        <w:tc>
          <w:tcPr>
            <w:tcW w:w="4629" w:type="dxa"/>
          </w:tcPr>
          <w:p w14:paraId="479A9059" w14:textId="77777777" w:rsidR="00A73CBF" w:rsidRPr="003061F1" w:rsidRDefault="00A73CBF" w:rsidP="00A73CBF">
            <w:pPr>
              <w:widowControl w:val="0"/>
              <w:autoSpaceDE w:val="0"/>
              <w:autoSpaceDN w:val="0"/>
              <w:adjustRightInd w:val="0"/>
              <w:rPr>
                <w:rFonts w:cs="Arial"/>
                <w:bCs/>
                <w:sz w:val="20"/>
                <w:szCs w:val="20"/>
              </w:rPr>
            </w:pPr>
          </w:p>
        </w:tc>
        <w:tc>
          <w:tcPr>
            <w:tcW w:w="1820" w:type="dxa"/>
            <w:tcBorders>
              <w:top w:val="single" w:sz="4" w:space="0" w:color="auto"/>
              <w:bottom w:val="single" w:sz="4" w:space="0" w:color="auto"/>
            </w:tcBorders>
          </w:tcPr>
          <w:p w14:paraId="0FA06E7E" w14:textId="77777777" w:rsidR="00A73CBF" w:rsidRPr="003061F1" w:rsidRDefault="00A73CBF" w:rsidP="00A73CBF">
            <w:pPr>
              <w:widowControl w:val="0"/>
              <w:autoSpaceDE w:val="0"/>
              <w:autoSpaceDN w:val="0"/>
              <w:adjustRightInd w:val="0"/>
              <w:jc w:val="right"/>
              <w:rPr>
                <w:rFonts w:cs="Arial"/>
                <w:bCs/>
                <w:sz w:val="20"/>
                <w:szCs w:val="20"/>
              </w:rPr>
            </w:pPr>
          </w:p>
        </w:tc>
        <w:tc>
          <w:tcPr>
            <w:tcW w:w="2055" w:type="dxa"/>
            <w:tcBorders>
              <w:top w:val="single" w:sz="4" w:space="0" w:color="auto"/>
              <w:bottom w:val="single" w:sz="4" w:space="0" w:color="auto"/>
            </w:tcBorders>
          </w:tcPr>
          <w:p w14:paraId="18BB882E"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4A5E2817" w14:textId="77777777" w:rsidTr="00A70EF7">
        <w:tc>
          <w:tcPr>
            <w:tcW w:w="4629" w:type="dxa"/>
          </w:tcPr>
          <w:p w14:paraId="325C2C9C" w14:textId="5131ADFF"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Net book value at 31 March</w:t>
            </w:r>
            <w:r w:rsidR="00A36F2F">
              <w:rPr>
                <w:rFonts w:cs="Arial"/>
                <w:bCs/>
                <w:sz w:val="20"/>
                <w:szCs w:val="20"/>
              </w:rPr>
              <w:t xml:space="preserve"> </w:t>
            </w:r>
          </w:p>
        </w:tc>
        <w:tc>
          <w:tcPr>
            <w:tcW w:w="1820" w:type="dxa"/>
            <w:tcBorders>
              <w:top w:val="single" w:sz="4" w:space="0" w:color="auto"/>
              <w:bottom w:val="single" w:sz="4" w:space="0" w:color="auto"/>
            </w:tcBorders>
          </w:tcPr>
          <w:p w14:paraId="15281B8A" w14:textId="374C6A1B" w:rsidR="00A73CBF" w:rsidRPr="003061F1" w:rsidRDefault="009B528F" w:rsidP="007B1A0B">
            <w:pPr>
              <w:widowControl w:val="0"/>
              <w:autoSpaceDE w:val="0"/>
              <w:autoSpaceDN w:val="0"/>
              <w:adjustRightInd w:val="0"/>
              <w:jc w:val="right"/>
              <w:rPr>
                <w:rFonts w:cs="Arial"/>
                <w:bCs/>
                <w:sz w:val="20"/>
                <w:szCs w:val="20"/>
              </w:rPr>
            </w:pPr>
            <w:r>
              <w:rPr>
                <w:rFonts w:cs="Arial"/>
                <w:bCs/>
                <w:sz w:val="20"/>
                <w:szCs w:val="20"/>
              </w:rPr>
              <w:t>0</w:t>
            </w:r>
          </w:p>
        </w:tc>
        <w:tc>
          <w:tcPr>
            <w:tcW w:w="2055" w:type="dxa"/>
            <w:tcBorders>
              <w:top w:val="single" w:sz="4" w:space="0" w:color="auto"/>
              <w:bottom w:val="single" w:sz="4" w:space="0" w:color="auto"/>
            </w:tcBorders>
          </w:tcPr>
          <w:p w14:paraId="3EB53FD2" w14:textId="2C630201" w:rsidR="00A73CBF" w:rsidRPr="003061F1" w:rsidRDefault="009B528F" w:rsidP="00A73CBF">
            <w:pPr>
              <w:widowControl w:val="0"/>
              <w:autoSpaceDE w:val="0"/>
              <w:autoSpaceDN w:val="0"/>
              <w:adjustRightInd w:val="0"/>
              <w:jc w:val="right"/>
              <w:rPr>
                <w:rFonts w:cs="Arial"/>
                <w:bCs/>
                <w:sz w:val="20"/>
                <w:szCs w:val="20"/>
              </w:rPr>
            </w:pPr>
            <w:r>
              <w:rPr>
                <w:rFonts w:cs="Arial"/>
                <w:bCs/>
                <w:sz w:val="20"/>
                <w:szCs w:val="20"/>
              </w:rPr>
              <w:t>315</w:t>
            </w:r>
          </w:p>
        </w:tc>
      </w:tr>
      <w:tr w:rsidR="00F7114B" w:rsidRPr="00676064" w14:paraId="1A8C06FB" w14:textId="77777777" w:rsidTr="00A70EF7">
        <w:tc>
          <w:tcPr>
            <w:tcW w:w="4629" w:type="dxa"/>
          </w:tcPr>
          <w:p w14:paraId="310C6B37" w14:textId="77777777" w:rsidR="00F7114B" w:rsidRPr="003061F1" w:rsidRDefault="00F7114B" w:rsidP="00A73CBF">
            <w:pPr>
              <w:widowControl w:val="0"/>
              <w:autoSpaceDE w:val="0"/>
              <w:autoSpaceDN w:val="0"/>
              <w:adjustRightInd w:val="0"/>
              <w:rPr>
                <w:rFonts w:cs="Arial"/>
                <w:bCs/>
                <w:sz w:val="20"/>
                <w:szCs w:val="20"/>
              </w:rPr>
            </w:pPr>
          </w:p>
        </w:tc>
        <w:tc>
          <w:tcPr>
            <w:tcW w:w="1820" w:type="dxa"/>
            <w:tcBorders>
              <w:top w:val="single" w:sz="4" w:space="0" w:color="auto"/>
            </w:tcBorders>
          </w:tcPr>
          <w:p w14:paraId="4479FB77" w14:textId="77777777" w:rsidR="00F7114B" w:rsidRDefault="00F7114B" w:rsidP="007B1A0B">
            <w:pPr>
              <w:widowControl w:val="0"/>
              <w:autoSpaceDE w:val="0"/>
              <w:autoSpaceDN w:val="0"/>
              <w:adjustRightInd w:val="0"/>
              <w:jc w:val="right"/>
              <w:rPr>
                <w:rFonts w:cs="Arial"/>
                <w:bCs/>
                <w:sz w:val="20"/>
                <w:szCs w:val="20"/>
              </w:rPr>
            </w:pPr>
          </w:p>
        </w:tc>
        <w:tc>
          <w:tcPr>
            <w:tcW w:w="2055" w:type="dxa"/>
            <w:tcBorders>
              <w:top w:val="single" w:sz="4" w:space="0" w:color="auto"/>
            </w:tcBorders>
          </w:tcPr>
          <w:p w14:paraId="16B0DFF2" w14:textId="77777777" w:rsidR="00F7114B" w:rsidRDefault="00F7114B" w:rsidP="00A73CBF">
            <w:pPr>
              <w:widowControl w:val="0"/>
              <w:autoSpaceDE w:val="0"/>
              <w:autoSpaceDN w:val="0"/>
              <w:adjustRightInd w:val="0"/>
              <w:jc w:val="right"/>
              <w:rPr>
                <w:rFonts w:cs="Arial"/>
                <w:bCs/>
                <w:sz w:val="20"/>
                <w:szCs w:val="20"/>
              </w:rPr>
            </w:pPr>
          </w:p>
        </w:tc>
      </w:tr>
    </w:tbl>
    <w:p w14:paraId="5146B0EE" w14:textId="77777777" w:rsidR="004B308B" w:rsidRDefault="004B308B" w:rsidP="000C2A54">
      <w:pPr>
        <w:widowControl w:val="0"/>
        <w:tabs>
          <w:tab w:val="left" w:pos="567"/>
        </w:tabs>
        <w:autoSpaceDE w:val="0"/>
        <w:autoSpaceDN w:val="0"/>
        <w:adjustRightInd w:val="0"/>
        <w:rPr>
          <w:rFonts w:cs="Arial"/>
          <w:b/>
          <w:bCs/>
        </w:rPr>
      </w:pPr>
    </w:p>
    <w:p w14:paraId="7BDA89F6" w14:textId="1FFE8A42" w:rsidR="000C2A54" w:rsidRPr="00676064" w:rsidRDefault="002A5A05" w:rsidP="000C2A54">
      <w:pPr>
        <w:widowControl w:val="0"/>
        <w:tabs>
          <w:tab w:val="left" w:pos="567"/>
        </w:tabs>
        <w:autoSpaceDE w:val="0"/>
        <w:autoSpaceDN w:val="0"/>
        <w:adjustRightInd w:val="0"/>
        <w:rPr>
          <w:rFonts w:cs="Arial"/>
          <w:b/>
          <w:bCs/>
        </w:rPr>
      </w:pPr>
      <w:r>
        <w:rPr>
          <w:rFonts w:cs="Arial"/>
          <w:b/>
          <w:bCs/>
        </w:rPr>
        <w:t>9</w:t>
      </w:r>
      <w:r w:rsidR="000C2A54">
        <w:rPr>
          <w:rFonts w:cs="Arial"/>
          <w:b/>
          <w:bCs/>
        </w:rPr>
        <w:t>.</w:t>
      </w:r>
      <w:r w:rsidR="000C2A54">
        <w:rPr>
          <w:rFonts w:cs="Arial"/>
          <w:b/>
          <w:bCs/>
        </w:rPr>
        <w:tab/>
      </w:r>
      <w:r w:rsidR="000C2A54" w:rsidRPr="00676064">
        <w:rPr>
          <w:rFonts w:cs="Arial"/>
          <w:b/>
          <w:bCs/>
        </w:rPr>
        <w:t>Financial instruments</w:t>
      </w:r>
    </w:p>
    <w:p w14:paraId="09EB9370" w14:textId="77777777" w:rsidR="000C2A54" w:rsidRPr="00676064" w:rsidRDefault="000C2A54" w:rsidP="000C2A54">
      <w:pPr>
        <w:widowControl w:val="0"/>
        <w:autoSpaceDE w:val="0"/>
        <w:autoSpaceDN w:val="0"/>
        <w:adjustRightInd w:val="0"/>
      </w:pPr>
    </w:p>
    <w:p w14:paraId="2D83E6E9" w14:textId="77777777" w:rsidR="000C2A54" w:rsidRPr="00676064" w:rsidRDefault="000C2A54" w:rsidP="000C2A54">
      <w:pPr>
        <w:pStyle w:val="BodyTextIndent"/>
        <w:spacing w:after="0"/>
        <w:ind w:left="567"/>
        <w:rPr>
          <w:rFonts w:cs="Arial"/>
          <w:bCs/>
        </w:rPr>
      </w:pPr>
      <w:r w:rsidRPr="00676064">
        <w:rPr>
          <w:rFonts w:cs="Arial"/>
          <w:bCs/>
        </w:rPr>
        <w:t xml:space="preserve">As the cash requirements of the Commission are met through </w:t>
      </w:r>
    </w:p>
    <w:p w14:paraId="383E4D77" w14:textId="77777777" w:rsidR="000C2A54" w:rsidRPr="00676064" w:rsidRDefault="000C2A54" w:rsidP="000C2A54">
      <w:pPr>
        <w:pStyle w:val="BodyTextIndent"/>
        <w:spacing w:after="0"/>
        <w:ind w:left="567"/>
        <w:rPr>
          <w:rFonts w:cs="Arial"/>
          <w:bCs/>
        </w:rPr>
      </w:pPr>
      <w:r w:rsidRPr="00676064">
        <w:rPr>
          <w:rFonts w:cs="Arial"/>
          <w:bCs/>
        </w:rPr>
        <w:t xml:space="preserve">grant-in-aid provided by </w:t>
      </w:r>
      <w:r w:rsidRPr="00676064">
        <w:rPr>
          <w:lang w:val="en-US"/>
        </w:rPr>
        <w:t>the Northern Ireland Office</w:t>
      </w:r>
      <w:r w:rsidRPr="00676064">
        <w:rPr>
          <w:rFonts w:cs="Arial"/>
          <w:bCs/>
        </w:rPr>
        <w:t>, financial instruments play a more limited role in creating and managing risk than would apply to a non-public sector body.  The majority of financial instruments relate to contracts to buy non</w:t>
      </w:r>
      <w:r w:rsidRPr="00676064">
        <w:t>-</w:t>
      </w:r>
      <w:r w:rsidRPr="00676064">
        <w:rPr>
          <w:rFonts w:cs="Arial"/>
          <w:bCs/>
        </w:rPr>
        <w:t xml:space="preserve">financial items in line with the </w:t>
      </w:r>
      <w:r w:rsidRPr="00676064">
        <w:t>Commission’s</w:t>
      </w:r>
      <w:r w:rsidRPr="00676064">
        <w:rPr>
          <w:rFonts w:cs="Arial"/>
          <w:bCs/>
        </w:rPr>
        <w:t xml:space="preserve"> expected purchase and usage requirements and the </w:t>
      </w:r>
      <w:r w:rsidRPr="00676064">
        <w:t>Commission</w:t>
      </w:r>
      <w:r w:rsidRPr="00676064">
        <w:rPr>
          <w:rFonts w:cs="Arial"/>
          <w:bCs/>
        </w:rPr>
        <w:t xml:space="preserve"> is therefore exposed to little credit, liquidity or market risk. </w:t>
      </w:r>
    </w:p>
    <w:p w14:paraId="6149C7A2" w14:textId="77777777" w:rsidR="00F7114B" w:rsidRDefault="00F7114B" w:rsidP="000C2A54">
      <w:pPr>
        <w:pStyle w:val="BodyTextIndent"/>
        <w:spacing w:after="0"/>
        <w:ind w:left="0"/>
      </w:pPr>
    </w:p>
    <w:p w14:paraId="48529B61" w14:textId="77777777" w:rsidR="009B528F" w:rsidRPr="00676064" w:rsidRDefault="009B528F" w:rsidP="000C2A54">
      <w:pPr>
        <w:pStyle w:val="BodyTextIndent"/>
        <w:spacing w:after="0"/>
        <w:ind w:left="0"/>
      </w:pPr>
    </w:p>
    <w:p w14:paraId="0F10BA71" w14:textId="0F58F326" w:rsidR="000C2A54" w:rsidRPr="00676064" w:rsidRDefault="002A5A05" w:rsidP="000C2A54">
      <w:pPr>
        <w:tabs>
          <w:tab w:val="left" w:pos="567"/>
        </w:tabs>
        <w:rPr>
          <w:rFonts w:cs="Arial"/>
          <w:b/>
          <w:bCs/>
        </w:rPr>
      </w:pPr>
      <w:r>
        <w:rPr>
          <w:rFonts w:cs="Arial"/>
          <w:b/>
          <w:bCs/>
        </w:rPr>
        <w:t>10</w:t>
      </w:r>
      <w:r w:rsidR="000C2A54" w:rsidRPr="00676064">
        <w:rPr>
          <w:rFonts w:cs="Arial"/>
          <w:b/>
          <w:bCs/>
        </w:rPr>
        <w:t>.</w:t>
      </w:r>
      <w:r w:rsidR="000C2A54">
        <w:rPr>
          <w:rFonts w:cs="Arial"/>
          <w:b/>
          <w:bCs/>
        </w:rPr>
        <w:tab/>
      </w:r>
      <w:r w:rsidR="000C2A54" w:rsidRPr="00676064">
        <w:rPr>
          <w:rFonts w:cs="Arial"/>
          <w:b/>
          <w:bCs/>
        </w:rPr>
        <w:t>Trade receivables and other current assets</w:t>
      </w:r>
    </w:p>
    <w:p w14:paraId="0FCD2C36"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bl>
      <w:tblPr>
        <w:tblW w:w="8527" w:type="dxa"/>
        <w:jc w:val="right"/>
        <w:tblLook w:val="01E0" w:firstRow="1" w:lastRow="1" w:firstColumn="1" w:lastColumn="1" w:noHBand="0" w:noVBand="0"/>
      </w:tblPr>
      <w:tblGrid>
        <w:gridCol w:w="5760"/>
        <w:gridCol w:w="1440"/>
        <w:gridCol w:w="1327"/>
      </w:tblGrid>
      <w:tr w:rsidR="000C2A54" w:rsidRPr="00676064" w14:paraId="33A11FF5" w14:textId="77777777" w:rsidTr="009264D8">
        <w:trPr>
          <w:jc w:val="right"/>
        </w:trPr>
        <w:tc>
          <w:tcPr>
            <w:tcW w:w="5760" w:type="dxa"/>
          </w:tcPr>
          <w:p w14:paraId="4D25DF12"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
                <w:bCs/>
              </w:rPr>
            </w:pPr>
          </w:p>
        </w:tc>
        <w:tc>
          <w:tcPr>
            <w:tcW w:w="1440" w:type="dxa"/>
          </w:tcPr>
          <w:p w14:paraId="40EB8C02" w14:textId="2D70C497"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w:t>
            </w:r>
            <w:r w:rsidR="009B528F">
              <w:rPr>
                <w:rFonts w:cs="Arial"/>
                <w:b/>
                <w:bCs/>
                <w:sz w:val="20"/>
                <w:szCs w:val="20"/>
              </w:rPr>
              <w:t>4</w:t>
            </w:r>
            <w:r>
              <w:rPr>
                <w:rFonts w:cs="Arial"/>
                <w:b/>
                <w:bCs/>
                <w:sz w:val="20"/>
                <w:szCs w:val="20"/>
              </w:rPr>
              <w:t>-2</w:t>
            </w:r>
            <w:r w:rsidR="009B528F">
              <w:rPr>
                <w:rFonts w:cs="Arial"/>
                <w:b/>
                <w:bCs/>
                <w:sz w:val="20"/>
                <w:szCs w:val="20"/>
              </w:rPr>
              <w:t>5</w:t>
            </w:r>
          </w:p>
        </w:tc>
        <w:tc>
          <w:tcPr>
            <w:tcW w:w="1327" w:type="dxa"/>
          </w:tcPr>
          <w:p w14:paraId="2766F3BB" w14:textId="258DB0C2"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w:t>
            </w:r>
            <w:r w:rsidR="009B528F">
              <w:rPr>
                <w:rFonts w:cs="Arial"/>
                <w:b/>
                <w:bCs/>
                <w:sz w:val="20"/>
                <w:szCs w:val="20"/>
              </w:rPr>
              <w:t>3</w:t>
            </w:r>
            <w:r>
              <w:rPr>
                <w:rFonts w:cs="Arial"/>
                <w:b/>
                <w:bCs/>
                <w:sz w:val="20"/>
                <w:szCs w:val="20"/>
              </w:rPr>
              <w:t>-2</w:t>
            </w:r>
            <w:r w:rsidR="009B528F">
              <w:rPr>
                <w:rFonts w:cs="Arial"/>
                <w:b/>
                <w:bCs/>
                <w:sz w:val="20"/>
                <w:szCs w:val="20"/>
              </w:rPr>
              <w:t>4</w:t>
            </w:r>
          </w:p>
        </w:tc>
      </w:tr>
      <w:tr w:rsidR="000C2A54" w:rsidRPr="00676064" w14:paraId="0E1211D9" w14:textId="77777777" w:rsidTr="009264D8">
        <w:trPr>
          <w:jc w:val="right"/>
        </w:trPr>
        <w:tc>
          <w:tcPr>
            <w:tcW w:w="5760" w:type="dxa"/>
          </w:tcPr>
          <w:p w14:paraId="4753B75F"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Pr>
          <w:p w14:paraId="71AE8848"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327" w:type="dxa"/>
          </w:tcPr>
          <w:p w14:paraId="4FAF2B04"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318C5EB7" w14:textId="77777777" w:rsidTr="009264D8">
        <w:trPr>
          <w:jc w:val="right"/>
        </w:trPr>
        <w:tc>
          <w:tcPr>
            <w:tcW w:w="5760" w:type="dxa"/>
          </w:tcPr>
          <w:p w14:paraId="664359B1"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Amounts falling due within one year:</w:t>
            </w:r>
          </w:p>
        </w:tc>
        <w:tc>
          <w:tcPr>
            <w:tcW w:w="1440" w:type="dxa"/>
          </w:tcPr>
          <w:p w14:paraId="40D4CD6B"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c>
          <w:tcPr>
            <w:tcW w:w="1327" w:type="dxa"/>
          </w:tcPr>
          <w:p w14:paraId="3ED94DD9"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r>
      <w:tr w:rsidR="000C2A54" w:rsidRPr="00676064" w14:paraId="112E4BE8" w14:textId="77777777" w:rsidTr="009264D8">
        <w:trPr>
          <w:jc w:val="right"/>
        </w:trPr>
        <w:tc>
          <w:tcPr>
            <w:tcW w:w="5760" w:type="dxa"/>
          </w:tcPr>
          <w:p w14:paraId="13666A7D"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Prepayments and accrued income</w:t>
            </w:r>
          </w:p>
        </w:tc>
        <w:tc>
          <w:tcPr>
            <w:tcW w:w="1440" w:type="dxa"/>
          </w:tcPr>
          <w:p w14:paraId="5B0FF681" w14:textId="5C6E609C" w:rsidR="000C2A54" w:rsidRPr="003061F1" w:rsidRDefault="004B308B"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4</w:t>
            </w:r>
            <w:r w:rsidR="009B528F">
              <w:rPr>
                <w:rFonts w:cs="Arial"/>
                <w:bCs/>
                <w:sz w:val="20"/>
                <w:szCs w:val="20"/>
              </w:rPr>
              <w:t>9</w:t>
            </w:r>
            <w:r w:rsidR="002A5A05">
              <w:rPr>
                <w:rFonts w:cs="Arial"/>
                <w:bCs/>
                <w:sz w:val="20"/>
                <w:szCs w:val="20"/>
              </w:rPr>
              <w:t>,</w:t>
            </w:r>
            <w:r w:rsidR="009B528F">
              <w:rPr>
                <w:rFonts w:cs="Arial"/>
                <w:bCs/>
                <w:sz w:val="20"/>
                <w:szCs w:val="20"/>
              </w:rPr>
              <w:t>648</w:t>
            </w:r>
          </w:p>
        </w:tc>
        <w:tc>
          <w:tcPr>
            <w:tcW w:w="1327" w:type="dxa"/>
          </w:tcPr>
          <w:p w14:paraId="0E709C71" w14:textId="4D821FA4" w:rsidR="000C2A54" w:rsidRPr="003061F1" w:rsidRDefault="009B528F"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43</w:t>
            </w:r>
            <w:r w:rsidR="002A5A05">
              <w:rPr>
                <w:rFonts w:cs="Arial"/>
                <w:bCs/>
                <w:sz w:val="20"/>
                <w:szCs w:val="20"/>
              </w:rPr>
              <w:t>,</w:t>
            </w:r>
            <w:r>
              <w:rPr>
                <w:rFonts w:cs="Arial"/>
                <w:bCs/>
                <w:sz w:val="20"/>
                <w:szCs w:val="20"/>
              </w:rPr>
              <w:t>882</w:t>
            </w:r>
          </w:p>
        </w:tc>
      </w:tr>
      <w:tr w:rsidR="000C2A54" w:rsidRPr="00676064" w14:paraId="05731E07" w14:textId="77777777" w:rsidTr="009264D8">
        <w:trPr>
          <w:jc w:val="right"/>
        </w:trPr>
        <w:tc>
          <w:tcPr>
            <w:tcW w:w="5760" w:type="dxa"/>
          </w:tcPr>
          <w:p w14:paraId="3822C73E"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Borders>
              <w:top w:val="single" w:sz="4" w:space="0" w:color="auto"/>
              <w:bottom w:val="single" w:sz="4" w:space="0" w:color="auto"/>
            </w:tcBorders>
          </w:tcPr>
          <w:p w14:paraId="294265B3"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73444523" w14:textId="2B14D1D4" w:rsidR="00567379" w:rsidRPr="003061F1" w:rsidRDefault="004B308B"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4</w:t>
            </w:r>
            <w:r w:rsidR="009B528F">
              <w:rPr>
                <w:rFonts w:cs="Arial"/>
                <w:b/>
                <w:bCs/>
                <w:sz w:val="20"/>
                <w:szCs w:val="20"/>
              </w:rPr>
              <w:t>9</w:t>
            </w:r>
            <w:r w:rsidR="00567379">
              <w:rPr>
                <w:rFonts w:cs="Arial"/>
                <w:b/>
                <w:bCs/>
                <w:sz w:val="20"/>
                <w:szCs w:val="20"/>
              </w:rPr>
              <w:t>,</w:t>
            </w:r>
            <w:r w:rsidR="009B528F">
              <w:rPr>
                <w:rFonts w:cs="Arial"/>
                <w:b/>
                <w:bCs/>
                <w:sz w:val="20"/>
                <w:szCs w:val="20"/>
              </w:rPr>
              <w:t>648</w:t>
            </w:r>
          </w:p>
        </w:tc>
        <w:tc>
          <w:tcPr>
            <w:tcW w:w="1327" w:type="dxa"/>
            <w:tcBorders>
              <w:top w:val="single" w:sz="4" w:space="0" w:color="auto"/>
              <w:bottom w:val="single" w:sz="4" w:space="0" w:color="auto"/>
            </w:tcBorders>
          </w:tcPr>
          <w:p w14:paraId="1D1D4A00" w14:textId="77777777" w:rsidR="00642BF8" w:rsidRDefault="00642BF8" w:rsidP="00642BF8">
            <w:pPr>
              <w:widowControl w:val="0"/>
              <w:tabs>
                <w:tab w:val="left" w:pos="567"/>
                <w:tab w:val="right" w:pos="7371"/>
                <w:tab w:val="right" w:pos="9356"/>
              </w:tabs>
              <w:autoSpaceDE w:val="0"/>
              <w:autoSpaceDN w:val="0"/>
              <w:adjustRightInd w:val="0"/>
              <w:jc w:val="right"/>
              <w:rPr>
                <w:rFonts w:cs="Arial"/>
                <w:b/>
                <w:bCs/>
                <w:sz w:val="20"/>
                <w:szCs w:val="20"/>
              </w:rPr>
            </w:pPr>
          </w:p>
          <w:p w14:paraId="07ACA643" w14:textId="050668EE" w:rsidR="00567379" w:rsidRPr="003061F1" w:rsidRDefault="009B528F" w:rsidP="00642BF8">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43</w:t>
            </w:r>
            <w:r w:rsidR="002A5A05">
              <w:rPr>
                <w:rFonts w:cs="Arial"/>
                <w:b/>
                <w:bCs/>
                <w:sz w:val="20"/>
                <w:szCs w:val="20"/>
              </w:rPr>
              <w:t>,</w:t>
            </w:r>
            <w:r>
              <w:rPr>
                <w:rFonts w:cs="Arial"/>
                <w:b/>
                <w:bCs/>
                <w:sz w:val="20"/>
                <w:szCs w:val="20"/>
              </w:rPr>
              <w:t>882</w:t>
            </w:r>
          </w:p>
        </w:tc>
      </w:tr>
    </w:tbl>
    <w:p w14:paraId="1FA7A468" w14:textId="77777777" w:rsidR="003061F1" w:rsidRDefault="003061F1" w:rsidP="000C2A54">
      <w:pPr>
        <w:widowControl w:val="0"/>
        <w:tabs>
          <w:tab w:val="left" w:pos="567"/>
          <w:tab w:val="right" w:pos="7371"/>
          <w:tab w:val="right" w:pos="9356"/>
        </w:tabs>
        <w:autoSpaceDE w:val="0"/>
        <w:autoSpaceDN w:val="0"/>
        <w:adjustRightInd w:val="0"/>
        <w:rPr>
          <w:rFonts w:cs="Arial"/>
          <w:b/>
          <w:bCs/>
        </w:rPr>
      </w:pPr>
    </w:p>
    <w:p w14:paraId="45970B17" w14:textId="77777777" w:rsidR="009B528F" w:rsidRDefault="009B528F" w:rsidP="000C2A54">
      <w:pPr>
        <w:widowControl w:val="0"/>
        <w:tabs>
          <w:tab w:val="left" w:pos="567"/>
          <w:tab w:val="right" w:pos="7371"/>
          <w:tab w:val="right" w:pos="9356"/>
        </w:tabs>
        <w:autoSpaceDE w:val="0"/>
        <w:autoSpaceDN w:val="0"/>
        <w:adjustRightInd w:val="0"/>
        <w:rPr>
          <w:rFonts w:cs="Arial"/>
          <w:b/>
          <w:bCs/>
        </w:rPr>
      </w:pPr>
    </w:p>
    <w:p w14:paraId="35CAFCAD" w14:textId="77777777" w:rsidR="009B528F" w:rsidRDefault="009B528F" w:rsidP="000C2A54">
      <w:pPr>
        <w:widowControl w:val="0"/>
        <w:tabs>
          <w:tab w:val="left" w:pos="567"/>
          <w:tab w:val="right" w:pos="7371"/>
          <w:tab w:val="right" w:pos="9356"/>
        </w:tabs>
        <w:autoSpaceDE w:val="0"/>
        <w:autoSpaceDN w:val="0"/>
        <w:adjustRightInd w:val="0"/>
        <w:rPr>
          <w:rFonts w:cs="Arial"/>
          <w:b/>
          <w:bCs/>
        </w:rPr>
      </w:pPr>
    </w:p>
    <w:p w14:paraId="53133DE1" w14:textId="77777777" w:rsidR="009B528F" w:rsidRDefault="009B528F" w:rsidP="000C2A54">
      <w:pPr>
        <w:widowControl w:val="0"/>
        <w:tabs>
          <w:tab w:val="left" w:pos="567"/>
          <w:tab w:val="right" w:pos="7371"/>
          <w:tab w:val="right" w:pos="9356"/>
        </w:tabs>
        <w:autoSpaceDE w:val="0"/>
        <w:autoSpaceDN w:val="0"/>
        <w:adjustRightInd w:val="0"/>
        <w:rPr>
          <w:rFonts w:cs="Arial"/>
          <w:b/>
          <w:bCs/>
        </w:rPr>
      </w:pPr>
    </w:p>
    <w:p w14:paraId="5855534E" w14:textId="77777777" w:rsidR="009B528F" w:rsidRDefault="009B528F" w:rsidP="000C2A54">
      <w:pPr>
        <w:widowControl w:val="0"/>
        <w:tabs>
          <w:tab w:val="left" w:pos="567"/>
          <w:tab w:val="right" w:pos="7371"/>
          <w:tab w:val="right" w:pos="9356"/>
        </w:tabs>
        <w:autoSpaceDE w:val="0"/>
        <w:autoSpaceDN w:val="0"/>
        <w:adjustRightInd w:val="0"/>
        <w:rPr>
          <w:rFonts w:cs="Arial"/>
          <w:b/>
          <w:bCs/>
        </w:rPr>
      </w:pPr>
    </w:p>
    <w:p w14:paraId="5D827FBC" w14:textId="77777777" w:rsidR="009B528F" w:rsidRDefault="009B528F" w:rsidP="000C2A54">
      <w:pPr>
        <w:widowControl w:val="0"/>
        <w:tabs>
          <w:tab w:val="left" w:pos="567"/>
          <w:tab w:val="right" w:pos="7371"/>
          <w:tab w:val="right" w:pos="9356"/>
        </w:tabs>
        <w:autoSpaceDE w:val="0"/>
        <w:autoSpaceDN w:val="0"/>
        <w:adjustRightInd w:val="0"/>
        <w:rPr>
          <w:rFonts w:cs="Arial"/>
          <w:b/>
          <w:bCs/>
        </w:rPr>
      </w:pPr>
    </w:p>
    <w:p w14:paraId="157D4539" w14:textId="77777777" w:rsidR="009B528F" w:rsidRDefault="009B528F" w:rsidP="000C2A54">
      <w:pPr>
        <w:widowControl w:val="0"/>
        <w:tabs>
          <w:tab w:val="left" w:pos="567"/>
          <w:tab w:val="right" w:pos="7371"/>
          <w:tab w:val="right" w:pos="9356"/>
        </w:tabs>
        <w:autoSpaceDE w:val="0"/>
        <w:autoSpaceDN w:val="0"/>
        <w:adjustRightInd w:val="0"/>
        <w:rPr>
          <w:rFonts w:cs="Arial"/>
          <w:b/>
          <w:bCs/>
        </w:rPr>
      </w:pPr>
    </w:p>
    <w:p w14:paraId="72876A7F" w14:textId="77777777" w:rsidR="009B528F" w:rsidRDefault="009B528F" w:rsidP="000C2A54">
      <w:pPr>
        <w:widowControl w:val="0"/>
        <w:tabs>
          <w:tab w:val="left" w:pos="567"/>
          <w:tab w:val="right" w:pos="7371"/>
          <w:tab w:val="right" w:pos="9356"/>
        </w:tabs>
        <w:autoSpaceDE w:val="0"/>
        <w:autoSpaceDN w:val="0"/>
        <w:adjustRightInd w:val="0"/>
        <w:rPr>
          <w:rFonts w:cs="Arial"/>
          <w:b/>
          <w:bCs/>
        </w:rPr>
      </w:pPr>
    </w:p>
    <w:p w14:paraId="32CBD0EB" w14:textId="77777777" w:rsidR="009B528F" w:rsidRDefault="009B528F" w:rsidP="000C2A54">
      <w:pPr>
        <w:widowControl w:val="0"/>
        <w:tabs>
          <w:tab w:val="left" w:pos="567"/>
          <w:tab w:val="right" w:pos="7371"/>
          <w:tab w:val="right" w:pos="9356"/>
        </w:tabs>
        <w:autoSpaceDE w:val="0"/>
        <w:autoSpaceDN w:val="0"/>
        <w:adjustRightInd w:val="0"/>
        <w:rPr>
          <w:rFonts w:cs="Arial"/>
          <w:b/>
          <w:bCs/>
        </w:rPr>
      </w:pPr>
    </w:p>
    <w:p w14:paraId="286B0902" w14:textId="77777777" w:rsidR="009B528F" w:rsidRDefault="009B528F" w:rsidP="000C2A54">
      <w:pPr>
        <w:widowControl w:val="0"/>
        <w:tabs>
          <w:tab w:val="left" w:pos="567"/>
          <w:tab w:val="right" w:pos="7371"/>
          <w:tab w:val="right" w:pos="9356"/>
        </w:tabs>
        <w:autoSpaceDE w:val="0"/>
        <w:autoSpaceDN w:val="0"/>
        <w:adjustRightInd w:val="0"/>
        <w:rPr>
          <w:rFonts w:cs="Arial"/>
          <w:b/>
          <w:bCs/>
        </w:rPr>
      </w:pPr>
    </w:p>
    <w:p w14:paraId="56E3FD65" w14:textId="77777777" w:rsidR="009B528F" w:rsidRDefault="009B528F" w:rsidP="000C2A54">
      <w:pPr>
        <w:widowControl w:val="0"/>
        <w:tabs>
          <w:tab w:val="left" w:pos="567"/>
          <w:tab w:val="right" w:pos="7371"/>
          <w:tab w:val="right" w:pos="9356"/>
        </w:tabs>
        <w:autoSpaceDE w:val="0"/>
        <w:autoSpaceDN w:val="0"/>
        <w:adjustRightInd w:val="0"/>
        <w:rPr>
          <w:rFonts w:cs="Arial"/>
          <w:b/>
          <w:bCs/>
        </w:rPr>
      </w:pPr>
    </w:p>
    <w:p w14:paraId="6CB75EF6" w14:textId="77777777" w:rsidR="009B528F" w:rsidRPr="00676064" w:rsidRDefault="009B528F" w:rsidP="000C2A54">
      <w:pPr>
        <w:widowControl w:val="0"/>
        <w:tabs>
          <w:tab w:val="left" w:pos="567"/>
          <w:tab w:val="right" w:pos="7371"/>
          <w:tab w:val="right" w:pos="9356"/>
        </w:tabs>
        <w:autoSpaceDE w:val="0"/>
        <w:autoSpaceDN w:val="0"/>
        <w:adjustRightInd w:val="0"/>
        <w:rPr>
          <w:rFonts w:cs="Arial"/>
          <w:b/>
          <w:bCs/>
        </w:rPr>
      </w:pPr>
    </w:p>
    <w:p w14:paraId="7D5ADFF3" w14:textId="0B8BF5FC" w:rsidR="000C2A54" w:rsidRPr="00612DE1" w:rsidRDefault="000C2A54" w:rsidP="007A6076">
      <w:pPr>
        <w:pStyle w:val="ListParagraph"/>
        <w:numPr>
          <w:ilvl w:val="0"/>
          <w:numId w:val="25"/>
        </w:numPr>
        <w:rPr>
          <w:rFonts w:cs="Arial"/>
          <w:b/>
          <w:bCs/>
        </w:rPr>
      </w:pPr>
      <w:r w:rsidRPr="00612DE1">
        <w:rPr>
          <w:rFonts w:cs="Arial"/>
          <w:b/>
          <w:bCs/>
        </w:rPr>
        <w:lastRenderedPageBreak/>
        <w:t>Cash and cash equivalents</w:t>
      </w:r>
    </w:p>
    <w:p w14:paraId="224E79FF" w14:textId="77777777" w:rsidR="000C2A54" w:rsidRPr="00676064" w:rsidRDefault="000C2A54" w:rsidP="000C2A54">
      <w:pPr>
        <w:widowControl w:val="0"/>
        <w:tabs>
          <w:tab w:val="left" w:pos="567"/>
        </w:tabs>
        <w:autoSpaceDE w:val="0"/>
        <w:autoSpaceDN w:val="0"/>
        <w:adjustRightInd w:val="0"/>
        <w:rPr>
          <w:rFonts w:cs="Arial"/>
          <w:b/>
          <w:bCs/>
        </w:rPr>
      </w:pPr>
    </w:p>
    <w:tbl>
      <w:tblPr>
        <w:tblW w:w="8639" w:type="dxa"/>
        <w:jc w:val="right"/>
        <w:tblLook w:val="01E0" w:firstRow="1" w:lastRow="1" w:firstColumn="1" w:lastColumn="1" w:noHBand="0" w:noVBand="0"/>
      </w:tblPr>
      <w:tblGrid>
        <w:gridCol w:w="5760"/>
        <w:gridCol w:w="1440"/>
        <w:gridCol w:w="1439"/>
      </w:tblGrid>
      <w:tr w:rsidR="000C2A54" w:rsidRPr="00676064" w14:paraId="7ECD4C24" w14:textId="77777777" w:rsidTr="000C2A54">
        <w:trPr>
          <w:jc w:val="right"/>
        </w:trPr>
        <w:tc>
          <w:tcPr>
            <w:tcW w:w="5760" w:type="dxa"/>
          </w:tcPr>
          <w:p w14:paraId="37AAE3E9"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Pr>
          <w:p w14:paraId="31F624EE" w14:textId="3581BADC"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w:t>
            </w:r>
            <w:r w:rsidR="009B528F">
              <w:rPr>
                <w:rFonts w:cs="Arial"/>
                <w:b/>
                <w:bCs/>
                <w:sz w:val="20"/>
                <w:szCs w:val="20"/>
              </w:rPr>
              <w:t>4</w:t>
            </w:r>
            <w:r>
              <w:rPr>
                <w:rFonts w:cs="Arial"/>
                <w:b/>
                <w:bCs/>
                <w:sz w:val="20"/>
                <w:szCs w:val="20"/>
              </w:rPr>
              <w:t>-2</w:t>
            </w:r>
            <w:r w:rsidR="009B528F">
              <w:rPr>
                <w:rFonts w:cs="Arial"/>
                <w:b/>
                <w:bCs/>
                <w:sz w:val="20"/>
                <w:szCs w:val="20"/>
              </w:rPr>
              <w:t>5</w:t>
            </w:r>
          </w:p>
        </w:tc>
        <w:tc>
          <w:tcPr>
            <w:tcW w:w="1439" w:type="dxa"/>
          </w:tcPr>
          <w:p w14:paraId="4AF39CA5" w14:textId="05A15610"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w:t>
            </w:r>
            <w:r w:rsidR="009B528F">
              <w:rPr>
                <w:rFonts w:cs="Arial"/>
                <w:b/>
                <w:bCs/>
                <w:sz w:val="20"/>
                <w:szCs w:val="20"/>
              </w:rPr>
              <w:t>3</w:t>
            </w:r>
            <w:r>
              <w:rPr>
                <w:rFonts w:cs="Arial"/>
                <w:b/>
                <w:bCs/>
                <w:sz w:val="20"/>
                <w:szCs w:val="20"/>
              </w:rPr>
              <w:t>-2</w:t>
            </w:r>
            <w:r w:rsidR="009B528F">
              <w:rPr>
                <w:rFonts w:cs="Arial"/>
                <w:b/>
                <w:bCs/>
                <w:sz w:val="20"/>
                <w:szCs w:val="20"/>
              </w:rPr>
              <w:t>4</w:t>
            </w:r>
          </w:p>
        </w:tc>
      </w:tr>
      <w:tr w:rsidR="000C2A54" w:rsidRPr="00676064" w14:paraId="0B8012E8" w14:textId="77777777" w:rsidTr="000C2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5760" w:type="dxa"/>
            <w:tcBorders>
              <w:top w:val="nil"/>
              <w:left w:val="nil"/>
              <w:bottom w:val="nil"/>
              <w:right w:val="nil"/>
            </w:tcBorders>
          </w:tcPr>
          <w:p w14:paraId="24EEF7FE" w14:textId="77777777" w:rsidR="000C2A54" w:rsidRPr="00676064" w:rsidRDefault="000C2A54" w:rsidP="000C2A54">
            <w:pPr>
              <w:widowControl w:val="0"/>
              <w:tabs>
                <w:tab w:val="left" w:pos="567"/>
                <w:tab w:val="right" w:pos="7371"/>
                <w:tab w:val="right" w:pos="9356"/>
              </w:tabs>
              <w:autoSpaceDE w:val="0"/>
              <w:autoSpaceDN w:val="0"/>
              <w:adjustRightInd w:val="0"/>
              <w:rPr>
                <w:rFonts w:cs="Arial"/>
                <w:bCs/>
              </w:rPr>
            </w:pPr>
          </w:p>
        </w:tc>
        <w:tc>
          <w:tcPr>
            <w:tcW w:w="1440" w:type="dxa"/>
            <w:tcBorders>
              <w:top w:val="nil"/>
              <w:left w:val="nil"/>
              <w:bottom w:val="nil"/>
              <w:right w:val="nil"/>
            </w:tcBorders>
          </w:tcPr>
          <w:p w14:paraId="7EAC88F0"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439" w:type="dxa"/>
            <w:tcBorders>
              <w:top w:val="nil"/>
              <w:left w:val="nil"/>
              <w:bottom w:val="nil"/>
              <w:right w:val="nil"/>
            </w:tcBorders>
          </w:tcPr>
          <w:p w14:paraId="3C0E4BD6"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7BAF2CBD" w14:textId="77777777" w:rsidTr="000C2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5760" w:type="dxa"/>
            <w:tcBorders>
              <w:top w:val="nil"/>
              <w:left w:val="nil"/>
              <w:bottom w:val="nil"/>
              <w:right w:val="nil"/>
            </w:tcBorders>
          </w:tcPr>
          <w:p w14:paraId="4B6210AB"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Balance at 1</w:t>
            </w:r>
            <w:r w:rsidRPr="003061F1">
              <w:rPr>
                <w:rFonts w:cs="Arial"/>
                <w:b/>
                <w:bCs/>
                <w:sz w:val="20"/>
                <w:szCs w:val="20"/>
                <w:vertAlign w:val="superscript"/>
              </w:rPr>
              <w:t xml:space="preserve"> </w:t>
            </w:r>
            <w:r w:rsidRPr="003061F1">
              <w:rPr>
                <w:rFonts w:cs="Arial"/>
                <w:b/>
                <w:bCs/>
                <w:sz w:val="20"/>
                <w:szCs w:val="20"/>
              </w:rPr>
              <w:t>April</w:t>
            </w:r>
          </w:p>
        </w:tc>
        <w:tc>
          <w:tcPr>
            <w:tcW w:w="1440" w:type="dxa"/>
            <w:tcBorders>
              <w:top w:val="nil"/>
              <w:left w:val="nil"/>
              <w:bottom w:val="nil"/>
              <w:right w:val="nil"/>
            </w:tcBorders>
          </w:tcPr>
          <w:p w14:paraId="0C26476B" w14:textId="377DBAF9" w:rsidR="000C2A54" w:rsidRPr="003061F1" w:rsidRDefault="009B528F"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990</w:t>
            </w:r>
            <w:r w:rsidR="002A5A05">
              <w:rPr>
                <w:rFonts w:cs="Arial"/>
                <w:bCs/>
                <w:sz w:val="20"/>
                <w:szCs w:val="20"/>
              </w:rPr>
              <w:t>,</w:t>
            </w:r>
            <w:r>
              <w:rPr>
                <w:rFonts w:cs="Arial"/>
                <w:bCs/>
                <w:sz w:val="20"/>
                <w:szCs w:val="20"/>
              </w:rPr>
              <w:t>019</w:t>
            </w:r>
          </w:p>
        </w:tc>
        <w:tc>
          <w:tcPr>
            <w:tcW w:w="1439" w:type="dxa"/>
            <w:tcBorders>
              <w:top w:val="nil"/>
              <w:left w:val="nil"/>
              <w:bottom w:val="nil"/>
              <w:right w:val="nil"/>
            </w:tcBorders>
          </w:tcPr>
          <w:p w14:paraId="338E7870" w14:textId="0CB86FB3" w:rsidR="000C2A54" w:rsidRPr="003061F1" w:rsidRDefault="004B308B"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w:t>
            </w:r>
            <w:r w:rsidR="009B528F">
              <w:rPr>
                <w:rFonts w:cs="Arial"/>
                <w:bCs/>
                <w:sz w:val="20"/>
                <w:szCs w:val="20"/>
              </w:rPr>
              <w:t>56</w:t>
            </w:r>
            <w:r w:rsidR="002A5A05">
              <w:rPr>
                <w:rFonts w:cs="Arial"/>
                <w:bCs/>
                <w:sz w:val="20"/>
                <w:szCs w:val="20"/>
              </w:rPr>
              <w:t>,</w:t>
            </w:r>
            <w:r w:rsidR="009B528F">
              <w:rPr>
                <w:rFonts w:cs="Arial"/>
                <w:bCs/>
                <w:sz w:val="20"/>
                <w:szCs w:val="20"/>
              </w:rPr>
              <w:t>606</w:t>
            </w:r>
          </w:p>
        </w:tc>
      </w:tr>
      <w:tr w:rsidR="000C2A54" w:rsidRPr="00676064" w14:paraId="70416FCC" w14:textId="77777777" w:rsidTr="000C2A54">
        <w:trPr>
          <w:jc w:val="right"/>
        </w:trPr>
        <w:tc>
          <w:tcPr>
            <w:tcW w:w="5760" w:type="dxa"/>
          </w:tcPr>
          <w:p w14:paraId="0A543684"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Net change in cash and cash equivalent balances</w:t>
            </w:r>
          </w:p>
        </w:tc>
        <w:tc>
          <w:tcPr>
            <w:tcW w:w="1440" w:type="dxa"/>
            <w:tcBorders>
              <w:bottom w:val="single" w:sz="4" w:space="0" w:color="auto"/>
            </w:tcBorders>
          </w:tcPr>
          <w:p w14:paraId="5BBC1023" w14:textId="6CFF10E0" w:rsidR="000C2A54" w:rsidRPr="003061F1" w:rsidRDefault="009B528F"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(69</w:t>
            </w:r>
            <w:r w:rsidR="002A5A05">
              <w:rPr>
                <w:rFonts w:cs="Arial"/>
                <w:bCs/>
                <w:sz w:val="20"/>
                <w:szCs w:val="20"/>
              </w:rPr>
              <w:t>,</w:t>
            </w:r>
            <w:r>
              <w:rPr>
                <w:rFonts w:cs="Arial"/>
                <w:bCs/>
                <w:sz w:val="20"/>
                <w:szCs w:val="20"/>
              </w:rPr>
              <w:t>126)</w:t>
            </w:r>
          </w:p>
        </w:tc>
        <w:tc>
          <w:tcPr>
            <w:tcW w:w="1439" w:type="dxa"/>
            <w:tcBorders>
              <w:bottom w:val="single" w:sz="4" w:space="0" w:color="auto"/>
            </w:tcBorders>
          </w:tcPr>
          <w:p w14:paraId="58C3F2AB" w14:textId="431CEE9C" w:rsidR="000C2A54" w:rsidRPr="003061F1" w:rsidRDefault="009B528F"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433</w:t>
            </w:r>
            <w:r w:rsidR="002A5A05">
              <w:rPr>
                <w:rFonts w:cs="Arial"/>
                <w:bCs/>
                <w:sz w:val="20"/>
                <w:szCs w:val="20"/>
              </w:rPr>
              <w:t>,</w:t>
            </w:r>
            <w:r>
              <w:rPr>
                <w:rFonts w:cs="Arial"/>
                <w:bCs/>
                <w:sz w:val="20"/>
                <w:szCs w:val="20"/>
              </w:rPr>
              <w:t>413</w:t>
            </w:r>
          </w:p>
        </w:tc>
      </w:tr>
      <w:tr w:rsidR="000C2A54" w:rsidRPr="00676064" w14:paraId="71D3046F" w14:textId="77777777" w:rsidTr="000C2A54">
        <w:trPr>
          <w:jc w:val="right"/>
        </w:trPr>
        <w:tc>
          <w:tcPr>
            <w:tcW w:w="5760" w:type="dxa"/>
          </w:tcPr>
          <w:p w14:paraId="196AD19C"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p w14:paraId="31F801C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Balance at 31 March</w:t>
            </w:r>
          </w:p>
        </w:tc>
        <w:tc>
          <w:tcPr>
            <w:tcW w:w="1440" w:type="dxa"/>
            <w:tcBorders>
              <w:top w:val="single" w:sz="4" w:space="0" w:color="auto"/>
              <w:bottom w:val="single" w:sz="4" w:space="0" w:color="auto"/>
            </w:tcBorders>
          </w:tcPr>
          <w:p w14:paraId="1267DF72" w14:textId="77777777" w:rsidR="00642BF8" w:rsidRDefault="00642BF8" w:rsidP="00642BF8">
            <w:pPr>
              <w:widowControl w:val="0"/>
              <w:tabs>
                <w:tab w:val="left" w:pos="567"/>
                <w:tab w:val="right" w:pos="7371"/>
                <w:tab w:val="right" w:pos="9356"/>
              </w:tabs>
              <w:autoSpaceDE w:val="0"/>
              <w:autoSpaceDN w:val="0"/>
              <w:adjustRightInd w:val="0"/>
              <w:jc w:val="right"/>
              <w:rPr>
                <w:rFonts w:cs="Arial"/>
                <w:b/>
                <w:bCs/>
                <w:sz w:val="20"/>
                <w:szCs w:val="20"/>
              </w:rPr>
            </w:pPr>
          </w:p>
          <w:p w14:paraId="35F3D0D6" w14:textId="5DAAC222" w:rsidR="00567379" w:rsidRPr="003061F1" w:rsidRDefault="004B308B" w:rsidP="00642BF8">
            <w:pPr>
              <w:widowControl w:val="0"/>
              <w:tabs>
                <w:tab w:val="left" w:pos="567"/>
                <w:tab w:val="right" w:pos="7371"/>
                <w:tab w:val="right" w:pos="9356"/>
              </w:tabs>
              <w:autoSpaceDE w:val="0"/>
              <w:autoSpaceDN w:val="0"/>
              <w:adjustRightInd w:val="0"/>
              <w:jc w:val="right"/>
              <w:rPr>
                <w:rFonts w:cs="Arial"/>
                <w:b/>
                <w:bCs/>
                <w:sz w:val="20"/>
                <w:szCs w:val="20"/>
              </w:rPr>
            </w:pPr>
            <w:r w:rsidRPr="00D620CA">
              <w:rPr>
                <w:rFonts w:cs="Arial"/>
                <w:b/>
                <w:bCs/>
                <w:sz w:val="20"/>
                <w:szCs w:val="20"/>
              </w:rPr>
              <w:t>9</w:t>
            </w:r>
            <w:r w:rsidR="009B528F">
              <w:rPr>
                <w:rFonts w:cs="Arial"/>
                <w:b/>
                <w:bCs/>
                <w:sz w:val="20"/>
                <w:szCs w:val="20"/>
              </w:rPr>
              <w:t>20</w:t>
            </w:r>
            <w:r w:rsidR="002A5A05" w:rsidRPr="00D620CA">
              <w:rPr>
                <w:rFonts w:cs="Arial"/>
                <w:b/>
                <w:bCs/>
                <w:sz w:val="20"/>
                <w:szCs w:val="20"/>
              </w:rPr>
              <w:t>,</w:t>
            </w:r>
            <w:r w:rsidR="009B528F">
              <w:rPr>
                <w:rFonts w:cs="Arial"/>
                <w:b/>
                <w:bCs/>
                <w:sz w:val="20"/>
                <w:szCs w:val="20"/>
              </w:rPr>
              <w:t>893</w:t>
            </w:r>
          </w:p>
        </w:tc>
        <w:tc>
          <w:tcPr>
            <w:tcW w:w="1439" w:type="dxa"/>
            <w:tcBorders>
              <w:top w:val="single" w:sz="4" w:space="0" w:color="auto"/>
              <w:bottom w:val="single" w:sz="4" w:space="0" w:color="auto"/>
            </w:tcBorders>
          </w:tcPr>
          <w:p w14:paraId="659F72F6"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310A43AD" w14:textId="6FC8FAFC" w:rsidR="00567379" w:rsidRPr="003061F1" w:rsidRDefault="009B528F"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990</w:t>
            </w:r>
            <w:r w:rsidR="002A5A05">
              <w:rPr>
                <w:rFonts w:cs="Arial"/>
                <w:b/>
                <w:bCs/>
                <w:sz w:val="20"/>
                <w:szCs w:val="20"/>
              </w:rPr>
              <w:t>,</w:t>
            </w:r>
            <w:r>
              <w:rPr>
                <w:rFonts w:cs="Arial"/>
                <w:b/>
                <w:bCs/>
                <w:sz w:val="20"/>
                <w:szCs w:val="20"/>
              </w:rPr>
              <w:t>019</w:t>
            </w:r>
          </w:p>
        </w:tc>
      </w:tr>
      <w:tr w:rsidR="000C2A54" w:rsidRPr="00676064" w14:paraId="412C41ED" w14:textId="77777777" w:rsidTr="000C2A54">
        <w:trPr>
          <w:jc w:val="right"/>
        </w:trPr>
        <w:tc>
          <w:tcPr>
            <w:tcW w:w="5760" w:type="dxa"/>
          </w:tcPr>
          <w:p w14:paraId="475E0631" w14:textId="77777777" w:rsidR="000C2A54" w:rsidRPr="00676064" w:rsidRDefault="000C2A54" w:rsidP="000C2A54">
            <w:pPr>
              <w:widowControl w:val="0"/>
              <w:tabs>
                <w:tab w:val="left" w:pos="567"/>
                <w:tab w:val="right" w:pos="7371"/>
                <w:tab w:val="right" w:pos="9356"/>
              </w:tabs>
              <w:autoSpaceDE w:val="0"/>
              <w:autoSpaceDN w:val="0"/>
              <w:adjustRightInd w:val="0"/>
              <w:rPr>
                <w:rFonts w:cs="Arial"/>
                <w:bCs/>
              </w:rPr>
            </w:pPr>
          </w:p>
        </w:tc>
        <w:tc>
          <w:tcPr>
            <w:tcW w:w="1440" w:type="dxa"/>
            <w:tcBorders>
              <w:top w:val="single" w:sz="4" w:space="0" w:color="auto"/>
            </w:tcBorders>
          </w:tcPr>
          <w:p w14:paraId="7D2066FB"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Cs/>
              </w:rPr>
            </w:pPr>
          </w:p>
        </w:tc>
        <w:tc>
          <w:tcPr>
            <w:tcW w:w="1439" w:type="dxa"/>
            <w:tcBorders>
              <w:top w:val="single" w:sz="4" w:space="0" w:color="auto"/>
            </w:tcBorders>
          </w:tcPr>
          <w:p w14:paraId="5F1B9B93"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Cs/>
              </w:rPr>
            </w:pPr>
          </w:p>
        </w:tc>
      </w:tr>
      <w:tr w:rsidR="000C2A54" w:rsidRPr="003061F1" w14:paraId="2FD72E66" w14:textId="77777777" w:rsidTr="000C2A54">
        <w:trPr>
          <w:jc w:val="right"/>
        </w:trPr>
        <w:tc>
          <w:tcPr>
            <w:tcW w:w="5760" w:type="dxa"/>
          </w:tcPr>
          <w:p w14:paraId="59E9EDAC"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The following balances at 31 March were held at:</w:t>
            </w:r>
          </w:p>
        </w:tc>
        <w:tc>
          <w:tcPr>
            <w:tcW w:w="1440" w:type="dxa"/>
          </w:tcPr>
          <w:p w14:paraId="7E4FD1BF"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Cs/>
                <w:sz w:val="20"/>
                <w:szCs w:val="20"/>
              </w:rPr>
            </w:pPr>
          </w:p>
        </w:tc>
        <w:tc>
          <w:tcPr>
            <w:tcW w:w="1439" w:type="dxa"/>
          </w:tcPr>
          <w:p w14:paraId="572E8CAA"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Cs/>
                <w:sz w:val="20"/>
                <w:szCs w:val="20"/>
              </w:rPr>
            </w:pPr>
          </w:p>
        </w:tc>
      </w:tr>
      <w:tr w:rsidR="000C2A54" w:rsidRPr="003061F1" w14:paraId="70BE2392" w14:textId="77777777" w:rsidTr="000C2A54">
        <w:trPr>
          <w:jc w:val="right"/>
        </w:trPr>
        <w:tc>
          <w:tcPr>
            <w:tcW w:w="5760" w:type="dxa"/>
          </w:tcPr>
          <w:p w14:paraId="6D1BD452"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Commercial banks and cash in hand</w:t>
            </w:r>
          </w:p>
        </w:tc>
        <w:tc>
          <w:tcPr>
            <w:tcW w:w="1440" w:type="dxa"/>
          </w:tcPr>
          <w:p w14:paraId="5FAD42C0" w14:textId="12ED9A6F" w:rsidR="000C2A54" w:rsidRPr="003061F1" w:rsidRDefault="00C75A0E"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9</w:t>
            </w:r>
            <w:r w:rsidR="009B528F">
              <w:rPr>
                <w:rFonts w:cs="Arial"/>
                <w:bCs/>
                <w:sz w:val="20"/>
                <w:szCs w:val="20"/>
              </w:rPr>
              <w:t>20</w:t>
            </w:r>
            <w:r w:rsidR="002A5A05">
              <w:rPr>
                <w:rFonts w:cs="Arial"/>
                <w:bCs/>
                <w:sz w:val="20"/>
                <w:szCs w:val="20"/>
              </w:rPr>
              <w:t>,</w:t>
            </w:r>
            <w:r w:rsidR="009B528F">
              <w:rPr>
                <w:rFonts w:cs="Arial"/>
                <w:bCs/>
                <w:sz w:val="20"/>
                <w:szCs w:val="20"/>
              </w:rPr>
              <w:t>893</w:t>
            </w:r>
          </w:p>
        </w:tc>
        <w:tc>
          <w:tcPr>
            <w:tcW w:w="1439" w:type="dxa"/>
          </w:tcPr>
          <w:p w14:paraId="14E6AE6C" w14:textId="32971377" w:rsidR="000C2A54" w:rsidRPr="003061F1" w:rsidRDefault="009B528F"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990</w:t>
            </w:r>
            <w:r w:rsidR="002A5A05">
              <w:rPr>
                <w:rFonts w:cs="Arial"/>
                <w:bCs/>
                <w:sz w:val="20"/>
                <w:szCs w:val="20"/>
              </w:rPr>
              <w:t>,</w:t>
            </w:r>
            <w:r>
              <w:rPr>
                <w:rFonts w:cs="Arial"/>
                <w:bCs/>
                <w:sz w:val="20"/>
                <w:szCs w:val="20"/>
              </w:rPr>
              <w:t>019</w:t>
            </w:r>
          </w:p>
        </w:tc>
      </w:tr>
      <w:tr w:rsidR="000C2A54" w:rsidRPr="003061F1" w14:paraId="106F9318" w14:textId="77777777" w:rsidTr="000C2A54">
        <w:trPr>
          <w:jc w:val="right"/>
        </w:trPr>
        <w:tc>
          <w:tcPr>
            <w:tcW w:w="5760" w:type="dxa"/>
          </w:tcPr>
          <w:p w14:paraId="49679D09"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p w14:paraId="27004BFF"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Balance at 31 March</w:t>
            </w:r>
          </w:p>
        </w:tc>
        <w:tc>
          <w:tcPr>
            <w:tcW w:w="1440" w:type="dxa"/>
            <w:tcBorders>
              <w:top w:val="single" w:sz="4" w:space="0" w:color="auto"/>
              <w:bottom w:val="single" w:sz="4" w:space="0" w:color="auto"/>
            </w:tcBorders>
          </w:tcPr>
          <w:p w14:paraId="5170346D"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58981BAD" w14:textId="0AC2C536" w:rsidR="00567379" w:rsidRPr="003061F1" w:rsidRDefault="00C75A0E"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9</w:t>
            </w:r>
            <w:r w:rsidR="009B528F">
              <w:rPr>
                <w:rFonts w:cs="Arial"/>
                <w:b/>
                <w:bCs/>
                <w:sz w:val="20"/>
                <w:szCs w:val="20"/>
              </w:rPr>
              <w:t>20</w:t>
            </w:r>
            <w:r w:rsidR="002A5A05">
              <w:rPr>
                <w:rFonts w:cs="Arial"/>
                <w:b/>
                <w:bCs/>
                <w:sz w:val="20"/>
                <w:szCs w:val="20"/>
              </w:rPr>
              <w:t>,</w:t>
            </w:r>
            <w:r w:rsidR="009B528F">
              <w:rPr>
                <w:rFonts w:cs="Arial"/>
                <w:b/>
                <w:bCs/>
                <w:sz w:val="20"/>
                <w:szCs w:val="20"/>
              </w:rPr>
              <w:t>893</w:t>
            </w:r>
          </w:p>
        </w:tc>
        <w:tc>
          <w:tcPr>
            <w:tcW w:w="1439" w:type="dxa"/>
            <w:tcBorders>
              <w:top w:val="single" w:sz="4" w:space="0" w:color="auto"/>
              <w:bottom w:val="single" w:sz="4" w:space="0" w:color="auto"/>
            </w:tcBorders>
          </w:tcPr>
          <w:p w14:paraId="5E6AB322"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3E66FFC9" w14:textId="38F4CAB2" w:rsidR="00567379" w:rsidRPr="003061F1" w:rsidRDefault="009B528F"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990</w:t>
            </w:r>
            <w:r w:rsidR="002A5A05">
              <w:rPr>
                <w:rFonts w:cs="Arial"/>
                <w:b/>
                <w:bCs/>
                <w:sz w:val="20"/>
                <w:szCs w:val="20"/>
              </w:rPr>
              <w:t>,</w:t>
            </w:r>
            <w:r>
              <w:rPr>
                <w:rFonts w:cs="Arial"/>
                <w:b/>
                <w:bCs/>
                <w:sz w:val="20"/>
                <w:szCs w:val="20"/>
              </w:rPr>
              <w:t>019</w:t>
            </w:r>
          </w:p>
        </w:tc>
      </w:tr>
    </w:tbl>
    <w:p w14:paraId="29C56E62" w14:textId="77777777" w:rsidR="00C75A0E" w:rsidRDefault="00C75A0E" w:rsidP="001E2AA0">
      <w:pPr>
        <w:widowControl w:val="0"/>
        <w:autoSpaceDE w:val="0"/>
        <w:autoSpaceDN w:val="0"/>
        <w:adjustRightInd w:val="0"/>
        <w:rPr>
          <w:rFonts w:cs="Arial"/>
          <w:b/>
          <w:bCs/>
        </w:rPr>
      </w:pPr>
    </w:p>
    <w:p w14:paraId="25F3BA2C" w14:textId="77777777" w:rsidR="00C75A0E" w:rsidRDefault="00C75A0E" w:rsidP="001E2AA0">
      <w:pPr>
        <w:widowControl w:val="0"/>
        <w:autoSpaceDE w:val="0"/>
        <w:autoSpaceDN w:val="0"/>
        <w:adjustRightInd w:val="0"/>
        <w:rPr>
          <w:rFonts w:cs="Arial"/>
          <w:b/>
          <w:bCs/>
        </w:rPr>
      </w:pPr>
    </w:p>
    <w:p w14:paraId="7525A322" w14:textId="16285FE6" w:rsidR="000C2A54" w:rsidRPr="00676064" w:rsidRDefault="000C2A54" w:rsidP="001E2AA0">
      <w:pPr>
        <w:widowControl w:val="0"/>
        <w:autoSpaceDE w:val="0"/>
        <w:autoSpaceDN w:val="0"/>
        <w:adjustRightInd w:val="0"/>
        <w:rPr>
          <w:rFonts w:cs="Arial"/>
          <w:b/>
          <w:bCs/>
        </w:rPr>
      </w:pPr>
      <w:r w:rsidRPr="00676064">
        <w:rPr>
          <w:rFonts w:cs="Arial"/>
          <w:b/>
          <w:bCs/>
        </w:rPr>
        <w:t>1</w:t>
      </w:r>
      <w:r w:rsidR="002A5A05">
        <w:rPr>
          <w:rFonts w:cs="Arial"/>
          <w:b/>
          <w:bCs/>
        </w:rPr>
        <w:t>2</w:t>
      </w:r>
      <w:r w:rsidRPr="00676064">
        <w:rPr>
          <w:rFonts w:cs="Arial"/>
          <w:b/>
          <w:bCs/>
        </w:rPr>
        <w:t>.</w:t>
      </w:r>
      <w:r w:rsidRPr="00676064">
        <w:rPr>
          <w:rFonts w:cs="Arial"/>
          <w:b/>
          <w:bCs/>
        </w:rPr>
        <w:tab/>
        <w:t xml:space="preserve">Trade payables and other current liabilities </w:t>
      </w:r>
    </w:p>
    <w:p w14:paraId="3FF03BA0" w14:textId="77777777" w:rsidR="000C2A54" w:rsidRPr="00676064" w:rsidRDefault="000C2A54" w:rsidP="000C2A54">
      <w:pPr>
        <w:widowControl w:val="0"/>
        <w:tabs>
          <w:tab w:val="left" w:pos="567"/>
          <w:tab w:val="right" w:pos="7371"/>
          <w:tab w:val="right" w:pos="8976"/>
        </w:tabs>
        <w:autoSpaceDE w:val="0"/>
        <w:autoSpaceDN w:val="0"/>
        <w:adjustRightInd w:val="0"/>
        <w:rPr>
          <w:rFonts w:cs="Arial"/>
          <w:b/>
          <w:bCs/>
        </w:rPr>
      </w:pPr>
    </w:p>
    <w:tbl>
      <w:tblPr>
        <w:tblW w:w="8640" w:type="dxa"/>
        <w:jc w:val="right"/>
        <w:tblLook w:val="01E0" w:firstRow="1" w:lastRow="1" w:firstColumn="1" w:lastColumn="1" w:noHBand="0" w:noVBand="0"/>
      </w:tblPr>
      <w:tblGrid>
        <w:gridCol w:w="5761"/>
        <w:gridCol w:w="1440"/>
        <w:gridCol w:w="1439"/>
      </w:tblGrid>
      <w:tr w:rsidR="000C2A54" w:rsidRPr="00676064" w14:paraId="2C73EBAE" w14:textId="77777777" w:rsidTr="000C2A54">
        <w:trPr>
          <w:jc w:val="right"/>
        </w:trPr>
        <w:tc>
          <w:tcPr>
            <w:tcW w:w="5761" w:type="dxa"/>
          </w:tcPr>
          <w:p w14:paraId="7E2C2EBB"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tc>
        <w:tc>
          <w:tcPr>
            <w:tcW w:w="1440" w:type="dxa"/>
          </w:tcPr>
          <w:p w14:paraId="0009B253" w14:textId="5814424F"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w:t>
            </w:r>
            <w:r w:rsidR="00135799">
              <w:rPr>
                <w:rFonts w:cs="Arial"/>
                <w:b/>
                <w:bCs/>
                <w:sz w:val="20"/>
                <w:szCs w:val="20"/>
              </w:rPr>
              <w:t>4</w:t>
            </w:r>
            <w:r>
              <w:rPr>
                <w:rFonts w:cs="Arial"/>
                <w:b/>
                <w:bCs/>
                <w:sz w:val="20"/>
                <w:szCs w:val="20"/>
              </w:rPr>
              <w:t>-2</w:t>
            </w:r>
            <w:r w:rsidR="00135799">
              <w:rPr>
                <w:rFonts w:cs="Arial"/>
                <w:b/>
                <w:bCs/>
                <w:sz w:val="20"/>
                <w:szCs w:val="20"/>
              </w:rPr>
              <w:t>5</w:t>
            </w:r>
          </w:p>
        </w:tc>
        <w:tc>
          <w:tcPr>
            <w:tcW w:w="1439" w:type="dxa"/>
          </w:tcPr>
          <w:p w14:paraId="0F0ACD55" w14:textId="0CCA032B"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w:t>
            </w:r>
            <w:r w:rsidR="00135799">
              <w:rPr>
                <w:rFonts w:cs="Arial"/>
                <w:b/>
                <w:bCs/>
                <w:sz w:val="20"/>
                <w:szCs w:val="20"/>
              </w:rPr>
              <w:t>3</w:t>
            </w:r>
            <w:r>
              <w:rPr>
                <w:rFonts w:cs="Arial"/>
                <w:b/>
                <w:bCs/>
                <w:sz w:val="20"/>
                <w:szCs w:val="20"/>
              </w:rPr>
              <w:t>-2</w:t>
            </w:r>
            <w:r w:rsidR="00135799">
              <w:rPr>
                <w:rFonts w:cs="Arial"/>
                <w:b/>
                <w:bCs/>
                <w:sz w:val="20"/>
                <w:szCs w:val="20"/>
              </w:rPr>
              <w:t>4</w:t>
            </w:r>
          </w:p>
        </w:tc>
      </w:tr>
      <w:tr w:rsidR="000C2A54" w:rsidRPr="00676064" w14:paraId="19B8E1C9" w14:textId="77777777" w:rsidTr="000C2A54">
        <w:trPr>
          <w:jc w:val="right"/>
        </w:trPr>
        <w:tc>
          <w:tcPr>
            <w:tcW w:w="5761" w:type="dxa"/>
          </w:tcPr>
          <w:p w14:paraId="7625436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tc>
        <w:tc>
          <w:tcPr>
            <w:tcW w:w="1440" w:type="dxa"/>
          </w:tcPr>
          <w:p w14:paraId="0E96A759"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439" w:type="dxa"/>
          </w:tcPr>
          <w:p w14:paraId="449EC358"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4242107E" w14:textId="77777777" w:rsidTr="000C2A54">
        <w:trPr>
          <w:jc w:val="right"/>
        </w:trPr>
        <w:tc>
          <w:tcPr>
            <w:tcW w:w="5761" w:type="dxa"/>
          </w:tcPr>
          <w:p w14:paraId="64BA953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Amounts falling due within one year:</w:t>
            </w:r>
          </w:p>
        </w:tc>
        <w:tc>
          <w:tcPr>
            <w:tcW w:w="1440" w:type="dxa"/>
          </w:tcPr>
          <w:p w14:paraId="64FA42FA"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c>
          <w:tcPr>
            <w:tcW w:w="1439" w:type="dxa"/>
          </w:tcPr>
          <w:p w14:paraId="6FE86A47"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r>
      <w:tr w:rsidR="002B6EF7" w:rsidRPr="00676064" w14:paraId="0EB339B9" w14:textId="77777777" w:rsidTr="000C2A54">
        <w:trPr>
          <w:jc w:val="right"/>
        </w:trPr>
        <w:tc>
          <w:tcPr>
            <w:tcW w:w="5761" w:type="dxa"/>
          </w:tcPr>
          <w:p w14:paraId="7B7F7E6C"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Taxation and social security</w:t>
            </w:r>
          </w:p>
        </w:tc>
        <w:tc>
          <w:tcPr>
            <w:tcW w:w="1440" w:type="dxa"/>
          </w:tcPr>
          <w:p w14:paraId="6521EE77" w14:textId="4A2407AB" w:rsidR="002B6EF7" w:rsidRPr="003061F1" w:rsidRDefault="0013579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35</w:t>
            </w:r>
            <w:r w:rsidR="002A58CE">
              <w:rPr>
                <w:rFonts w:cs="Arial"/>
                <w:bCs/>
                <w:sz w:val="20"/>
                <w:szCs w:val="20"/>
              </w:rPr>
              <w:t>,</w:t>
            </w:r>
            <w:r>
              <w:rPr>
                <w:rFonts w:cs="Arial"/>
                <w:bCs/>
                <w:sz w:val="20"/>
                <w:szCs w:val="20"/>
              </w:rPr>
              <w:t>481</w:t>
            </w:r>
          </w:p>
        </w:tc>
        <w:tc>
          <w:tcPr>
            <w:tcW w:w="1439" w:type="dxa"/>
          </w:tcPr>
          <w:p w14:paraId="61C64789" w14:textId="08304C08" w:rsidR="002B6EF7" w:rsidRPr="003061F1" w:rsidRDefault="0013579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41</w:t>
            </w:r>
            <w:r w:rsidR="002A58CE">
              <w:rPr>
                <w:rFonts w:cs="Arial"/>
                <w:bCs/>
                <w:sz w:val="20"/>
                <w:szCs w:val="20"/>
              </w:rPr>
              <w:t>,</w:t>
            </w:r>
            <w:r>
              <w:rPr>
                <w:rFonts w:cs="Arial"/>
                <w:bCs/>
                <w:sz w:val="20"/>
                <w:szCs w:val="20"/>
              </w:rPr>
              <w:t>503</w:t>
            </w:r>
          </w:p>
        </w:tc>
      </w:tr>
      <w:tr w:rsidR="002B6EF7" w:rsidRPr="00676064" w14:paraId="4101B7A2" w14:textId="77777777" w:rsidTr="000C2A54">
        <w:trPr>
          <w:jc w:val="right"/>
        </w:trPr>
        <w:tc>
          <w:tcPr>
            <w:tcW w:w="5761" w:type="dxa"/>
          </w:tcPr>
          <w:p w14:paraId="0CBA37B7" w14:textId="77777777" w:rsidR="002B6EF7" w:rsidRPr="003061F1" w:rsidRDefault="002B6EF7" w:rsidP="007B2D55">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Trade</w:t>
            </w:r>
            <w:r w:rsidR="00256432">
              <w:rPr>
                <w:rFonts w:cs="Arial"/>
                <w:bCs/>
                <w:sz w:val="20"/>
                <w:szCs w:val="20"/>
              </w:rPr>
              <w:t xml:space="preserve"> </w:t>
            </w:r>
            <w:r w:rsidRPr="003061F1">
              <w:rPr>
                <w:rFonts w:cs="Arial"/>
                <w:bCs/>
                <w:sz w:val="20"/>
                <w:szCs w:val="20"/>
              </w:rPr>
              <w:t>payables</w:t>
            </w:r>
          </w:p>
        </w:tc>
        <w:tc>
          <w:tcPr>
            <w:tcW w:w="1440" w:type="dxa"/>
          </w:tcPr>
          <w:p w14:paraId="5EF82239" w14:textId="18CDC9BF" w:rsidR="002B6EF7" w:rsidRPr="003061F1" w:rsidRDefault="0013579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34</w:t>
            </w:r>
            <w:r w:rsidR="00C75A0E">
              <w:rPr>
                <w:rFonts w:cs="Arial"/>
                <w:bCs/>
                <w:sz w:val="20"/>
                <w:szCs w:val="20"/>
              </w:rPr>
              <w:t>,</w:t>
            </w:r>
            <w:r>
              <w:rPr>
                <w:rFonts w:cs="Arial"/>
                <w:bCs/>
                <w:sz w:val="20"/>
                <w:szCs w:val="20"/>
              </w:rPr>
              <w:t>734</w:t>
            </w:r>
          </w:p>
        </w:tc>
        <w:tc>
          <w:tcPr>
            <w:tcW w:w="1439" w:type="dxa"/>
          </w:tcPr>
          <w:p w14:paraId="7045CE21" w14:textId="3382DF4D" w:rsidR="002B6EF7" w:rsidRPr="003061F1" w:rsidRDefault="0013579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5,770</w:t>
            </w:r>
          </w:p>
        </w:tc>
      </w:tr>
      <w:tr w:rsidR="002B6EF7" w:rsidRPr="00676064" w14:paraId="6EB8E94C" w14:textId="77777777" w:rsidTr="000C2A54">
        <w:trPr>
          <w:jc w:val="right"/>
        </w:trPr>
        <w:tc>
          <w:tcPr>
            <w:tcW w:w="5761" w:type="dxa"/>
          </w:tcPr>
          <w:p w14:paraId="79EE8E33"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Other payables</w:t>
            </w:r>
          </w:p>
        </w:tc>
        <w:tc>
          <w:tcPr>
            <w:tcW w:w="1440" w:type="dxa"/>
          </w:tcPr>
          <w:p w14:paraId="4FD23E40" w14:textId="058BFAEE" w:rsidR="002B6EF7" w:rsidRPr="003061F1" w:rsidRDefault="0013579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11</w:t>
            </w:r>
            <w:r w:rsidR="00C75A0E">
              <w:rPr>
                <w:rFonts w:cs="Arial"/>
                <w:bCs/>
                <w:sz w:val="20"/>
                <w:szCs w:val="20"/>
              </w:rPr>
              <w:t>,</w:t>
            </w:r>
            <w:r>
              <w:rPr>
                <w:rFonts w:cs="Arial"/>
                <w:bCs/>
                <w:sz w:val="20"/>
                <w:szCs w:val="20"/>
              </w:rPr>
              <w:t>918</w:t>
            </w:r>
          </w:p>
        </w:tc>
        <w:tc>
          <w:tcPr>
            <w:tcW w:w="1439" w:type="dxa"/>
          </w:tcPr>
          <w:p w14:paraId="4FAB03AD" w14:textId="5F4D4475" w:rsidR="002B6EF7" w:rsidRPr="003061F1" w:rsidRDefault="0013579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9</w:t>
            </w:r>
            <w:r w:rsidR="002A58CE">
              <w:rPr>
                <w:rFonts w:cs="Arial"/>
                <w:bCs/>
                <w:sz w:val="20"/>
                <w:szCs w:val="20"/>
              </w:rPr>
              <w:t>,</w:t>
            </w:r>
            <w:r>
              <w:rPr>
                <w:rFonts w:cs="Arial"/>
                <w:bCs/>
                <w:sz w:val="20"/>
                <w:szCs w:val="20"/>
              </w:rPr>
              <w:t>144</w:t>
            </w:r>
          </w:p>
        </w:tc>
      </w:tr>
      <w:tr w:rsidR="002B6EF7" w:rsidRPr="00676064" w14:paraId="661BEB78" w14:textId="77777777" w:rsidTr="000C2A54">
        <w:trPr>
          <w:jc w:val="right"/>
        </w:trPr>
        <w:tc>
          <w:tcPr>
            <w:tcW w:w="5761" w:type="dxa"/>
          </w:tcPr>
          <w:p w14:paraId="46DB0690"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Accruals</w:t>
            </w:r>
          </w:p>
        </w:tc>
        <w:tc>
          <w:tcPr>
            <w:tcW w:w="1440" w:type="dxa"/>
          </w:tcPr>
          <w:p w14:paraId="5B97A930" w14:textId="73047C73" w:rsidR="002B6EF7" w:rsidRPr="003061F1" w:rsidRDefault="0013579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223</w:t>
            </w:r>
            <w:r w:rsidR="00C75A0E">
              <w:rPr>
                <w:rFonts w:cs="Arial"/>
                <w:bCs/>
                <w:sz w:val="20"/>
                <w:szCs w:val="20"/>
              </w:rPr>
              <w:t>,</w:t>
            </w:r>
            <w:r>
              <w:rPr>
                <w:rFonts w:cs="Arial"/>
                <w:bCs/>
                <w:sz w:val="20"/>
                <w:szCs w:val="20"/>
              </w:rPr>
              <w:t>635</w:t>
            </w:r>
          </w:p>
        </w:tc>
        <w:tc>
          <w:tcPr>
            <w:tcW w:w="1439" w:type="dxa"/>
          </w:tcPr>
          <w:p w14:paraId="64427F56" w14:textId="7C9999B2" w:rsidR="002B6EF7" w:rsidRPr="003061F1" w:rsidRDefault="0013579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399</w:t>
            </w:r>
            <w:r w:rsidR="002A58CE">
              <w:rPr>
                <w:rFonts w:cs="Arial"/>
                <w:bCs/>
                <w:sz w:val="20"/>
                <w:szCs w:val="20"/>
              </w:rPr>
              <w:t>,</w:t>
            </w:r>
            <w:r>
              <w:rPr>
                <w:rFonts w:cs="Arial"/>
                <w:bCs/>
                <w:sz w:val="20"/>
                <w:szCs w:val="20"/>
              </w:rPr>
              <w:t>919</w:t>
            </w:r>
          </w:p>
        </w:tc>
      </w:tr>
      <w:tr w:rsidR="002B6EF7" w:rsidRPr="00676064" w14:paraId="4D2EB684" w14:textId="77777777" w:rsidTr="000C2A54">
        <w:trPr>
          <w:jc w:val="right"/>
        </w:trPr>
        <w:tc>
          <w:tcPr>
            <w:tcW w:w="5761" w:type="dxa"/>
          </w:tcPr>
          <w:p w14:paraId="582543A4" w14:textId="77777777" w:rsidR="002B6EF7" w:rsidRPr="003061F1" w:rsidRDefault="002B6EF7" w:rsidP="002B6EF7">
            <w:pPr>
              <w:widowControl w:val="0"/>
              <w:tabs>
                <w:tab w:val="left" w:pos="567"/>
                <w:tab w:val="right" w:pos="7371"/>
                <w:tab w:val="right" w:pos="9356"/>
              </w:tabs>
              <w:autoSpaceDE w:val="0"/>
              <w:autoSpaceDN w:val="0"/>
              <w:adjustRightInd w:val="0"/>
              <w:rPr>
                <w:rFonts w:cs="Arial"/>
                <w:b/>
                <w:bCs/>
                <w:sz w:val="20"/>
                <w:szCs w:val="20"/>
              </w:rPr>
            </w:pPr>
          </w:p>
          <w:p w14:paraId="28A0DDBF" w14:textId="77777777" w:rsidR="002B6EF7" w:rsidRPr="003061F1" w:rsidRDefault="002B6EF7" w:rsidP="002B6EF7">
            <w:pPr>
              <w:widowControl w:val="0"/>
              <w:tabs>
                <w:tab w:val="left" w:pos="567"/>
                <w:tab w:val="right" w:pos="7371"/>
                <w:tab w:val="right" w:pos="9356"/>
              </w:tabs>
              <w:autoSpaceDE w:val="0"/>
              <w:autoSpaceDN w:val="0"/>
              <w:adjustRightInd w:val="0"/>
              <w:rPr>
                <w:rFonts w:cs="Arial"/>
                <w:b/>
                <w:bCs/>
                <w:sz w:val="20"/>
                <w:szCs w:val="20"/>
              </w:rPr>
            </w:pPr>
          </w:p>
        </w:tc>
        <w:tc>
          <w:tcPr>
            <w:tcW w:w="1440" w:type="dxa"/>
            <w:tcBorders>
              <w:top w:val="single" w:sz="4" w:space="0" w:color="auto"/>
              <w:bottom w:val="single" w:sz="4" w:space="0" w:color="auto"/>
            </w:tcBorders>
          </w:tcPr>
          <w:p w14:paraId="3E67A2D5" w14:textId="77777777" w:rsidR="00BF0DCC" w:rsidRDefault="00BF0DCC" w:rsidP="002B6EF7">
            <w:pPr>
              <w:widowControl w:val="0"/>
              <w:tabs>
                <w:tab w:val="left" w:pos="567"/>
                <w:tab w:val="right" w:pos="7371"/>
                <w:tab w:val="right" w:pos="9356"/>
              </w:tabs>
              <w:autoSpaceDE w:val="0"/>
              <w:autoSpaceDN w:val="0"/>
              <w:adjustRightInd w:val="0"/>
              <w:jc w:val="right"/>
              <w:rPr>
                <w:rFonts w:cs="Arial"/>
                <w:b/>
                <w:bCs/>
                <w:sz w:val="20"/>
                <w:szCs w:val="20"/>
              </w:rPr>
            </w:pPr>
          </w:p>
          <w:p w14:paraId="28DE92EE" w14:textId="42890CA8" w:rsidR="00567379" w:rsidRPr="003061F1" w:rsidRDefault="00135799" w:rsidP="002B6EF7">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305</w:t>
            </w:r>
            <w:r w:rsidR="00C75A0E" w:rsidRPr="001C5521">
              <w:rPr>
                <w:rFonts w:cs="Arial"/>
                <w:b/>
                <w:bCs/>
                <w:sz w:val="20"/>
                <w:szCs w:val="20"/>
              </w:rPr>
              <w:t>,</w:t>
            </w:r>
            <w:r>
              <w:rPr>
                <w:rFonts w:cs="Arial"/>
                <w:b/>
                <w:bCs/>
                <w:sz w:val="20"/>
                <w:szCs w:val="20"/>
              </w:rPr>
              <w:t>768</w:t>
            </w:r>
          </w:p>
        </w:tc>
        <w:tc>
          <w:tcPr>
            <w:tcW w:w="1439" w:type="dxa"/>
            <w:tcBorders>
              <w:top w:val="single" w:sz="4" w:space="0" w:color="auto"/>
              <w:bottom w:val="single" w:sz="4" w:space="0" w:color="auto"/>
            </w:tcBorders>
          </w:tcPr>
          <w:p w14:paraId="7DB78E39" w14:textId="77777777" w:rsidR="00642BF8" w:rsidRDefault="00642BF8" w:rsidP="002B6EF7">
            <w:pPr>
              <w:widowControl w:val="0"/>
              <w:tabs>
                <w:tab w:val="left" w:pos="567"/>
                <w:tab w:val="right" w:pos="7371"/>
                <w:tab w:val="right" w:pos="9356"/>
              </w:tabs>
              <w:autoSpaceDE w:val="0"/>
              <w:autoSpaceDN w:val="0"/>
              <w:adjustRightInd w:val="0"/>
              <w:jc w:val="right"/>
              <w:rPr>
                <w:rFonts w:cs="Arial"/>
                <w:b/>
                <w:bCs/>
                <w:sz w:val="20"/>
                <w:szCs w:val="20"/>
              </w:rPr>
            </w:pPr>
          </w:p>
          <w:p w14:paraId="05D811C7" w14:textId="5308623E" w:rsidR="00567379" w:rsidRPr="003061F1" w:rsidRDefault="00135799" w:rsidP="002B6EF7">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456</w:t>
            </w:r>
            <w:r w:rsidR="002A58CE">
              <w:rPr>
                <w:rFonts w:cs="Arial"/>
                <w:b/>
                <w:bCs/>
                <w:sz w:val="20"/>
                <w:szCs w:val="20"/>
              </w:rPr>
              <w:t>,3</w:t>
            </w:r>
            <w:r>
              <w:rPr>
                <w:rFonts w:cs="Arial"/>
                <w:b/>
                <w:bCs/>
                <w:sz w:val="20"/>
                <w:szCs w:val="20"/>
              </w:rPr>
              <w:t>36</w:t>
            </w:r>
          </w:p>
        </w:tc>
      </w:tr>
    </w:tbl>
    <w:p w14:paraId="4F5E3AD5" w14:textId="57E79CBD" w:rsidR="00250101" w:rsidRDefault="00250101">
      <w:pPr>
        <w:rPr>
          <w:b/>
          <w:sz w:val="22"/>
          <w:szCs w:val="22"/>
        </w:rPr>
      </w:pPr>
    </w:p>
    <w:p w14:paraId="0B4F200D" w14:textId="77777777" w:rsidR="00C75A0E" w:rsidRDefault="00C75A0E" w:rsidP="000C2A54">
      <w:pPr>
        <w:rPr>
          <w:b/>
          <w:sz w:val="22"/>
          <w:szCs w:val="22"/>
        </w:rPr>
      </w:pPr>
    </w:p>
    <w:p w14:paraId="4AB362B4" w14:textId="77777777" w:rsidR="00C75A0E" w:rsidRDefault="00C75A0E" w:rsidP="000C2A54">
      <w:pPr>
        <w:rPr>
          <w:b/>
          <w:sz w:val="22"/>
          <w:szCs w:val="22"/>
        </w:rPr>
      </w:pPr>
    </w:p>
    <w:p w14:paraId="6BEB94FA" w14:textId="758D599A" w:rsidR="000C2A54" w:rsidRPr="00EB5423" w:rsidRDefault="000C2A54" w:rsidP="000C2A54">
      <w:pPr>
        <w:rPr>
          <w:b/>
          <w:sz w:val="22"/>
          <w:szCs w:val="22"/>
        </w:rPr>
      </w:pPr>
      <w:r w:rsidRPr="00EB5423">
        <w:rPr>
          <w:b/>
          <w:sz w:val="22"/>
          <w:szCs w:val="22"/>
        </w:rPr>
        <w:t>1</w:t>
      </w:r>
      <w:r w:rsidR="002A5A05">
        <w:rPr>
          <w:b/>
          <w:sz w:val="22"/>
          <w:szCs w:val="22"/>
        </w:rPr>
        <w:t>3</w:t>
      </w:r>
      <w:r w:rsidRPr="00EB5423">
        <w:rPr>
          <w:b/>
          <w:sz w:val="22"/>
          <w:szCs w:val="22"/>
        </w:rPr>
        <w:t xml:space="preserve">. </w:t>
      </w:r>
      <w:r w:rsidRPr="002E138D">
        <w:rPr>
          <w:b/>
        </w:rPr>
        <w:t>Provisions for liabilities and charges</w:t>
      </w:r>
    </w:p>
    <w:p w14:paraId="47BF32B5" w14:textId="77777777" w:rsidR="000C2A54" w:rsidRPr="00EB5423" w:rsidRDefault="000C2A54" w:rsidP="000C2A54">
      <w:pPr>
        <w:pStyle w:val="BodyTextIndent2"/>
        <w:spacing w:after="0" w:line="240" w:lineRule="auto"/>
        <w:ind w:left="567" w:hanging="567"/>
        <w:rPr>
          <w:rFonts w:ascii="Verdana" w:hAnsi="Verdana"/>
          <w:b/>
          <w:sz w:val="22"/>
          <w:szCs w:val="22"/>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906"/>
        <w:gridCol w:w="1559"/>
      </w:tblGrid>
      <w:tr w:rsidR="00477ABD" w14:paraId="21935AB0" w14:textId="77777777" w:rsidTr="007E1108">
        <w:tc>
          <w:tcPr>
            <w:tcW w:w="1501" w:type="dxa"/>
          </w:tcPr>
          <w:p w14:paraId="0D091536" w14:textId="77777777" w:rsidR="00477ABD" w:rsidRPr="00EA0107" w:rsidRDefault="00477ABD" w:rsidP="000C2A54">
            <w:pPr>
              <w:pStyle w:val="BodyTextIndent2"/>
              <w:spacing w:after="0" w:line="240" w:lineRule="auto"/>
              <w:ind w:left="0"/>
              <w:rPr>
                <w:rFonts w:ascii="Verdana" w:hAnsi="Verdana"/>
                <w:b/>
                <w:sz w:val="20"/>
                <w:szCs w:val="20"/>
              </w:rPr>
            </w:pPr>
          </w:p>
        </w:tc>
        <w:tc>
          <w:tcPr>
            <w:tcW w:w="1906" w:type="dxa"/>
          </w:tcPr>
          <w:p w14:paraId="307F68B9" w14:textId="4105EC2E" w:rsidR="00477ABD" w:rsidRPr="00EA0107" w:rsidRDefault="00477ABD" w:rsidP="00EA0107">
            <w:pPr>
              <w:pStyle w:val="BodyTextIndent2"/>
              <w:spacing w:after="0" w:line="240" w:lineRule="auto"/>
              <w:ind w:left="0"/>
              <w:jc w:val="center"/>
              <w:rPr>
                <w:rFonts w:ascii="Verdana" w:hAnsi="Verdana"/>
                <w:b/>
                <w:sz w:val="20"/>
                <w:szCs w:val="20"/>
              </w:rPr>
            </w:pPr>
            <w:r>
              <w:rPr>
                <w:rFonts w:ascii="Verdana" w:hAnsi="Verdana"/>
                <w:b/>
                <w:sz w:val="20"/>
                <w:szCs w:val="20"/>
              </w:rPr>
              <w:t>202</w:t>
            </w:r>
            <w:r w:rsidR="00135799">
              <w:rPr>
                <w:rFonts w:ascii="Verdana" w:hAnsi="Verdana"/>
                <w:b/>
                <w:sz w:val="20"/>
                <w:szCs w:val="20"/>
              </w:rPr>
              <w:t>4</w:t>
            </w:r>
            <w:r>
              <w:rPr>
                <w:rFonts w:ascii="Verdana" w:hAnsi="Verdana"/>
                <w:b/>
                <w:sz w:val="20"/>
                <w:szCs w:val="20"/>
              </w:rPr>
              <w:t>-2</w:t>
            </w:r>
            <w:r w:rsidR="00135799">
              <w:rPr>
                <w:rFonts w:ascii="Verdana" w:hAnsi="Verdana"/>
                <w:b/>
                <w:sz w:val="20"/>
                <w:szCs w:val="20"/>
              </w:rPr>
              <w:t>5</w:t>
            </w:r>
          </w:p>
        </w:tc>
        <w:tc>
          <w:tcPr>
            <w:tcW w:w="1559" w:type="dxa"/>
          </w:tcPr>
          <w:p w14:paraId="22E14C36" w14:textId="22EFE6DE" w:rsidR="00477ABD" w:rsidRPr="00EA0107" w:rsidRDefault="00477ABD" w:rsidP="00EA0107">
            <w:pPr>
              <w:pStyle w:val="BodyTextIndent2"/>
              <w:spacing w:after="0" w:line="240" w:lineRule="auto"/>
              <w:ind w:left="0"/>
              <w:jc w:val="center"/>
              <w:rPr>
                <w:rFonts w:ascii="Verdana" w:hAnsi="Verdana"/>
                <w:b/>
                <w:sz w:val="20"/>
                <w:szCs w:val="20"/>
              </w:rPr>
            </w:pPr>
            <w:r>
              <w:rPr>
                <w:rFonts w:ascii="Verdana" w:hAnsi="Verdana"/>
                <w:b/>
                <w:sz w:val="20"/>
                <w:szCs w:val="20"/>
              </w:rPr>
              <w:t>202</w:t>
            </w:r>
            <w:r w:rsidR="00135799">
              <w:rPr>
                <w:rFonts w:ascii="Verdana" w:hAnsi="Verdana"/>
                <w:b/>
                <w:sz w:val="20"/>
                <w:szCs w:val="20"/>
              </w:rPr>
              <w:t>4</w:t>
            </w:r>
            <w:r>
              <w:rPr>
                <w:rFonts w:ascii="Verdana" w:hAnsi="Verdana"/>
                <w:b/>
                <w:sz w:val="20"/>
                <w:szCs w:val="20"/>
              </w:rPr>
              <w:t>-2</w:t>
            </w:r>
            <w:r w:rsidR="00135799">
              <w:rPr>
                <w:rFonts w:ascii="Verdana" w:hAnsi="Verdana"/>
                <w:b/>
                <w:sz w:val="20"/>
                <w:szCs w:val="20"/>
              </w:rPr>
              <w:t>5</w:t>
            </w:r>
          </w:p>
        </w:tc>
      </w:tr>
      <w:tr w:rsidR="00477ABD" w14:paraId="37874938" w14:textId="77777777" w:rsidTr="007E1108">
        <w:tc>
          <w:tcPr>
            <w:tcW w:w="1501" w:type="dxa"/>
          </w:tcPr>
          <w:p w14:paraId="2D0AE496" w14:textId="77777777" w:rsidR="00477ABD" w:rsidRPr="00EA0107" w:rsidRDefault="00477ABD" w:rsidP="000C2A54">
            <w:pPr>
              <w:pStyle w:val="BodyTextIndent2"/>
              <w:spacing w:after="0" w:line="240" w:lineRule="auto"/>
              <w:ind w:left="0"/>
              <w:rPr>
                <w:rFonts w:ascii="Verdana" w:hAnsi="Verdana"/>
                <w:b/>
                <w:sz w:val="20"/>
                <w:szCs w:val="20"/>
              </w:rPr>
            </w:pPr>
          </w:p>
        </w:tc>
        <w:tc>
          <w:tcPr>
            <w:tcW w:w="1906" w:type="dxa"/>
          </w:tcPr>
          <w:p w14:paraId="15F00F62"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Other</w:t>
            </w:r>
          </w:p>
        </w:tc>
        <w:tc>
          <w:tcPr>
            <w:tcW w:w="1559" w:type="dxa"/>
          </w:tcPr>
          <w:p w14:paraId="358AE19E"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Total</w:t>
            </w:r>
          </w:p>
        </w:tc>
      </w:tr>
      <w:tr w:rsidR="00477ABD" w14:paraId="0A19BDBC" w14:textId="77777777" w:rsidTr="007E1108">
        <w:tc>
          <w:tcPr>
            <w:tcW w:w="1501" w:type="dxa"/>
          </w:tcPr>
          <w:p w14:paraId="5C10AFDA" w14:textId="77777777" w:rsidR="00477ABD" w:rsidRPr="00EA0107" w:rsidRDefault="00477ABD" w:rsidP="000C2A54">
            <w:pPr>
              <w:pStyle w:val="BodyTextIndent2"/>
              <w:spacing w:after="0" w:line="240" w:lineRule="auto"/>
              <w:ind w:left="0"/>
              <w:rPr>
                <w:rFonts w:ascii="Verdana" w:hAnsi="Verdana"/>
                <w:b/>
                <w:sz w:val="20"/>
                <w:szCs w:val="20"/>
              </w:rPr>
            </w:pPr>
          </w:p>
        </w:tc>
        <w:tc>
          <w:tcPr>
            <w:tcW w:w="1906" w:type="dxa"/>
          </w:tcPr>
          <w:p w14:paraId="0737151E"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w:t>
            </w:r>
          </w:p>
        </w:tc>
        <w:tc>
          <w:tcPr>
            <w:tcW w:w="1559" w:type="dxa"/>
          </w:tcPr>
          <w:p w14:paraId="6731C7FC"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w:t>
            </w:r>
          </w:p>
        </w:tc>
      </w:tr>
      <w:tr w:rsidR="00477ABD" w14:paraId="1C4C6400" w14:textId="77777777" w:rsidTr="007E1108">
        <w:tc>
          <w:tcPr>
            <w:tcW w:w="1501" w:type="dxa"/>
          </w:tcPr>
          <w:p w14:paraId="18907FDC" w14:textId="77777777" w:rsidR="00477ABD" w:rsidRPr="00EA0107" w:rsidRDefault="00477ABD" w:rsidP="000C2A54">
            <w:pPr>
              <w:pStyle w:val="BodyTextIndent2"/>
              <w:spacing w:after="0" w:line="240" w:lineRule="auto"/>
              <w:ind w:left="0"/>
              <w:rPr>
                <w:rFonts w:ascii="Verdana" w:hAnsi="Verdana"/>
                <w:b/>
                <w:sz w:val="20"/>
                <w:szCs w:val="20"/>
              </w:rPr>
            </w:pPr>
            <w:r w:rsidRPr="00EA0107">
              <w:rPr>
                <w:rFonts w:ascii="Verdana" w:hAnsi="Verdana"/>
                <w:b/>
                <w:sz w:val="20"/>
                <w:szCs w:val="20"/>
              </w:rPr>
              <w:t>Balance at 1 April</w:t>
            </w:r>
          </w:p>
        </w:tc>
        <w:tc>
          <w:tcPr>
            <w:tcW w:w="1906" w:type="dxa"/>
          </w:tcPr>
          <w:p w14:paraId="7A85D4FD" w14:textId="77777777" w:rsidR="00477ABD" w:rsidRDefault="00477ABD" w:rsidP="00CA7A3B">
            <w:pPr>
              <w:pStyle w:val="BodyTextIndent2"/>
              <w:spacing w:after="0" w:line="240" w:lineRule="auto"/>
              <w:ind w:left="0"/>
              <w:jc w:val="right"/>
              <w:rPr>
                <w:rFonts w:ascii="Verdana" w:hAnsi="Verdana"/>
                <w:sz w:val="20"/>
                <w:szCs w:val="20"/>
              </w:rPr>
            </w:pPr>
          </w:p>
          <w:p w14:paraId="7B48E558"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75,000</w:t>
            </w:r>
          </w:p>
        </w:tc>
        <w:tc>
          <w:tcPr>
            <w:tcW w:w="1559" w:type="dxa"/>
          </w:tcPr>
          <w:p w14:paraId="36934F7D" w14:textId="77777777" w:rsidR="00477ABD" w:rsidRDefault="00477ABD" w:rsidP="00CA7A3B">
            <w:pPr>
              <w:pStyle w:val="BodyTextIndent2"/>
              <w:spacing w:after="0" w:line="240" w:lineRule="auto"/>
              <w:ind w:left="0"/>
              <w:jc w:val="right"/>
              <w:rPr>
                <w:rFonts w:ascii="Verdana" w:hAnsi="Verdana"/>
                <w:sz w:val="20"/>
                <w:szCs w:val="20"/>
              </w:rPr>
            </w:pPr>
          </w:p>
          <w:p w14:paraId="4C5D4540"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75,000</w:t>
            </w:r>
          </w:p>
        </w:tc>
      </w:tr>
      <w:tr w:rsidR="00477ABD" w14:paraId="1D1BB746" w14:textId="77777777" w:rsidTr="007E1108">
        <w:tc>
          <w:tcPr>
            <w:tcW w:w="1501" w:type="dxa"/>
          </w:tcPr>
          <w:p w14:paraId="39A51051" w14:textId="77777777" w:rsidR="00477ABD" w:rsidRDefault="00477ABD" w:rsidP="000C2A54">
            <w:pPr>
              <w:pStyle w:val="BodyTextIndent2"/>
              <w:spacing w:after="0" w:line="240" w:lineRule="auto"/>
              <w:ind w:left="0"/>
              <w:rPr>
                <w:rFonts w:ascii="Verdana" w:hAnsi="Verdana"/>
                <w:sz w:val="20"/>
                <w:szCs w:val="20"/>
              </w:rPr>
            </w:pPr>
          </w:p>
          <w:p w14:paraId="0C6FD5BC" w14:textId="77777777" w:rsidR="00477ABD" w:rsidRPr="00EA0107" w:rsidRDefault="00477ABD" w:rsidP="000C2A54">
            <w:pPr>
              <w:pStyle w:val="BodyTextIndent2"/>
              <w:spacing w:after="0" w:line="240" w:lineRule="auto"/>
              <w:ind w:left="0"/>
              <w:rPr>
                <w:rFonts w:ascii="Verdana" w:hAnsi="Verdana"/>
                <w:sz w:val="20"/>
                <w:szCs w:val="20"/>
              </w:rPr>
            </w:pPr>
            <w:r w:rsidRPr="00EA0107">
              <w:rPr>
                <w:rFonts w:ascii="Verdana" w:hAnsi="Verdana"/>
                <w:sz w:val="20"/>
                <w:szCs w:val="20"/>
              </w:rPr>
              <w:t>Provided in-year</w:t>
            </w:r>
          </w:p>
        </w:tc>
        <w:tc>
          <w:tcPr>
            <w:tcW w:w="1906" w:type="dxa"/>
          </w:tcPr>
          <w:p w14:paraId="39674CC3" w14:textId="77777777" w:rsidR="00477ABD" w:rsidRDefault="00477ABD" w:rsidP="00CA7A3B">
            <w:pPr>
              <w:pStyle w:val="BodyTextIndent2"/>
              <w:spacing w:after="0" w:line="240" w:lineRule="auto"/>
              <w:ind w:left="0"/>
              <w:jc w:val="right"/>
              <w:rPr>
                <w:rFonts w:ascii="Verdana" w:hAnsi="Verdana"/>
                <w:sz w:val="20"/>
                <w:szCs w:val="20"/>
              </w:rPr>
            </w:pPr>
          </w:p>
          <w:p w14:paraId="4AF8A8E9" w14:textId="77777777" w:rsidR="00477ABD" w:rsidRDefault="00477ABD" w:rsidP="00CA7A3B">
            <w:pPr>
              <w:pStyle w:val="BodyTextIndent2"/>
              <w:spacing w:after="0" w:line="240" w:lineRule="auto"/>
              <w:ind w:left="0"/>
              <w:jc w:val="right"/>
              <w:rPr>
                <w:rFonts w:ascii="Verdana" w:hAnsi="Verdana"/>
                <w:sz w:val="20"/>
                <w:szCs w:val="20"/>
              </w:rPr>
            </w:pPr>
          </w:p>
          <w:p w14:paraId="4074C4D7"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559" w:type="dxa"/>
          </w:tcPr>
          <w:p w14:paraId="5AB04FE9" w14:textId="77777777" w:rsidR="00477ABD" w:rsidRDefault="00477ABD" w:rsidP="00CA7A3B">
            <w:pPr>
              <w:pStyle w:val="BodyTextIndent2"/>
              <w:spacing w:after="0" w:line="240" w:lineRule="auto"/>
              <w:ind w:left="0"/>
              <w:jc w:val="right"/>
              <w:rPr>
                <w:rFonts w:ascii="Verdana" w:hAnsi="Verdana"/>
                <w:sz w:val="20"/>
                <w:szCs w:val="20"/>
              </w:rPr>
            </w:pPr>
          </w:p>
          <w:p w14:paraId="38F67563" w14:textId="77777777" w:rsidR="00477ABD" w:rsidRDefault="00477ABD" w:rsidP="00CA7A3B">
            <w:pPr>
              <w:pStyle w:val="BodyTextIndent2"/>
              <w:spacing w:after="0" w:line="240" w:lineRule="auto"/>
              <w:ind w:left="0"/>
              <w:jc w:val="right"/>
              <w:rPr>
                <w:rFonts w:ascii="Verdana" w:hAnsi="Verdana"/>
                <w:sz w:val="20"/>
                <w:szCs w:val="20"/>
              </w:rPr>
            </w:pPr>
          </w:p>
          <w:p w14:paraId="62022557"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r>
      <w:tr w:rsidR="00477ABD" w14:paraId="0CC42D64" w14:textId="77777777" w:rsidTr="007E1108">
        <w:tc>
          <w:tcPr>
            <w:tcW w:w="1501" w:type="dxa"/>
          </w:tcPr>
          <w:p w14:paraId="4B52C648" w14:textId="77777777" w:rsidR="00477ABD" w:rsidRDefault="00477ABD" w:rsidP="000C2A54">
            <w:pPr>
              <w:pStyle w:val="BodyTextIndent2"/>
              <w:spacing w:after="0" w:line="240" w:lineRule="auto"/>
              <w:ind w:left="0"/>
              <w:rPr>
                <w:rFonts w:ascii="Verdana" w:hAnsi="Verdana"/>
                <w:sz w:val="20"/>
                <w:szCs w:val="20"/>
              </w:rPr>
            </w:pPr>
          </w:p>
          <w:p w14:paraId="418D876E" w14:textId="77777777" w:rsidR="00477ABD" w:rsidRPr="00EA0107" w:rsidRDefault="00477ABD" w:rsidP="000C2A54">
            <w:pPr>
              <w:pStyle w:val="BodyTextIndent2"/>
              <w:spacing w:after="0" w:line="240" w:lineRule="auto"/>
              <w:ind w:left="0"/>
              <w:rPr>
                <w:rFonts w:ascii="Verdana" w:hAnsi="Verdana"/>
                <w:sz w:val="20"/>
                <w:szCs w:val="20"/>
              </w:rPr>
            </w:pPr>
            <w:r w:rsidRPr="00EA0107">
              <w:rPr>
                <w:rFonts w:ascii="Verdana" w:hAnsi="Verdana"/>
                <w:sz w:val="20"/>
                <w:szCs w:val="20"/>
              </w:rPr>
              <w:t>Provisions written off in-year</w:t>
            </w:r>
          </w:p>
        </w:tc>
        <w:tc>
          <w:tcPr>
            <w:tcW w:w="1906" w:type="dxa"/>
            <w:tcBorders>
              <w:bottom w:val="single" w:sz="4" w:space="0" w:color="auto"/>
            </w:tcBorders>
          </w:tcPr>
          <w:p w14:paraId="6D91678B" w14:textId="77777777" w:rsidR="00477ABD" w:rsidRDefault="00477ABD" w:rsidP="00CA7A3B">
            <w:pPr>
              <w:pStyle w:val="BodyTextIndent2"/>
              <w:spacing w:after="0" w:line="240" w:lineRule="auto"/>
              <w:ind w:left="0"/>
              <w:jc w:val="right"/>
              <w:rPr>
                <w:rFonts w:ascii="Verdana" w:hAnsi="Verdana"/>
                <w:sz w:val="20"/>
                <w:szCs w:val="20"/>
              </w:rPr>
            </w:pPr>
          </w:p>
          <w:p w14:paraId="7E3E1E80" w14:textId="77777777" w:rsidR="00477ABD" w:rsidRDefault="00477ABD" w:rsidP="00CA7A3B">
            <w:pPr>
              <w:pStyle w:val="BodyTextIndent2"/>
              <w:spacing w:after="0" w:line="240" w:lineRule="auto"/>
              <w:ind w:left="0"/>
              <w:jc w:val="right"/>
              <w:rPr>
                <w:rFonts w:ascii="Verdana" w:hAnsi="Verdana"/>
                <w:sz w:val="20"/>
                <w:szCs w:val="20"/>
              </w:rPr>
            </w:pPr>
          </w:p>
          <w:p w14:paraId="302520FE"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559" w:type="dxa"/>
            <w:tcBorders>
              <w:bottom w:val="single" w:sz="4" w:space="0" w:color="auto"/>
            </w:tcBorders>
          </w:tcPr>
          <w:p w14:paraId="1B6F79EE" w14:textId="77777777" w:rsidR="00477ABD" w:rsidRDefault="00477ABD" w:rsidP="00CA7A3B">
            <w:pPr>
              <w:pStyle w:val="BodyTextIndent2"/>
              <w:spacing w:after="0" w:line="240" w:lineRule="auto"/>
              <w:ind w:left="0"/>
              <w:jc w:val="right"/>
              <w:rPr>
                <w:rFonts w:ascii="Verdana" w:hAnsi="Verdana"/>
                <w:sz w:val="20"/>
                <w:szCs w:val="20"/>
              </w:rPr>
            </w:pPr>
          </w:p>
          <w:p w14:paraId="1EA56825" w14:textId="77777777" w:rsidR="00477ABD" w:rsidRDefault="00477ABD" w:rsidP="00CA7A3B">
            <w:pPr>
              <w:pStyle w:val="BodyTextIndent2"/>
              <w:spacing w:after="0" w:line="240" w:lineRule="auto"/>
              <w:ind w:left="0"/>
              <w:jc w:val="right"/>
              <w:rPr>
                <w:rFonts w:ascii="Verdana" w:hAnsi="Verdana"/>
                <w:sz w:val="20"/>
                <w:szCs w:val="20"/>
              </w:rPr>
            </w:pPr>
          </w:p>
          <w:p w14:paraId="4A990E43"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r>
      <w:tr w:rsidR="00477ABD" w14:paraId="0E84FE93" w14:textId="77777777" w:rsidTr="007E1108">
        <w:tc>
          <w:tcPr>
            <w:tcW w:w="1501" w:type="dxa"/>
          </w:tcPr>
          <w:p w14:paraId="5D0E0B33" w14:textId="77777777" w:rsidR="00477ABD" w:rsidRDefault="00477ABD" w:rsidP="000C2A54">
            <w:pPr>
              <w:pStyle w:val="BodyTextIndent2"/>
              <w:spacing w:after="0" w:line="240" w:lineRule="auto"/>
              <w:ind w:left="0"/>
              <w:rPr>
                <w:rFonts w:ascii="Verdana" w:hAnsi="Verdana"/>
                <w:b/>
                <w:sz w:val="20"/>
                <w:szCs w:val="20"/>
              </w:rPr>
            </w:pPr>
          </w:p>
          <w:p w14:paraId="7ED0945E" w14:textId="77777777" w:rsidR="00477ABD" w:rsidRPr="00EA0107" w:rsidRDefault="00477ABD" w:rsidP="000C2A54">
            <w:pPr>
              <w:pStyle w:val="BodyTextIndent2"/>
              <w:spacing w:after="0" w:line="240" w:lineRule="auto"/>
              <w:ind w:left="0"/>
              <w:rPr>
                <w:rFonts w:ascii="Verdana" w:hAnsi="Verdana"/>
                <w:b/>
                <w:sz w:val="20"/>
                <w:szCs w:val="20"/>
              </w:rPr>
            </w:pPr>
            <w:r w:rsidRPr="00EA0107">
              <w:rPr>
                <w:rFonts w:ascii="Verdana" w:hAnsi="Verdana"/>
                <w:b/>
                <w:sz w:val="20"/>
                <w:szCs w:val="20"/>
              </w:rPr>
              <w:t>Balance at 31 March</w:t>
            </w:r>
          </w:p>
        </w:tc>
        <w:tc>
          <w:tcPr>
            <w:tcW w:w="1906" w:type="dxa"/>
            <w:tcBorders>
              <w:top w:val="single" w:sz="4" w:space="0" w:color="auto"/>
              <w:bottom w:val="single" w:sz="4" w:space="0" w:color="auto"/>
            </w:tcBorders>
          </w:tcPr>
          <w:p w14:paraId="22D8C91F" w14:textId="77777777" w:rsidR="00477ABD" w:rsidRDefault="00477ABD" w:rsidP="00CA7A3B">
            <w:pPr>
              <w:pStyle w:val="BodyTextIndent2"/>
              <w:spacing w:after="0" w:line="240" w:lineRule="auto"/>
              <w:ind w:left="0"/>
              <w:jc w:val="right"/>
              <w:rPr>
                <w:rFonts w:ascii="Verdana" w:hAnsi="Verdana"/>
                <w:b/>
                <w:sz w:val="20"/>
                <w:szCs w:val="20"/>
              </w:rPr>
            </w:pPr>
          </w:p>
          <w:p w14:paraId="71A85E2F" w14:textId="77777777" w:rsidR="00477ABD" w:rsidRDefault="00477ABD" w:rsidP="00CA7A3B">
            <w:pPr>
              <w:pStyle w:val="BodyTextIndent2"/>
              <w:spacing w:after="0" w:line="240" w:lineRule="auto"/>
              <w:ind w:left="0"/>
              <w:jc w:val="right"/>
              <w:rPr>
                <w:rFonts w:ascii="Verdana" w:hAnsi="Verdana"/>
                <w:b/>
                <w:sz w:val="20"/>
                <w:szCs w:val="20"/>
              </w:rPr>
            </w:pPr>
          </w:p>
          <w:p w14:paraId="63322C8E" w14:textId="77777777" w:rsidR="00477ABD" w:rsidRPr="00EA0107" w:rsidRDefault="00477ABD" w:rsidP="00CA7A3B">
            <w:pPr>
              <w:pStyle w:val="BodyTextIndent2"/>
              <w:spacing w:after="0" w:line="240" w:lineRule="auto"/>
              <w:ind w:left="0"/>
              <w:jc w:val="right"/>
              <w:rPr>
                <w:rFonts w:ascii="Verdana" w:hAnsi="Verdana"/>
                <w:b/>
                <w:sz w:val="20"/>
                <w:szCs w:val="20"/>
              </w:rPr>
            </w:pPr>
            <w:r>
              <w:rPr>
                <w:rFonts w:ascii="Verdana" w:hAnsi="Verdana"/>
                <w:b/>
                <w:sz w:val="20"/>
                <w:szCs w:val="20"/>
              </w:rPr>
              <w:t>75,000</w:t>
            </w:r>
          </w:p>
        </w:tc>
        <w:tc>
          <w:tcPr>
            <w:tcW w:w="1559" w:type="dxa"/>
            <w:tcBorders>
              <w:top w:val="single" w:sz="4" w:space="0" w:color="auto"/>
              <w:bottom w:val="single" w:sz="4" w:space="0" w:color="auto"/>
            </w:tcBorders>
          </w:tcPr>
          <w:p w14:paraId="16E42A9D" w14:textId="77777777" w:rsidR="00477ABD" w:rsidRDefault="00477ABD" w:rsidP="00CA7A3B">
            <w:pPr>
              <w:pStyle w:val="BodyTextIndent2"/>
              <w:spacing w:after="0" w:line="240" w:lineRule="auto"/>
              <w:ind w:left="0"/>
              <w:jc w:val="right"/>
              <w:rPr>
                <w:rFonts w:ascii="Verdana" w:hAnsi="Verdana"/>
                <w:b/>
                <w:sz w:val="20"/>
                <w:szCs w:val="20"/>
              </w:rPr>
            </w:pPr>
          </w:p>
          <w:p w14:paraId="4A439982" w14:textId="77777777" w:rsidR="00477ABD" w:rsidRDefault="00477ABD" w:rsidP="00CA7A3B">
            <w:pPr>
              <w:pStyle w:val="BodyTextIndent2"/>
              <w:spacing w:after="0" w:line="240" w:lineRule="auto"/>
              <w:ind w:left="0"/>
              <w:jc w:val="right"/>
              <w:rPr>
                <w:rFonts w:ascii="Verdana" w:hAnsi="Verdana"/>
                <w:b/>
                <w:sz w:val="20"/>
                <w:szCs w:val="20"/>
              </w:rPr>
            </w:pPr>
          </w:p>
          <w:p w14:paraId="1E64ED37" w14:textId="77777777" w:rsidR="00477ABD" w:rsidRPr="00EA0107" w:rsidRDefault="00477ABD" w:rsidP="00CA7A3B">
            <w:pPr>
              <w:pStyle w:val="BodyTextIndent2"/>
              <w:spacing w:after="0" w:line="240" w:lineRule="auto"/>
              <w:ind w:left="0"/>
              <w:jc w:val="right"/>
              <w:rPr>
                <w:rFonts w:ascii="Verdana" w:hAnsi="Verdana"/>
                <w:b/>
                <w:sz w:val="20"/>
                <w:szCs w:val="20"/>
              </w:rPr>
            </w:pPr>
            <w:r>
              <w:rPr>
                <w:rFonts w:ascii="Verdana" w:hAnsi="Verdana"/>
                <w:b/>
                <w:sz w:val="20"/>
                <w:szCs w:val="20"/>
              </w:rPr>
              <w:t>75,000</w:t>
            </w:r>
          </w:p>
        </w:tc>
      </w:tr>
    </w:tbl>
    <w:p w14:paraId="1F2704C7" w14:textId="77777777" w:rsidR="00CA7A3B" w:rsidRDefault="00CA7A3B" w:rsidP="000C2A54">
      <w:pPr>
        <w:pStyle w:val="BodyTextIndent2"/>
        <w:spacing w:after="0" w:line="240" w:lineRule="auto"/>
        <w:ind w:left="567" w:hanging="567"/>
        <w:rPr>
          <w:rFonts w:ascii="Verdana" w:hAnsi="Verdana"/>
          <w:b/>
          <w:sz w:val="22"/>
          <w:szCs w:val="22"/>
        </w:rPr>
      </w:pPr>
    </w:p>
    <w:p w14:paraId="36EF02B0" w14:textId="77777777" w:rsidR="000C2A54" w:rsidRPr="00EB5423" w:rsidRDefault="000C2A54" w:rsidP="000C2A54">
      <w:pPr>
        <w:pStyle w:val="BodyTextIndent2"/>
        <w:spacing w:after="0" w:line="240" w:lineRule="auto"/>
        <w:ind w:left="567" w:hanging="567"/>
        <w:rPr>
          <w:rFonts w:ascii="Verdana" w:hAnsi="Verdana"/>
          <w:b/>
          <w:sz w:val="22"/>
          <w:szCs w:val="22"/>
        </w:rPr>
      </w:pPr>
      <w:r w:rsidRPr="00EB5423">
        <w:rPr>
          <w:rFonts w:ascii="Verdana" w:hAnsi="Verdana"/>
          <w:b/>
          <w:sz w:val="22"/>
          <w:szCs w:val="22"/>
        </w:rPr>
        <w:tab/>
      </w:r>
      <w:r w:rsidRPr="00EB5423">
        <w:rPr>
          <w:rFonts w:ascii="Verdana" w:hAnsi="Verdana"/>
          <w:b/>
          <w:sz w:val="22"/>
          <w:szCs w:val="22"/>
        </w:rPr>
        <w:tab/>
      </w:r>
      <w:r w:rsidRPr="00EB5423">
        <w:rPr>
          <w:rFonts w:ascii="Verdana" w:hAnsi="Verdana"/>
          <w:b/>
          <w:sz w:val="22"/>
          <w:szCs w:val="22"/>
        </w:rPr>
        <w:tab/>
      </w:r>
      <w:r w:rsidRPr="00EB5423">
        <w:rPr>
          <w:rFonts w:ascii="Verdana" w:hAnsi="Verdana"/>
          <w:b/>
          <w:sz w:val="22"/>
          <w:szCs w:val="22"/>
        </w:rPr>
        <w:tab/>
      </w:r>
    </w:p>
    <w:p w14:paraId="0A46DCDA" w14:textId="5CFD59C1" w:rsidR="000C2A54" w:rsidRDefault="00642BF8" w:rsidP="000C2A54">
      <w:r>
        <w:t>The amount of £75</w:t>
      </w:r>
      <w:r w:rsidR="00634673">
        <w:t xml:space="preserve">,000 </w:t>
      </w:r>
      <w:r w:rsidR="002A58CE">
        <w:t>in the 202</w:t>
      </w:r>
      <w:r w:rsidR="00135799">
        <w:t>4</w:t>
      </w:r>
      <w:r w:rsidR="002A58CE">
        <w:t>-2</w:t>
      </w:r>
      <w:r w:rsidR="00135799">
        <w:t>5</w:t>
      </w:r>
      <w:r w:rsidR="002A58CE">
        <w:t xml:space="preserve"> above figures</w:t>
      </w:r>
      <w:r>
        <w:t xml:space="preserve"> </w:t>
      </w:r>
      <w:r w:rsidR="002A58CE">
        <w:t>relates to</w:t>
      </w:r>
      <w:r w:rsidR="00634673">
        <w:t xml:space="preserve"> provision </w:t>
      </w:r>
      <w:r w:rsidR="00D33D70">
        <w:t xml:space="preserve">made </w:t>
      </w:r>
      <w:r w:rsidR="00AB5D96">
        <w:t>for</w:t>
      </w:r>
      <w:r>
        <w:t xml:space="preserve"> the estimated</w:t>
      </w:r>
      <w:r w:rsidR="00AB5D96">
        <w:t xml:space="preserve"> </w:t>
      </w:r>
      <w:r>
        <w:t>dilapidation costs at the end of the Commission’s ten year lease for its premises in Alfred Street, Belfast.</w:t>
      </w:r>
      <w:r w:rsidR="008D3513">
        <w:t xml:space="preserve">  The Commission’s lease allows for a 5 year break clause which</w:t>
      </w:r>
      <w:r w:rsidR="005E340A">
        <w:t>, at present, the Commission does not plan to exercise.</w:t>
      </w:r>
    </w:p>
    <w:p w14:paraId="6242A20E" w14:textId="77777777" w:rsidR="00C75A0E" w:rsidRDefault="00C75A0E" w:rsidP="00EF4A8A">
      <w:pPr>
        <w:rPr>
          <w:b/>
        </w:rPr>
      </w:pPr>
    </w:p>
    <w:p w14:paraId="733900EC" w14:textId="4ABC79C6" w:rsidR="000C2A54" w:rsidRPr="001B78C1" w:rsidRDefault="000C2A54" w:rsidP="000C2A54">
      <w:pPr>
        <w:ind w:left="567" w:hanging="567"/>
        <w:rPr>
          <w:b/>
          <w:color w:val="FF0000"/>
        </w:rPr>
      </w:pPr>
      <w:r w:rsidRPr="003F2009">
        <w:rPr>
          <w:b/>
        </w:rPr>
        <w:lastRenderedPageBreak/>
        <w:t>1</w:t>
      </w:r>
      <w:r w:rsidR="00EF4A8A">
        <w:rPr>
          <w:b/>
        </w:rPr>
        <w:t>4</w:t>
      </w:r>
      <w:r w:rsidRPr="003F2009">
        <w:rPr>
          <w:b/>
        </w:rPr>
        <w:t>.</w:t>
      </w:r>
      <w:r w:rsidRPr="003F2009">
        <w:rPr>
          <w:b/>
        </w:rPr>
        <w:tab/>
        <w:t>Contingent liabilities disclosed under IAS 37</w:t>
      </w:r>
      <w:r w:rsidR="001B78C1">
        <w:rPr>
          <w:b/>
        </w:rPr>
        <w:t xml:space="preserve"> </w:t>
      </w:r>
    </w:p>
    <w:p w14:paraId="48794B9B" w14:textId="77777777" w:rsidR="000538DE" w:rsidRDefault="000538DE" w:rsidP="00F803F4">
      <w:pPr>
        <w:ind w:left="720"/>
      </w:pPr>
    </w:p>
    <w:p w14:paraId="39279A1A" w14:textId="4345ED5A" w:rsidR="00F803F4" w:rsidRDefault="008C3B25" w:rsidP="00F803F4">
      <w:pPr>
        <w:ind w:left="720"/>
      </w:pPr>
      <w:r>
        <w:t xml:space="preserve">A contingent liability of £50,000 has been recognised for the possible obligation for one legal case.  We received judgement in January 2025.  The Commission was unsuccessful, and costs were awarded against us.  The matter will be remitted to the High Court however, depending on whether costs are agreed, may be dealt with administratively.  We will continue to push </w:t>
      </w:r>
      <w:r w:rsidR="00A87438">
        <w:t>the Department of Justice (</w:t>
      </w:r>
      <w:r>
        <w:t>DoJ</w:t>
      </w:r>
      <w:r w:rsidR="00A87438">
        <w:t>)</w:t>
      </w:r>
      <w:r>
        <w:t xml:space="preserve"> for a final invoice and then the Commission will decide if the matter will be resolved or referred back to the High Court.  Until then neither the actual cost, or weather it will need to be paid by the Commission, will be settled.  (2023-24 £40,350).</w:t>
      </w:r>
    </w:p>
    <w:p w14:paraId="552F02E4" w14:textId="77777777" w:rsidR="008C3B25" w:rsidRDefault="008C3B25" w:rsidP="00F803F4">
      <w:pPr>
        <w:ind w:left="720"/>
      </w:pPr>
    </w:p>
    <w:p w14:paraId="0B0FEDF8" w14:textId="23102778" w:rsidR="008C3B25" w:rsidRDefault="008C3B25" w:rsidP="00F803F4">
      <w:pPr>
        <w:ind w:left="720"/>
        <w:rPr>
          <w:color w:val="auto"/>
          <w:sz w:val="22"/>
          <w:szCs w:val="22"/>
        </w:rPr>
      </w:pPr>
      <w:r>
        <w:t>In 2023-24 we reported a contingent liability of £117,233 for a second legal case.  The case has been heard by the UK Supreme Court and a judgement was received in March 2025.  The Commission was unsuccessful.  However, an agreement was made with the DoJ</w:t>
      </w:r>
      <w:r w:rsidR="00A87438">
        <w:t xml:space="preserve"> for each side to bear their own costs.  The Commission’s costs have been expensed when incurred and there is no remaining liability for 2024-25.</w:t>
      </w:r>
    </w:p>
    <w:p w14:paraId="56631E7C" w14:textId="77777777" w:rsidR="000538DE" w:rsidRDefault="000538DE" w:rsidP="000C2A54">
      <w:pPr>
        <w:rPr>
          <w:b/>
        </w:rPr>
      </w:pPr>
    </w:p>
    <w:p w14:paraId="5DE1B7A7" w14:textId="614D237F" w:rsidR="000C2A54" w:rsidRPr="003F2009" w:rsidRDefault="000C2A54" w:rsidP="000C2A54">
      <w:pPr>
        <w:rPr>
          <w:b/>
        </w:rPr>
      </w:pPr>
      <w:r w:rsidRPr="003F2009">
        <w:rPr>
          <w:b/>
        </w:rPr>
        <w:t>1</w:t>
      </w:r>
      <w:r w:rsidR="00EF4A8A">
        <w:rPr>
          <w:b/>
        </w:rPr>
        <w:t>5</w:t>
      </w:r>
      <w:r w:rsidRPr="003F2009">
        <w:rPr>
          <w:b/>
        </w:rPr>
        <w:t xml:space="preserve">.  </w:t>
      </w:r>
      <w:r w:rsidR="000427AB">
        <w:rPr>
          <w:b/>
        </w:rPr>
        <w:t>Financial</w:t>
      </w:r>
      <w:r w:rsidRPr="003F2009">
        <w:rPr>
          <w:b/>
        </w:rPr>
        <w:t xml:space="preserve"> Commitments</w:t>
      </w:r>
    </w:p>
    <w:p w14:paraId="374F70CA" w14:textId="77777777" w:rsidR="000C2A54" w:rsidRPr="003F2009" w:rsidRDefault="000C2A54" w:rsidP="000C2A54">
      <w:pPr>
        <w:pStyle w:val="BodyTextIndent"/>
        <w:spacing w:after="0"/>
        <w:ind w:left="0"/>
      </w:pPr>
    </w:p>
    <w:p w14:paraId="17068ECD" w14:textId="1903BCE6" w:rsidR="003C598E" w:rsidRDefault="000C2A54" w:rsidP="00250101">
      <w:pPr>
        <w:pStyle w:val="BodyTextIndent"/>
        <w:spacing w:after="0"/>
        <w:ind w:left="567"/>
      </w:pPr>
      <w:r w:rsidRPr="003F2009">
        <w:t xml:space="preserve">The Commission </w:t>
      </w:r>
      <w:r w:rsidR="008E3972">
        <w:t xml:space="preserve">has </w:t>
      </w:r>
      <w:r w:rsidR="00507D74">
        <w:t>no</w:t>
      </w:r>
      <w:r w:rsidR="00EC294E">
        <w:t xml:space="preserve"> other</w:t>
      </w:r>
      <w:r w:rsidR="00507D74">
        <w:t xml:space="preserve"> </w:t>
      </w:r>
      <w:r w:rsidR="000427AB">
        <w:t>financial</w:t>
      </w:r>
      <w:r w:rsidR="008E3972">
        <w:t xml:space="preserve"> commitments</w:t>
      </w:r>
      <w:r w:rsidR="00507D74">
        <w:t xml:space="preserve"> </w:t>
      </w:r>
      <w:r w:rsidR="002F58A2">
        <w:t xml:space="preserve">not already </w:t>
      </w:r>
      <w:r w:rsidR="00516395">
        <w:t>included i</w:t>
      </w:r>
      <w:r w:rsidR="002F58A2">
        <w:t xml:space="preserve">n the Statement of Financial Position </w:t>
      </w:r>
      <w:r w:rsidR="00507D74">
        <w:t xml:space="preserve">for </w:t>
      </w:r>
      <w:r w:rsidR="00A670FC">
        <w:t>202</w:t>
      </w:r>
      <w:r w:rsidR="003F3B24">
        <w:t>4</w:t>
      </w:r>
      <w:r w:rsidR="00A670FC">
        <w:t>-2</w:t>
      </w:r>
      <w:r w:rsidR="003F3B24">
        <w:t>5</w:t>
      </w:r>
      <w:r w:rsidR="00A670FC">
        <w:t xml:space="preserve"> (</w:t>
      </w:r>
      <w:r w:rsidR="007E1108">
        <w:t>202</w:t>
      </w:r>
      <w:r w:rsidR="003F3B24">
        <w:t>3</w:t>
      </w:r>
      <w:r w:rsidR="007E1108">
        <w:t>-2</w:t>
      </w:r>
      <w:r w:rsidR="003F3B24">
        <w:t>4</w:t>
      </w:r>
      <w:r w:rsidR="00A670FC">
        <w:t>: £nil).</w:t>
      </w:r>
      <w:r w:rsidR="008E3972">
        <w:t xml:space="preserve">  </w:t>
      </w:r>
    </w:p>
    <w:p w14:paraId="604BCD74" w14:textId="77777777" w:rsidR="000538DE" w:rsidRDefault="000538DE" w:rsidP="003F3B24">
      <w:pPr>
        <w:pStyle w:val="BodyTextIndent"/>
        <w:spacing w:after="0"/>
        <w:ind w:left="0"/>
      </w:pPr>
    </w:p>
    <w:p w14:paraId="778A8A51" w14:textId="77777777" w:rsidR="000538DE" w:rsidRDefault="000538DE" w:rsidP="00250101">
      <w:pPr>
        <w:pStyle w:val="BodyTextIndent"/>
        <w:spacing w:after="0"/>
        <w:ind w:left="567"/>
      </w:pPr>
    </w:p>
    <w:p w14:paraId="71A11E91" w14:textId="22D4E3AA" w:rsidR="000C2A54" w:rsidRPr="003F2009" w:rsidRDefault="000C2A54" w:rsidP="000C2A54">
      <w:pPr>
        <w:ind w:left="567" w:hanging="567"/>
        <w:rPr>
          <w:b/>
        </w:rPr>
      </w:pPr>
      <w:r w:rsidRPr="003F2009">
        <w:rPr>
          <w:b/>
        </w:rPr>
        <w:t>1</w:t>
      </w:r>
      <w:r w:rsidR="00EF4A8A">
        <w:rPr>
          <w:b/>
        </w:rPr>
        <w:t>6</w:t>
      </w:r>
      <w:r w:rsidRPr="003F2009">
        <w:rPr>
          <w:b/>
        </w:rPr>
        <w:t>.</w:t>
      </w:r>
      <w:r w:rsidRPr="003F2009">
        <w:rPr>
          <w:b/>
        </w:rPr>
        <w:tab/>
        <w:t>Related-party transactions</w:t>
      </w:r>
    </w:p>
    <w:p w14:paraId="4D1EA78C" w14:textId="77777777" w:rsidR="000C2A54" w:rsidRPr="003F2009" w:rsidRDefault="000C2A54" w:rsidP="000C2A54">
      <w:pPr>
        <w:pStyle w:val="BodyTextIndent"/>
        <w:spacing w:after="0"/>
        <w:ind w:left="539"/>
      </w:pPr>
    </w:p>
    <w:p w14:paraId="2C0E7DE7" w14:textId="77777777" w:rsidR="000C2A54" w:rsidRPr="003F2009" w:rsidRDefault="000C2A54" w:rsidP="000C2A54">
      <w:pPr>
        <w:pStyle w:val="BodyTextIndent"/>
        <w:spacing w:after="0"/>
        <w:ind w:left="539"/>
      </w:pPr>
      <w:r w:rsidRPr="003F2009">
        <w:t>The Commission is a non</w:t>
      </w:r>
      <w:r w:rsidRPr="003F2009">
        <w:rPr>
          <w:rFonts w:cs="Arial"/>
        </w:rPr>
        <w:t>-</w:t>
      </w:r>
      <w:r w:rsidRPr="003F2009">
        <w:t xml:space="preserve">departmental public body sponsored by the Northern Ireland Office (NIO).  </w:t>
      </w:r>
    </w:p>
    <w:p w14:paraId="4300CACE" w14:textId="77777777" w:rsidR="000C2A54" w:rsidRPr="003F2009" w:rsidRDefault="000C2A54" w:rsidP="000C2A54">
      <w:pPr>
        <w:pStyle w:val="BodyTextIndent"/>
        <w:spacing w:after="0"/>
        <w:ind w:left="539"/>
      </w:pPr>
    </w:p>
    <w:p w14:paraId="10710A0B" w14:textId="77777777" w:rsidR="000C2A54" w:rsidRPr="003F2009" w:rsidRDefault="000C2A54" w:rsidP="000C2A54">
      <w:pPr>
        <w:pStyle w:val="BodyTextIndent"/>
        <w:spacing w:after="0"/>
        <w:ind w:left="539"/>
      </w:pPr>
      <w:r w:rsidRPr="003F2009">
        <w:t xml:space="preserve">The NIO is regarded as a related party. During the </w:t>
      </w:r>
      <w:r w:rsidR="00176472" w:rsidRPr="003F2009">
        <w:t>year,</w:t>
      </w:r>
      <w:r w:rsidRPr="003F2009">
        <w:t xml:space="preserve"> the Commission had various transactions with NIO, associated with the receipt of grant</w:t>
      </w:r>
      <w:r w:rsidRPr="003F2009">
        <w:rPr>
          <w:rFonts w:cs="Arial"/>
        </w:rPr>
        <w:t>-</w:t>
      </w:r>
      <w:r w:rsidRPr="003F2009">
        <w:t>in</w:t>
      </w:r>
      <w:r w:rsidRPr="003F2009">
        <w:rPr>
          <w:rFonts w:cs="Arial"/>
        </w:rPr>
        <w:t>-</w:t>
      </w:r>
      <w:r w:rsidRPr="003F2009">
        <w:t xml:space="preserve">aid.  </w:t>
      </w:r>
    </w:p>
    <w:p w14:paraId="5B9B0D3A" w14:textId="77777777" w:rsidR="000C2A54" w:rsidRPr="003F2009" w:rsidRDefault="000C2A54" w:rsidP="000C2A54">
      <w:pPr>
        <w:pStyle w:val="BodyTextIndent"/>
        <w:spacing w:after="0"/>
        <w:ind w:left="539"/>
      </w:pPr>
    </w:p>
    <w:p w14:paraId="665763FA" w14:textId="77777777" w:rsidR="000C2A54" w:rsidRPr="003F2009" w:rsidRDefault="000C2A54" w:rsidP="000C2A54">
      <w:pPr>
        <w:pStyle w:val="BodyTextIndent"/>
        <w:spacing w:after="0"/>
        <w:ind w:left="539"/>
      </w:pPr>
      <w:r w:rsidRPr="003F2009">
        <w:t xml:space="preserve">In </w:t>
      </w:r>
      <w:r w:rsidR="00176472" w:rsidRPr="003F2009">
        <w:t>addition,</w:t>
      </w:r>
      <w:r w:rsidRPr="003F2009">
        <w:t xml:space="preserve"> the Commission has had various transactions with other Government departments.</w:t>
      </w:r>
    </w:p>
    <w:p w14:paraId="41A35BF7" w14:textId="77777777" w:rsidR="000C2A54" w:rsidRPr="003F2009" w:rsidRDefault="000C2A54" w:rsidP="000C2A54">
      <w:pPr>
        <w:pStyle w:val="BodyTextIndent"/>
        <w:spacing w:after="0"/>
        <w:ind w:left="539"/>
      </w:pPr>
    </w:p>
    <w:p w14:paraId="330BED05" w14:textId="413DB6AC" w:rsidR="000C2A54" w:rsidRPr="003F2009" w:rsidRDefault="00A044E4" w:rsidP="000C2A54">
      <w:pPr>
        <w:pStyle w:val="BodyTextIndent"/>
        <w:spacing w:after="0"/>
        <w:ind w:left="539"/>
      </w:pPr>
      <w:r>
        <w:t xml:space="preserve">Except for the remuneration disclosed in the Remuneration and Staff Report on pages </w:t>
      </w:r>
      <w:r w:rsidR="00F5109B">
        <w:t>50-63</w:t>
      </w:r>
      <w:r>
        <w:t>, none of the Commissioners, Management Team or other related parties has undertaken any material transactions with the Commission during the year.</w:t>
      </w:r>
    </w:p>
    <w:p w14:paraId="286D90DA" w14:textId="77777777" w:rsidR="00746D2B" w:rsidRDefault="00746D2B" w:rsidP="000C2A54">
      <w:pPr>
        <w:widowControl w:val="0"/>
        <w:tabs>
          <w:tab w:val="left" w:pos="567"/>
        </w:tabs>
        <w:autoSpaceDE w:val="0"/>
        <w:autoSpaceDN w:val="0"/>
        <w:adjustRightInd w:val="0"/>
        <w:rPr>
          <w:b/>
        </w:rPr>
      </w:pPr>
    </w:p>
    <w:p w14:paraId="1382F1B4" w14:textId="77777777" w:rsidR="00487592" w:rsidRDefault="00487592" w:rsidP="000C2A54">
      <w:pPr>
        <w:widowControl w:val="0"/>
        <w:tabs>
          <w:tab w:val="left" w:pos="567"/>
        </w:tabs>
        <w:autoSpaceDE w:val="0"/>
        <w:autoSpaceDN w:val="0"/>
        <w:adjustRightInd w:val="0"/>
        <w:rPr>
          <w:b/>
        </w:rPr>
      </w:pPr>
    </w:p>
    <w:p w14:paraId="2C654296" w14:textId="77777777" w:rsidR="00487592" w:rsidRDefault="00487592" w:rsidP="000C2A54">
      <w:pPr>
        <w:widowControl w:val="0"/>
        <w:tabs>
          <w:tab w:val="left" w:pos="567"/>
        </w:tabs>
        <w:autoSpaceDE w:val="0"/>
        <w:autoSpaceDN w:val="0"/>
        <w:adjustRightInd w:val="0"/>
        <w:rPr>
          <w:b/>
        </w:rPr>
      </w:pPr>
    </w:p>
    <w:p w14:paraId="0BBF7CD0" w14:textId="77777777" w:rsidR="00487592" w:rsidRDefault="00487592" w:rsidP="000C2A54">
      <w:pPr>
        <w:widowControl w:val="0"/>
        <w:tabs>
          <w:tab w:val="left" w:pos="567"/>
        </w:tabs>
        <w:autoSpaceDE w:val="0"/>
        <w:autoSpaceDN w:val="0"/>
        <w:adjustRightInd w:val="0"/>
        <w:rPr>
          <w:b/>
        </w:rPr>
      </w:pPr>
    </w:p>
    <w:p w14:paraId="175BE30F" w14:textId="77777777" w:rsidR="00487592" w:rsidRDefault="00487592" w:rsidP="000C2A54">
      <w:pPr>
        <w:widowControl w:val="0"/>
        <w:tabs>
          <w:tab w:val="left" w:pos="567"/>
        </w:tabs>
        <w:autoSpaceDE w:val="0"/>
        <w:autoSpaceDN w:val="0"/>
        <w:adjustRightInd w:val="0"/>
        <w:rPr>
          <w:b/>
        </w:rPr>
      </w:pPr>
    </w:p>
    <w:p w14:paraId="0E5ACBBF" w14:textId="599C73AD" w:rsidR="000C2A54" w:rsidRPr="003F2009" w:rsidRDefault="000C2A54" w:rsidP="000C2A54">
      <w:pPr>
        <w:widowControl w:val="0"/>
        <w:tabs>
          <w:tab w:val="left" w:pos="567"/>
        </w:tabs>
        <w:autoSpaceDE w:val="0"/>
        <w:autoSpaceDN w:val="0"/>
        <w:adjustRightInd w:val="0"/>
        <w:rPr>
          <w:b/>
        </w:rPr>
      </w:pPr>
      <w:r>
        <w:rPr>
          <w:b/>
        </w:rPr>
        <w:t>1</w:t>
      </w:r>
      <w:r w:rsidR="00EF4A8A">
        <w:rPr>
          <w:b/>
        </w:rPr>
        <w:t>7</w:t>
      </w:r>
      <w:r w:rsidRPr="003F2009">
        <w:rPr>
          <w:b/>
        </w:rPr>
        <w:t>.</w:t>
      </w:r>
      <w:r w:rsidRPr="003F2009">
        <w:rPr>
          <w:b/>
        </w:rPr>
        <w:tab/>
        <w:t>Events after the reporting period</w:t>
      </w:r>
    </w:p>
    <w:p w14:paraId="4C471BFA" w14:textId="77777777" w:rsidR="00937BB4" w:rsidRDefault="00937BB4" w:rsidP="000B3B3C">
      <w:pPr>
        <w:autoSpaceDE w:val="0"/>
        <w:autoSpaceDN w:val="0"/>
        <w:adjustRightInd w:val="0"/>
        <w:rPr>
          <w:lang w:val="en-US"/>
        </w:rPr>
      </w:pPr>
    </w:p>
    <w:p w14:paraId="5F092B7F" w14:textId="5ACA1D1F" w:rsidR="00094BB4" w:rsidRDefault="000C2A54" w:rsidP="00B61C59">
      <w:pPr>
        <w:autoSpaceDE w:val="0"/>
        <w:autoSpaceDN w:val="0"/>
        <w:adjustRightInd w:val="0"/>
        <w:ind w:left="567"/>
        <w:rPr>
          <w:lang w:val="en-US"/>
        </w:rPr>
      </w:pPr>
      <w:r w:rsidRPr="003F2009">
        <w:rPr>
          <w:lang w:val="en-US"/>
        </w:rPr>
        <w:t>The Annual Report and Accounts are authorised for issue on the same date as the Comptroller and Auditor General signed the audit certificate.</w:t>
      </w:r>
    </w:p>
    <w:p w14:paraId="16CC2241" w14:textId="304AD1FC" w:rsidR="00925C6F" w:rsidRDefault="00925C6F" w:rsidP="00B61C59">
      <w:pPr>
        <w:autoSpaceDE w:val="0"/>
        <w:autoSpaceDN w:val="0"/>
        <w:adjustRightInd w:val="0"/>
        <w:ind w:left="567"/>
        <w:rPr>
          <w:lang w:val="en-US"/>
        </w:rPr>
      </w:pPr>
    </w:p>
    <w:p w14:paraId="11BAA2B6" w14:textId="77777777" w:rsidR="00952E25" w:rsidRDefault="00925C6F" w:rsidP="00953497">
      <w:pPr>
        <w:autoSpaceDE w:val="0"/>
        <w:autoSpaceDN w:val="0"/>
        <w:adjustRightInd w:val="0"/>
        <w:ind w:left="567"/>
        <w:rPr>
          <w:lang w:val="en-US"/>
        </w:rPr>
      </w:pPr>
      <w:r w:rsidRPr="00F5109B">
        <w:rPr>
          <w:lang w:val="en-US"/>
        </w:rPr>
        <w:t>There were no significant events after the reporting date.</w:t>
      </w:r>
    </w:p>
    <w:p w14:paraId="7BB42FC6" w14:textId="77777777" w:rsidR="00C03FE4" w:rsidRDefault="00C03FE4" w:rsidP="00953497">
      <w:pPr>
        <w:autoSpaceDE w:val="0"/>
        <w:autoSpaceDN w:val="0"/>
        <w:adjustRightInd w:val="0"/>
        <w:ind w:left="567"/>
        <w:rPr>
          <w:lang w:val="en-US"/>
        </w:rPr>
      </w:pPr>
    </w:p>
    <w:p w14:paraId="08F299C2" w14:textId="77777777" w:rsidR="00C03FE4" w:rsidRDefault="00C03FE4" w:rsidP="00953497">
      <w:pPr>
        <w:autoSpaceDE w:val="0"/>
        <w:autoSpaceDN w:val="0"/>
        <w:adjustRightInd w:val="0"/>
        <w:ind w:left="567"/>
        <w:rPr>
          <w:lang w:val="en-US"/>
        </w:rPr>
      </w:pPr>
    </w:p>
    <w:p w14:paraId="089D72CB" w14:textId="77777777" w:rsidR="00C03FE4" w:rsidRDefault="00C03FE4" w:rsidP="00953497">
      <w:pPr>
        <w:autoSpaceDE w:val="0"/>
        <w:autoSpaceDN w:val="0"/>
        <w:adjustRightInd w:val="0"/>
        <w:ind w:left="567"/>
        <w:rPr>
          <w:lang w:val="en-US"/>
        </w:rPr>
      </w:pPr>
    </w:p>
    <w:p w14:paraId="7080D199" w14:textId="77777777" w:rsidR="00C03FE4" w:rsidRDefault="00C03FE4" w:rsidP="00953497">
      <w:pPr>
        <w:autoSpaceDE w:val="0"/>
        <w:autoSpaceDN w:val="0"/>
        <w:adjustRightInd w:val="0"/>
        <w:ind w:left="567"/>
        <w:rPr>
          <w:lang w:val="en-US"/>
        </w:rPr>
      </w:pPr>
    </w:p>
    <w:p w14:paraId="2E40C0B4" w14:textId="77777777" w:rsidR="00C03FE4" w:rsidRDefault="00C03FE4" w:rsidP="00953497">
      <w:pPr>
        <w:autoSpaceDE w:val="0"/>
        <w:autoSpaceDN w:val="0"/>
        <w:adjustRightInd w:val="0"/>
        <w:ind w:left="567"/>
        <w:rPr>
          <w:lang w:val="en-US"/>
        </w:rPr>
        <w:sectPr w:rsidR="00C03FE4" w:rsidSect="00210451">
          <w:footerReference w:type="default" r:id="rId38"/>
          <w:pgSz w:w="11907" w:h="16840" w:code="9"/>
          <w:pgMar w:top="1418" w:right="1418" w:bottom="851" w:left="1418" w:header="709" w:footer="709" w:gutter="0"/>
          <w:cols w:space="708"/>
          <w:docGrid w:linePitch="360"/>
        </w:sectPr>
      </w:pPr>
    </w:p>
    <w:p w14:paraId="54857CEF" w14:textId="77777777" w:rsidR="00952E25" w:rsidRDefault="00952E25" w:rsidP="00953497">
      <w:pPr>
        <w:autoSpaceDE w:val="0"/>
        <w:autoSpaceDN w:val="0"/>
        <w:adjustRightInd w:val="0"/>
        <w:ind w:left="567"/>
        <w:rPr>
          <w:lang w:val="en-US"/>
        </w:rPr>
        <w:sectPr w:rsidR="00952E25" w:rsidSect="00210451">
          <w:footerReference w:type="default" r:id="rId39"/>
          <w:pgSz w:w="11907" w:h="16840" w:code="9"/>
          <w:pgMar w:top="1418" w:right="1418" w:bottom="851" w:left="1418" w:header="709" w:footer="709" w:gutter="0"/>
          <w:cols w:space="708"/>
          <w:docGrid w:linePitch="360"/>
        </w:sectPr>
      </w:pPr>
    </w:p>
    <w:p w14:paraId="4F347545" w14:textId="0033F684" w:rsidR="00094BB4" w:rsidRDefault="00094BB4" w:rsidP="00953497">
      <w:pPr>
        <w:autoSpaceDE w:val="0"/>
        <w:autoSpaceDN w:val="0"/>
        <w:adjustRightInd w:val="0"/>
        <w:ind w:left="567"/>
      </w:pPr>
    </w:p>
    <w:p w14:paraId="2A83C64A" w14:textId="77777777" w:rsidR="00094BB4" w:rsidRDefault="00094BB4" w:rsidP="00094BB4">
      <w:pPr>
        <w:jc w:val="right"/>
      </w:pPr>
    </w:p>
    <w:p w14:paraId="1C5ABFC7" w14:textId="77777777" w:rsidR="00094BB4" w:rsidRDefault="00094BB4" w:rsidP="00094BB4">
      <w:pPr>
        <w:jc w:val="right"/>
      </w:pPr>
    </w:p>
    <w:p w14:paraId="607C064A" w14:textId="77777777" w:rsidR="00094BB4" w:rsidRDefault="00094BB4" w:rsidP="00094BB4">
      <w:pPr>
        <w:jc w:val="right"/>
      </w:pPr>
    </w:p>
    <w:p w14:paraId="110A2C49" w14:textId="77777777" w:rsidR="00094BB4" w:rsidRDefault="00094BB4" w:rsidP="00094BB4">
      <w:pPr>
        <w:jc w:val="right"/>
      </w:pPr>
    </w:p>
    <w:p w14:paraId="4E51B978" w14:textId="77777777" w:rsidR="00094BB4" w:rsidRDefault="00094BB4" w:rsidP="00094BB4">
      <w:pPr>
        <w:jc w:val="right"/>
      </w:pPr>
    </w:p>
    <w:p w14:paraId="30451F57" w14:textId="77777777" w:rsidR="00094BB4" w:rsidRDefault="00094BB4" w:rsidP="00094BB4">
      <w:pPr>
        <w:jc w:val="right"/>
      </w:pPr>
    </w:p>
    <w:p w14:paraId="66D011E9" w14:textId="77777777" w:rsidR="00094BB4" w:rsidRDefault="00094BB4" w:rsidP="00094BB4">
      <w:pPr>
        <w:jc w:val="right"/>
      </w:pPr>
    </w:p>
    <w:p w14:paraId="574C1885" w14:textId="77777777" w:rsidR="00094BB4" w:rsidRDefault="00094BB4" w:rsidP="00094BB4">
      <w:pPr>
        <w:jc w:val="right"/>
      </w:pPr>
    </w:p>
    <w:p w14:paraId="1D559058" w14:textId="77777777" w:rsidR="00094BB4" w:rsidRDefault="00094BB4" w:rsidP="00094BB4">
      <w:pPr>
        <w:jc w:val="right"/>
      </w:pPr>
    </w:p>
    <w:p w14:paraId="768F3444" w14:textId="77777777" w:rsidR="00094BB4" w:rsidRDefault="00094BB4" w:rsidP="00094BB4">
      <w:pPr>
        <w:jc w:val="right"/>
      </w:pPr>
    </w:p>
    <w:p w14:paraId="6ED50CA9" w14:textId="77777777" w:rsidR="00094BB4" w:rsidRDefault="00094BB4" w:rsidP="00094BB4">
      <w:pPr>
        <w:jc w:val="right"/>
      </w:pPr>
    </w:p>
    <w:p w14:paraId="7E53A840" w14:textId="77777777" w:rsidR="00094BB4" w:rsidRDefault="00094BB4" w:rsidP="00094BB4">
      <w:pPr>
        <w:jc w:val="right"/>
      </w:pPr>
    </w:p>
    <w:p w14:paraId="6A6A9F00" w14:textId="77777777" w:rsidR="00094BB4" w:rsidRDefault="00094BB4" w:rsidP="00094BB4">
      <w:pPr>
        <w:jc w:val="right"/>
      </w:pPr>
    </w:p>
    <w:p w14:paraId="1762B7AB" w14:textId="77777777" w:rsidR="00094BB4" w:rsidRDefault="00094BB4" w:rsidP="00094BB4">
      <w:pPr>
        <w:jc w:val="right"/>
      </w:pPr>
    </w:p>
    <w:p w14:paraId="412CC77B" w14:textId="77777777" w:rsidR="00094BB4" w:rsidRDefault="00094BB4" w:rsidP="00094BB4">
      <w:pPr>
        <w:jc w:val="right"/>
      </w:pPr>
    </w:p>
    <w:p w14:paraId="6DED818A" w14:textId="77777777" w:rsidR="00094BB4" w:rsidRDefault="00094BB4" w:rsidP="00094BB4">
      <w:pPr>
        <w:jc w:val="right"/>
      </w:pPr>
    </w:p>
    <w:p w14:paraId="4B8F6C64" w14:textId="77777777" w:rsidR="00094BB4" w:rsidRDefault="00094BB4" w:rsidP="00094BB4">
      <w:pPr>
        <w:jc w:val="right"/>
      </w:pPr>
    </w:p>
    <w:p w14:paraId="583E0979" w14:textId="77777777" w:rsidR="00094BB4" w:rsidRDefault="00094BB4" w:rsidP="00094BB4">
      <w:pPr>
        <w:jc w:val="right"/>
      </w:pPr>
    </w:p>
    <w:p w14:paraId="5EFE5C4B" w14:textId="77777777" w:rsidR="00094BB4" w:rsidRDefault="00094BB4" w:rsidP="00094BB4">
      <w:pPr>
        <w:jc w:val="right"/>
      </w:pPr>
    </w:p>
    <w:p w14:paraId="5F279451" w14:textId="77777777" w:rsidR="00094BB4" w:rsidRDefault="00094BB4" w:rsidP="00094BB4">
      <w:pPr>
        <w:jc w:val="right"/>
      </w:pPr>
    </w:p>
    <w:p w14:paraId="0C71D6EC" w14:textId="77777777" w:rsidR="00094BB4" w:rsidRDefault="00094BB4" w:rsidP="00094BB4">
      <w:pPr>
        <w:jc w:val="right"/>
      </w:pPr>
    </w:p>
    <w:p w14:paraId="064EDA01" w14:textId="77777777" w:rsidR="00094BB4" w:rsidRDefault="00094BB4" w:rsidP="00094BB4">
      <w:pPr>
        <w:jc w:val="right"/>
      </w:pPr>
    </w:p>
    <w:p w14:paraId="6F408E5F" w14:textId="77777777" w:rsidR="00953497" w:rsidRDefault="00953497" w:rsidP="00094BB4">
      <w:pPr>
        <w:jc w:val="right"/>
      </w:pPr>
    </w:p>
    <w:p w14:paraId="73F062D9" w14:textId="77777777" w:rsidR="00953497" w:rsidRDefault="00953497" w:rsidP="00094BB4">
      <w:pPr>
        <w:jc w:val="right"/>
      </w:pPr>
    </w:p>
    <w:p w14:paraId="580829A3" w14:textId="77777777" w:rsidR="00953497" w:rsidRDefault="00953497" w:rsidP="00094BB4">
      <w:pPr>
        <w:jc w:val="right"/>
      </w:pPr>
    </w:p>
    <w:p w14:paraId="3D26F75E" w14:textId="77777777" w:rsidR="00953497" w:rsidRDefault="00953497" w:rsidP="00094BB4">
      <w:pPr>
        <w:jc w:val="right"/>
      </w:pPr>
    </w:p>
    <w:p w14:paraId="05965002" w14:textId="77777777" w:rsidR="00953497" w:rsidRDefault="00953497" w:rsidP="00094BB4">
      <w:pPr>
        <w:jc w:val="right"/>
      </w:pPr>
    </w:p>
    <w:p w14:paraId="67361FD4" w14:textId="77777777" w:rsidR="00953497" w:rsidRDefault="00953497" w:rsidP="00094BB4">
      <w:pPr>
        <w:jc w:val="right"/>
      </w:pPr>
    </w:p>
    <w:p w14:paraId="3EF25E46" w14:textId="77777777" w:rsidR="00953497" w:rsidRDefault="00953497" w:rsidP="00094BB4">
      <w:pPr>
        <w:jc w:val="right"/>
      </w:pPr>
    </w:p>
    <w:p w14:paraId="68588449" w14:textId="77777777" w:rsidR="00953497" w:rsidRDefault="00953497" w:rsidP="00094BB4">
      <w:pPr>
        <w:jc w:val="right"/>
      </w:pPr>
    </w:p>
    <w:p w14:paraId="4265EAC7" w14:textId="77777777" w:rsidR="00953497" w:rsidRDefault="00953497" w:rsidP="00094BB4">
      <w:pPr>
        <w:jc w:val="right"/>
      </w:pPr>
    </w:p>
    <w:p w14:paraId="4423688F" w14:textId="77777777" w:rsidR="00953497" w:rsidRDefault="00953497" w:rsidP="00094BB4">
      <w:pPr>
        <w:jc w:val="right"/>
      </w:pPr>
    </w:p>
    <w:p w14:paraId="493084E2" w14:textId="77777777" w:rsidR="00953497" w:rsidRDefault="00953497" w:rsidP="00094BB4">
      <w:pPr>
        <w:jc w:val="right"/>
      </w:pPr>
    </w:p>
    <w:p w14:paraId="2D18E2A8" w14:textId="77777777" w:rsidR="00953497" w:rsidRDefault="00953497" w:rsidP="00094BB4">
      <w:pPr>
        <w:jc w:val="right"/>
      </w:pPr>
    </w:p>
    <w:p w14:paraId="020C5F46" w14:textId="77777777" w:rsidR="00953497" w:rsidRDefault="00953497" w:rsidP="00094BB4">
      <w:pPr>
        <w:jc w:val="right"/>
      </w:pPr>
    </w:p>
    <w:p w14:paraId="035ED3E8" w14:textId="77777777" w:rsidR="00953497" w:rsidRDefault="00953497" w:rsidP="00094BB4">
      <w:pPr>
        <w:jc w:val="right"/>
      </w:pPr>
    </w:p>
    <w:p w14:paraId="1BB165A0" w14:textId="77777777" w:rsidR="00953497" w:rsidRDefault="00953497" w:rsidP="00094BB4">
      <w:pPr>
        <w:jc w:val="right"/>
      </w:pPr>
    </w:p>
    <w:p w14:paraId="7B4E5C7C" w14:textId="77777777" w:rsidR="00953497" w:rsidRDefault="00953497" w:rsidP="00094BB4">
      <w:pPr>
        <w:jc w:val="right"/>
      </w:pPr>
    </w:p>
    <w:p w14:paraId="70CCEC46" w14:textId="77777777" w:rsidR="00953497" w:rsidRDefault="00953497" w:rsidP="00094BB4">
      <w:pPr>
        <w:jc w:val="right"/>
      </w:pPr>
    </w:p>
    <w:p w14:paraId="5E2BEFDF" w14:textId="77777777" w:rsidR="00953497" w:rsidRDefault="00953497" w:rsidP="00094BB4">
      <w:pPr>
        <w:jc w:val="right"/>
      </w:pPr>
    </w:p>
    <w:p w14:paraId="0B0B7791" w14:textId="77777777" w:rsidR="00953497" w:rsidRDefault="00953497" w:rsidP="00094BB4">
      <w:pPr>
        <w:jc w:val="right"/>
      </w:pPr>
    </w:p>
    <w:p w14:paraId="7EC9CE94" w14:textId="77777777" w:rsidR="00953497" w:rsidRDefault="00953497" w:rsidP="00094BB4">
      <w:pPr>
        <w:jc w:val="right"/>
      </w:pPr>
    </w:p>
    <w:p w14:paraId="69E2A1D7" w14:textId="77777777" w:rsidR="00953497" w:rsidRDefault="00953497" w:rsidP="00094BB4">
      <w:pPr>
        <w:jc w:val="right"/>
      </w:pPr>
    </w:p>
    <w:p w14:paraId="608BC382" w14:textId="5B9D573A" w:rsidR="00DA5E04" w:rsidRDefault="001C49E3" w:rsidP="001C49E3">
      <w:pPr>
        <w:jc w:val="right"/>
      </w:pPr>
      <w:r>
        <w:t>E</w:t>
      </w:r>
      <w:r w:rsidR="00575E33">
        <w:t>0</w:t>
      </w:r>
      <w:r w:rsidR="006762B4">
        <w:t>3</w:t>
      </w:r>
      <w:r w:rsidR="00FD7929">
        <w:t>369291</w:t>
      </w:r>
      <w:r w:rsidR="005B1FA8">
        <w:t xml:space="preserve">     </w:t>
      </w:r>
    </w:p>
    <w:p w14:paraId="340894DB" w14:textId="1A37DD43" w:rsidR="00C22A18" w:rsidRPr="00952E25" w:rsidRDefault="00DA5E04" w:rsidP="001C49E3">
      <w:pPr>
        <w:jc w:val="right"/>
        <w:rPr>
          <w:b/>
          <w:bCs/>
        </w:rPr>
      </w:pPr>
      <w:r>
        <w:t>978-1-5286-</w:t>
      </w:r>
      <w:r w:rsidR="002148F0">
        <w:t>5</w:t>
      </w:r>
      <w:r w:rsidR="00FD7929">
        <w:t>755</w:t>
      </w:r>
      <w:r w:rsidR="00575E33">
        <w:t>-</w:t>
      </w:r>
      <w:r w:rsidR="00FD7929">
        <w:t>6</w:t>
      </w:r>
      <w:r w:rsidR="005B1FA8">
        <w:t xml:space="preserve">         </w:t>
      </w:r>
    </w:p>
    <w:sectPr w:rsidR="00C22A18" w:rsidRPr="00952E25" w:rsidSect="00952E25">
      <w:type w:val="continuous"/>
      <w:pgSz w:w="11907" w:h="16840"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CC34" w14:textId="77777777" w:rsidR="00281272" w:rsidRDefault="00281272">
      <w:r>
        <w:separator/>
      </w:r>
    </w:p>
  </w:endnote>
  <w:endnote w:type="continuationSeparator" w:id="0">
    <w:p w14:paraId="27F06E0E" w14:textId="77777777" w:rsidR="00281272" w:rsidRDefault="00281272">
      <w:r>
        <w:continuationSeparator/>
      </w:r>
    </w:p>
  </w:endnote>
  <w:endnote w:type="continuationNotice" w:id="1">
    <w:p w14:paraId="15724E37" w14:textId="77777777" w:rsidR="00281272" w:rsidRDefault="00281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50t00">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Md BT">
    <w:altName w:val="Century Gothic"/>
    <w:charset w:val="00"/>
    <w:family w:val="swiss"/>
    <w:pitch w:val="variable"/>
    <w:sig w:usb0="800000AF" w:usb1="1000204A" w:usb2="00000000" w:usb3="00000000" w:csb0="00000011" w:csb1="00000000"/>
  </w:font>
  <w:font w:name="Futura Bk BT">
    <w:altName w:val="Century Gothic"/>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BT-LightCondensed">
    <w:panose1 w:val="00000000000000000000"/>
    <w:charset w:val="00"/>
    <w:family w:val="swiss"/>
    <w:notTrueType/>
    <w:pitch w:val="default"/>
    <w:sig w:usb0="00000003" w:usb1="00000000" w:usb2="00000000" w:usb3="00000000" w:csb0="00000001" w:csb1="00000000"/>
  </w:font>
  <w:font w:name="ZurichBT-BoldCondensed">
    <w:panose1 w:val="00000000000000000000"/>
    <w:charset w:val="00"/>
    <w:family w:val="swiss"/>
    <w:notTrueType/>
    <w:pitch w:val="default"/>
    <w:sig w:usb0="00000003" w:usb1="00000000" w:usb2="00000000" w:usb3="00000000" w:csb0="00000001" w:csb1="00000000"/>
  </w:font>
  <w:font w:name="VGOJM V+ Zurich BT">
    <w:altName w:val="Zurich"/>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etaPlusNormal-Roman">
    <w:panose1 w:val="00000000000000000000"/>
    <w:charset w:val="00"/>
    <w:family w:val="auto"/>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Bold">
    <w:panose1 w:val="00000000000000000000"/>
    <w:charset w:val="00"/>
    <w:family w:val="auto"/>
    <w:notTrueType/>
    <w:pitch w:val="default"/>
    <w:sig w:usb0="00000003" w:usb1="00000000" w:usb2="00000000" w:usb3="00000000" w:csb0="00000001" w:csb1="00000000"/>
  </w:font>
  <w:font w:name="Univers-Light">
    <w:altName w:val="MS Gothic"/>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5349" w14:textId="77777777" w:rsidR="002667DD" w:rsidRDefault="002667DD" w:rsidP="001958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30F4E79E" w14:textId="77777777" w:rsidR="002667DD" w:rsidRDefault="002667DD" w:rsidP="001958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3452" w14:textId="77777777" w:rsidR="002667DD" w:rsidRDefault="002667DD" w:rsidP="001958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99EF" w14:textId="77777777" w:rsidR="002667DD" w:rsidRDefault="002667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C98F" w14:textId="77777777" w:rsidR="00B208B5" w:rsidRDefault="00B208B5" w:rsidP="00F244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7AE63FD3" w14:textId="77777777" w:rsidR="00B208B5" w:rsidRDefault="00B208B5" w:rsidP="00F244A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6A78" w14:textId="0B7529A2" w:rsidR="00B208B5" w:rsidRDefault="00B208B5" w:rsidP="00F244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2ACA">
      <w:rPr>
        <w:rStyle w:val="PageNumber"/>
        <w:noProof/>
      </w:rPr>
      <w:t>34</w:t>
    </w:r>
    <w:r>
      <w:rPr>
        <w:rStyle w:val="PageNumber"/>
      </w:rPr>
      <w:fldChar w:fldCharType="end"/>
    </w:r>
  </w:p>
  <w:p w14:paraId="3099386A" w14:textId="77777777" w:rsidR="00B208B5" w:rsidRDefault="00B208B5" w:rsidP="00F244A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263705"/>
      <w:docPartObj>
        <w:docPartGallery w:val="Page Numbers (Bottom of Page)"/>
        <w:docPartUnique/>
      </w:docPartObj>
    </w:sdtPr>
    <w:sdtEndPr>
      <w:rPr>
        <w:noProof/>
      </w:rPr>
    </w:sdtEndPr>
    <w:sdtContent>
      <w:p w14:paraId="238E1C2E" w14:textId="3469A48B" w:rsidR="00C87C4B" w:rsidRDefault="00C87C4B">
        <w:pPr>
          <w:pStyle w:val="Footer"/>
          <w:jc w:val="right"/>
        </w:pPr>
        <w:r>
          <w:fldChar w:fldCharType="begin"/>
        </w:r>
        <w:r>
          <w:instrText xml:space="preserve"> PAGE   \* MERGEFORMAT </w:instrText>
        </w:r>
        <w:r>
          <w:fldChar w:fldCharType="separate"/>
        </w:r>
        <w:r w:rsidR="00CD2ACA">
          <w:rPr>
            <w:noProof/>
          </w:rPr>
          <w:t>58</w:t>
        </w:r>
        <w:r>
          <w:rPr>
            <w:noProof/>
          </w:rPr>
          <w:fldChar w:fldCharType="end"/>
        </w:r>
      </w:p>
    </w:sdtContent>
  </w:sdt>
  <w:p w14:paraId="6872480D" w14:textId="77777777" w:rsidR="00B208B5" w:rsidRDefault="00B208B5" w:rsidP="00F244A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EC51" w14:textId="77777777" w:rsidR="00952E25" w:rsidRDefault="00952E25" w:rsidP="00F244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A26C" w14:textId="77777777" w:rsidR="00281272" w:rsidRDefault="00281272">
      <w:r>
        <w:separator/>
      </w:r>
    </w:p>
  </w:footnote>
  <w:footnote w:type="continuationSeparator" w:id="0">
    <w:p w14:paraId="47634F44" w14:textId="77777777" w:rsidR="00281272" w:rsidRDefault="00281272">
      <w:r>
        <w:continuationSeparator/>
      </w:r>
    </w:p>
  </w:footnote>
  <w:footnote w:type="continuationNotice" w:id="1">
    <w:p w14:paraId="2E7061D9" w14:textId="77777777" w:rsidR="00281272" w:rsidRDefault="00281272"/>
  </w:footnote>
  <w:footnote w:id="2">
    <w:p w14:paraId="1E31891E" w14:textId="162F7C8B" w:rsidR="002667DD" w:rsidRPr="00E16EF2" w:rsidRDefault="002667DD" w:rsidP="002667DD">
      <w:pPr>
        <w:pStyle w:val="FootnoteText"/>
        <w:rPr>
          <w:rFonts w:ascii="Verdana" w:hAnsi="Verdana"/>
          <w:color w:val="7030A0"/>
          <w:sz w:val="16"/>
          <w:szCs w:val="16"/>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w:t>
      </w:r>
      <w:hyperlink r:id="rId1" w:history="1">
        <w:r w:rsidR="004A0C64">
          <w:rPr>
            <w:rStyle w:val="Hyperlink"/>
            <w:rFonts w:ascii="Verdana" w:hAnsi="Verdana"/>
            <w:color w:val="7030A0"/>
            <w:sz w:val="16"/>
            <w:szCs w:val="16"/>
          </w:rPr>
          <w:t>Publication - Annual Statement 2024 | Northern Ireland Human Rights Commission (nihrc.org)</w:t>
        </w:r>
      </w:hyperlink>
    </w:p>
  </w:footnote>
  <w:footnote w:id="3">
    <w:p w14:paraId="0DF0EF14" w14:textId="77777777" w:rsidR="00647FE7" w:rsidRPr="00C557FC" w:rsidRDefault="00647FE7" w:rsidP="00647FE7">
      <w:pPr>
        <w:pStyle w:val="FootnoteText"/>
        <w:rPr>
          <w:rFonts w:ascii="Verdana" w:hAnsi="Verdana"/>
          <w:color w:val="7030A0"/>
          <w:sz w:val="16"/>
          <w:szCs w:val="16"/>
        </w:rPr>
      </w:pPr>
      <w:r w:rsidRPr="00C557FC">
        <w:rPr>
          <w:rStyle w:val="FootnoteReference"/>
          <w:rFonts w:ascii="Verdana" w:hAnsi="Verdana"/>
          <w:color w:val="7030A0"/>
          <w:sz w:val="16"/>
          <w:szCs w:val="16"/>
        </w:rPr>
        <w:footnoteRef/>
      </w:r>
      <w:r w:rsidRPr="00C557FC">
        <w:rPr>
          <w:rFonts w:ascii="Verdana" w:hAnsi="Verdana"/>
          <w:color w:val="7030A0"/>
          <w:sz w:val="16"/>
          <w:szCs w:val="16"/>
        </w:rPr>
        <w:t xml:space="preserve"> Re JR123 [2025] UKSC 8. </w:t>
      </w:r>
    </w:p>
  </w:footnote>
  <w:footnote w:id="4">
    <w:p w14:paraId="6F1093E6" w14:textId="77777777" w:rsidR="00647FE7" w:rsidRPr="00C557FC" w:rsidRDefault="00647FE7" w:rsidP="00647FE7">
      <w:pPr>
        <w:pStyle w:val="FootnoteText"/>
        <w:rPr>
          <w:rFonts w:ascii="Verdana" w:hAnsi="Verdana"/>
          <w:color w:val="7030A0"/>
          <w:sz w:val="16"/>
          <w:szCs w:val="16"/>
        </w:rPr>
      </w:pPr>
      <w:r w:rsidRPr="00C557FC">
        <w:rPr>
          <w:rStyle w:val="FootnoteReference"/>
          <w:rFonts w:ascii="Verdana" w:hAnsi="Verdana"/>
          <w:color w:val="7030A0"/>
          <w:sz w:val="16"/>
          <w:szCs w:val="16"/>
        </w:rPr>
        <w:footnoteRef/>
      </w:r>
      <w:r w:rsidRPr="00C557FC">
        <w:rPr>
          <w:rFonts w:ascii="Verdana" w:hAnsi="Verdana"/>
          <w:color w:val="7030A0"/>
          <w:sz w:val="16"/>
          <w:szCs w:val="16"/>
        </w:rPr>
        <w:t xml:space="preserve"> Re NIHRC [2024] NIKB 35</w:t>
      </w:r>
    </w:p>
  </w:footnote>
  <w:footnote w:id="5">
    <w:p w14:paraId="6A06E340" w14:textId="77777777" w:rsidR="00647FE7" w:rsidRPr="00C557FC" w:rsidRDefault="00647FE7" w:rsidP="00647FE7">
      <w:pPr>
        <w:pStyle w:val="FootnoteText"/>
        <w:rPr>
          <w:rFonts w:ascii="Verdana" w:hAnsi="Verdana"/>
          <w:color w:val="7030A0"/>
          <w:sz w:val="16"/>
          <w:szCs w:val="16"/>
        </w:rPr>
      </w:pPr>
      <w:r w:rsidRPr="00C557FC">
        <w:rPr>
          <w:rStyle w:val="FootnoteReference"/>
          <w:rFonts w:ascii="Verdana" w:hAnsi="Verdana"/>
          <w:color w:val="7030A0"/>
          <w:sz w:val="16"/>
          <w:szCs w:val="16"/>
        </w:rPr>
        <w:footnoteRef/>
      </w:r>
      <w:r w:rsidRPr="00C557FC">
        <w:rPr>
          <w:rFonts w:ascii="Verdana" w:hAnsi="Verdana"/>
          <w:color w:val="7030A0"/>
          <w:sz w:val="16"/>
          <w:szCs w:val="16"/>
        </w:rPr>
        <w:t xml:space="preserve"> Re Dillon and Others [2024] NICA 59, at [112]. </w:t>
      </w:r>
    </w:p>
  </w:footnote>
  <w:footnote w:id="6">
    <w:p w14:paraId="6F384564" w14:textId="3C9981FB" w:rsidR="00AD3E24" w:rsidRPr="00AD3E24" w:rsidRDefault="00AD3E24">
      <w:pPr>
        <w:pStyle w:val="FootnoteText"/>
        <w:rPr>
          <w:rFonts w:ascii="Verdana" w:hAnsi="Verdana"/>
          <w:color w:val="7030A0"/>
          <w:sz w:val="16"/>
          <w:szCs w:val="16"/>
        </w:rPr>
      </w:pPr>
      <w:r w:rsidRPr="00AD3E24">
        <w:rPr>
          <w:rStyle w:val="FootnoteReference"/>
          <w:rFonts w:ascii="Verdana" w:hAnsi="Verdana"/>
          <w:color w:val="7030A0"/>
          <w:sz w:val="16"/>
          <w:szCs w:val="16"/>
        </w:rPr>
        <w:footnoteRef/>
      </w:r>
      <w:r w:rsidRPr="00AD3E24">
        <w:rPr>
          <w:rFonts w:ascii="Verdana" w:hAnsi="Verdana"/>
          <w:color w:val="7030A0"/>
          <w:sz w:val="16"/>
          <w:szCs w:val="16"/>
        </w:rPr>
        <w:t xml:space="preserve"> The figure quoted is for the period 1 September 2024 to 31 March 2025.  The full year equivalent is </w:t>
      </w:r>
      <w:r w:rsidR="001F4292">
        <w:rPr>
          <w:rFonts w:ascii="Verdana" w:hAnsi="Verdana"/>
          <w:color w:val="7030A0"/>
          <w:sz w:val="16"/>
          <w:szCs w:val="16"/>
        </w:rPr>
        <w:t>£</w:t>
      </w:r>
      <w:r w:rsidRPr="00AD3E24">
        <w:rPr>
          <w:rFonts w:ascii="Verdana" w:hAnsi="Verdana"/>
          <w:color w:val="7030A0"/>
          <w:sz w:val="16"/>
          <w:szCs w:val="16"/>
        </w:rPr>
        <w:t>5-10k.</w:t>
      </w:r>
    </w:p>
  </w:footnote>
  <w:footnote w:id="7">
    <w:p w14:paraId="6D3C59AD" w14:textId="77777777" w:rsidR="00130B8A" w:rsidRPr="00186220" w:rsidRDefault="00130B8A" w:rsidP="00130B8A">
      <w:pPr>
        <w:pStyle w:val="FootnoteText"/>
        <w:rPr>
          <w:rFonts w:ascii="Verdana" w:hAnsi="Verdana"/>
          <w:sz w:val="16"/>
          <w:szCs w:val="16"/>
        </w:rPr>
      </w:pPr>
      <w:r w:rsidRPr="00186220">
        <w:rPr>
          <w:rStyle w:val="FootnoteReference"/>
          <w:rFonts w:ascii="Verdana" w:hAnsi="Verdana"/>
          <w:color w:val="7030A0"/>
          <w:sz w:val="16"/>
          <w:szCs w:val="16"/>
        </w:rPr>
        <w:footnoteRef/>
      </w:r>
      <w:r w:rsidRPr="00186220">
        <w:rPr>
          <w:rFonts w:ascii="Verdana" w:hAnsi="Verdana"/>
          <w:color w:val="7030A0"/>
          <w:sz w:val="16"/>
          <w:szCs w:val="16"/>
        </w:rPr>
        <w:t xml:space="preserve"> The figure quoted is for the period 1 April 2023 to 31 August 2023.  The full year equivalent i</w:t>
      </w:r>
      <w:r>
        <w:rPr>
          <w:rFonts w:ascii="Verdana" w:hAnsi="Verdana"/>
          <w:color w:val="7030A0"/>
          <w:sz w:val="16"/>
          <w:szCs w:val="16"/>
        </w:rPr>
        <w:t>s</w:t>
      </w:r>
      <w:r w:rsidRPr="00186220">
        <w:rPr>
          <w:rFonts w:ascii="Verdana" w:hAnsi="Verdana"/>
          <w:color w:val="7030A0"/>
          <w:sz w:val="16"/>
          <w:szCs w:val="16"/>
        </w:rPr>
        <w:t xml:space="preserve"> £5-£10k.</w:t>
      </w:r>
    </w:p>
  </w:footnote>
  <w:footnote w:id="8">
    <w:p w14:paraId="12F44AC3" w14:textId="37B4DEDB" w:rsidR="000E0884" w:rsidRPr="000E0884" w:rsidRDefault="000E0884">
      <w:pPr>
        <w:pStyle w:val="FootnoteText"/>
        <w:rPr>
          <w:rFonts w:ascii="Verdana" w:hAnsi="Verdana"/>
          <w:color w:val="7030A0"/>
          <w:sz w:val="16"/>
          <w:szCs w:val="16"/>
        </w:rPr>
      </w:pPr>
      <w:r w:rsidRPr="000E0884">
        <w:rPr>
          <w:rStyle w:val="FootnoteReference"/>
          <w:rFonts w:ascii="Verdana" w:hAnsi="Verdana"/>
          <w:color w:val="7030A0"/>
          <w:sz w:val="16"/>
          <w:szCs w:val="16"/>
        </w:rPr>
        <w:footnoteRef/>
      </w:r>
      <w:r w:rsidRPr="000E0884">
        <w:rPr>
          <w:rFonts w:ascii="Verdana" w:hAnsi="Verdana"/>
          <w:color w:val="7030A0"/>
          <w:sz w:val="16"/>
          <w:szCs w:val="16"/>
        </w:rPr>
        <w:t xml:space="preserve"> Charges a fee, which is processed </w:t>
      </w:r>
      <w:r w:rsidR="00582E77">
        <w:rPr>
          <w:rFonts w:ascii="Verdana" w:hAnsi="Verdana"/>
          <w:color w:val="7030A0"/>
          <w:sz w:val="16"/>
          <w:szCs w:val="16"/>
        </w:rPr>
        <w:t xml:space="preserve">in </w:t>
      </w:r>
      <w:r w:rsidRPr="000E0884">
        <w:rPr>
          <w:rFonts w:ascii="Verdana" w:hAnsi="Verdana"/>
          <w:color w:val="7030A0"/>
          <w:sz w:val="16"/>
          <w:szCs w:val="16"/>
        </w:rPr>
        <w:t>the Commission’s payroll.</w:t>
      </w:r>
    </w:p>
  </w:footnote>
  <w:footnote w:id="9">
    <w:p w14:paraId="3C4EF2B8" w14:textId="2E25D971" w:rsidR="00582E77" w:rsidRPr="00582E77" w:rsidRDefault="00582E77">
      <w:pPr>
        <w:pStyle w:val="FootnoteText"/>
        <w:rPr>
          <w:rFonts w:ascii="Verdana" w:hAnsi="Verdana"/>
          <w:color w:val="7030A0"/>
          <w:sz w:val="16"/>
          <w:szCs w:val="16"/>
        </w:rPr>
      </w:pPr>
      <w:r w:rsidRPr="00582E77">
        <w:rPr>
          <w:rStyle w:val="FootnoteReference"/>
          <w:rFonts w:ascii="Verdana" w:hAnsi="Verdana"/>
          <w:color w:val="7030A0"/>
          <w:sz w:val="16"/>
          <w:szCs w:val="16"/>
        </w:rPr>
        <w:footnoteRef/>
      </w:r>
      <w:r w:rsidRPr="00582E77">
        <w:rPr>
          <w:rFonts w:ascii="Verdana" w:hAnsi="Verdana"/>
          <w:color w:val="7030A0"/>
          <w:sz w:val="16"/>
          <w:szCs w:val="16"/>
        </w:rPr>
        <w:t xml:space="preserve"> Charges a fee, which is processed in the Commission’s payroll.</w:t>
      </w:r>
    </w:p>
  </w:footnote>
  <w:footnote w:id="10">
    <w:p w14:paraId="69DF7AFE" w14:textId="628E3212" w:rsidR="00AD3E24" w:rsidRPr="00130B8A" w:rsidRDefault="00AD3E24">
      <w:pPr>
        <w:pStyle w:val="FootnoteText"/>
        <w:rPr>
          <w:rFonts w:ascii="Verdana" w:hAnsi="Verdana"/>
          <w:color w:val="7030A0"/>
          <w:sz w:val="16"/>
          <w:szCs w:val="16"/>
        </w:rPr>
      </w:pPr>
      <w:r w:rsidRPr="00130B8A">
        <w:rPr>
          <w:rStyle w:val="FootnoteReference"/>
          <w:rFonts w:ascii="Verdana" w:hAnsi="Verdana"/>
          <w:color w:val="7030A0"/>
          <w:sz w:val="16"/>
          <w:szCs w:val="16"/>
        </w:rPr>
        <w:footnoteRef/>
      </w:r>
      <w:r w:rsidRPr="00130B8A">
        <w:rPr>
          <w:rFonts w:ascii="Verdana" w:hAnsi="Verdana"/>
          <w:color w:val="7030A0"/>
          <w:sz w:val="16"/>
          <w:szCs w:val="16"/>
        </w:rPr>
        <w:t xml:space="preserve"> The figure quoted was a result of </w:t>
      </w:r>
      <w:r w:rsidR="00130B8A" w:rsidRPr="00130B8A">
        <w:rPr>
          <w:rFonts w:ascii="Verdana" w:hAnsi="Verdana"/>
          <w:color w:val="7030A0"/>
          <w:sz w:val="16"/>
          <w:szCs w:val="16"/>
        </w:rPr>
        <w:t>long-term</w:t>
      </w:r>
      <w:r w:rsidRPr="00130B8A">
        <w:rPr>
          <w:rFonts w:ascii="Verdana" w:hAnsi="Verdana"/>
          <w:color w:val="7030A0"/>
          <w:sz w:val="16"/>
          <w:szCs w:val="16"/>
        </w:rPr>
        <w:t xml:space="preserve"> absence.  The full year equivalent is </w:t>
      </w:r>
      <w:r w:rsidR="00130B8A" w:rsidRPr="00130B8A">
        <w:rPr>
          <w:rFonts w:ascii="Verdana" w:hAnsi="Verdana"/>
          <w:color w:val="7030A0"/>
          <w:sz w:val="16"/>
          <w:szCs w:val="16"/>
        </w:rPr>
        <w:t>70-75k.</w:t>
      </w:r>
    </w:p>
  </w:footnote>
  <w:footnote w:id="11">
    <w:p w14:paraId="6DA171F6" w14:textId="77777777" w:rsidR="00BB5503" w:rsidRPr="00BB5503" w:rsidRDefault="00D16421" w:rsidP="00BB5503">
      <w:pPr>
        <w:pBdr>
          <w:top w:val="nil"/>
          <w:left w:val="nil"/>
          <w:bottom w:val="nil"/>
          <w:right w:val="nil"/>
          <w:between w:val="nil"/>
        </w:pBdr>
        <w:ind w:hanging="2"/>
        <w:rPr>
          <w:color w:val="7030A0"/>
          <w:sz w:val="16"/>
          <w:szCs w:val="16"/>
        </w:rPr>
      </w:pPr>
      <w:r w:rsidRPr="00BB5503">
        <w:rPr>
          <w:rStyle w:val="FootnoteReference"/>
          <w:color w:val="7030A0"/>
          <w:sz w:val="16"/>
          <w:szCs w:val="16"/>
        </w:rPr>
        <w:footnoteRef/>
      </w:r>
      <w:r w:rsidRPr="00BB5503">
        <w:rPr>
          <w:color w:val="7030A0"/>
          <w:sz w:val="16"/>
          <w:szCs w:val="16"/>
        </w:rPr>
        <w:t xml:space="preserve"> </w:t>
      </w:r>
      <w:hyperlink r:id="rId2">
        <w:r w:rsidR="00BB5503" w:rsidRPr="00BB5503">
          <w:rPr>
            <w:rFonts w:ascii="Arial" w:eastAsia="Arial" w:hAnsi="Arial" w:cs="Arial"/>
            <w:color w:val="7030A0"/>
            <w:sz w:val="16"/>
            <w:szCs w:val="16"/>
            <w:u w:val="single"/>
          </w:rPr>
          <w:t>www.gov.uk/government/collections/how-the-public-service-pension-remedy-affects-your-pension</w:t>
        </w:r>
      </w:hyperlink>
    </w:p>
    <w:p w14:paraId="659DD0A4" w14:textId="77777777" w:rsidR="00BB5503" w:rsidRDefault="00BB5503" w:rsidP="00BB5503">
      <w:pPr>
        <w:pBdr>
          <w:top w:val="nil"/>
          <w:left w:val="nil"/>
          <w:bottom w:val="nil"/>
          <w:right w:val="nil"/>
          <w:between w:val="nil"/>
        </w:pBdr>
        <w:ind w:hanging="2"/>
        <w:rPr>
          <w:rFonts w:ascii="Arial" w:eastAsia="Arial" w:hAnsi="Arial" w:cs="Arial"/>
        </w:rPr>
      </w:pPr>
    </w:p>
    <w:p w14:paraId="6FDE8F03" w14:textId="725A2188" w:rsidR="00D16421" w:rsidRDefault="00D16421" w:rsidP="00BB5503"/>
  </w:footnote>
  <w:footnote w:id="12">
    <w:p w14:paraId="3DB6B55A" w14:textId="0B7AF297" w:rsidR="00B208B5" w:rsidRPr="00E16EF2" w:rsidRDefault="00B208B5">
      <w:pPr>
        <w:pStyle w:val="FootnoteText"/>
        <w:rPr>
          <w:rFonts w:ascii="Verdana" w:hAnsi="Verdana"/>
          <w:sz w:val="16"/>
          <w:szCs w:val="16"/>
          <w:lang w:val="en-US"/>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Includes staff costs for Dedicated Mechanism staff of £</w:t>
      </w:r>
      <w:r w:rsidR="00382803">
        <w:rPr>
          <w:rFonts w:ascii="Verdana" w:hAnsi="Verdana"/>
          <w:color w:val="7030A0"/>
          <w:sz w:val="16"/>
          <w:szCs w:val="16"/>
        </w:rPr>
        <w:t>507,176</w:t>
      </w:r>
    </w:p>
  </w:footnote>
  <w:footnote w:id="13">
    <w:p w14:paraId="497DF29E" w14:textId="3384D694" w:rsidR="00382803" w:rsidRPr="00382803" w:rsidRDefault="00382803">
      <w:pPr>
        <w:pStyle w:val="FootnoteText"/>
        <w:rPr>
          <w:rFonts w:ascii="Verdana" w:hAnsi="Verdana"/>
          <w:color w:val="7030A0"/>
          <w:sz w:val="16"/>
          <w:szCs w:val="16"/>
        </w:rPr>
      </w:pPr>
      <w:r w:rsidRPr="00382803">
        <w:rPr>
          <w:rStyle w:val="FootnoteReference"/>
          <w:rFonts w:ascii="Verdana" w:hAnsi="Verdana"/>
          <w:color w:val="7030A0"/>
          <w:sz w:val="16"/>
          <w:szCs w:val="16"/>
        </w:rPr>
        <w:footnoteRef/>
      </w:r>
      <w:r w:rsidRPr="00382803">
        <w:rPr>
          <w:rFonts w:ascii="Verdana" w:hAnsi="Verdana"/>
          <w:color w:val="7030A0"/>
          <w:sz w:val="16"/>
          <w:szCs w:val="16"/>
        </w:rPr>
        <w:t xml:space="preserve"> Includes staff costs for Dedicated Mechanism staff of £3,</w:t>
      </w:r>
      <w:r w:rsidR="00744E70">
        <w:rPr>
          <w:rFonts w:ascii="Verdana" w:hAnsi="Verdana"/>
          <w:color w:val="7030A0"/>
          <w:sz w:val="16"/>
          <w:szCs w:val="16"/>
        </w:rPr>
        <w:t>318</w:t>
      </w:r>
    </w:p>
  </w:footnote>
  <w:footnote w:id="14">
    <w:p w14:paraId="255804F4" w14:textId="7F0AF788" w:rsidR="00B208B5" w:rsidRPr="008215DC" w:rsidRDefault="00B208B5">
      <w:pPr>
        <w:pStyle w:val="FootnoteText"/>
        <w:rPr>
          <w:lang w:val="en-US"/>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w:t>
      </w:r>
      <w:r w:rsidRPr="00E16EF2">
        <w:rPr>
          <w:rFonts w:ascii="Verdana" w:hAnsi="Verdana"/>
          <w:color w:val="7030A0"/>
          <w:sz w:val="16"/>
          <w:szCs w:val="16"/>
          <w:lang w:val="en-US"/>
        </w:rPr>
        <w:t>Includes pension costs for Dedicated Mechanism staff of £</w:t>
      </w:r>
      <w:r w:rsidR="00677246">
        <w:rPr>
          <w:rFonts w:ascii="Verdana" w:hAnsi="Verdana"/>
          <w:color w:val="7030A0"/>
          <w:sz w:val="16"/>
          <w:szCs w:val="16"/>
          <w:lang w:val="en-US"/>
        </w:rPr>
        <w:t>9</w:t>
      </w:r>
      <w:r w:rsidR="00744E70">
        <w:rPr>
          <w:rFonts w:ascii="Verdana" w:hAnsi="Verdana"/>
          <w:color w:val="7030A0"/>
          <w:sz w:val="16"/>
          <w:szCs w:val="16"/>
          <w:lang w:val="en-US"/>
        </w:rPr>
        <w:t>8,879</w:t>
      </w:r>
    </w:p>
  </w:footnote>
  <w:footnote w:id="15">
    <w:p w14:paraId="3CC2D484" w14:textId="5381A0CD" w:rsidR="00B208B5" w:rsidRPr="009824E9" w:rsidRDefault="00B208B5">
      <w:pPr>
        <w:pStyle w:val="FootnoteText"/>
        <w:rPr>
          <w:rFonts w:ascii="Verdana" w:hAnsi="Verdana"/>
          <w:color w:val="7030A0"/>
          <w:sz w:val="16"/>
          <w:szCs w:val="16"/>
        </w:rPr>
      </w:pPr>
      <w:r w:rsidRPr="009824E9">
        <w:rPr>
          <w:rStyle w:val="FootnoteReference"/>
          <w:rFonts w:ascii="Verdana" w:hAnsi="Verdana"/>
          <w:color w:val="7030A0"/>
          <w:sz w:val="16"/>
          <w:szCs w:val="16"/>
        </w:rPr>
        <w:footnoteRef/>
      </w:r>
      <w:r w:rsidRPr="009824E9">
        <w:rPr>
          <w:rFonts w:ascii="Verdana" w:hAnsi="Verdana"/>
          <w:color w:val="7030A0"/>
          <w:sz w:val="16"/>
          <w:szCs w:val="16"/>
        </w:rPr>
        <w:t xml:space="preserve"> Average number of persons employed can be found in the staff report on page </w:t>
      </w:r>
      <w:r w:rsidR="00F5109B">
        <w:rPr>
          <w:rFonts w:ascii="Verdana" w:hAnsi="Verdana"/>
          <w:color w:val="7030A0"/>
          <w:sz w:val="16"/>
          <w:szCs w:val="16"/>
        </w:rPr>
        <w:t>61</w:t>
      </w:r>
    </w:p>
  </w:footnote>
  <w:footnote w:id="16">
    <w:p w14:paraId="12FF7386" w14:textId="77777777" w:rsidR="00DC4563" w:rsidRPr="00E16EF2" w:rsidRDefault="00DC4563">
      <w:pPr>
        <w:pStyle w:val="FootnoteText"/>
        <w:rPr>
          <w:rFonts w:ascii="Verdana" w:hAnsi="Verdana"/>
          <w:sz w:val="16"/>
          <w:szCs w:val="16"/>
          <w:lang w:val="en-US"/>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Includes staff costs for Dedicated Mechanism staff of £</w:t>
      </w:r>
      <w:r>
        <w:rPr>
          <w:rFonts w:ascii="Verdana" w:hAnsi="Verdana"/>
          <w:color w:val="7030A0"/>
          <w:sz w:val="16"/>
          <w:szCs w:val="16"/>
        </w:rPr>
        <w:t>507,176</w:t>
      </w:r>
    </w:p>
  </w:footnote>
  <w:footnote w:id="17">
    <w:p w14:paraId="3DD72D67" w14:textId="77777777" w:rsidR="00DC4563" w:rsidRPr="00382803" w:rsidRDefault="00DC4563">
      <w:pPr>
        <w:pStyle w:val="FootnoteText"/>
        <w:rPr>
          <w:rFonts w:ascii="Verdana" w:hAnsi="Verdana"/>
          <w:color w:val="7030A0"/>
          <w:sz w:val="16"/>
          <w:szCs w:val="16"/>
        </w:rPr>
      </w:pPr>
      <w:r w:rsidRPr="00382803">
        <w:rPr>
          <w:rStyle w:val="FootnoteReference"/>
          <w:rFonts w:ascii="Verdana" w:hAnsi="Verdana"/>
          <w:color w:val="7030A0"/>
          <w:sz w:val="16"/>
          <w:szCs w:val="16"/>
        </w:rPr>
        <w:footnoteRef/>
      </w:r>
      <w:r w:rsidRPr="00382803">
        <w:rPr>
          <w:rFonts w:ascii="Verdana" w:hAnsi="Verdana"/>
          <w:color w:val="7030A0"/>
          <w:sz w:val="16"/>
          <w:szCs w:val="16"/>
        </w:rPr>
        <w:t xml:space="preserve"> Includes staff costs for Dedicated Mechanism staff of £3,</w:t>
      </w:r>
      <w:r>
        <w:rPr>
          <w:rFonts w:ascii="Verdana" w:hAnsi="Verdana"/>
          <w:color w:val="7030A0"/>
          <w:sz w:val="16"/>
          <w:szCs w:val="16"/>
        </w:rPr>
        <w:t>318</w:t>
      </w:r>
    </w:p>
  </w:footnote>
  <w:footnote w:id="18">
    <w:p w14:paraId="543DD7A8" w14:textId="77777777" w:rsidR="00DC4563" w:rsidRPr="007F37CB" w:rsidRDefault="00DC4563" w:rsidP="00DC4563">
      <w:pPr>
        <w:pStyle w:val="FootnoteText"/>
        <w:rPr>
          <w:rFonts w:ascii="Verdana" w:hAnsi="Verdana"/>
          <w:color w:val="7030A0"/>
          <w:sz w:val="16"/>
          <w:szCs w:val="16"/>
        </w:rPr>
      </w:pPr>
      <w:r w:rsidRPr="007F37CB">
        <w:rPr>
          <w:rStyle w:val="FootnoteReference"/>
          <w:rFonts w:ascii="Verdana" w:hAnsi="Verdana"/>
          <w:color w:val="7030A0"/>
          <w:sz w:val="16"/>
          <w:szCs w:val="16"/>
        </w:rPr>
        <w:footnoteRef/>
      </w:r>
      <w:r w:rsidRPr="007F37CB">
        <w:rPr>
          <w:rFonts w:ascii="Verdana" w:hAnsi="Verdana"/>
          <w:color w:val="7030A0"/>
          <w:sz w:val="16"/>
          <w:szCs w:val="16"/>
        </w:rPr>
        <w:t xml:space="preserve"> Includes additional charges of £150 for 2022/23 audit fee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CE67" w14:textId="77777777" w:rsidR="002667DD" w:rsidRDefault="00266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D6B6" w14:textId="77777777" w:rsidR="002667DD" w:rsidRDefault="002667DD" w:rsidP="001958B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00FD" w14:textId="77777777" w:rsidR="002667DD" w:rsidRDefault="002667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85AA" w14:textId="77777777" w:rsidR="00B208B5" w:rsidRDefault="00B208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1F77" w14:textId="77777777" w:rsidR="00B208B5" w:rsidRPr="006278CA" w:rsidRDefault="00B208B5" w:rsidP="00A83BA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74B" w14:textId="77777777" w:rsidR="00B208B5" w:rsidRDefault="00B20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762"/>
    <w:multiLevelType w:val="hybridMultilevel"/>
    <w:tmpl w:val="23C82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74A2A"/>
    <w:multiLevelType w:val="hybridMultilevel"/>
    <w:tmpl w:val="FB6E397A"/>
    <w:lvl w:ilvl="0" w:tplc="488EBFCE">
      <w:start w:val="1"/>
      <w:numFmt w:val="decimal"/>
      <w:lvlText w:val="%1."/>
      <w:lvlJc w:val="left"/>
      <w:pPr>
        <w:ind w:left="720" w:hanging="360"/>
      </w:pPr>
      <w:rPr>
        <w:rFonts w:cs="TT150t0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51F00"/>
    <w:multiLevelType w:val="hybridMultilevel"/>
    <w:tmpl w:val="FF2CE9F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18907DB3"/>
    <w:multiLevelType w:val="hybridMultilevel"/>
    <w:tmpl w:val="215AEBA6"/>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4" w15:restartNumberingAfterBreak="0">
    <w:nsid w:val="22A00AB5"/>
    <w:multiLevelType w:val="hybridMultilevel"/>
    <w:tmpl w:val="12164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A4D06"/>
    <w:multiLevelType w:val="hybridMultilevel"/>
    <w:tmpl w:val="3F9A58E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2661137D"/>
    <w:multiLevelType w:val="hybridMultilevel"/>
    <w:tmpl w:val="D1CC0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91AEC6C">
      <w:start w:val="1"/>
      <w:numFmt w:val="bullet"/>
      <w:lvlText w:val="-"/>
      <w:lvlJc w:val="left"/>
      <w:pPr>
        <w:ind w:left="2160" w:hanging="360"/>
      </w:pPr>
      <w:rPr>
        <w:rFonts w:ascii="Verdana" w:eastAsia="Times New Roman" w:hAnsi="Verdana"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C5AD9"/>
    <w:multiLevelType w:val="hybridMultilevel"/>
    <w:tmpl w:val="6B9EE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35AC0"/>
    <w:multiLevelType w:val="hybridMultilevel"/>
    <w:tmpl w:val="618801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7154B2"/>
    <w:multiLevelType w:val="hybridMultilevel"/>
    <w:tmpl w:val="F5265D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B54F68"/>
    <w:multiLevelType w:val="hybridMultilevel"/>
    <w:tmpl w:val="F8883B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D5B29D4"/>
    <w:multiLevelType w:val="hybridMultilevel"/>
    <w:tmpl w:val="EC02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E159D"/>
    <w:multiLevelType w:val="hybridMultilevel"/>
    <w:tmpl w:val="BF50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D2528"/>
    <w:multiLevelType w:val="hybridMultilevel"/>
    <w:tmpl w:val="2EF4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172DD"/>
    <w:multiLevelType w:val="multilevel"/>
    <w:tmpl w:val="D682DF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B75497E"/>
    <w:multiLevelType w:val="hybridMultilevel"/>
    <w:tmpl w:val="99CC8C9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2A21CF"/>
    <w:multiLevelType w:val="hybridMultilevel"/>
    <w:tmpl w:val="8C16C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C832DC"/>
    <w:multiLevelType w:val="hybridMultilevel"/>
    <w:tmpl w:val="BBDEA8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67F5A"/>
    <w:multiLevelType w:val="hybridMultilevel"/>
    <w:tmpl w:val="E2E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82C62"/>
    <w:multiLevelType w:val="hybridMultilevel"/>
    <w:tmpl w:val="E40658AC"/>
    <w:lvl w:ilvl="0" w:tplc="3F24BA9A">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D75503"/>
    <w:multiLevelType w:val="hybridMultilevel"/>
    <w:tmpl w:val="99CC8C98"/>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02496F"/>
    <w:multiLevelType w:val="hybridMultilevel"/>
    <w:tmpl w:val="EFBE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45319"/>
    <w:multiLevelType w:val="multilevel"/>
    <w:tmpl w:val="69BCE3B6"/>
    <w:name w:val="OBRChapters"/>
    <w:styleLink w:val="OBRChapterNumbers"/>
    <w:lvl w:ilvl="0">
      <w:start w:val="1"/>
      <w:numFmt w:val="decimal"/>
      <w:lvlText w:val="%1"/>
      <w:lvlJc w:val="left"/>
      <w:pPr>
        <w:tabs>
          <w:tab w:val="num" w:pos="794"/>
        </w:tabs>
        <w:ind w:left="794" w:hanging="794"/>
      </w:pPr>
      <w:rPr>
        <w:rFonts w:ascii="Futura Md BT" w:hAnsi="Futura Md BT" w:hint="default"/>
        <w:b/>
        <w:i w:val="0"/>
        <w:color w:val="4F81BD" w:themeColor="accent1"/>
        <w:sz w:val="48"/>
      </w:rPr>
    </w:lvl>
    <w:lvl w:ilvl="1">
      <w:start w:val="1"/>
      <w:numFmt w:val="decimal"/>
      <w:lvlText w:val="%1.%2"/>
      <w:lvlJc w:val="left"/>
      <w:pPr>
        <w:tabs>
          <w:tab w:val="num" w:pos="794"/>
        </w:tabs>
        <w:ind w:left="794" w:hanging="794"/>
      </w:pPr>
      <w:rPr>
        <w:rFonts w:ascii="Futura Bk BT" w:hAnsi="Futura Bk BT" w:hint="default"/>
        <w:b w:val="0"/>
        <w:i w:val="0"/>
        <w:color w:val="4F81BD" w:themeColor="accent1"/>
        <w:sz w:val="22"/>
      </w:rPr>
    </w:lvl>
    <w:lvl w:ilvl="2">
      <w:start w:val="1"/>
      <w:numFmt w:val="decimal"/>
      <w:lvlRestart w:val="1"/>
      <w:suff w:val="space"/>
      <w:lvlText w:val="Chart %1.%3:"/>
      <w:lvlJc w:val="left"/>
      <w:pPr>
        <w:ind w:left="0" w:firstLine="0"/>
      </w:pPr>
      <w:rPr>
        <w:rFonts w:ascii="Futura Bk BT" w:hAnsi="Futura Bk BT" w:hint="default"/>
        <w:b w:val="0"/>
        <w:i w:val="0"/>
        <w:color w:val="4F81BD" w:themeColor="accent1"/>
        <w:sz w:val="26"/>
      </w:rPr>
    </w:lvl>
    <w:lvl w:ilvl="3">
      <w:start w:val="1"/>
      <w:numFmt w:val="decimal"/>
      <w:lvlRestart w:val="1"/>
      <w:suff w:val="space"/>
      <w:lvlText w:val="Table %1.%4:"/>
      <w:lvlJc w:val="left"/>
      <w:pPr>
        <w:ind w:left="0" w:firstLine="0"/>
      </w:pPr>
      <w:rPr>
        <w:rFonts w:ascii="Futura Bk BT" w:hAnsi="Futura Bk BT" w:hint="default"/>
        <w:b w:val="0"/>
        <w:i w:val="0"/>
        <w:color w:val="4F81BD" w:themeColor="accent1"/>
        <w:sz w:val="26"/>
      </w:rPr>
    </w:lvl>
    <w:lvl w:ilvl="4">
      <w:start w:val="1"/>
      <w:numFmt w:val="decimal"/>
      <w:lvlRestart w:val="1"/>
      <w:suff w:val="space"/>
      <w:lvlText w:val="Box %1.%5:"/>
      <w:lvlJc w:val="left"/>
      <w:pPr>
        <w:ind w:left="0" w:firstLine="0"/>
      </w:pPr>
      <w:rPr>
        <w:rFonts w:ascii="Futura Bk BT" w:hAnsi="Futura Bk BT" w:hint="default"/>
        <w:b w:val="0"/>
        <w:i w:val="0"/>
        <w:color w:val="4F81BD" w:themeColor="accent1"/>
        <w:sz w:val="26"/>
      </w:rPr>
    </w:lvl>
    <w:lvl w:ilvl="5">
      <w:start w:val="1"/>
      <w:numFmt w:val="decimal"/>
      <w:lvlRestart w:val="1"/>
      <w:suff w:val="space"/>
      <w:lvlText w:val="Figure %1.%6:"/>
      <w:lvlJc w:val="left"/>
      <w:pPr>
        <w:ind w:left="0" w:firstLine="0"/>
      </w:pPr>
      <w:rPr>
        <w:rFonts w:ascii="Futura Bk BT" w:hAnsi="Futura Bk BT" w:hint="default"/>
        <w:b w:val="0"/>
        <w:i w:val="0"/>
        <w:color w:val="4F81BD" w:themeColor="accent1"/>
        <w:sz w:val="26"/>
      </w:rPr>
    </w:lvl>
    <w:lvl w:ilvl="6">
      <w:start w:val="1"/>
      <w:numFmt w:val="none"/>
      <w:lvlRestart w:val="1"/>
      <w:suff w:val="space"/>
      <w:lvlText w:val=""/>
      <w:lvlJc w:val="left"/>
      <w:pPr>
        <w:ind w:left="0" w:firstLine="0"/>
      </w:pPr>
      <w:rPr>
        <w:rFonts w:ascii="Futura Bk BT" w:hAnsi="Futura Bk BT" w:hint="default"/>
        <w:b w:val="0"/>
        <w:i w:val="0"/>
        <w:color w:val="4F81BD" w:themeColor="accent1"/>
        <w:sz w:val="2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971FFF"/>
    <w:multiLevelType w:val="hybridMultilevel"/>
    <w:tmpl w:val="6186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43072"/>
    <w:multiLevelType w:val="hybridMultilevel"/>
    <w:tmpl w:val="D7E056DE"/>
    <w:lvl w:ilvl="0" w:tplc="08090001">
      <w:start w:val="1"/>
      <w:numFmt w:val="bullet"/>
      <w:lvlText w:val=""/>
      <w:lvlJc w:val="left"/>
      <w:pPr>
        <w:ind w:left="3763"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E2314A"/>
    <w:multiLevelType w:val="hybridMultilevel"/>
    <w:tmpl w:val="33220B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5D44322"/>
    <w:multiLevelType w:val="hybridMultilevel"/>
    <w:tmpl w:val="6504B848"/>
    <w:lvl w:ilvl="0" w:tplc="A186FDB6">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B06A51"/>
    <w:multiLevelType w:val="hybridMultilevel"/>
    <w:tmpl w:val="EA30B0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A423D13"/>
    <w:multiLevelType w:val="hybridMultilevel"/>
    <w:tmpl w:val="7E5621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C2E0278"/>
    <w:multiLevelType w:val="hybridMultilevel"/>
    <w:tmpl w:val="BB8EAD0C"/>
    <w:lvl w:ilvl="0" w:tplc="1372406E">
      <w:start w:val="1"/>
      <w:numFmt w:val="lowerLetter"/>
      <w:pStyle w:val="a"/>
      <w:lvlText w:val="%1)"/>
      <w:lvlJc w:val="left"/>
      <w:pPr>
        <w:tabs>
          <w:tab w:val="num" w:pos="2094"/>
        </w:tabs>
        <w:ind w:left="2094" w:hanging="698"/>
      </w:pPr>
      <w:rPr>
        <w:rFonts w:ascii="Times New Roman" w:hAnsi="Times New Roman" w:hint="default"/>
        <w:b w:val="0"/>
        <w:i w:val="0"/>
        <w:sz w:val="22"/>
      </w:rPr>
    </w:lvl>
    <w:lvl w:ilvl="1" w:tplc="04090019" w:tentative="1">
      <w:start w:val="1"/>
      <w:numFmt w:val="lowerLetter"/>
      <w:lvlText w:val="%2."/>
      <w:lvlJc w:val="left"/>
      <w:pPr>
        <w:tabs>
          <w:tab w:val="num" w:pos="1756"/>
        </w:tabs>
        <w:ind w:left="1756" w:hanging="360"/>
      </w:pPr>
    </w:lvl>
    <w:lvl w:ilvl="2" w:tplc="0409001B" w:tentative="1">
      <w:start w:val="1"/>
      <w:numFmt w:val="lowerRoman"/>
      <w:lvlText w:val="%3."/>
      <w:lvlJc w:val="right"/>
      <w:pPr>
        <w:tabs>
          <w:tab w:val="num" w:pos="2476"/>
        </w:tabs>
        <w:ind w:left="2476" w:hanging="180"/>
      </w:pPr>
    </w:lvl>
    <w:lvl w:ilvl="3" w:tplc="0409000F" w:tentative="1">
      <w:start w:val="1"/>
      <w:numFmt w:val="decimal"/>
      <w:lvlText w:val="%4."/>
      <w:lvlJc w:val="left"/>
      <w:pPr>
        <w:tabs>
          <w:tab w:val="num" w:pos="3196"/>
        </w:tabs>
        <w:ind w:left="3196" w:hanging="360"/>
      </w:pPr>
    </w:lvl>
    <w:lvl w:ilvl="4" w:tplc="04090019" w:tentative="1">
      <w:start w:val="1"/>
      <w:numFmt w:val="lowerLetter"/>
      <w:lvlText w:val="%5."/>
      <w:lvlJc w:val="left"/>
      <w:pPr>
        <w:tabs>
          <w:tab w:val="num" w:pos="3916"/>
        </w:tabs>
        <w:ind w:left="3916" w:hanging="360"/>
      </w:pPr>
    </w:lvl>
    <w:lvl w:ilvl="5" w:tplc="0409001B" w:tentative="1">
      <w:start w:val="1"/>
      <w:numFmt w:val="lowerRoman"/>
      <w:lvlText w:val="%6."/>
      <w:lvlJc w:val="right"/>
      <w:pPr>
        <w:tabs>
          <w:tab w:val="num" w:pos="4636"/>
        </w:tabs>
        <w:ind w:left="4636" w:hanging="180"/>
      </w:pPr>
    </w:lvl>
    <w:lvl w:ilvl="6" w:tplc="0409000F" w:tentative="1">
      <w:start w:val="1"/>
      <w:numFmt w:val="decimal"/>
      <w:lvlText w:val="%7."/>
      <w:lvlJc w:val="left"/>
      <w:pPr>
        <w:tabs>
          <w:tab w:val="num" w:pos="5356"/>
        </w:tabs>
        <w:ind w:left="5356" w:hanging="360"/>
      </w:pPr>
    </w:lvl>
    <w:lvl w:ilvl="7" w:tplc="04090019" w:tentative="1">
      <w:start w:val="1"/>
      <w:numFmt w:val="lowerLetter"/>
      <w:lvlText w:val="%8."/>
      <w:lvlJc w:val="left"/>
      <w:pPr>
        <w:tabs>
          <w:tab w:val="num" w:pos="6076"/>
        </w:tabs>
        <w:ind w:left="6076" w:hanging="360"/>
      </w:pPr>
    </w:lvl>
    <w:lvl w:ilvl="8" w:tplc="0409001B" w:tentative="1">
      <w:start w:val="1"/>
      <w:numFmt w:val="lowerRoman"/>
      <w:lvlText w:val="%9."/>
      <w:lvlJc w:val="right"/>
      <w:pPr>
        <w:tabs>
          <w:tab w:val="num" w:pos="6796"/>
        </w:tabs>
        <w:ind w:left="6796" w:hanging="180"/>
      </w:pPr>
    </w:lvl>
  </w:abstractNum>
  <w:abstractNum w:abstractNumId="30" w15:restartNumberingAfterBreak="0">
    <w:nsid w:val="6FF12F47"/>
    <w:multiLevelType w:val="hybridMultilevel"/>
    <w:tmpl w:val="E39A4A02"/>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0B4746C"/>
    <w:multiLevelType w:val="hybridMultilevel"/>
    <w:tmpl w:val="4E3C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C19BD"/>
    <w:multiLevelType w:val="hybridMultilevel"/>
    <w:tmpl w:val="35AA06AE"/>
    <w:lvl w:ilvl="0" w:tplc="BF443DF0">
      <w:start w:val="1"/>
      <w:numFmt w:val="decimal"/>
      <w:lvlText w:val="%1."/>
      <w:lvlJc w:val="left"/>
      <w:pPr>
        <w:ind w:left="720" w:hanging="360"/>
      </w:pPr>
    </w:lvl>
    <w:lvl w:ilvl="1" w:tplc="A88EBCAC">
      <w:start w:val="1"/>
      <w:numFmt w:val="lowerLetter"/>
      <w:lvlText w:val="%2."/>
      <w:lvlJc w:val="left"/>
      <w:pPr>
        <w:ind w:left="1440" w:hanging="360"/>
      </w:pPr>
    </w:lvl>
    <w:lvl w:ilvl="2" w:tplc="C6CCF6EC">
      <w:start w:val="1"/>
      <w:numFmt w:val="lowerRoman"/>
      <w:lvlText w:val="%3."/>
      <w:lvlJc w:val="right"/>
      <w:pPr>
        <w:ind w:left="2160" w:hanging="180"/>
      </w:pPr>
    </w:lvl>
    <w:lvl w:ilvl="3" w:tplc="61488EB2">
      <w:start w:val="1"/>
      <w:numFmt w:val="decimal"/>
      <w:lvlText w:val="%4."/>
      <w:lvlJc w:val="left"/>
      <w:pPr>
        <w:ind w:left="2880" w:hanging="360"/>
      </w:pPr>
    </w:lvl>
    <w:lvl w:ilvl="4" w:tplc="C240A238">
      <w:start w:val="1"/>
      <w:numFmt w:val="lowerLetter"/>
      <w:lvlText w:val="%5."/>
      <w:lvlJc w:val="left"/>
      <w:pPr>
        <w:ind w:left="3600" w:hanging="360"/>
      </w:pPr>
    </w:lvl>
    <w:lvl w:ilvl="5" w:tplc="E61C7CDA">
      <w:start w:val="1"/>
      <w:numFmt w:val="lowerRoman"/>
      <w:lvlText w:val="%6."/>
      <w:lvlJc w:val="right"/>
      <w:pPr>
        <w:ind w:left="4320" w:hanging="180"/>
      </w:pPr>
    </w:lvl>
    <w:lvl w:ilvl="6" w:tplc="5CE2AED0">
      <w:start w:val="1"/>
      <w:numFmt w:val="decimal"/>
      <w:lvlText w:val="%7."/>
      <w:lvlJc w:val="left"/>
      <w:pPr>
        <w:ind w:left="5040" w:hanging="360"/>
      </w:pPr>
    </w:lvl>
    <w:lvl w:ilvl="7" w:tplc="F1A883D4">
      <w:start w:val="1"/>
      <w:numFmt w:val="lowerLetter"/>
      <w:lvlText w:val="%8."/>
      <w:lvlJc w:val="left"/>
      <w:pPr>
        <w:ind w:left="5760" w:hanging="360"/>
      </w:pPr>
    </w:lvl>
    <w:lvl w:ilvl="8" w:tplc="F5DCB94E">
      <w:start w:val="1"/>
      <w:numFmt w:val="lowerRoman"/>
      <w:lvlText w:val="%9."/>
      <w:lvlJc w:val="right"/>
      <w:pPr>
        <w:ind w:left="6480" w:hanging="180"/>
      </w:pPr>
    </w:lvl>
  </w:abstractNum>
  <w:abstractNum w:abstractNumId="33" w15:restartNumberingAfterBreak="0">
    <w:nsid w:val="73C9360B"/>
    <w:multiLevelType w:val="hybridMultilevel"/>
    <w:tmpl w:val="E4B8F4EE"/>
    <w:lvl w:ilvl="0" w:tplc="E96457B4">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4FA5F7B"/>
    <w:multiLevelType w:val="multilevel"/>
    <w:tmpl w:val="8E4C94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7D8104FC"/>
    <w:multiLevelType w:val="hybridMultilevel"/>
    <w:tmpl w:val="DF8A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097676">
    <w:abstractNumId w:val="32"/>
  </w:num>
  <w:num w:numId="2" w16cid:durableId="1257640196">
    <w:abstractNumId w:val="33"/>
  </w:num>
  <w:num w:numId="3" w16cid:durableId="254018029">
    <w:abstractNumId w:val="29"/>
  </w:num>
  <w:num w:numId="4" w16cid:durableId="364408076">
    <w:abstractNumId w:val="30"/>
  </w:num>
  <w:num w:numId="5" w16cid:durableId="749884081">
    <w:abstractNumId w:val="17"/>
  </w:num>
  <w:num w:numId="6" w16cid:durableId="320930000">
    <w:abstractNumId w:val="24"/>
  </w:num>
  <w:num w:numId="7" w16cid:durableId="1968004468">
    <w:abstractNumId w:val="5"/>
  </w:num>
  <w:num w:numId="8" w16cid:durableId="1001278635">
    <w:abstractNumId w:val="16"/>
  </w:num>
  <w:num w:numId="9" w16cid:durableId="313336870">
    <w:abstractNumId w:val="7"/>
  </w:num>
  <w:num w:numId="10" w16cid:durableId="1953852782">
    <w:abstractNumId w:val="31"/>
  </w:num>
  <w:num w:numId="11" w16cid:durableId="1008556852">
    <w:abstractNumId w:val="0"/>
  </w:num>
  <w:num w:numId="12" w16cid:durableId="411896375">
    <w:abstractNumId w:val="22"/>
  </w:num>
  <w:num w:numId="13" w16cid:durableId="259026620">
    <w:abstractNumId w:val="9"/>
  </w:num>
  <w:num w:numId="14" w16cid:durableId="1447505966">
    <w:abstractNumId w:val="2"/>
  </w:num>
  <w:num w:numId="15" w16cid:durableId="1850289215">
    <w:abstractNumId w:val="34"/>
  </w:num>
  <w:num w:numId="16" w16cid:durableId="1134102071">
    <w:abstractNumId w:val="3"/>
  </w:num>
  <w:num w:numId="17" w16cid:durableId="1149981951">
    <w:abstractNumId w:val="26"/>
  </w:num>
  <w:num w:numId="18" w16cid:durableId="1592547169">
    <w:abstractNumId w:val="11"/>
  </w:num>
  <w:num w:numId="19" w16cid:durableId="803347492">
    <w:abstractNumId w:val="21"/>
  </w:num>
  <w:num w:numId="20" w16cid:durableId="2008705623">
    <w:abstractNumId w:val="18"/>
  </w:num>
  <w:num w:numId="21" w16cid:durableId="1442645732">
    <w:abstractNumId w:val="28"/>
  </w:num>
  <w:num w:numId="22" w16cid:durableId="722096612">
    <w:abstractNumId w:val="4"/>
  </w:num>
  <w:num w:numId="23" w16cid:durableId="528690666">
    <w:abstractNumId w:val="6"/>
  </w:num>
  <w:num w:numId="24" w16cid:durableId="10423213">
    <w:abstractNumId w:val="12"/>
  </w:num>
  <w:num w:numId="25" w16cid:durableId="184170297">
    <w:abstractNumId w:val="19"/>
  </w:num>
  <w:num w:numId="26" w16cid:durableId="1155683955">
    <w:abstractNumId w:val="15"/>
  </w:num>
  <w:num w:numId="27" w16cid:durableId="1459185246">
    <w:abstractNumId w:val="25"/>
  </w:num>
  <w:num w:numId="28" w16cid:durableId="201330314">
    <w:abstractNumId w:val="27"/>
  </w:num>
  <w:num w:numId="29" w16cid:durableId="566109606">
    <w:abstractNumId w:val="35"/>
  </w:num>
  <w:num w:numId="30" w16cid:durableId="1227452034">
    <w:abstractNumId w:val="13"/>
  </w:num>
  <w:num w:numId="31" w16cid:durableId="349260455">
    <w:abstractNumId w:val="10"/>
  </w:num>
  <w:num w:numId="32" w16cid:durableId="447361823">
    <w:abstractNumId w:val="20"/>
  </w:num>
  <w:num w:numId="33" w16cid:durableId="1555434063">
    <w:abstractNumId w:val="1"/>
  </w:num>
  <w:num w:numId="34" w16cid:durableId="1385058865">
    <w:abstractNumId w:val="23"/>
  </w:num>
  <w:num w:numId="35" w16cid:durableId="1406488945">
    <w:abstractNumId w:val="8"/>
  </w:num>
  <w:num w:numId="36" w16cid:durableId="1289511798">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A9"/>
    <w:rsid w:val="00000A37"/>
    <w:rsid w:val="00000DE5"/>
    <w:rsid w:val="0000138B"/>
    <w:rsid w:val="00001C31"/>
    <w:rsid w:val="00001F30"/>
    <w:rsid w:val="00002099"/>
    <w:rsid w:val="00002D0B"/>
    <w:rsid w:val="00003307"/>
    <w:rsid w:val="00003387"/>
    <w:rsid w:val="00003431"/>
    <w:rsid w:val="00004D67"/>
    <w:rsid w:val="00004E9E"/>
    <w:rsid w:val="00005237"/>
    <w:rsid w:val="0000578D"/>
    <w:rsid w:val="0000584B"/>
    <w:rsid w:val="00006A98"/>
    <w:rsid w:val="00006BE3"/>
    <w:rsid w:val="00007C62"/>
    <w:rsid w:val="000101B6"/>
    <w:rsid w:val="00010504"/>
    <w:rsid w:val="00010ACD"/>
    <w:rsid w:val="00011A15"/>
    <w:rsid w:val="00012388"/>
    <w:rsid w:val="00012AC0"/>
    <w:rsid w:val="00013EDA"/>
    <w:rsid w:val="000143A4"/>
    <w:rsid w:val="000149F6"/>
    <w:rsid w:val="00014CBD"/>
    <w:rsid w:val="000150A8"/>
    <w:rsid w:val="0001521D"/>
    <w:rsid w:val="00015433"/>
    <w:rsid w:val="00016EE9"/>
    <w:rsid w:val="0001768F"/>
    <w:rsid w:val="00020530"/>
    <w:rsid w:val="000211C5"/>
    <w:rsid w:val="00021832"/>
    <w:rsid w:val="00021CAC"/>
    <w:rsid w:val="00022385"/>
    <w:rsid w:val="00022DC6"/>
    <w:rsid w:val="00022ECA"/>
    <w:rsid w:val="00023AAA"/>
    <w:rsid w:val="00023B73"/>
    <w:rsid w:val="00024224"/>
    <w:rsid w:val="00024A9C"/>
    <w:rsid w:val="00024DBF"/>
    <w:rsid w:val="00024DC9"/>
    <w:rsid w:val="00025082"/>
    <w:rsid w:val="000252C1"/>
    <w:rsid w:val="000255BE"/>
    <w:rsid w:val="0002645A"/>
    <w:rsid w:val="00026C65"/>
    <w:rsid w:val="000273B8"/>
    <w:rsid w:val="0002742C"/>
    <w:rsid w:val="00027716"/>
    <w:rsid w:val="0002785D"/>
    <w:rsid w:val="00027FD7"/>
    <w:rsid w:val="0003127C"/>
    <w:rsid w:val="00031CC5"/>
    <w:rsid w:val="0003208E"/>
    <w:rsid w:val="00033356"/>
    <w:rsid w:val="0003354A"/>
    <w:rsid w:val="00033553"/>
    <w:rsid w:val="000345BC"/>
    <w:rsid w:val="00034AE8"/>
    <w:rsid w:val="00034D86"/>
    <w:rsid w:val="00035826"/>
    <w:rsid w:val="00036194"/>
    <w:rsid w:val="000365E6"/>
    <w:rsid w:val="00036A25"/>
    <w:rsid w:val="00036AC6"/>
    <w:rsid w:val="0003751E"/>
    <w:rsid w:val="00037E48"/>
    <w:rsid w:val="00037E5B"/>
    <w:rsid w:val="000400FE"/>
    <w:rsid w:val="00040401"/>
    <w:rsid w:val="00040B95"/>
    <w:rsid w:val="00041936"/>
    <w:rsid w:val="00041E6B"/>
    <w:rsid w:val="000420C1"/>
    <w:rsid w:val="000421B0"/>
    <w:rsid w:val="00042210"/>
    <w:rsid w:val="000427AB"/>
    <w:rsid w:val="00042BB0"/>
    <w:rsid w:val="00042F1B"/>
    <w:rsid w:val="00043C18"/>
    <w:rsid w:val="00043E33"/>
    <w:rsid w:val="00043F72"/>
    <w:rsid w:val="00043FCE"/>
    <w:rsid w:val="00044038"/>
    <w:rsid w:val="00044053"/>
    <w:rsid w:val="0004464C"/>
    <w:rsid w:val="000453F0"/>
    <w:rsid w:val="000457B1"/>
    <w:rsid w:val="00045A2B"/>
    <w:rsid w:val="00046023"/>
    <w:rsid w:val="000460E1"/>
    <w:rsid w:val="0004629C"/>
    <w:rsid w:val="000469E1"/>
    <w:rsid w:val="00046D85"/>
    <w:rsid w:val="000474D6"/>
    <w:rsid w:val="00047607"/>
    <w:rsid w:val="00047867"/>
    <w:rsid w:val="00047ECA"/>
    <w:rsid w:val="000503DA"/>
    <w:rsid w:val="0005180C"/>
    <w:rsid w:val="00051C2A"/>
    <w:rsid w:val="00051C92"/>
    <w:rsid w:val="000524D9"/>
    <w:rsid w:val="00052AEC"/>
    <w:rsid w:val="000538DE"/>
    <w:rsid w:val="00053EF7"/>
    <w:rsid w:val="00053FAF"/>
    <w:rsid w:val="00054872"/>
    <w:rsid w:val="00054F53"/>
    <w:rsid w:val="00054FE3"/>
    <w:rsid w:val="00055338"/>
    <w:rsid w:val="00057B00"/>
    <w:rsid w:val="00057CF0"/>
    <w:rsid w:val="000600DA"/>
    <w:rsid w:val="000606A1"/>
    <w:rsid w:val="00060F33"/>
    <w:rsid w:val="0006141F"/>
    <w:rsid w:val="000632B0"/>
    <w:rsid w:val="000634E9"/>
    <w:rsid w:val="00064707"/>
    <w:rsid w:val="00064883"/>
    <w:rsid w:val="00064F7F"/>
    <w:rsid w:val="000651D3"/>
    <w:rsid w:val="00065202"/>
    <w:rsid w:val="00065486"/>
    <w:rsid w:val="00066ECE"/>
    <w:rsid w:val="00067076"/>
    <w:rsid w:val="00067504"/>
    <w:rsid w:val="00070D78"/>
    <w:rsid w:val="00070F2F"/>
    <w:rsid w:val="0007156E"/>
    <w:rsid w:val="0007193B"/>
    <w:rsid w:val="000722C6"/>
    <w:rsid w:val="00073318"/>
    <w:rsid w:val="00073777"/>
    <w:rsid w:val="00074821"/>
    <w:rsid w:val="00074A7B"/>
    <w:rsid w:val="00075312"/>
    <w:rsid w:val="00075980"/>
    <w:rsid w:val="00075B38"/>
    <w:rsid w:val="00075FFD"/>
    <w:rsid w:val="00076A51"/>
    <w:rsid w:val="00077077"/>
    <w:rsid w:val="000771D2"/>
    <w:rsid w:val="00077B1D"/>
    <w:rsid w:val="00077C90"/>
    <w:rsid w:val="00077DF3"/>
    <w:rsid w:val="0008016D"/>
    <w:rsid w:val="0008061A"/>
    <w:rsid w:val="000808D8"/>
    <w:rsid w:val="00080AB2"/>
    <w:rsid w:val="00080E2F"/>
    <w:rsid w:val="0008101B"/>
    <w:rsid w:val="0008108C"/>
    <w:rsid w:val="00081D96"/>
    <w:rsid w:val="0008205C"/>
    <w:rsid w:val="00082D64"/>
    <w:rsid w:val="0008306F"/>
    <w:rsid w:val="00083951"/>
    <w:rsid w:val="0008457D"/>
    <w:rsid w:val="00084677"/>
    <w:rsid w:val="000862EE"/>
    <w:rsid w:val="000867EA"/>
    <w:rsid w:val="00086B48"/>
    <w:rsid w:val="00086B4D"/>
    <w:rsid w:val="00086E89"/>
    <w:rsid w:val="00087A27"/>
    <w:rsid w:val="00091326"/>
    <w:rsid w:val="00092A71"/>
    <w:rsid w:val="0009306C"/>
    <w:rsid w:val="00093B54"/>
    <w:rsid w:val="00093D9E"/>
    <w:rsid w:val="00094275"/>
    <w:rsid w:val="0009486F"/>
    <w:rsid w:val="00094BB4"/>
    <w:rsid w:val="00095094"/>
    <w:rsid w:val="00095DA3"/>
    <w:rsid w:val="000960B2"/>
    <w:rsid w:val="00096162"/>
    <w:rsid w:val="00096CE4"/>
    <w:rsid w:val="00096E7B"/>
    <w:rsid w:val="000972AF"/>
    <w:rsid w:val="00097903"/>
    <w:rsid w:val="00097A0D"/>
    <w:rsid w:val="000A0042"/>
    <w:rsid w:val="000A0725"/>
    <w:rsid w:val="000A07D7"/>
    <w:rsid w:val="000A09CF"/>
    <w:rsid w:val="000A0B92"/>
    <w:rsid w:val="000A1018"/>
    <w:rsid w:val="000A1486"/>
    <w:rsid w:val="000A1F81"/>
    <w:rsid w:val="000A30FB"/>
    <w:rsid w:val="000A3201"/>
    <w:rsid w:val="000A3A02"/>
    <w:rsid w:val="000A3CAE"/>
    <w:rsid w:val="000A3F20"/>
    <w:rsid w:val="000A4003"/>
    <w:rsid w:val="000A4367"/>
    <w:rsid w:val="000A4B33"/>
    <w:rsid w:val="000A53B8"/>
    <w:rsid w:val="000A5CF1"/>
    <w:rsid w:val="000A5E1D"/>
    <w:rsid w:val="000A63D6"/>
    <w:rsid w:val="000A6ADD"/>
    <w:rsid w:val="000A6B1E"/>
    <w:rsid w:val="000A6CF1"/>
    <w:rsid w:val="000A6F4A"/>
    <w:rsid w:val="000A7480"/>
    <w:rsid w:val="000A7486"/>
    <w:rsid w:val="000A78F4"/>
    <w:rsid w:val="000B0A57"/>
    <w:rsid w:val="000B1763"/>
    <w:rsid w:val="000B198F"/>
    <w:rsid w:val="000B2111"/>
    <w:rsid w:val="000B24B6"/>
    <w:rsid w:val="000B26C4"/>
    <w:rsid w:val="000B300E"/>
    <w:rsid w:val="000B3433"/>
    <w:rsid w:val="000B3B3C"/>
    <w:rsid w:val="000B3BC2"/>
    <w:rsid w:val="000B41DD"/>
    <w:rsid w:val="000B4233"/>
    <w:rsid w:val="000B425E"/>
    <w:rsid w:val="000B453A"/>
    <w:rsid w:val="000B4E0F"/>
    <w:rsid w:val="000B51C3"/>
    <w:rsid w:val="000B5399"/>
    <w:rsid w:val="000B54AA"/>
    <w:rsid w:val="000B5BFF"/>
    <w:rsid w:val="000B5FC3"/>
    <w:rsid w:val="000B63E5"/>
    <w:rsid w:val="000B68B7"/>
    <w:rsid w:val="000B6AEC"/>
    <w:rsid w:val="000B6DDD"/>
    <w:rsid w:val="000B7074"/>
    <w:rsid w:val="000B7B5E"/>
    <w:rsid w:val="000B7C6C"/>
    <w:rsid w:val="000C09F5"/>
    <w:rsid w:val="000C15CF"/>
    <w:rsid w:val="000C1C84"/>
    <w:rsid w:val="000C1E05"/>
    <w:rsid w:val="000C2528"/>
    <w:rsid w:val="000C2A54"/>
    <w:rsid w:val="000C2B5C"/>
    <w:rsid w:val="000C2D5A"/>
    <w:rsid w:val="000C352A"/>
    <w:rsid w:val="000C3D72"/>
    <w:rsid w:val="000C453B"/>
    <w:rsid w:val="000C4622"/>
    <w:rsid w:val="000C463C"/>
    <w:rsid w:val="000C4FC1"/>
    <w:rsid w:val="000C587C"/>
    <w:rsid w:val="000C6C25"/>
    <w:rsid w:val="000C7A11"/>
    <w:rsid w:val="000C7C45"/>
    <w:rsid w:val="000D097C"/>
    <w:rsid w:val="000D0CCB"/>
    <w:rsid w:val="000D130C"/>
    <w:rsid w:val="000D150B"/>
    <w:rsid w:val="000D1FD8"/>
    <w:rsid w:val="000D249C"/>
    <w:rsid w:val="000D2652"/>
    <w:rsid w:val="000D3561"/>
    <w:rsid w:val="000D3886"/>
    <w:rsid w:val="000D3A35"/>
    <w:rsid w:val="000D4052"/>
    <w:rsid w:val="000D48C3"/>
    <w:rsid w:val="000D4FD3"/>
    <w:rsid w:val="000D55E2"/>
    <w:rsid w:val="000D5D96"/>
    <w:rsid w:val="000D6F60"/>
    <w:rsid w:val="000D7C2C"/>
    <w:rsid w:val="000E0884"/>
    <w:rsid w:val="000E0EB2"/>
    <w:rsid w:val="000E1653"/>
    <w:rsid w:val="000E1DB9"/>
    <w:rsid w:val="000E2A40"/>
    <w:rsid w:val="000E2D8B"/>
    <w:rsid w:val="000E3AC5"/>
    <w:rsid w:val="000E4145"/>
    <w:rsid w:val="000E510E"/>
    <w:rsid w:val="000E57FE"/>
    <w:rsid w:val="000E659F"/>
    <w:rsid w:val="000E7172"/>
    <w:rsid w:val="000E7801"/>
    <w:rsid w:val="000F0B13"/>
    <w:rsid w:val="000F0C89"/>
    <w:rsid w:val="000F0E43"/>
    <w:rsid w:val="000F1553"/>
    <w:rsid w:val="000F1C9A"/>
    <w:rsid w:val="000F2DC4"/>
    <w:rsid w:val="000F3455"/>
    <w:rsid w:val="000F3534"/>
    <w:rsid w:val="000F368D"/>
    <w:rsid w:val="000F3E64"/>
    <w:rsid w:val="000F4312"/>
    <w:rsid w:val="000F49DE"/>
    <w:rsid w:val="000F4C06"/>
    <w:rsid w:val="000F57DA"/>
    <w:rsid w:val="000F5BB9"/>
    <w:rsid w:val="000F5E52"/>
    <w:rsid w:val="000F5ED9"/>
    <w:rsid w:val="000F6635"/>
    <w:rsid w:val="000F6ABD"/>
    <w:rsid w:val="000F707B"/>
    <w:rsid w:val="000F7775"/>
    <w:rsid w:val="00100336"/>
    <w:rsid w:val="00100597"/>
    <w:rsid w:val="001011E8"/>
    <w:rsid w:val="0010180A"/>
    <w:rsid w:val="001018E2"/>
    <w:rsid w:val="00101D55"/>
    <w:rsid w:val="001022CA"/>
    <w:rsid w:val="00102EAF"/>
    <w:rsid w:val="0010435B"/>
    <w:rsid w:val="0010450B"/>
    <w:rsid w:val="00104D8B"/>
    <w:rsid w:val="001056F9"/>
    <w:rsid w:val="00105E57"/>
    <w:rsid w:val="00106848"/>
    <w:rsid w:val="0010692F"/>
    <w:rsid w:val="00107A49"/>
    <w:rsid w:val="00107B2A"/>
    <w:rsid w:val="0011035F"/>
    <w:rsid w:val="00110755"/>
    <w:rsid w:val="00110B61"/>
    <w:rsid w:val="00110CF3"/>
    <w:rsid w:val="0011131D"/>
    <w:rsid w:val="00111CE9"/>
    <w:rsid w:val="00111E68"/>
    <w:rsid w:val="001122B7"/>
    <w:rsid w:val="00112624"/>
    <w:rsid w:val="0011279B"/>
    <w:rsid w:val="00112AF2"/>
    <w:rsid w:val="001138DC"/>
    <w:rsid w:val="00114300"/>
    <w:rsid w:val="001151E6"/>
    <w:rsid w:val="00115334"/>
    <w:rsid w:val="00115DB2"/>
    <w:rsid w:val="00116966"/>
    <w:rsid w:val="00116DCF"/>
    <w:rsid w:val="00117A9F"/>
    <w:rsid w:val="001203D3"/>
    <w:rsid w:val="00120F83"/>
    <w:rsid w:val="00121988"/>
    <w:rsid w:val="001221C9"/>
    <w:rsid w:val="00122292"/>
    <w:rsid w:val="001222AB"/>
    <w:rsid w:val="00122772"/>
    <w:rsid w:val="00122962"/>
    <w:rsid w:val="00122C34"/>
    <w:rsid w:val="00123123"/>
    <w:rsid w:val="00123279"/>
    <w:rsid w:val="0012345F"/>
    <w:rsid w:val="001238D4"/>
    <w:rsid w:val="001241C8"/>
    <w:rsid w:val="00124B25"/>
    <w:rsid w:val="00124F08"/>
    <w:rsid w:val="001251F4"/>
    <w:rsid w:val="001269B6"/>
    <w:rsid w:val="00126BDD"/>
    <w:rsid w:val="00127D7D"/>
    <w:rsid w:val="00127DA2"/>
    <w:rsid w:val="00127FEE"/>
    <w:rsid w:val="00130B8A"/>
    <w:rsid w:val="001312AF"/>
    <w:rsid w:val="001314E3"/>
    <w:rsid w:val="0013161B"/>
    <w:rsid w:val="001324BD"/>
    <w:rsid w:val="0013284B"/>
    <w:rsid w:val="00133CDD"/>
    <w:rsid w:val="00134583"/>
    <w:rsid w:val="00135799"/>
    <w:rsid w:val="0013596B"/>
    <w:rsid w:val="00135D0B"/>
    <w:rsid w:val="00135F7A"/>
    <w:rsid w:val="00136BDD"/>
    <w:rsid w:val="00136C76"/>
    <w:rsid w:val="00136FE9"/>
    <w:rsid w:val="0013766A"/>
    <w:rsid w:val="00137F0E"/>
    <w:rsid w:val="001402B3"/>
    <w:rsid w:val="001408F5"/>
    <w:rsid w:val="00141799"/>
    <w:rsid w:val="001418F9"/>
    <w:rsid w:val="00141A0C"/>
    <w:rsid w:val="00141D9C"/>
    <w:rsid w:val="00141EDB"/>
    <w:rsid w:val="00142058"/>
    <w:rsid w:val="00142068"/>
    <w:rsid w:val="0014296C"/>
    <w:rsid w:val="00142B5E"/>
    <w:rsid w:val="00144D0C"/>
    <w:rsid w:val="00145346"/>
    <w:rsid w:val="001459AA"/>
    <w:rsid w:val="00146BCC"/>
    <w:rsid w:val="00147858"/>
    <w:rsid w:val="00147C9E"/>
    <w:rsid w:val="00147CED"/>
    <w:rsid w:val="00147DA6"/>
    <w:rsid w:val="0015051C"/>
    <w:rsid w:val="00150E9A"/>
    <w:rsid w:val="001515FF"/>
    <w:rsid w:val="0015190D"/>
    <w:rsid w:val="00151956"/>
    <w:rsid w:val="00151DD4"/>
    <w:rsid w:val="00152443"/>
    <w:rsid w:val="00152E49"/>
    <w:rsid w:val="00153A3C"/>
    <w:rsid w:val="00153C9A"/>
    <w:rsid w:val="00153D19"/>
    <w:rsid w:val="0015430A"/>
    <w:rsid w:val="00154981"/>
    <w:rsid w:val="0015499F"/>
    <w:rsid w:val="001550DD"/>
    <w:rsid w:val="00156AC6"/>
    <w:rsid w:val="00156E79"/>
    <w:rsid w:val="00157392"/>
    <w:rsid w:val="00157914"/>
    <w:rsid w:val="00157C6B"/>
    <w:rsid w:val="00157E0F"/>
    <w:rsid w:val="001600DF"/>
    <w:rsid w:val="001601E5"/>
    <w:rsid w:val="001606F0"/>
    <w:rsid w:val="0016090D"/>
    <w:rsid w:val="00160999"/>
    <w:rsid w:val="00160B5E"/>
    <w:rsid w:val="0016186F"/>
    <w:rsid w:val="00161E9E"/>
    <w:rsid w:val="001620BE"/>
    <w:rsid w:val="001622E3"/>
    <w:rsid w:val="00162A3A"/>
    <w:rsid w:val="00162D2A"/>
    <w:rsid w:val="001630A9"/>
    <w:rsid w:val="0016456A"/>
    <w:rsid w:val="001647CC"/>
    <w:rsid w:val="00164967"/>
    <w:rsid w:val="00164B0C"/>
    <w:rsid w:val="00164D75"/>
    <w:rsid w:val="00164DE8"/>
    <w:rsid w:val="0016533B"/>
    <w:rsid w:val="00165462"/>
    <w:rsid w:val="0016577F"/>
    <w:rsid w:val="00165BDD"/>
    <w:rsid w:val="00166131"/>
    <w:rsid w:val="00166C9A"/>
    <w:rsid w:val="0016728B"/>
    <w:rsid w:val="001677C3"/>
    <w:rsid w:val="00167CBD"/>
    <w:rsid w:val="00167DDE"/>
    <w:rsid w:val="00170598"/>
    <w:rsid w:val="00170965"/>
    <w:rsid w:val="001709F4"/>
    <w:rsid w:val="00171220"/>
    <w:rsid w:val="0017151A"/>
    <w:rsid w:val="00172050"/>
    <w:rsid w:val="001723B0"/>
    <w:rsid w:val="001724DC"/>
    <w:rsid w:val="0017264A"/>
    <w:rsid w:val="00172696"/>
    <w:rsid w:val="001727BD"/>
    <w:rsid w:val="00172D59"/>
    <w:rsid w:val="00172EEE"/>
    <w:rsid w:val="001730DC"/>
    <w:rsid w:val="001732BE"/>
    <w:rsid w:val="00173367"/>
    <w:rsid w:val="001733C1"/>
    <w:rsid w:val="001734F9"/>
    <w:rsid w:val="00173B8E"/>
    <w:rsid w:val="00174226"/>
    <w:rsid w:val="00174411"/>
    <w:rsid w:val="00174634"/>
    <w:rsid w:val="00174985"/>
    <w:rsid w:val="00175033"/>
    <w:rsid w:val="00176472"/>
    <w:rsid w:val="00176876"/>
    <w:rsid w:val="00177913"/>
    <w:rsid w:val="001802BC"/>
    <w:rsid w:val="0018101C"/>
    <w:rsid w:val="00181537"/>
    <w:rsid w:val="0018222E"/>
    <w:rsid w:val="00182B17"/>
    <w:rsid w:val="001830BE"/>
    <w:rsid w:val="00183C1A"/>
    <w:rsid w:val="001843D8"/>
    <w:rsid w:val="001848D3"/>
    <w:rsid w:val="00184BE8"/>
    <w:rsid w:val="00184D46"/>
    <w:rsid w:val="00185E8C"/>
    <w:rsid w:val="00186220"/>
    <w:rsid w:val="001862EC"/>
    <w:rsid w:val="00186FD2"/>
    <w:rsid w:val="00187AC7"/>
    <w:rsid w:val="00190A3C"/>
    <w:rsid w:val="00191193"/>
    <w:rsid w:val="001917A1"/>
    <w:rsid w:val="001927B0"/>
    <w:rsid w:val="00192E19"/>
    <w:rsid w:val="0019372C"/>
    <w:rsid w:val="00193983"/>
    <w:rsid w:val="0019425A"/>
    <w:rsid w:val="00194788"/>
    <w:rsid w:val="00194B60"/>
    <w:rsid w:val="00194D6D"/>
    <w:rsid w:val="00195176"/>
    <w:rsid w:val="00195884"/>
    <w:rsid w:val="001958BD"/>
    <w:rsid w:val="001959CC"/>
    <w:rsid w:val="0019661B"/>
    <w:rsid w:val="0019666E"/>
    <w:rsid w:val="00196A5D"/>
    <w:rsid w:val="00196E42"/>
    <w:rsid w:val="00196F98"/>
    <w:rsid w:val="00197037"/>
    <w:rsid w:val="00197746"/>
    <w:rsid w:val="00197D57"/>
    <w:rsid w:val="001A0836"/>
    <w:rsid w:val="001A0C19"/>
    <w:rsid w:val="001A1AAB"/>
    <w:rsid w:val="001A1F2C"/>
    <w:rsid w:val="001A28FF"/>
    <w:rsid w:val="001A2FF2"/>
    <w:rsid w:val="001A3628"/>
    <w:rsid w:val="001A3E70"/>
    <w:rsid w:val="001A511A"/>
    <w:rsid w:val="001A5161"/>
    <w:rsid w:val="001A5D5E"/>
    <w:rsid w:val="001A6055"/>
    <w:rsid w:val="001A613A"/>
    <w:rsid w:val="001A6AC6"/>
    <w:rsid w:val="001A7032"/>
    <w:rsid w:val="001A7BA5"/>
    <w:rsid w:val="001A7FA4"/>
    <w:rsid w:val="001B0514"/>
    <w:rsid w:val="001B056E"/>
    <w:rsid w:val="001B10B2"/>
    <w:rsid w:val="001B14A1"/>
    <w:rsid w:val="001B1540"/>
    <w:rsid w:val="001B180C"/>
    <w:rsid w:val="001B1B54"/>
    <w:rsid w:val="001B24E4"/>
    <w:rsid w:val="001B25DA"/>
    <w:rsid w:val="001B27EA"/>
    <w:rsid w:val="001B2969"/>
    <w:rsid w:val="001B2F84"/>
    <w:rsid w:val="001B36EC"/>
    <w:rsid w:val="001B38FA"/>
    <w:rsid w:val="001B3B33"/>
    <w:rsid w:val="001B3D2D"/>
    <w:rsid w:val="001B40A5"/>
    <w:rsid w:val="001B4304"/>
    <w:rsid w:val="001B45CC"/>
    <w:rsid w:val="001B50D0"/>
    <w:rsid w:val="001B5F53"/>
    <w:rsid w:val="001B60C1"/>
    <w:rsid w:val="001B6F51"/>
    <w:rsid w:val="001B6FF4"/>
    <w:rsid w:val="001B78C1"/>
    <w:rsid w:val="001B791D"/>
    <w:rsid w:val="001B7925"/>
    <w:rsid w:val="001B7D6F"/>
    <w:rsid w:val="001C00B7"/>
    <w:rsid w:val="001C06AC"/>
    <w:rsid w:val="001C0B54"/>
    <w:rsid w:val="001C214E"/>
    <w:rsid w:val="001C2444"/>
    <w:rsid w:val="001C2FBB"/>
    <w:rsid w:val="001C3878"/>
    <w:rsid w:val="001C39A7"/>
    <w:rsid w:val="001C3FE5"/>
    <w:rsid w:val="001C40F0"/>
    <w:rsid w:val="001C49E3"/>
    <w:rsid w:val="001C4D92"/>
    <w:rsid w:val="001C4E0F"/>
    <w:rsid w:val="001C5521"/>
    <w:rsid w:val="001C5FCA"/>
    <w:rsid w:val="001C6A09"/>
    <w:rsid w:val="001C7349"/>
    <w:rsid w:val="001C734F"/>
    <w:rsid w:val="001C7663"/>
    <w:rsid w:val="001C7925"/>
    <w:rsid w:val="001C7F57"/>
    <w:rsid w:val="001D020B"/>
    <w:rsid w:val="001D02E7"/>
    <w:rsid w:val="001D0663"/>
    <w:rsid w:val="001D06C1"/>
    <w:rsid w:val="001D0777"/>
    <w:rsid w:val="001D0DE7"/>
    <w:rsid w:val="001D111A"/>
    <w:rsid w:val="001D12C4"/>
    <w:rsid w:val="001D1E00"/>
    <w:rsid w:val="001D2D71"/>
    <w:rsid w:val="001D36E2"/>
    <w:rsid w:val="001D3707"/>
    <w:rsid w:val="001D3F77"/>
    <w:rsid w:val="001D45A6"/>
    <w:rsid w:val="001D4CFC"/>
    <w:rsid w:val="001D5398"/>
    <w:rsid w:val="001D551F"/>
    <w:rsid w:val="001D5687"/>
    <w:rsid w:val="001D56D4"/>
    <w:rsid w:val="001D5F99"/>
    <w:rsid w:val="001D67EA"/>
    <w:rsid w:val="001D71ED"/>
    <w:rsid w:val="001D785A"/>
    <w:rsid w:val="001D7B5D"/>
    <w:rsid w:val="001D7B61"/>
    <w:rsid w:val="001E07EE"/>
    <w:rsid w:val="001E0AD9"/>
    <w:rsid w:val="001E0F20"/>
    <w:rsid w:val="001E1550"/>
    <w:rsid w:val="001E1BBD"/>
    <w:rsid w:val="001E24FD"/>
    <w:rsid w:val="001E2945"/>
    <w:rsid w:val="001E2AA0"/>
    <w:rsid w:val="001E448A"/>
    <w:rsid w:val="001E499F"/>
    <w:rsid w:val="001E4CF4"/>
    <w:rsid w:val="001E51F2"/>
    <w:rsid w:val="001E5219"/>
    <w:rsid w:val="001E5939"/>
    <w:rsid w:val="001E5A61"/>
    <w:rsid w:val="001E70AE"/>
    <w:rsid w:val="001E7E4C"/>
    <w:rsid w:val="001F0440"/>
    <w:rsid w:val="001F0FFE"/>
    <w:rsid w:val="001F14BB"/>
    <w:rsid w:val="001F1A84"/>
    <w:rsid w:val="001F1C90"/>
    <w:rsid w:val="001F236D"/>
    <w:rsid w:val="001F2533"/>
    <w:rsid w:val="001F337B"/>
    <w:rsid w:val="001F3AD0"/>
    <w:rsid w:val="001F3B52"/>
    <w:rsid w:val="001F3FCA"/>
    <w:rsid w:val="001F4292"/>
    <w:rsid w:val="001F47AF"/>
    <w:rsid w:val="001F4C32"/>
    <w:rsid w:val="001F4F2E"/>
    <w:rsid w:val="001F5808"/>
    <w:rsid w:val="001F5E43"/>
    <w:rsid w:val="001F61FA"/>
    <w:rsid w:val="001F6483"/>
    <w:rsid w:val="001F66D9"/>
    <w:rsid w:val="001F685B"/>
    <w:rsid w:val="001F6CB4"/>
    <w:rsid w:val="001F70E4"/>
    <w:rsid w:val="001F71B0"/>
    <w:rsid w:val="001F78AA"/>
    <w:rsid w:val="001F795E"/>
    <w:rsid w:val="001F7D24"/>
    <w:rsid w:val="00200F3F"/>
    <w:rsid w:val="00201E96"/>
    <w:rsid w:val="00201F9C"/>
    <w:rsid w:val="002029F0"/>
    <w:rsid w:val="00202A40"/>
    <w:rsid w:val="00202B29"/>
    <w:rsid w:val="002033AE"/>
    <w:rsid w:val="0020373A"/>
    <w:rsid w:val="00204A6B"/>
    <w:rsid w:val="00204DA2"/>
    <w:rsid w:val="002050C8"/>
    <w:rsid w:val="00205BCD"/>
    <w:rsid w:val="00206E90"/>
    <w:rsid w:val="00210451"/>
    <w:rsid w:val="00211933"/>
    <w:rsid w:val="00211A96"/>
    <w:rsid w:val="00211CB4"/>
    <w:rsid w:val="00212CF2"/>
    <w:rsid w:val="002133C6"/>
    <w:rsid w:val="0021343C"/>
    <w:rsid w:val="002139E5"/>
    <w:rsid w:val="00213CA3"/>
    <w:rsid w:val="002148F0"/>
    <w:rsid w:val="0021497F"/>
    <w:rsid w:val="00214B6A"/>
    <w:rsid w:val="002156A0"/>
    <w:rsid w:val="00215C42"/>
    <w:rsid w:val="00216086"/>
    <w:rsid w:val="002165A9"/>
    <w:rsid w:val="002167B4"/>
    <w:rsid w:val="0021697E"/>
    <w:rsid w:val="00216E67"/>
    <w:rsid w:val="0021726E"/>
    <w:rsid w:val="00217283"/>
    <w:rsid w:val="0022077D"/>
    <w:rsid w:val="00220967"/>
    <w:rsid w:val="00220BC8"/>
    <w:rsid w:val="00220EA3"/>
    <w:rsid w:val="002216A6"/>
    <w:rsid w:val="00221C0E"/>
    <w:rsid w:val="00222272"/>
    <w:rsid w:val="0022264D"/>
    <w:rsid w:val="00224464"/>
    <w:rsid w:val="0022484D"/>
    <w:rsid w:val="00225239"/>
    <w:rsid w:val="00225BE2"/>
    <w:rsid w:val="00225FE0"/>
    <w:rsid w:val="0022609A"/>
    <w:rsid w:val="00226391"/>
    <w:rsid w:val="00226500"/>
    <w:rsid w:val="002265A4"/>
    <w:rsid w:val="00226730"/>
    <w:rsid w:val="00226F25"/>
    <w:rsid w:val="002279F0"/>
    <w:rsid w:val="00227D02"/>
    <w:rsid w:val="002301DE"/>
    <w:rsid w:val="002313AA"/>
    <w:rsid w:val="00232522"/>
    <w:rsid w:val="0023260E"/>
    <w:rsid w:val="002329F7"/>
    <w:rsid w:val="00232EB6"/>
    <w:rsid w:val="00233187"/>
    <w:rsid w:val="002335A8"/>
    <w:rsid w:val="00233A70"/>
    <w:rsid w:val="00234252"/>
    <w:rsid w:val="0023451F"/>
    <w:rsid w:val="00234AF5"/>
    <w:rsid w:val="00234EB0"/>
    <w:rsid w:val="00235025"/>
    <w:rsid w:val="0023535F"/>
    <w:rsid w:val="00235A1F"/>
    <w:rsid w:val="00235AC9"/>
    <w:rsid w:val="0023601B"/>
    <w:rsid w:val="0023605F"/>
    <w:rsid w:val="00236909"/>
    <w:rsid w:val="002369A4"/>
    <w:rsid w:val="00237BB1"/>
    <w:rsid w:val="00240C97"/>
    <w:rsid w:val="002412B8"/>
    <w:rsid w:val="0024174E"/>
    <w:rsid w:val="0024187D"/>
    <w:rsid w:val="002418C6"/>
    <w:rsid w:val="00241BA0"/>
    <w:rsid w:val="002420AB"/>
    <w:rsid w:val="002422F9"/>
    <w:rsid w:val="0024253E"/>
    <w:rsid w:val="00242B8A"/>
    <w:rsid w:val="00243C7E"/>
    <w:rsid w:val="00243E7B"/>
    <w:rsid w:val="0024410D"/>
    <w:rsid w:val="002449ED"/>
    <w:rsid w:val="00244ADF"/>
    <w:rsid w:val="00244BD7"/>
    <w:rsid w:val="00245858"/>
    <w:rsid w:val="00245907"/>
    <w:rsid w:val="00245C91"/>
    <w:rsid w:val="00245DCE"/>
    <w:rsid w:val="00247310"/>
    <w:rsid w:val="002474A1"/>
    <w:rsid w:val="002475ED"/>
    <w:rsid w:val="00247F9D"/>
    <w:rsid w:val="00250101"/>
    <w:rsid w:val="002503D1"/>
    <w:rsid w:val="00251E9E"/>
    <w:rsid w:val="002520DB"/>
    <w:rsid w:val="002523EA"/>
    <w:rsid w:val="002525FD"/>
    <w:rsid w:val="00252AD3"/>
    <w:rsid w:val="00252BBA"/>
    <w:rsid w:val="00252DE0"/>
    <w:rsid w:val="002531F4"/>
    <w:rsid w:val="00253D2F"/>
    <w:rsid w:val="00254309"/>
    <w:rsid w:val="002543BC"/>
    <w:rsid w:val="002543F5"/>
    <w:rsid w:val="00254515"/>
    <w:rsid w:val="00254655"/>
    <w:rsid w:val="002547B0"/>
    <w:rsid w:val="00254DDB"/>
    <w:rsid w:val="00254DF3"/>
    <w:rsid w:val="00255020"/>
    <w:rsid w:val="002552F7"/>
    <w:rsid w:val="00255670"/>
    <w:rsid w:val="0025578B"/>
    <w:rsid w:val="00256382"/>
    <w:rsid w:val="00256432"/>
    <w:rsid w:val="0025644E"/>
    <w:rsid w:val="00256FD1"/>
    <w:rsid w:val="002578C2"/>
    <w:rsid w:val="002602B2"/>
    <w:rsid w:val="002603AF"/>
    <w:rsid w:val="00260437"/>
    <w:rsid w:val="0026129D"/>
    <w:rsid w:val="00262E4A"/>
    <w:rsid w:val="00263A53"/>
    <w:rsid w:val="0026436F"/>
    <w:rsid w:val="00264C3D"/>
    <w:rsid w:val="00265000"/>
    <w:rsid w:val="002651B5"/>
    <w:rsid w:val="00265406"/>
    <w:rsid w:val="00266428"/>
    <w:rsid w:val="002667DD"/>
    <w:rsid w:val="00267DFA"/>
    <w:rsid w:val="00267F30"/>
    <w:rsid w:val="00267FE4"/>
    <w:rsid w:val="002707A4"/>
    <w:rsid w:val="00270A21"/>
    <w:rsid w:val="00270FC3"/>
    <w:rsid w:val="002711B5"/>
    <w:rsid w:val="00271BEB"/>
    <w:rsid w:val="00272565"/>
    <w:rsid w:val="00272693"/>
    <w:rsid w:val="0027305F"/>
    <w:rsid w:val="00273286"/>
    <w:rsid w:val="002748DB"/>
    <w:rsid w:val="002754CF"/>
    <w:rsid w:val="00275744"/>
    <w:rsid w:val="00275EFE"/>
    <w:rsid w:val="00276847"/>
    <w:rsid w:val="00277459"/>
    <w:rsid w:val="002774EB"/>
    <w:rsid w:val="00280D8F"/>
    <w:rsid w:val="00280EA2"/>
    <w:rsid w:val="00281272"/>
    <w:rsid w:val="00281F8F"/>
    <w:rsid w:val="0028264F"/>
    <w:rsid w:val="002828FC"/>
    <w:rsid w:val="00283547"/>
    <w:rsid w:val="00283726"/>
    <w:rsid w:val="00283CC4"/>
    <w:rsid w:val="002840FD"/>
    <w:rsid w:val="002843CE"/>
    <w:rsid w:val="0028543A"/>
    <w:rsid w:val="00285993"/>
    <w:rsid w:val="00286301"/>
    <w:rsid w:val="00286528"/>
    <w:rsid w:val="00286C52"/>
    <w:rsid w:val="00286CAD"/>
    <w:rsid w:val="0028726E"/>
    <w:rsid w:val="002874DD"/>
    <w:rsid w:val="00287771"/>
    <w:rsid w:val="00287A60"/>
    <w:rsid w:val="00290387"/>
    <w:rsid w:val="002913DD"/>
    <w:rsid w:val="0029140B"/>
    <w:rsid w:val="0029176F"/>
    <w:rsid w:val="00291806"/>
    <w:rsid w:val="00291C74"/>
    <w:rsid w:val="00292694"/>
    <w:rsid w:val="00292F7E"/>
    <w:rsid w:val="00293540"/>
    <w:rsid w:val="00293D76"/>
    <w:rsid w:val="002943A6"/>
    <w:rsid w:val="00294C3D"/>
    <w:rsid w:val="00294FD3"/>
    <w:rsid w:val="002953D2"/>
    <w:rsid w:val="0029565E"/>
    <w:rsid w:val="00295E5E"/>
    <w:rsid w:val="002962AB"/>
    <w:rsid w:val="0029665C"/>
    <w:rsid w:val="00296B82"/>
    <w:rsid w:val="002977A1"/>
    <w:rsid w:val="002A0985"/>
    <w:rsid w:val="002A2679"/>
    <w:rsid w:val="002A274B"/>
    <w:rsid w:val="002A2875"/>
    <w:rsid w:val="002A2C16"/>
    <w:rsid w:val="002A3975"/>
    <w:rsid w:val="002A3B6B"/>
    <w:rsid w:val="002A4142"/>
    <w:rsid w:val="002A4A3A"/>
    <w:rsid w:val="002A4EEF"/>
    <w:rsid w:val="002A501C"/>
    <w:rsid w:val="002A5182"/>
    <w:rsid w:val="002A524F"/>
    <w:rsid w:val="002A529C"/>
    <w:rsid w:val="002A5378"/>
    <w:rsid w:val="002A58CE"/>
    <w:rsid w:val="002A58E0"/>
    <w:rsid w:val="002A5A05"/>
    <w:rsid w:val="002A615F"/>
    <w:rsid w:val="002A61FE"/>
    <w:rsid w:val="002A6ED0"/>
    <w:rsid w:val="002A7D2B"/>
    <w:rsid w:val="002B01BC"/>
    <w:rsid w:val="002B1252"/>
    <w:rsid w:val="002B1B93"/>
    <w:rsid w:val="002B1F41"/>
    <w:rsid w:val="002B23D2"/>
    <w:rsid w:val="002B369A"/>
    <w:rsid w:val="002B3EF1"/>
    <w:rsid w:val="002B406D"/>
    <w:rsid w:val="002B43F4"/>
    <w:rsid w:val="002B4406"/>
    <w:rsid w:val="002B495A"/>
    <w:rsid w:val="002B4B94"/>
    <w:rsid w:val="002B4C5F"/>
    <w:rsid w:val="002B5963"/>
    <w:rsid w:val="002B5A1F"/>
    <w:rsid w:val="002B6000"/>
    <w:rsid w:val="002B6EF7"/>
    <w:rsid w:val="002B7829"/>
    <w:rsid w:val="002B787F"/>
    <w:rsid w:val="002B79C0"/>
    <w:rsid w:val="002B7A89"/>
    <w:rsid w:val="002C06EB"/>
    <w:rsid w:val="002C07AF"/>
    <w:rsid w:val="002C13B8"/>
    <w:rsid w:val="002C26A8"/>
    <w:rsid w:val="002C2BB9"/>
    <w:rsid w:val="002C344A"/>
    <w:rsid w:val="002C43C6"/>
    <w:rsid w:val="002C487C"/>
    <w:rsid w:val="002C5071"/>
    <w:rsid w:val="002C5BFB"/>
    <w:rsid w:val="002C5DEB"/>
    <w:rsid w:val="002C5E7B"/>
    <w:rsid w:val="002C611D"/>
    <w:rsid w:val="002C647F"/>
    <w:rsid w:val="002C6510"/>
    <w:rsid w:val="002C6783"/>
    <w:rsid w:val="002C7407"/>
    <w:rsid w:val="002C776D"/>
    <w:rsid w:val="002C7E46"/>
    <w:rsid w:val="002D0423"/>
    <w:rsid w:val="002D0D7D"/>
    <w:rsid w:val="002D11DF"/>
    <w:rsid w:val="002D1384"/>
    <w:rsid w:val="002D15B0"/>
    <w:rsid w:val="002D2485"/>
    <w:rsid w:val="002D250B"/>
    <w:rsid w:val="002D27A0"/>
    <w:rsid w:val="002D3016"/>
    <w:rsid w:val="002D38E0"/>
    <w:rsid w:val="002D3EC3"/>
    <w:rsid w:val="002D47AF"/>
    <w:rsid w:val="002D5005"/>
    <w:rsid w:val="002D52AC"/>
    <w:rsid w:val="002D58D7"/>
    <w:rsid w:val="002D6006"/>
    <w:rsid w:val="002D6300"/>
    <w:rsid w:val="002D6301"/>
    <w:rsid w:val="002D6423"/>
    <w:rsid w:val="002D707D"/>
    <w:rsid w:val="002D7210"/>
    <w:rsid w:val="002D7758"/>
    <w:rsid w:val="002E000C"/>
    <w:rsid w:val="002E02A6"/>
    <w:rsid w:val="002E0981"/>
    <w:rsid w:val="002E09ED"/>
    <w:rsid w:val="002E0C2F"/>
    <w:rsid w:val="002E138D"/>
    <w:rsid w:val="002E1C36"/>
    <w:rsid w:val="002E22FA"/>
    <w:rsid w:val="002E25C0"/>
    <w:rsid w:val="002E2D5B"/>
    <w:rsid w:val="002E3223"/>
    <w:rsid w:val="002E3343"/>
    <w:rsid w:val="002E33CF"/>
    <w:rsid w:val="002E4234"/>
    <w:rsid w:val="002E426A"/>
    <w:rsid w:val="002E453D"/>
    <w:rsid w:val="002E4C1A"/>
    <w:rsid w:val="002E54D6"/>
    <w:rsid w:val="002E6C1D"/>
    <w:rsid w:val="002E730C"/>
    <w:rsid w:val="002E736F"/>
    <w:rsid w:val="002E74FB"/>
    <w:rsid w:val="002E7752"/>
    <w:rsid w:val="002E7843"/>
    <w:rsid w:val="002E789F"/>
    <w:rsid w:val="002E795D"/>
    <w:rsid w:val="002E79BD"/>
    <w:rsid w:val="002F0651"/>
    <w:rsid w:val="002F07AD"/>
    <w:rsid w:val="002F1C69"/>
    <w:rsid w:val="002F2888"/>
    <w:rsid w:val="002F2B65"/>
    <w:rsid w:val="002F2F19"/>
    <w:rsid w:val="002F3761"/>
    <w:rsid w:val="002F3B45"/>
    <w:rsid w:val="002F417A"/>
    <w:rsid w:val="002F4E26"/>
    <w:rsid w:val="002F58A2"/>
    <w:rsid w:val="002F595E"/>
    <w:rsid w:val="002F59AD"/>
    <w:rsid w:val="002F59B3"/>
    <w:rsid w:val="002F5AD7"/>
    <w:rsid w:val="002F6BB9"/>
    <w:rsid w:val="002F779F"/>
    <w:rsid w:val="00300B46"/>
    <w:rsid w:val="00301313"/>
    <w:rsid w:val="0030136A"/>
    <w:rsid w:val="00301575"/>
    <w:rsid w:val="00301976"/>
    <w:rsid w:val="00302632"/>
    <w:rsid w:val="00302923"/>
    <w:rsid w:val="00302DEA"/>
    <w:rsid w:val="00303A38"/>
    <w:rsid w:val="00303DFF"/>
    <w:rsid w:val="0030411E"/>
    <w:rsid w:val="0030465B"/>
    <w:rsid w:val="00304A2F"/>
    <w:rsid w:val="00305334"/>
    <w:rsid w:val="003059B8"/>
    <w:rsid w:val="003061F1"/>
    <w:rsid w:val="003067DE"/>
    <w:rsid w:val="00306F4F"/>
    <w:rsid w:val="00307A50"/>
    <w:rsid w:val="00310243"/>
    <w:rsid w:val="00310B14"/>
    <w:rsid w:val="00310B25"/>
    <w:rsid w:val="00311152"/>
    <w:rsid w:val="00313661"/>
    <w:rsid w:val="00314087"/>
    <w:rsid w:val="003145DE"/>
    <w:rsid w:val="00315735"/>
    <w:rsid w:val="00315757"/>
    <w:rsid w:val="00315EAB"/>
    <w:rsid w:val="00316615"/>
    <w:rsid w:val="00316D6D"/>
    <w:rsid w:val="0031716F"/>
    <w:rsid w:val="003173D1"/>
    <w:rsid w:val="00317C56"/>
    <w:rsid w:val="0032051B"/>
    <w:rsid w:val="003208E2"/>
    <w:rsid w:val="00320CF6"/>
    <w:rsid w:val="0032117B"/>
    <w:rsid w:val="003212AA"/>
    <w:rsid w:val="00321D32"/>
    <w:rsid w:val="00323358"/>
    <w:rsid w:val="003245CD"/>
    <w:rsid w:val="00325307"/>
    <w:rsid w:val="00325426"/>
    <w:rsid w:val="0032565A"/>
    <w:rsid w:val="00325E27"/>
    <w:rsid w:val="00325E3C"/>
    <w:rsid w:val="0032642A"/>
    <w:rsid w:val="00326824"/>
    <w:rsid w:val="00326ABE"/>
    <w:rsid w:val="00326BFF"/>
    <w:rsid w:val="00326CF0"/>
    <w:rsid w:val="003273C7"/>
    <w:rsid w:val="00327694"/>
    <w:rsid w:val="00327B62"/>
    <w:rsid w:val="00330186"/>
    <w:rsid w:val="00330814"/>
    <w:rsid w:val="00330FA7"/>
    <w:rsid w:val="0033117C"/>
    <w:rsid w:val="00331495"/>
    <w:rsid w:val="00331878"/>
    <w:rsid w:val="0033200B"/>
    <w:rsid w:val="003325E2"/>
    <w:rsid w:val="003326AC"/>
    <w:rsid w:val="00332ACB"/>
    <w:rsid w:val="00332FA1"/>
    <w:rsid w:val="00333951"/>
    <w:rsid w:val="00333A7A"/>
    <w:rsid w:val="00333F16"/>
    <w:rsid w:val="00336264"/>
    <w:rsid w:val="0033626E"/>
    <w:rsid w:val="00336CB8"/>
    <w:rsid w:val="00336FCA"/>
    <w:rsid w:val="003376F2"/>
    <w:rsid w:val="00337D6C"/>
    <w:rsid w:val="003404D0"/>
    <w:rsid w:val="0034131C"/>
    <w:rsid w:val="00341494"/>
    <w:rsid w:val="00341659"/>
    <w:rsid w:val="0034208F"/>
    <w:rsid w:val="0034257E"/>
    <w:rsid w:val="00342D0A"/>
    <w:rsid w:val="00343720"/>
    <w:rsid w:val="00343734"/>
    <w:rsid w:val="0034400C"/>
    <w:rsid w:val="00344E0E"/>
    <w:rsid w:val="003450A3"/>
    <w:rsid w:val="00345285"/>
    <w:rsid w:val="00345613"/>
    <w:rsid w:val="0034603D"/>
    <w:rsid w:val="003476A0"/>
    <w:rsid w:val="003501CD"/>
    <w:rsid w:val="00350617"/>
    <w:rsid w:val="00351147"/>
    <w:rsid w:val="00351158"/>
    <w:rsid w:val="00351262"/>
    <w:rsid w:val="0035154E"/>
    <w:rsid w:val="003526FA"/>
    <w:rsid w:val="0035278E"/>
    <w:rsid w:val="00353872"/>
    <w:rsid w:val="00353BB7"/>
    <w:rsid w:val="0035490D"/>
    <w:rsid w:val="00354A84"/>
    <w:rsid w:val="00354D6A"/>
    <w:rsid w:val="00354DBE"/>
    <w:rsid w:val="00355968"/>
    <w:rsid w:val="00355D7C"/>
    <w:rsid w:val="00355EF8"/>
    <w:rsid w:val="00356738"/>
    <w:rsid w:val="00356A70"/>
    <w:rsid w:val="00356F0A"/>
    <w:rsid w:val="00356F6D"/>
    <w:rsid w:val="003572E7"/>
    <w:rsid w:val="00357518"/>
    <w:rsid w:val="00360216"/>
    <w:rsid w:val="00360325"/>
    <w:rsid w:val="00360775"/>
    <w:rsid w:val="00361CB5"/>
    <w:rsid w:val="00361E7A"/>
    <w:rsid w:val="00362981"/>
    <w:rsid w:val="00362EF7"/>
    <w:rsid w:val="00363150"/>
    <w:rsid w:val="003632FA"/>
    <w:rsid w:val="003633D6"/>
    <w:rsid w:val="00363543"/>
    <w:rsid w:val="00363D01"/>
    <w:rsid w:val="00364011"/>
    <w:rsid w:val="0036488B"/>
    <w:rsid w:val="00364931"/>
    <w:rsid w:val="00364ADF"/>
    <w:rsid w:val="0036519B"/>
    <w:rsid w:val="0036576B"/>
    <w:rsid w:val="00366447"/>
    <w:rsid w:val="003665A9"/>
    <w:rsid w:val="00367065"/>
    <w:rsid w:val="00370541"/>
    <w:rsid w:val="003709D0"/>
    <w:rsid w:val="00370B59"/>
    <w:rsid w:val="003712A4"/>
    <w:rsid w:val="00371360"/>
    <w:rsid w:val="00372145"/>
    <w:rsid w:val="003721A2"/>
    <w:rsid w:val="003733E0"/>
    <w:rsid w:val="003742AD"/>
    <w:rsid w:val="00374696"/>
    <w:rsid w:val="00375260"/>
    <w:rsid w:val="00375309"/>
    <w:rsid w:val="0037540C"/>
    <w:rsid w:val="00377CF3"/>
    <w:rsid w:val="00380251"/>
    <w:rsid w:val="00380C52"/>
    <w:rsid w:val="00380E62"/>
    <w:rsid w:val="00381DB9"/>
    <w:rsid w:val="00382359"/>
    <w:rsid w:val="003826F9"/>
    <w:rsid w:val="00382803"/>
    <w:rsid w:val="0038392C"/>
    <w:rsid w:val="00383E3F"/>
    <w:rsid w:val="00383EDF"/>
    <w:rsid w:val="003850C6"/>
    <w:rsid w:val="003851F7"/>
    <w:rsid w:val="003864D0"/>
    <w:rsid w:val="003867FD"/>
    <w:rsid w:val="00386F56"/>
    <w:rsid w:val="003874D6"/>
    <w:rsid w:val="00387563"/>
    <w:rsid w:val="00387652"/>
    <w:rsid w:val="003902AD"/>
    <w:rsid w:val="003904FA"/>
    <w:rsid w:val="00390542"/>
    <w:rsid w:val="00390A34"/>
    <w:rsid w:val="00390D70"/>
    <w:rsid w:val="00391274"/>
    <w:rsid w:val="00391358"/>
    <w:rsid w:val="003917E1"/>
    <w:rsid w:val="003918B1"/>
    <w:rsid w:val="00391B50"/>
    <w:rsid w:val="00391E17"/>
    <w:rsid w:val="00391EFD"/>
    <w:rsid w:val="0039280F"/>
    <w:rsid w:val="003931EC"/>
    <w:rsid w:val="00393E07"/>
    <w:rsid w:val="00394317"/>
    <w:rsid w:val="00394E8F"/>
    <w:rsid w:val="00394F82"/>
    <w:rsid w:val="003951B2"/>
    <w:rsid w:val="0039604A"/>
    <w:rsid w:val="0039721C"/>
    <w:rsid w:val="003978F0"/>
    <w:rsid w:val="00397C61"/>
    <w:rsid w:val="003A070F"/>
    <w:rsid w:val="003A0F0C"/>
    <w:rsid w:val="003A1392"/>
    <w:rsid w:val="003A1773"/>
    <w:rsid w:val="003A1C8B"/>
    <w:rsid w:val="003A21E0"/>
    <w:rsid w:val="003A272F"/>
    <w:rsid w:val="003A27B6"/>
    <w:rsid w:val="003A3109"/>
    <w:rsid w:val="003A3456"/>
    <w:rsid w:val="003A4468"/>
    <w:rsid w:val="003A5566"/>
    <w:rsid w:val="003A68DF"/>
    <w:rsid w:val="003A70E7"/>
    <w:rsid w:val="003A796B"/>
    <w:rsid w:val="003A7F30"/>
    <w:rsid w:val="003B0620"/>
    <w:rsid w:val="003B0AF8"/>
    <w:rsid w:val="003B1348"/>
    <w:rsid w:val="003B17F4"/>
    <w:rsid w:val="003B1D19"/>
    <w:rsid w:val="003B2440"/>
    <w:rsid w:val="003B276F"/>
    <w:rsid w:val="003B2CCE"/>
    <w:rsid w:val="003B308D"/>
    <w:rsid w:val="003B35C4"/>
    <w:rsid w:val="003B3E74"/>
    <w:rsid w:val="003B4294"/>
    <w:rsid w:val="003B42D9"/>
    <w:rsid w:val="003B5970"/>
    <w:rsid w:val="003B5C76"/>
    <w:rsid w:val="003B5D45"/>
    <w:rsid w:val="003B67CB"/>
    <w:rsid w:val="003B6BEC"/>
    <w:rsid w:val="003B78AB"/>
    <w:rsid w:val="003C0020"/>
    <w:rsid w:val="003C03FA"/>
    <w:rsid w:val="003C09E8"/>
    <w:rsid w:val="003C12F4"/>
    <w:rsid w:val="003C130F"/>
    <w:rsid w:val="003C1759"/>
    <w:rsid w:val="003C1FD4"/>
    <w:rsid w:val="003C2788"/>
    <w:rsid w:val="003C29ED"/>
    <w:rsid w:val="003C30B4"/>
    <w:rsid w:val="003C425F"/>
    <w:rsid w:val="003C43BB"/>
    <w:rsid w:val="003C44FC"/>
    <w:rsid w:val="003C45A6"/>
    <w:rsid w:val="003C45FA"/>
    <w:rsid w:val="003C4A4C"/>
    <w:rsid w:val="003C4C2D"/>
    <w:rsid w:val="003C4F2D"/>
    <w:rsid w:val="003C55BB"/>
    <w:rsid w:val="003C57A5"/>
    <w:rsid w:val="003C598E"/>
    <w:rsid w:val="003C5BED"/>
    <w:rsid w:val="003C71E6"/>
    <w:rsid w:val="003C726F"/>
    <w:rsid w:val="003C741A"/>
    <w:rsid w:val="003C7A98"/>
    <w:rsid w:val="003D0678"/>
    <w:rsid w:val="003D0DEB"/>
    <w:rsid w:val="003D1042"/>
    <w:rsid w:val="003D164C"/>
    <w:rsid w:val="003D1DAB"/>
    <w:rsid w:val="003D26CE"/>
    <w:rsid w:val="003D2736"/>
    <w:rsid w:val="003D5134"/>
    <w:rsid w:val="003D586E"/>
    <w:rsid w:val="003D5944"/>
    <w:rsid w:val="003D66A3"/>
    <w:rsid w:val="003D7099"/>
    <w:rsid w:val="003D75A7"/>
    <w:rsid w:val="003E11F7"/>
    <w:rsid w:val="003E200D"/>
    <w:rsid w:val="003E221D"/>
    <w:rsid w:val="003E2E29"/>
    <w:rsid w:val="003E37ED"/>
    <w:rsid w:val="003E54FA"/>
    <w:rsid w:val="003E59B1"/>
    <w:rsid w:val="003E5D07"/>
    <w:rsid w:val="003E6121"/>
    <w:rsid w:val="003E6A09"/>
    <w:rsid w:val="003E6C8C"/>
    <w:rsid w:val="003F013D"/>
    <w:rsid w:val="003F0604"/>
    <w:rsid w:val="003F0DB2"/>
    <w:rsid w:val="003F2009"/>
    <w:rsid w:val="003F23E8"/>
    <w:rsid w:val="003F24CD"/>
    <w:rsid w:val="003F2BBE"/>
    <w:rsid w:val="003F2EED"/>
    <w:rsid w:val="003F2F22"/>
    <w:rsid w:val="003F34E4"/>
    <w:rsid w:val="003F3B24"/>
    <w:rsid w:val="003F3D6B"/>
    <w:rsid w:val="003F3EC7"/>
    <w:rsid w:val="003F41F3"/>
    <w:rsid w:val="003F4B46"/>
    <w:rsid w:val="003F4D7E"/>
    <w:rsid w:val="003F4E9A"/>
    <w:rsid w:val="003F51D1"/>
    <w:rsid w:val="003F5682"/>
    <w:rsid w:val="003F5D74"/>
    <w:rsid w:val="003F5EDC"/>
    <w:rsid w:val="003F655A"/>
    <w:rsid w:val="003F76C3"/>
    <w:rsid w:val="003F76DD"/>
    <w:rsid w:val="003F7E43"/>
    <w:rsid w:val="003F7FE5"/>
    <w:rsid w:val="00400660"/>
    <w:rsid w:val="00400A2D"/>
    <w:rsid w:val="004016F8"/>
    <w:rsid w:val="004019B3"/>
    <w:rsid w:val="0040294B"/>
    <w:rsid w:val="00402B2E"/>
    <w:rsid w:val="00402F91"/>
    <w:rsid w:val="0040338D"/>
    <w:rsid w:val="00403686"/>
    <w:rsid w:val="00403C79"/>
    <w:rsid w:val="00404E7D"/>
    <w:rsid w:val="004051D8"/>
    <w:rsid w:val="00405502"/>
    <w:rsid w:val="004059BF"/>
    <w:rsid w:val="00405DBD"/>
    <w:rsid w:val="0040613A"/>
    <w:rsid w:val="0040697A"/>
    <w:rsid w:val="00406ADE"/>
    <w:rsid w:val="00406C03"/>
    <w:rsid w:val="00406CF9"/>
    <w:rsid w:val="00407731"/>
    <w:rsid w:val="00410296"/>
    <w:rsid w:val="00410972"/>
    <w:rsid w:val="0041109A"/>
    <w:rsid w:val="004113D9"/>
    <w:rsid w:val="00411669"/>
    <w:rsid w:val="00411A14"/>
    <w:rsid w:val="00412121"/>
    <w:rsid w:val="00412E35"/>
    <w:rsid w:val="004139C1"/>
    <w:rsid w:val="004140E4"/>
    <w:rsid w:val="004146AA"/>
    <w:rsid w:val="004148F5"/>
    <w:rsid w:val="0041597D"/>
    <w:rsid w:val="00416598"/>
    <w:rsid w:val="004167D1"/>
    <w:rsid w:val="00416BBC"/>
    <w:rsid w:val="00416FA6"/>
    <w:rsid w:val="00417185"/>
    <w:rsid w:val="00417B43"/>
    <w:rsid w:val="00417CAC"/>
    <w:rsid w:val="00420566"/>
    <w:rsid w:val="00420C19"/>
    <w:rsid w:val="00422DD3"/>
    <w:rsid w:val="00422EEA"/>
    <w:rsid w:val="0042305D"/>
    <w:rsid w:val="00423176"/>
    <w:rsid w:val="00424706"/>
    <w:rsid w:val="00424A4A"/>
    <w:rsid w:val="00424C5A"/>
    <w:rsid w:val="00426FD8"/>
    <w:rsid w:val="0043012D"/>
    <w:rsid w:val="00430E1C"/>
    <w:rsid w:val="00431AE4"/>
    <w:rsid w:val="00432133"/>
    <w:rsid w:val="00432330"/>
    <w:rsid w:val="00432EED"/>
    <w:rsid w:val="0043334D"/>
    <w:rsid w:val="00433999"/>
    <w:rsid w:val="00433CC3"/>
    <w:rsid w:val="00434583"/>
    <w:rsid w:val="00434941"/>
    <w:rsid w:val="0043501C"/>
    <w:rsid w:val="004359DC"/>
    <w:rsid w:val="0043653E"/>
    <w:rsid w:val="004371CA"/>
    <w:rsid w:val="0044079C"/>
    <w:rsid w:val="00440BCB"/>
    <w:rsid w:val="0044103A"/>
    <w:rsid w:val="00441377"/>
    <w:rsid w:val="004413B9"/>
    <w:rsid w:val="00441A02"/>
    <w:rsid w:val="00441E93"/>
    <w:rsid w:val="00442012"/>
    <w:rsid w:val="00442458"/>
    <w:rsid w:val="00442EC5"/>
    <w:rsid w:val="004438D2"/>
    <w:rsid w:val="00443943"/>
    <w:rsid w:val="004440FF"/>
    <w:rsid w:val="00444E60"/>
    <w:rsid w:val="00446515"/>
    <w:rsid w:val="00446AB7"/>
    <w:rsid w:val="0044751C"/>
    <w:rsid w:val="004477CA"/>
    <w:rsid w:val="00447A5D"/>
    <w:rsid w:val="00447DB9"/>
    <w:rsid w:val="0045027A"/>
    <w:rsid w:val="00450391"/>
    <w:rsid w:val="004506F1"/>
    <w:rsid w:val="004509F0"/>
    <w:rsid w:val="00450CAE"/>
    <w:rsid w:val="00450D09"/>
    <w:rsid w:val="00451996"/>
    <w:rsid w:val="004520CE"/>
    <w:rsid w:val="00453297"/>
    <w:rsid w:val="00453F64"/>
    <w:rsid w:val="00454F88"/>
    <w:rsid w:val="00456280"/>
    <w:rsid w:val="00456B39"/>
    <w:rsid w:val="0045715D"/>
    <w:rsid w:val="004575AC"/>
    <w:rsid w:val="00457709"/>
    <w:rsid w:val="004578A6"/>
    <w:rsid w:val="0046013C"/>
    <w:rsid w:val="00460496"/>
    <w:rsid w:val="00460CC1"/>
    <w:rsid w:val="00460FDF"/>
    <w:rsid w:val="00461E9E"/>
    <w:rsid w:val="0046273A"/>
    <w:rsid w:val="00463B3B"/>
    <w:rsid w:val="00463EE5"/>
    <w:rsid w:val="004643C5"/>
    <w:rsid w:val="0046452C"/>
    <w:rsid w:val="00464BFD"/>
    <w:rsid w:val="00465189"/>
    <w:rsid w:val="004657FC"/>
    <w:rsid w:val="004662BD"/>
    <w:rsid w:val="004663A6"/>
    <w:rsid w:val="00466C0E"/>
    <w:rsid w:val="00467038"/>
    <w:rsid w:val="00467207"/>
    <w:rsid w:val="004707F5"/>
    <w:rsid w:val="00471A5C"/>
    <w:rsid w:val="0047289F"/>
    <w:rsid w:val="0047393A"/>
    <w:rsid w:val="00474422"/>
    <w:rsid w:val="00475710"/>
    <w:rsid w:val="00475BC8"/>
    <w:rsid w:val="00476C25"/>
    <w:rsid w:val="00476EC0"/>
    <w:rsid w:val="004778FA"/>
    <w:rsid w:val="00477ABD"/>
    <w:rsid w:val="00477C6A"/>
    <w:rsid w:val="0048054A"/>
    <w:rsid w:val="00480D9A"/>
    <w:rsid w:val="004813D6"/>
    <w:rsid w:val="00481761"/>
    <w:rsid w:val="00482895"/>
    <w:rsid w:val="004828A5"/>
    <w:rsid w:val="00482DEE"/>
    <w:rsid w:val="004835C3"/>
    <w:rsid w:val="0048363E"/>
    <w:rsid w:val="00483B62"/>
    <w:rsid w:val="0048456B"/>
    <w:rsid w:val="00484906"/>
    <w:rsid w:val="0048494E"/>
    <w:rsid w:val="00484B54"/>
    <w:rsid w:val="00485493"/>
    <w:rsid w:val="00485D4A"/>
    <w:rsid w:val="00485DEB"/>
    <w:rsid w:val="00486AA1"/>
    <w:rsid w:val="00486EF8"/>
    <w:rsid w:val="00487592"/>
    <w:rsid w:val="00490747"/>
    <w:rsid w:val="0049092B"/>
    <w:rsid w:val="00490EF8"/>
    <w:rsid w:val="00491768"/>
    <w:rsid w:val="004919F3"/>
    <w:rsid w:val="00491DF6"/>
    <w:rsid w:val="00493138"/>
    <w:rsid w:val="004936CC"/>
    <w:rsid w:val="0049381C"/>
    <w:rsid w:val="00494BEF"/>
    <w:rsid w:val="0049526D"/>
    <w:rsid w:val="0049647B"/>
    <w:rsid w:val="0049664F"/>
    <w:rsid w:val="0049688D"/>
    <w:rsid w:val="0049691F"/>
    <w:rsid w:val="00496A2C"/>
    <w:rsid w:val="00497422"/>
    <w:rsid w:val="004976C4"/>
    <w:rsid w:val="004A0497"/>
    <w:rsid w:val="004A0564"/>
    <w:rsid w:val="004A0C64"/>
    <w:rsid w:val="004A0F58"/>
    <w:rsid w:val="004A14D8"/>
    <w:rsid w:val="004A172F"/>
    <w:rsid w:val="004A19D3"/>
    <w:rsid w:val="004A2674"/>
    <w:rsid w:val="004A26A9"/>
    <w:rsid w:val="004A26CC"/>
    <w:rsid w:val="004A276C"/>
    <w:rsid w:val="004A2CEE"/>
    <w:rsid w:val="004A3087"/>
    <w:rsid w:val="004A3141"/>
    <w:rsid w:val="004A4374"/>
    <w:rsid w:val="004A4706"/>
    <w:rsid w:val="004A4756"/>
    <w:rsid w:val="004A48CC"/>
    <w:rsid w:val="004A4B19"/>
    <w:rsid w:val="004A4CDD"/>
    <w:rsid w:val="004A60FF"/>
    <w:rsid w:val="004A68BF"/>
    <w:rsid w:val="004A6EB7"/>
    <w:rsid w:val="004A73A8"/>
    <w:rsid w:val="004A7CE1"/>
    <w:rsid w:val="004B0428"/>
    <w:rsid w:val="004B0E4C"/>
    <w:rsid w:val="004B12B9"/>
    <w:rsid w:val="004B155C"/>
    <w:rsid w:val="004B308B"/>
    <w:rsid w:val="004B3A39"/>
    <w:rsid w:val="004B3F43"/>
    <w:rsid w:val="004B45A5"/>
    <w:rsid w:val="004B5033"/>
    <w:rsid w:val="004B7569"/>
    <w:rsid w:val="004B75E6"/>
    <w:rsid w:val="004C0C95"/>
    <w:rsid w:val="004C0F46"/>
    <w:rsid w:val="004C1162"/>
    <w:rsid w:val="004C14D6"/>
    <w:rsid w:val="004C1B56"/>
    <w:rsid w:val="004C1B5E"/>
    <w:rsid w:val="004C24BB"/>
    <w:rsid w:val="004C449C"/>
    <w:rsid w:val="004C4736"/>
    <w:rsid w:val="004C4845"/>
    <w:rsid w:val="004C540F"/>
    <w:rsid w:val="004C5C9A"/>
    <w:rsid w:val="004C617F"/>
    <w:rsid w:val="004C65CF"/>
    <w:rsid w:val="004C6636"/>
    <w:rsid w:val="004C71C2"/>
    <w:rsid w:val="004C7873"/>
    <w:rsid w:val="004D02D7"/>
    <w:rsid w:val="004D061F"/>
    <w:rsid w:val="004D0AC1"/>
    <w:rsid w:val="004D1416"/>
    <w:rsid w:val="004D2028"/>
    <w:rsid w:val="004D2413"/>
    <w:rsid w:val="004D325C"/>
    <w:rsid w:val="004D4282"/>
    <w:rsid w:val="004D4F77"/>
    <w:rsid w:val="004D4FF1"/>
    <w:rsid w:val="004D57C1"/>
    <w:rsid w:val="004D708C"/>
    <w:rsid w:val="004D720B"/>
    <w:rsid w:val="004D73D1"/>
    <w:rsid w:val="004D7959"/>
    <w:rsid w:val="004E0B7E"/>
    <w:rsid w:val="004E147E"/>
    <w:rsid w:val="004E1EAB"/>
    <w:rsid w:val="004E20B2"/>
    <w:rsid w:val="004E26E9"/>
    <w:rsid w:val="004E2BAD"/>
    <w:rsid w:val="004E2BC1"/>
    <w:rsid w:val="004E2C73"/>
    <w:rsid w:val="004E31CD"/>
    <w:rsid w:val="004E343C"/>
    <w:rsid w:val="004E3DEE"/>
    <w:rsid w:val="004E4970"/>
    <w:rsid w:val="004E4A09"/>
    <w:rsid w:val="004E4A86"/>
    <w:rsid w:val="004E50A3"/>
    <w:rsid w:val="004E5A0C"/>
    <w:rsid w:val="004E6339"/>
    <w:rsid w:val="004E679F"/>
    <w:rsid w:val="004E6995"/>
    <w:rsid w:val="004E6BF5"/>
    <w:rsid w:val="004E6F61"/>
    <w:rsid w:val="004F01A1"/>
    <w:rsid w:val="004F03E6"/>
    <w:rsid w:val="004F04CA"/>
    <w:rsid w:val="004F0B1F"/>
    <w:rsid w:val="004F0C79"/>
    <w:rsid w:val="004F116F"/>
    <w:rsid w:val="004F12AA"/>
    <w:rsid w:val="004F13AB"/>
    <w:rsid w:val="004F15B4"/>
    <w:rsid w:val="004F3328"/>
    <w:rsid w:val="004F33F5"/>
    <w:rsid w:val="004F35FC"/>
    <w:rsid w:val="004F36F4"/>
    <w:rsid w:val="004F3BCC"/>
    <w:rsid w:val="004F3F37"/>
    <w:rsid w:val="004F4E9F"/>
    <w:rsid w:val="004F50CD"/>
    <w:rsid w:val="004F538D"/>
    <w:rsid w:val="004F5936"/>
    <w:rsid w:val="004F71D4"/>
    <w:rsid w:val="00500BE2"/>
    <w:rsid w:val="00500D03"/>
    <w:rsid w:val="00500D76"/>
    <w:rsid w:val="005020AB"/>
    <w:rsid w:val="0050212D"/>
    <w:rsid w:val="005027E7"/>
    <w:rsid w:val="0050284F"/>
    <w:rsid w:val="00502A62"/>
    <w:rsid w:val="00502DAC"/>
    <w:rsid w:val="005035BB"/>
    <w:rsid w:val="0050369A"/>
    <w:rsid w:val="00503AA2"/>
    <w:rsid w:val="00503D7F"/>
    <w:rsid w:val="00503EB5"/>
    <w:rsid w:val="00503F24"/>
    <w:rsid w:val="00504415"/>
    <w:rsid w:val="0050481D"/>
    <w:rsid w:val="00504954"/>
    <w:rsid w:val="005049F6"/>
    <w:rsid w:val="00504F1D"/>
    <w:rsid w:val="005059F8"/>
    <w:rsid w:val="00505FB8"/>
    <w:rsid w:val="00506034"/>
    <w:rsid w:val="00506F6B"/>
    <w:rsid w:val="00507630"/>
    <w:rsid w:val="00507975"/>
    <w:rsid w:val="00507D74"/>
    <w:rsid w:val="00507E29"/>
    <w:rsid w:val="00510377"/>
    <w:rsid w:val="00510981"/>
    <w:rsid w:val="005109F1"/>
    <w:rsid w:val="00510C15"/>
    <w:rsid w:val="0051246D"/>
    <w:rsid w:val="00513046"/>
    <w:rsid w:val="00513661"/>
    <w:rsid w:val="00513A0D"/>
    <w:rsid w:val="00514144"/>
    <w:rsid w:val="005144AF"/>
    <w:rsid w:val="00514559"/>
    <w:rsid w:val="00514876"/>
    <w:rsid w:val="005148DE"/>
    <w:rsid w:val="00514944"/>
    <w:rsid w:val="00514B27"/>
    <w:rsid w:val="00514B34"/>
    <w:rsid w:val="00514CD2"/>
    <w:rsid w:val="00515397"/>
    <w:rsid w:val="0051547B"/>
    <w:rsid w:val="0051618F"/>
    <w:rsid w:val="00516395"/>
    <w:rsid w:val="00516855"/>
    <w:rsid w:val="00516869"/>
    <w:rsid w:val="00517462"/>
    <w:rsid w:val="0051762D"/>
    <w:rsid w:val="0051799C"/>
    <w:rsid w:val="00517E9A"/>
    <w:rsid w:val="00521110"/>
    <w:rsid w:val="00521220"/>
    <w:rsid w:val="00521B1A"/>
    <w:rsid w:val="00521F45"/>
    <w:rsid w:val="0052239C"/>
    <w:rsid w:val="00522714"/>
    <w:rsid w:val="00522A61"/>
    <w:rsid w:val="00522B90"/>
    <w:rsid w:val="00522DCD"/>
    <w:rsid w:val="00523FCB"/>
    <w:rsid w:val="0052412A"/>
    <w:rsid w:val="00524648"/>
    <w:rsid w:val="00524CD6"/>
    <w:rsid w:val="00525CA4"/>
    <w:rsid w:val="00525DAE"/>
    <w:rsid w:val="00526749"/>
    <w:rsid w:val="005267C6"/>
    <w:rsid w:val="0052683A"/>
    <w:rsid w:val="00526860"/>
    <w:rsid w:val="0052699A"/>
    <w:rsid w:val="00527502"/>
    <w:rsid w:val="00527708"/>
    <w:rsid w:val="00530316"/>
    <w:rsid w:val="0053063B"/>
    <w:rsid w:val="00530A87"/>
    <w:rsid w:val="00530B3A"/>
    <w:rsid w:val="00531E94"/>
    <w:rsid w:val="005333A5"/>
    <w:rsid w:val="005334D9"/>
    <w:rsid w:val="00533B5B"/>
    <w:rsid w:val="00533EDC"/>
    <w:rsid w:val="0053482D"/>
    <w:rsid w:val="005350A4"/>
    <w:rsid w:val="00535340"/>
    <w:rsid w:val="005353A0"/>
    <w:rsid w:val="00536EB4"/>
    <w:rsid w:val="00537245"/>
    <w:rsid w:val="005379A7"/>
    <w:rsid w:val="00537F3A"/>
    <w:rsid w:val="0054023F"/>
    <w:rsid w:val="00540433"/>
    <w:rsid w:val="00541437"/>
    <w:rsid w:val="00541C24"/>
    <w:rsid w:val="00541F20"/>
    <w:rsid w:val="00542294"/>
    <w:rsid w:val="00542DDF"/>
    <w:rsid w:val="00542FB2"/>
    <w:rsid w:val="0054315F"/>
    <w:rsid w:val="005442B5"/>
    <w:rsid w:val="00544736"/>
    <w:rsid w:val="0054495E"/>
    <w:rsid w:val="005451DA"/>
    <w:rsid w:val="00545EEE"/>
    <w:rsid w:val="005468AD"/>
    <w:rsid w:val="00547269"/>
    <w:rsid w:val="005472EE"/>
    <w:rsid w:val="005478A4"/>
    <w:rsid w:val="005504D0"/>
    <w:rsid w:val="0055052E"/>
    <w:rsid w:val="00550726"/>
    <w:rsid w:val="00550AFB"/>
    <w:rsid w:val="00550EEF"/>
    <w:rsid w:val="0055153F"/>
    <w:rsid w:val="005517B3"/>
    <w:rsid w:val="00551AD4"/>
    <w:rsid w:val="00551DA7"/>
    <w:rsid w:val="00552838"/>
    <w:rsid w:val="00554001"/>
    <w:rsid w:val="0055459B"/>
    <w:rsid w:val="00554FF9"/>
    <w:rsid w:val="00555496"/>
    <w:rsid w:val="0055562E"/>
    <w:rsid w:val="00555648"/>
    <w:rsid w:val="00556685"/>
    <w:rsid w:val="00556A20"/>
    <w:rsid w:val="005570B9"/>
    <w:rsid w:val="005607D8"/>
    <w:rsid w:val="005608E1"/>
    <w:rsid w:val="00560F25"/>
    <w:rsid w:val="00561419"/>
    <w:rsid w:val="00561C55"/>
    <w:rsid w:val="00561EDB"/>
    <w:rsid w:val="005621A3"/>
    <w:rsid w:val="005623CB"/>
    <w:rsid w:val="00562768"/>
    <w:rsid w:val="00562927"/>
    <w:rsid w:val="005630C2"/>
    <w:rsid w:val="00563127"/>
    <w:rsid w:val="00563298"/>
    <w:rsid w:val="00563893"/>
    <w:rsid w:val="00563A8A"/>
    <w:rsid w:val="00563D4A"/>
    <w:rsid w:val="00563E73"/>
    <w:rsid w:val="0056445C"/>
    <w:rsid w:val="0056483B"/>
    <w:rsid w:val="00564FA9"/>
    <w:rsid w:val="00565355"/>
    <w:rsid w:val="0056637D"/>
    <w:rsid w:val="00566B25"/>
    <w:rsid w:val="00567379"/>
    <w:rsid w:val="005674C7"/>
    <w:rsid w:val="00567E72"/>
    <w:rsid w:val="00570C54"/>
    <w:rsid w:val="005719A6"/>
    <w:rsid w:val="00572615"/>
    <w:rsid w:val="00572F15"/>
    <w:rsid w:val="00573084"/>
    <w:rsid w:val="005731BA"/>
    <w:rsid w:val="005737EE"/>
    <w:rsid w:val="00573F7E"/>
    <w:rsid w:val="00574137"/>
    <w:rsid w:val="005749B9"/>
    <w:rsid w:val="00575975"/>
    <w:rsid w:val="00575E33"/>
    <w:rsid w:val="0057710A"/>
    <w:rsid w:val="00580421"/>
    <w:rsid w:val="005806A9"/>
    <w:rsid w:val="0058098F"/>
    <w:rsid w:val="00580B66"/>
    <w:rsid w:val="00582023"/>
    <w:rsid w:val="00582180"/>
    <w:rsid w:val="00582766"/>
    <w:rsid w:val="00582BA5"/>
    <w:rsid w:val="00582C59"/>
    <w:rsid w:val="00582E77"/>
    <w:rsid w:val="00582EB9"/>
    <w:rsid w:val="00584C1D"/>
    <w:rsid w:val="00584E89"/>
    <w:rsid w:val="00586ECE"/>
    <w:rsid w:val="00587F0E"/>
    <w:rsid w:val="0059055F"/>
    <w:rsid w:val="005916C3"/>
    <w:rsid w:val="00591E25"/>
    <w:rsid w:val="00592635"/>
    <w:rsid w:val="00592667"/>
    <w:rsid w:val="00592C16"/>
    <w:rsid w:val="00592C7B"/>
    <w:rsid w:val="005934E2"/>
    <w:rsid w:val="00593F3E"/>
    <w:rsid w:val="00594081"/>
    <w:rsid w:val="0059541E"/>
    <w:rsid w:val="00595973"/>
    <w:rsid w:val="00595F9C"/>
    <w:rsid w:val="00596135"/>
    <w:rsid w:val="00596158"/>
    <w:rsid w:val="005965F7"/>
    <w:rsid w:val="0059749A"/>
    <w:rsid w:val="00597D6B"/>
    <w:rsid w:val="00597DD2"/>
    <w:rsid w:val="005A0907"/>
    <w:rsid w:val="005A1DA8"/>
    <w:rsid w:val="005A2F07"/>
    <w:rsid w:val="005A3BB2"/>
    <w:rsid w:val="005A4119"/>
    <w:rsid w:val="005A5017"/>
    <w:rsid w:val="005A5173"/>
    <w:rsid w:val="005A53F8"/>
    <w:rsid w:val="005A5724"/>
    <w:rsid w:val="005A5842"/>
    <w:rsid w:val="005A5B00"/>
    <w:rsid w:val="005A5B86"/>
    <w:rsid w:val="005A5F14"/>
    <w:rsid w:val="005A600D"/>
    <w:rsid w:val="005A6A32"/>
    <w:rsid w:val="005A6C4D"/>
    <w:rsid w:val="005A76B1"/>
    <w:rsid w:val="005B007D"/>
    <w:rsid w:val="005B063F"/>
    <w:rsid w:val="005B1A34"/>
    <w:rsid w:val="005B1FA8"/>
    <w:rsid w:val="005B20B7"/>
    <w:rsid w:val="005B3306"/>
    <w:rsid w:val="005B3DFB"/>
    <w:rsid w:val="005B3FDD"/>
    <w:rsid w:val="005B432E"/>
    <w:rsid w:val="005B43DE"/>
    <w:rsid w:val="005B5328"/>
    <w:rsid w:val="005B5ED0"/>
    <w:rsid w:val="005B61D6"/>
    <w:rsid w:val="005B6801"/>
    <w:rsid w:val="005B6EE3"/>
    <w:rsid w:val="005B72C1"/>
    <w:rsid w:val="005C083D"/>
    <w:rsid w:val="005C26D2"/>
    <w:rsid w:val="005C2E03"/>
    <w:rsid w:val="005C2E30"/>
    <w:rsid w:val="005C373A"/>
    <w:rsid w:val="005C39B8"/>
    <w:rsid w:val="005C416D"/>
    <w:rsid w:val="005C4310"/>
    <w:rsid w:val="005C45A2"/>
    <w:rsid w:val="005C4DD5"/>
    <w:rsid w:val="005C50F5"/>
    <w:rsid w:val="005C6D9D"/>
    <w:rsid w:val="005C6FEE"/>
    <w:rsid w:val="005C701E"/>
    <w:rsid w:val="005C717D"/>
    <w:rsid w:val="005C741F"/>
    <w:rsid w:val="005C776C"/>
    <w:rsid w:val="005C7A16"/>
    <w:rsid w:val="005D0B55"/>
    <w:rsid w:val="005D0BE5"/>
    <w:rsid w:val="005D1FE1"/>
    <w:rsid w:val="005D25E3"/>
    <w:rsid w:val="005D28AA"/>
    <w:rsid w:val="005D2CD3"/>
    <w:rsid w:val="005D2E9D"/>
    <w:rsid w:val="005D3E6C"/>
    <w:rsid w:val="005D3ED6"/>
    <w:rsid w:val="005D4033"/>
    <w:rsid w:val="005D4C69"/>
    <w:rsid w:val="005D4D1E"/>
    <w:rsid w:val="005D5B6B"/>
    <w:rsid w:val="005D69D1"/>
    <w:rsid w:val="005D716D"/>
    <w:rsid w:val="005D7516"/>
    <w:rsid w:val="005D7A47"/>
    <w:rsid w:val="005E01E7"/>
    <w:rsid w:val="005E0E32"/>
    <w:rsid w:val="005E206F"/>
    <w:rsid w:val="005E31A9"/>
    <w:rsid w:val="005E33F1"/>
    <w:rsid w:val="005E340A"/>
    <w:rsid w:val="005E370B"/>
    <w:rsid w:val="005E37E6"/>
    <w:rsid w:val="005E38A3"/>
    <w:rsid w:val="005E436C"/>
    <w:rsid w:val="005E4DDC"/>
    <w:rsid w:val="005E4EA0"/>
    <w:rsid w:val="005E56C5"/>
    <w:rsid w:val="005E65EC"/>
    <w:rsid w:val="005E6C6D"/>
    <w:rsid w:val="005E6D62"/>
    <w:rsid w:val="005E7112"/>
    <w:rsid w:val="005E7B1D"/>
    <w:rsid w:val="005F0594"/>
    <w:rsid w:val="005F17D7"/>
    <w:rsid w:val="005F1FEE"/>
    <w:rsid w:val="005F2052"/>
    <w:rsid w:val="005F2189"/>
    <w:rsid w:val="005F228C"/>
    <w:rsid w:val="005F25C2"/>
    <w:rsid w:val="005F2697"/>
    <w:rsid w:val="005F342F"/>
    <w:rsid w:val="005F35DA"/>
    <w:rsid w:val="005F35DE"/>
    <w:rsid w:val="005F3CA4"/>
    <w:rsid w:val="005F4126"/>
    <w:rsid w:val="005F4708"/>
    <w:rsid w:val="005F55EF"/>
    <w:rsid w:val="005F591B"/>
    <w:rsid w:val="005F5B3E"/>
    <w:rsid w:val="005F6328"/>
    <w:rsid w:val="005F6AC8"/>
    <w:rsid w:val="005F6CB4"/>
    <w:rsid w:val="0060020E"/>
    <w:rsid w:val="00600366"/>
    <w:rsid w:val="00600AD1"/>
    <w:rsid w:val="00600FB7"/>
    <w:rsid w:val="0060120F"/>
    <w:rsid w:val="006014B0"/>
    <w:rsid w:val="00601CD9"/>
    <w:rsid w:val="006024AD"/>
    <w:rsid w:val="00602A07"/>
    <w:rsid w:val="006034AB"/>
    <w:rsid w:val="00604076"/>
    <w:rsid w:val="006041FB"/>
    <w:rsid w:val="00604725"/>
    <w:rsid w:val="006048AC"/>
    <w:rsid w:val="00604982"/>
    <w:rsid w:val="00604C51"/>
    <w:rsid w:val="0060595D"/>
    <w:rsid w:val="006063F8"/>
    <w:rsid w:val="00606C33"/>
    <w:rsid w:val="00606D69"/>
    <w:rsid w:val="00607470"/>
    <w:rsid w:val="00607881"/>
    <w:rsid w:val="00607C0F"/>
    <w:rsid w:val="00612253"/>
    <w:rsid w:val="00612978"/>
    <w:rsid w:val="00612B90"/>
    <w:rsid w:val="00612DE1"/>
    <w:rsid w:val="00613E33"/>
    <w:rsid w:val="00613E77"/>
    <w:rsid w:val="00613F05"/>
    <w:rsid w:val="006145B5"/>
    <w:rsid w:val="006166DD"/>
    <w:rsid w:val="00616A42"/>
    <w:rsid w:val="00616BDC"/>
    <w:rsid w:val="00616DA2"/>
    <w:rsid w:val="006174A3"/>
    <w:rsid w:val="006178F7"/>
    <w:rsid w:val="00617A1A"/>
    <w:rsid w:val="006202E0"/>
    <w:rsid w:val="0062054C"/>
    <w:rsid w:val="006214DF"/>
    <w:rsid w:val="006222C5"/>
    <w:rsid w:val="00622919"/>
    <w:rsid w:val="00623004"/>
    <w:rsid w:val="00623425"/>
    <w:rsid w:val="0062396D"/>
    <w:rsid w:val="00623C38"/>
    <w:rsid w:val="00624C8B"/>
    <w:rsid w:val="00624CF4"/>
    <w:rsid w:val="006251B0"/>
    <w:rsid w:val="006253C9"/>
    <w:rsid w:val="0062645A"/>
    <w:rsid w:val="006269AD"/>
    <w:rsid w:val="00626BA8"/>
    <w:rsid w:val="006278CA"/>
    <w:rsid w:val="00627DD0"/>
    <w:rsid w:val="00627E1D"/>
    <w:rsid w:val="0063004D"/>
    <w:rsid w:val="00630201"/>
    <w:rsid w:val="00630876"/>
    <w:rsid w:val="006315E2"/>
    <w:rsid w:val="00631ABB"/>
    <w:rsid w:val="00631B49"/>
    <w:rsid w:val="00632027"/>
    <w:rsid w:val="006321A7"/>
    <w:rsid w:val="00632319"/>
    <w:rsid w:val="0063295E"/>
    <w:rsid w:val="0063323D"/>
    <w:rsid w:val="0063330A"/>
    <w:rsid w:val="00633DEF"/>
    <w:rsid w:val="00633E4C"/>
    <w:rsid w:val="006345E4"/>
    <w:rsid w:val="00634673"/>
    <w:rsid w:val="006346EA"/>
    <w:rsid w:val="00634BDA"/>
    <w:rsid w:val="00635805"/>
    <w:rsid w:val="006358D4"/>
    <w:rsid w:val="00635A14"/>
    <w:rsid w:val="00635DF3"/>
    <w:rsid w:val="00636AA4"/>
    <w:rsid w:val="00636C50"/>
    <w:rsid w:val="00637AD6"/>
    <w:rsid w:val="00637CA2"/>
    <w:rsid w:val="00640086"/>
    <w:rsid w:val="00640398"/>
    <w:rsid w:val="006407B8"/>
    <w:rsid w:val="00642111"/>
    <w:rsid w:val="00642832"/>
    <w:rsid w:val="006429F0"/>
    <w:rsid w:val="00642A6A"/>
    <w:rsid w:val="00642BF8"/>
    <w:rsid w:val="00642C3F"/>
    <w:rsid w:val="006444A4"/>
    <w:rsid w:val="00645A1F"/>
    <w:rsid w:val="00645B20"/>
    <w:rsid w:val="00645C03"/>
    <w:rsid w:val="00645F06"/>
    <w:rsid w:val="00646419"/>
    <w:rsid w:val="00646770"/>
    <w:rsid w:val="006476E7"/>
    <w:rsid w:val="00647C81"/>
    <w:rsid w:val="00647FE7"/>
    <w:rsid w:val="00650284"/>
    <w:rsid w:val="0065044A"/>
    <w:rsid w:val="006507A8"/>
    <w:rsid w:val="0065094E"/>
    <w:rsid w:val="006509E4"/>
    <w:rsid w:val="00650CF4"/>
    <w:rsid w:val="00652846"/>
    <w:rsid w:val="00653020"/>
    <w:rsid w:val="00653092"/>
    <w:rsid w:val="0065329E"/>
    <w:rsid w:val="006536C3"/>
    <w:rsid w:val="00654B06"/>
    <w:rsid w:val="00654D72"/>
    <w:rsid w:val="006556F6"/>
    <w:rsid w:val="0065578F"/>
    <w:rsid w:val="006559A9"/>
    <w:rsid w:val="00655F17"/>
    <w:rsid w:val="0065613B"/>
    <w:rsid w:val="0065643E"/>
    <w:rsid w:val="00656698"/>
    <w:rsid w:val="006573FB"/>
    <w:rsid w:val="0065798D"/>
    <w:rsid w:val="00657C2D"/>
    <w:rsid w:val="00657F64"/>
    <w:rsid w:val="00660836"/>
    <w:rsid w:val="00660ACB"/>
    <w:rsid w:val="00660AE7"/>
    <w:rsid w:val="006620E6"/>
    <w:rsid w:val="006629E0"/>
    <w:rsid w:val="00662D26"/>
    <w:rsid w:val="006635E9"/>
    <w:rsid w:val="006637BC"/>
    <w:rsid w:val="006638EA"/>
    <w:rsid w:val="00663AFF"/>
    <w:rsid w:val="00664580"/>
    <w:rsid w:val="00664A13"/>
    <w:rsid w:val="00664F10"/>
    <w:rsid w:val="006652D2"/>
    <w:rsid w:val="006655D2"/>
    <w:rsid w:val="006660F8"/>
    <w:rsid w:val="006663C7"/>
    <w:rsid w:val="00666B29"/>
    <w:rsid w:val="006672B1"/>
    <w:rsid w:val="00667443"/>
    <w:rsid w:val="006679BF"/>
    <w:rsid w:val="0067151A"/>
    <w:rsid w:val="006718D8"/>
    <w:rsid w:val="00671DA5"/>
    <w:rsid w:val="00673318"/>
    <w:rsid w:val="006737BA"/>
    <w:rsid w:val="00673894"/>
    <w:rsid w:val="006749C4"/>
    <w:rsid w:val="00675033"/>
    <w:rsid w:val="006750F9"/>
    <w:rsid w:val="006758E0"/>
    <w:rsid w:val="00676064"/>
    <w:rsid w:val="00676158"/>
    <w:rsid w:val="006762B4"/>
    <w:rsid w:val="00677246"/>
    <w:rsid w:val="00680423"/>
    <w:rsid w:val="00680F10"/>
    <w:rsid w:val="006818D1"/>
    <w:rsid w:val="00681F37"/>
    <w:rsid w:val="006827B7"/>
    <w:rsid w:val="006834AF"/>
    <w:rsid w:val="00683DAE"/>
    <w:rsid w:val="00684D46"/>
    <w:rsid w:val="00684EA9"/>
    <w:rsid w:val="00684F41"/>
    <w:rsid w:val="00685F8B"/>
    <w:rsid w:val="006860CE"/>
    <w:rsid w:val="0068665A"/>
    <w:rsid w:val="006867D6"/>
    <w:rsid w:val="00686C36"/>
    <w:rsid w:val="00687488"/>
    <w:rsid w:val="006876C4"/>
    <w:rsid w:val="00687839"/>
    <w:rsid w:val="00687A8C"/>
    <w:rsid w:val="00687E9C"/>
    <w:rsid w:val="00690523"/>
    <w:rsid w:val="0069081E"/>
    <w:rsid w:val="00690B14"/>
    <w:rsid w:val="00690EAE"/>
    <w:rsid w:val="00691471"/>
    <w:rsid w:val="006919D0"/>
    <w:rsid w:val="00691EB8"/>
    <w:rsid w:val="006920E7"/>
    <w:rsid w:val="00692527"/>
    <w:rsid w:val="00692D04"/>
    <w:rsid w:val="00692D45"/>
    <w:rsid w:val="00693502"/>
    <w:rsid w:val="00694270"/>
    <w:rsid w:val="00694392"/>
    <w:rsid w:val="00694429"/>
    <w:rsid w:val="006952B5"/>
    <w:rsid w:val="006956D5"/>
    <w:rsid w:val="00696058"/>
    <w:rsid w:val="00696379"/>
    <w:rsid w:val="00696574"/>
    <w:rsid w:val="006965E5"/>
    <w:rsid w:val="00696CCE"/>
    <w:rsid w:val="00697F4C"/>
    <w:rsid w:val="00697FC0"/>
    <w:rsid w:val="006A0589"/>
    <w:rsid w:val="006A0939"/>
    <w:rsid w:val="006A16F8"/>
    <w:rsid w:val="006A1A6F"/>
    <w:rsid w:val="006A2806"/>
    <w:rsid w:val="006A40A8"/>
    <w:rsid w:val="006A4865"/>
    <w:rsid w:val="006A4AAC"/>
    <w:rsid w:val="006A4C01"/>
    <w:rsid w:val="006A5252"/>
    <w:rsid w:val="006A53BE"/>
    <w:rsid w:val="006A5F52"/>
    <w:rsid w:val="006A5F7E"/>
    <w:rsid w:val="006A611A"/>
    <w:rsid w:val="006A63C1"/>
    <w:rsid w:val="006A67FC"/>
    <w:rsid w:val="006A6FA8"/>
    <w:rsid w:val="006A7136"/>
    <w:rsid w:val="006A739C"/>
    <w:rsid w:val="006A73B6"/>
    <w:rsid w:val="006A773D"/>
    <w:rsid w:val="006A7D9B"/>
    <w:rsid w:val="006B0C96"/>
    <w:rsid w:val="006B10B0"/>
    <w:rsid w:val="006B1EAE"/>
    <w:rsid w:val="006B3FAF"/>
    <w:rsid w:val="006B4772"/>
    <w:rsid w:val="006B48F3"/>
    <w:rsid w:val="006B4C2D"/>
    <w:rsid w:val="006B4CE9"/>
    <w:rsid w:val="006B4DB4"/>
    <w:rsid w:val="006B54F3"/>
    <w:rsid w:val="006B5CDC"/>
    <w:rsid w:val="006B7931"/>
    <w:rsid w:val="006B796F"/>
    <w:rsid w:val="006C0AAA"/>
    <w:rsid w:val="006C0ADE"/>
    <w:rsid w:val="006C1168"/>
    <w:rsid w:val="006C1176"/>
    <w:rsid w:val="006C1425"/>
    <w:rsid w:val="006C14CA"/>
    <w:rsid w:val="006C1D83"/>
    <w:rsid w:val="006C2013"/>
    <w:rsid w:val="006C2813"/>
    <w:rsid w:val="006C2DD7"/>
    <w:rsid w:val="006C392B"/>
    <w:rsid w:val="006C3FFE"/>
    <w:rsid w:val="006C4A7B"/>
    <w:rsid w:val="006C5A02"/>
    <w:rsid w:val="006C5E92"/>
    <w:rsid w:val="006C5F48"/>
    <w:rsid w:val="006C693F"/>
    <w:rsid w:val="006C6D23"/>
    <w:rsid w:val="006C6E4C"/>
    <w:rsid w:val="006C7E49"/>
    <w:rsid w:val="006D0891"/>
    <w:rsid w:val="006D0900"/>
    <w:rsid w:val="006D13EB"/>
    <w:rsid w:val="006D1646"/>
    <w:rsid w:val="006D2761"/>
    <w:rsid w:val="006D2D48"/>
    <w:rsid w:val="006D3343"/>
    <w:rsid w:val="006D4EB9"/>
    <w:rsid w:val="006D62F6"/>
    <w:rsid w:val="006D635B"/>
    <w:rsid w:val="006D68E4"/>
    <w:rsid w:val="006D6A42"/>
    <w:rsid w:val="006D75B5"/>
    <w:rsid w:val="006D75F8"/>
    <w:rsid w:val="006D76FA"/>
    <w:rsid w:val="006D7AFC"/>
    <w:rsid w:val="006D7C90"/>
    <w:rsid w:val="006E0C83"/>
    <w:rsid w:val="006E0D50"/>
    <w:rsid w:val="006E1D33"/>
    <w:rsid w:val="006E2211"/>
    <w:rsid w:val="006E2472"/>
    <w:rsid w:val="006E28A2"/>
    <w:rsid w:val="006E2D2D"/>
    <w:rsid w:val="006E379C"/>
    <w:rsid w:val="006E3F7E"/>
    <w:rsid w:val="006E4551"/>
    <w:rsid w:val="006E5771"/>
    <w:rsid w:val="006E6A8E"/>
    <w:rsid w:val="006E6AE8"/>
    <w:rsid w:val="006E6CD4"/>
    <w:rsid w:val="006E74BA"/>
    <w:rsid w:val="006E7851"/>
    <w:rsid w:val="006E7A59"/>
    <w:rsid w:val="006E7AB4"/>
    <w:rsid w:val="006F08BB"/>
    <w:rsid w:val="006F1684"/>
    <w:rsid w:val="006F1756"/>
    <w:rsid w:val="006F18B0"/>
    <w:rsid w:val="006F26A2"/>
    <w:rsid w:val="006F289C"/>
    <w:rsid w:val="006F36A0"/>
    <w:rsid w:val="006F3FEF"/>
    <w:rsid w:val="006F4123"/>
    <w:rsid w:val="006F4998"/>
    <w:rsid w:val="006F4BE9"/>
    <w:rsid w:val="006F6C2A"/>
    <w:rsid w:val="006F7092"/>
    <w:rsid w:val="006F7D57"/>
    <w:rsid w:val="007014FD"/>
    <w:rsid w:val="00701733"/>
    <w:rsid w:val="00701AE3"/>
    <w:rsid w:val="00701E5E"/>
    <w:rsid w:val="00701FED"/>
    <w:rsid w:val="0070244A"/>
    <w:rsid w:val="00702C75"/>
    <w:rsid w:val="007030D6"/>
    <w:rsid w:val="007034AC"/>
    <w:rsid w:val="00703705"/>
    <w:rsid w:val="00703A99"/>
    <w:rsid w:val="0070445C"/>
    <w:rsid w:val="00704791"/>
    <w:rsid w:val="00704A91"/>
    <w:rsid w:val="00704DAD"/>
    <w:rsid w:val="00706291"/>
    <w:rsid w:val="007067EF"/>
    <w:rsid w:val="00706957"/>
    <w:rsid w:val="00707ADB"/>
    <w:rsid w:val="00710DA5"/>
    <w:rsid w:val="007117EA"/>
    <w:rsid w:val="007124E7"/>
    <w:rsid w:val="0071322E"/>
    <w:rsid w:val="00713312"/>
    <w:rsid w:val="00713362"/>
    <w:rsid w:val="007145E2"/>
    <w:rsid w:val="00714871"/>
    <w:rsid w:val="00714B19"/>
    <w:rsid w:val="00714E27"/>
    <w:rsid w:val="00715F36"/>
    <w:rsid w:val="0071635E"/>
    <w:rsid w:val="00716D78"/>
    <w:rsid w:val="00717345"/>
    <w:rsid w:val="00720626"/>
    <w:rsid w:val="007220CF"/>
    <w:rsid w:val="007225ED"/>
    <w:rsid w:val="00723588"/>
    <w:rsid w:val="007238D0"/>
    <w:rsid w:val="00723B1B"/>
    <w:rsid w:val="0072420C"/>
    <w:rsid w:val="007245E3"/>
    <w:rsid w:val="00724606"/>
    <w:rsid w:val="0072471B"/>
    <w:rsid w:val="0072512F"/>
    <w:rsid w:val="0072523F"/>
    <w:rsid w:val="0072626E"/>
    <w:rsid w:val="00726FBA"/>
    <w:rsid w:val="0072751B"/>
    <w:rsid w:val="0073049C"/>
    <w:rsid w:val="00730E98"/>
    <w:rsid w:val="00731545"/>
    <w:rsid w:val="00731E65"/>
    <w:rsid w:val="00731FD6"/>
    <w:rsid w:val="00732AE8"/>
    <w:rsid w:val="007330CB"/>
    <w:rsid w:val="007334AD"/>
    <w:rsid w:val="00733579"/>
    <w:rsid w:val="00733584"/>
    <w:rsid w:val="0073377C"/>
    <w:rsid w:val="00733EBA"/>
    <w:rsid w:val="00733F00"/>
    <w:rsid w:val="0073456F"/>
    <w:rsid w:val="007346C3"/>
    <w:rsid w:val="0073482A"/>
    <w:rsid w:val="0073509A"/>
    <w:rsid w:val="007360E1"/>
    <w:rsid w:val="007370B2"/>
    <w:rsid w:val="0073714C"/>
    <w:rsid w:val="007375E0"/>
    <w:rsid w:val="00737A82"/>
    <w:rsid w:val="00737A8F"/>
    <w:rsid w:val="00737A9F"/>
    <w:rsid w:val="00737D30"/>
    <w:rsid w:val="00737DE3"/>
    <w:rsid w:val="007407FB"/>
    <w:rsid w:val="00740BB4"/>
    <w:rsid w:val="00741815"/>
    <w:rsid w:val="00742358"/>
    <w:rsid w:val="00742BD7"/>
    <w:rsid w:val="00742FDD"/>
    <w:rsid w:val="0074301E"/>
    <w:rsid w:val="00743470"/>
    <w:rsid w:val="007437E4"/>
    <w:rsid w:val="00744858"/>
    <w:rsid w:val="00744D64"/>
    <w:rsid w:val="00744E70"/>
    <w:rsid w:val="00745860"/>
    <w:rsid w:val="0074586D"/>
    <w:rsid w:val="00745995"/>
    <w:rsid w:val="00745BC4"/>
    <w:rsid w:val="00745D70"/>
    <w:rsid w:val="00745FEB"/>
    <w:rsid w:val="00746079"/>
    <w:rsid w:val="00746D2B"/>
    <w:rsid w:val="0074726A"/>
    <w:rsid w:val="007472F5"/>
    <w:rsid w:val="00747B92"/>
    <w:rsid w:val="00750293"/>
    <w:rsid w:val="00750490"/>
    <w:rsid w:val="007506BF"/>
    <w:rsid w:val="0075120C"/>
    <w:rsid w:val="00751518"/>
    <w:rsid w:val="00751567"/>
    <w:rsid w:val="00751592"/>
    <w:rsid w:val="0075174B"/>
    <w:rsid w:val="00751D02"/>
    <w:rsid w:val="007520FB"/>
    <w:rsid w:val="007521F2"/>
    <w:rsid w:val="00752CED"/>
    <w:rsid w:val="00752D3B"/>
    <w:rsid w:val="007530D2"/>
    <w:rsid w:val="00753C31"/>
    <w:rsid w:val="007543BD"/>
    <w:rsid w:val="007544D5"/>
    <w:rsid w:val="00754AC9"/>
    <w:rsid w:val="00754B64"/>
    <w:rsid w:val="00755475"/>
    <w:rsid w:val="00756299"/>
    <w:rsid w:val="00756815"/>
    <w:rsid w:val="0075722B"/>
    <w:rsid w:val="00757767"/>
    <w:rsid w:val="007602FC"/>
    <w:rsid w:val="0076068C"/>
    <w:rsid w:val="00760EB1"/>
    <w:rsid w:val="00761577"/>
    <w:rsid w:val="00761714"/>
    <w:rsid w:val="00761B90"/>
    <w:rsid w:val="00762019"/>
    <w:rsid w:val="007621F5"/>
    <w:rsid w:val="007625E9"/>
    <w:rsid w:val="00762D95"/>
    <w:rsid w:val="00763BC4"/>
    <w:rsid w:val="0076420E"/>
    <w:rsid w:val="00764260"/>
    <w:rsid w:val="0076474C"/>
    <w:rsid w:val="007647AA"/>
    <w:rsid w:val="007649E7"/>
    <w:rsid w:val="007662C9"/>
    <w:rsid w:val="00767D3D"/>
    <w:rsid w:val="00770016"/>
    <w:rsid w:val="00770763"/>
    <w:rsid w:val="00770C41"/>
    <w:rsid w:val="00771155"/>
    <w:rsid w:val="007713F9"/>
    <w:rsid w:val="0077197B"/>
    <w:rsid w:val="007721B4"/>
    <w:rsid w:val="007724A0"/>
    <w:rsid w:val="00772696"/>
    <w:rsid w:val="00772EE1"/>
    <w:rsid w:val="0077372E"/>
    <w:rsid w:val="00773D2D"/>
    <w:rsid w:val="007745D8"/>
    <w:rsid w:val="00775210"/>
    <w:rsid w:val="007757A2"/>
    <w:rsid w:val="00775C00"/>
    <w:rsid w:val="00775CA7"/>
    <w:rsid w:val="00775E9C"/>
    <w:rsid w:val="00776043"/>
    <w:rsid w:val="00777C29"/>
    <w:rsid w:val="00777E5A"/>
    <w:rsid w:val="007806F6"/>
    <w:rsid w:val="00780832"/>
    <w:rsid w:val="00780E7F"/>
    <w:rsid w:val="00782084"/>
    <w:rsid w:val="00782744"/>
    <w:rsid w:val="0078279B"/>
    <w:rsid w:val="007829D4"/>
    <w:rsid w:val="00782AA0"/>
    <w:rsid w:val="00782F24"/>
    <w:rsid w:val="0078324C"/>
    <w:rsid w:val="007838BD"/>
    <w:rsid w:val="00783D6C"/>
    <w:rsid w:val="00783D98"/>
    <w:rsid w:val="007842F8"/>
    <w:rsid w:val="0078447A"/>
    <w:rsid w:val="00784957"/>
    <w:rsid w:val="00784C2B"/>
    <w:rsid w:val="00784FF3"/>
    <w:rsid w:val="00785127"/>
    <w:rsid w:val="00785676"/>
    <w:rsid w:val="00785A92"/>
    <w:rsid w:val="00785B8D"/>
    <w:rsid w:val="00787157"/>
    <w:rsid w:val="00787259"/>
    <w:rsid w:val="00787B71"/>
    <w:rsid w:val="00790117"/>
    <w:rsid w:val="00790773"/>
    <w:rsid w:val="00790F29"/>
    <w:rsid w:val="00792B80"/>
    <w:rsid w:val="00792E8C"/>
    <w:rsid w:val="00793CA4"/>
    <w:rsid w:val="00793D52"/>
    <w:rsid w:val="00794005"/>
    <w:rsid w:val="007943B0"/>
    <w:rsid w:val="00794628"/>
    <w:rsid w:val="007953D7"/>
    <w:rsid w:val="007954F0"/>
    <w:rsid w:val="00795BF8"/>
    <w:rsid w:val="00795ED0"/>
    <w:rsid w:val="00796323"/>
    <w:rsid w:val="007973AC"/>
    <w:rsid w:val="00797586"/>
    <w:rsid w:val="00797C1F"/>
    <w:rsid w:val="007A0238"/>
    <w:rsid w:val="007A03A7"/>
    <w:rsid w:val="007A0FF0"/>
    <w:rsid w:val="007A1018"/>
    <w:rsid w:val="007A1570"/>
    <w:rsid w:val="007A1AE4"/>
    <w:rsid w:val="007A23C9"/>
    <w:rsid w:val="007A282A"/>
    <w:rsid w:val="007A2C1A"/>
    <w:rsid w:val="007A2E1A"/>
    <w:rsid w:val="007A36F7"/>
    <w:rsid w:val="007A3D31"/>
    <w:rsid w:val="007A477E"/>
    <w:rsid w:val="007A5111"/>
    <w:rsid w:val="007A5147"/>
    <w:rsid w:val="007A54CF"/>
    <w:rsid w:val="007A6076"/>
    <w:rsid w:val="007A61D4"/>
    <w:rsid w:val="007A6566"/>
    <w:rsid w:val="007A768C"/>
    <w:rsid w:val="007B094E"/>
    <w:rsid w:val="007B19A0"/>
    <w:rsid w:val="007B1A0B"/>
    <w:rsid w:val="007B1DC4"/>
    <w:rsid w:val="007B28F0"/>
    <w:rsid w:val="007B2D55"/>
    <w:rsid w:val="007B2F66"/>
    <w:rsid w:val="007B36A4"/>
    <w:rsid w:val="007B4033"/>
    <w:rsid w:val="007B476B"/>
    <w:rsid w:val="007B48AC"/>
    <w:rsid w:val="007B4D04"/>
    <w:rsid w:val="007B50CB"/>
    <w:rsid w:val="007B5AC6"/>
    <w:rsid w:val="007B5DCD"/>
    <w:rsid w:val="007B63EE"/>
    <w:rsid w:val="007B646D"/>
    <w:rsid w:val="007B699D"/>
    <w:rsid w:val="007B6A47"/>
    <w:rsid w:val="007B7291"/>
    <w:rsid w:val="007B768A"/>
    <w:rsid w:val="007B7747"/>
    <w:rsid w:val="007B7B2A"/>
    <w:rsid w:val="007B7D73"/>
    <w:rsid w:val="007C018D"/>
    <w:rsid w:val="007C0DDC"/>
    <w:rsid w:val="007C1A7B"/>
    <w:rsid w:val="007C2464"/>
    <w:rsid w:val="007C2DDB"/>
    <w:rsid w:val="007C2FD9"/>
    <w:rsid w:val="007C3238"/>
    <w:rsid w:val="007C3498"/>
    <w:rsid w:val="007C3C91"/>
    <w:rsid w:val="007C3D0A"/>
    <w:rsid w:val="007C40C2"/>
    <w:rsid w:val="007C4571"/>
    <w:rsid w:val="007C49DA"/>
    <w:rsid w:val="007C5C06"/>
    <w:rsid w:val="007C6637"/>
    <w:rsid w:val="007C69D0"/>
    <w:rsid w:val="007C6B78"/>
    <w:rsid w:val="007C6CE3"/>
    <w:rsid w:val="007C6FA9"/>
    <w:rsid w:val="007C72AC"/>
    <w:rsid w:val="007C7313"/>
    <w:rsid w:val="007C74AA"/>
    <w:rsid w:val="007C752F"/>
    <w:rsid w:val="007C7F0A"/>
    <w:rsid w:val="007D0485"/>
    <w:rsid w:val="007D087E"/>
    <w:rsid w:val="007D1892"/>
    <w:rsid w:val="007D1C3D"/>
    <w:rsid w:val="007D1D9C"/>
    <w:rsid w:val="007D2198"/>
    <w:rsid w:val="007D21A4"/>
    <w:rsid w:val="007D22C8"/>
    <w:rsid w:val="007D23DF"/>
    <w:rsid w:val="007D2A26"/>
    <w:rsid w:val="007D2C64"/>
    <w:rsid w:val="007D2D73"/>
    <w:rsid w:val="007D2E2E"/>
    <w:rsid w:val="007D38B3"/>
    <w:rsid w:val="007D4327"/>
    <w:rsid w:val="007D4BD2"/>
    <w:rsid w:val="007D4E63"/>
    <w:rsid w:val="007D5128"/>
    <w:rsid w:val="007D5391"/>
    <w:rsid w:val="007D58EF"/>
    <w:rsid w:val="007D6801"/>
    <w:rsid w:val="007D6A4B"/>
    <w:rsid w:val="007D6AD0"/>
    <w:rsid w:val="007D6C3F"/>
    <w:rsid w:val="007D7986"/>
    <w:rsid w:val="007D7FBE"/>
    <w:rsid w:val="007E0461"/>
    <w:rsid w:val="007E0CB5"/>
    <w:rsid w:val="007E1108"/>
    <w:rsid w:val="007E14B0"/>
    <w:rsid w:val="007E1610"/>
    <w:rsid w:val="007E1C06"/>
    <w:rsid w:val="007E2369"/>
    <w:rsid w:val="007E28B7"/>
    <w:rsid w:val="007E33FE"/>
    <w:rsid w:val="007E395A"/>
    <w:rsid w:val="007E440A"/>
    <w:rsid w:val="007E48E7"/>
    <w:rsid w:val="007E5F40"/>
    <w:rsid w:val="007E6009"/>
    <w:rsid w:val="007E63FB"/>
    <w:rsid w:val="007E64B5"/>
    <w:rsid w:val="007E6992"/>
    <w:rsid w:val="007E6B7B"/>
    <w:rsid w:val="007E6F26"/>
    <w:rsid w:val="007E74FF"/>
    <w:rsid w:val="007EACD2"/>
    <w:rsid w:val="007F0AAB"/>
    <w:rsid w:val="007F0D37"/>
    <w:rsid w:val="007F16EA"/>
    <w:rsid w:val="007F2305"/>
    <w:rsid w:val="007F291E"/>
    <w:rsid w:val="007F2A92"/>
    <w:rsid w:val="007F2DCD"/>
    <w:rsid w:val="007F35D2"/>
    <w:rsid w:val="007F37CB"/>
    <w:rsid w:val="007F3B4C"/>
    <w:rsid w:val="007F41AD"/>
    <w:rsid w:val="007F45A9"/>
    <w:rsid w:val="007F4D84"/>
    <w:rsid w:val="007F582C"/>
    <w:rsid w:val="007F5A2B"/>
    <w:rsid w:val="007F5A8C"/>
    <w:rsid w:val="007F5E94"/>
    <w:rsid w:val="007F636E"/>
    <w:rsid w:val="007F6EFD"/>
    <w:rsid w:val="007F7607"/>
    <w:rsid w:val="007F7A27"/>
    <w:rsid w:val="007F7C15"/>
    <w:rsid w:val="0080022C"/>
    <w:rsid w:val="00800E11"/>
    <w:rsid w:val="008015B0"/>
    <w:rsid w:val="00801B18"/>
    <w:rsid w:val="0080205D"/>
    <w:rsid w:val="008026D2"/>
    <w:rsid w:val="00802ACD"/>
    <w:rsid w:val="008031A8"/>
    <w:rsid w:val="00803B64"/>
    <w:rsid w:val="00804A8F"/>
    <w:rsid w:val="00804D02"/>
    <w:rsid w:val="00805AE3"/>
    <w:rsid w:val="00805D2B"/>
    <w:rsid w:val="00805DBF"/>
    <w:rsid w:val="0080633D"/>
    <w:rsid w:val="00807093"/>
    <w:rsid w:val="00807CDA"/>
    <w:rsid w:val="00807E97"/>
    <w:rsid w:val="0081025D"/>
    <w:rsid w:val="00810A6C"/>
    <w:rsid w:val="00810B78"/>
    <w:rsid w:val="00810EED"/>
    <w:rsid w:val="00811387"/>
    <w:rsid w:val="00811DFB"/>
    <w:rsid w:val="0081246C"/>
    <w:rsid w:val="00812965"/>
    <w:rsid w:val="00812EA7"/>
    <w:rsid w:val="0081310F"/>
    <w:rsid w:val="0081317E"/>
    <w:rsid w:val="008138B5"/>
    <w:rsid w:val="00814998"/>
    <w:rsid w:val="00814B3E"/>
    <w:rsid w:val="00814E66"/>
    <w:rsid w:val="0081586B"/>
    <w:rsid w:val="00815DAD"/>
    <w:rsid w:val="008166B1"/>
    <w:rsid w:val="00817536"/>
    <w:rsid w:val="00817BBC"/>
    <w:rsid w:val="008202A4"/>
    <w:rsid w:val="00820476"/>
    <w:rsid w:val="008204C6"/>
    <w:rsid w:val="00820F41"/>
    <w:rsid w:val="008210A5"/>
    <w:rsid w:val="008215DC"/>
    <w:rsid w:val="00821887"/>
    <w:rsid w:val="008221CD"/>
    <w:rsid w:val="008230A4"/>
    <w:rsid w:val="0082378C"/>
    <w:rsid w:val="00823BFD"/>
    <w:rsid w:val="008244B9"/>
    <w:rsid w:val="00824709"/>
    <w:rsid w:val="008254E0"/>
    <w:rsid w:val="00825746"/>
    <w:rsid w:val="008273B6"/>
    <w:rsid w:val="008278D7"/>
    <w:rsid w:val="00827A87"/>
    <w:rsid w:val="00827D54"/>
    <w:rsid w:val="00827D65"/>
    <w:rsid w:val="00827E4A"/>
    <w:rsid w:val="0083222D"/>
    <w:rsid w:val="008328EC"/>
    <w:rsid w:val="008329AC"/>
    <w:rsid w:val="00833527"/>
    <w:rsid w:val="008336CE"/>
    <w:rsid w:val="008342C7"/>
    <w:rsid w:val="008350BB"/>
    <w:rsid w:val="0083538D"/>
    <w:rsid w:val="00835B2C"/>
    <w:rsid w:val="00835BD3"/>
    <w:rsid w:val="008365A4"/>
    <w:rsid w:val="00836EA3"/>
    <w:rsid w:val="0083761C"/>
    <w:rsid w:val="00837A48"/>
    <w:rsid w:val="00837A67"/>
    <w:rsid w:val="00837BFC"/>
    <w:rsid w:val="008404EB"/>
    <w:rsid w:val="008405AC"/>
    <w:rsid w:val="00840A52"/>
    <w:rsid w:val="00840DE0"/>
    <w:rsid w:val="0084122D"/>
    <w:rsid w:val="0084227A"/>
    <w:rsid w:val="008424B7"/>
    <w:rsid w:val="008440C8"/>
    <w:rsid w:val="00844556"/>
    <w:rsid w:val="00844592"/>
    <w:rsid w:val="00844B36"/>
    <w:rsid w:val="008456FF"/>
    <w:rsid w:val="00845A56"/>
    <w:rsid w:val="00845DE0"/>
    <w:rsid w:val="008460D1"/>
    <w:rsid w:val="008460F6"/>
    <w:rsid w:val="008462AB"/>
    <w:rsid w:val="0084632B"/>
    <w:rsid w:val="00846689"/>
    <w:rsid w:val="008468D0"/>
    <w:rsid w:val="008474EF"/>
    <w:rsid w:val="0084752B"/>
    <w:rsid w:val="008479F2"/>
    <w:rsid w:val="00847EC4"/>
    <w:rsid w:val="0084B063"/>
    <w:rsid w:val="008505FA"/>
    <w:rsid w:val="00851138"/>
    <w:rsid w:val="00851781"/>
    <w:rsid w:val="00851A51"/>
    <w:rsid w:val="00851CBE"/>
    <w:rsid w:val="00851F0F"/>
    <w:rsid w:val="00852656"/>
    <w:rsid w:val="00852A8C"/>
    <w:rsid w:val="00852A98"/>
    <w:rsid w:val="00852CCF"/>
    <w:rsid w:val="00853D4C"/>
    <w:rsid w:val="0085445B"/>
    <w:rsid w:val="0085595D"/>
    <w:rsid w:val="00855C80"/>
    <w:rsid w:val="00856545"/>
    <w:rsid w:val="00856C41"/>
    <w:rsid w:val="0085759E"/>
    <w:rsid w:val="00860D82"/>
    <w:rsid w:val="00861855"/>
    <w:rsid w:val="00862472"/>
    <w:rsid w:val="008626EA"/>
    <w:rsid w:val="00862A92"/>
    <w:rsid w:val="00862D6E"/>
    <w:rsid w:val="00863804"/>
    <w:rsid w:val="00863A14"/>
    <w:rsid w:val="00863A80"/>
    <w:rsid w:val="008646D4"/>
    <w:rsid w:val="00864C09"/>
    <w:rsid w:val="0086528F"/>
    <w:rsid w:val="00865748"/>
    <w:rsid w:val="008666E5"/>
    <w:rsid w:val="0086670C"/>
    <w:rsid w:val="008667E1"/>
    <w:rsid w:val="008667F0"/>
    <w:rsid w:val="00866963"/>
    <w:rsid w:val="00866B98"/>
    <w:rsid w:val="00866CF5"/>
    <w:rsid w:val="00867325"/>
    <w:rsid w:val="0086754F"/>
    <w:rsid w:val="00870281"/>
    <w:rsid w:val="00870615"/>
    <w:rsid w:val="008711E7"/>
    <w:rsid w:val="00871CD1"/>
    <w:rsid w:val="00871DB1"/>
    <w:rsid w:val="008726BC"/>
    <w:rsid w:val="0087285C"/>
    <w:rsid w:val="0087328E"/>
    <w:rsid w:val="00874198"/>
    <w:rsid w:val="00874636"/>
    <w:rsid w:val="00874C45"/>
    <w:rsid w:val="00874F76"/>
    <w:rsid w:val="008751F2"/>
    <w:rsid w:val="00875734"/>
    <w:rsid w:val="008763A5"/>
    <w:rsid w:val="008765D5"/>
    <w:rsid w:val="00876793"/>
    <w:rsid w:val="00876BFE"/>
    <w:rsid w:val="00877AF9"/>
    <w:rsid w:val="00877E6E"/>
    <w:rsid w:val="00877FF4"/>
    <w:rsid w:val="0088046B"/>
    <w:rsid w:val="008804C8"/>
    <w:rsid w:val="00880CC7"/>
    <w:rsid w:val="008811D8"/>
    <w:rsid w:val="008812BB"/>
    <w:rsid w:val="00881325"/>
    <w:rsid w:val="00881D48"/>
    <w:rsid w:val="00881D49"/>
    <w:rsid w:val="00881DE1"/>
    <w:rsid w:val="00881F66"/>
    <w:rsid w:val="0088209B"/>
    <w:rsid w:val="00882FE7"/>
    <w:rsid w:val="008845DC"/>
    <w:rsid w:val="00884DB7"/>
    <w:rsid w:val="00885293"/>
    <w:rsid w:val="0088552B"/>
    <w:rsid w:val="008855BA"/>
    <w:rsid w:val="00885625"/>
    <w:rsid w:val="00885ED5"/>
    <w:rsid w:val="008860A2"/>
    <w:rsid w:val="00886561"/>
    <w:rsid w:val="0088659A"/>
    <w:rsid w:val="0088665A"/>
    <w:rsid w:val="0088675A"/>
    <w:rsid w:val="0088685D"/>
    <w:rsid w:val="00886A01"/>
    <w:rsid w:val="00886E65"/>
    <w:rsid w:val="008878A8"/>
    <w:rsid w:val="0089003B"/>
    <w:rsid w:val="00891180"/>
    <w:rsid w:val="008922B6"/>
    <w:rsid w:val="0089306A"/>
    <w:rsid w:val="00893A77"/>
    <w:rsid w:val="00893C33"/>
    <w:rsid w:val="00893D41"/>
    <w:rsid w:val="00894C46"/>
    <w:rsid w:val="00894E50"/>
    <w:rsid w:val="00895BA6"/>
    <w:rsid w:val="00895CDC"/>
    <w:rsid w:val="008962EB"/>
    <w:rsid w:val="0089678E"/>
    <w:rsid w:val="00896F28"/>
    <w:rsid w:val="00897156"/>
    <w:rsid w:val="00897C45"/>
    <w:rsid w:val="008A15BA"/>
    <w:rsid w:val="008A1C04"/>
    <w:rsid w:val="008A3034"/>
    <w:rsid w:val="008A3041"/>
    <w:rsid w:val="008A3E9B"/>
    <w:rsid w:val="008A3F44"/>
    <w:rsid w:val="008A40D9"/>
    <w:rsid w:val="008A495F"/>
    <w:rsid w:val="008A5796"/>
    <w:rsid w:val="008A5CCF"/>
    <w:rsid w:val="008A5DB5"/>
    <w:rsid w:val="008A6DA9"/>
    <w:rsid w:val="008A6F4E"/>
    <w:rsid w:val="008B0D21"/>
    <w:rsid w:val="008B1232"/>
    <w:rsid w:val="008B2B4F"/>
    <w:rsid w:val="008B2DB2"/>
    <w:rsid w:val="008B4419"/>
    <w:rsid w:val="008B47FB"/>
    <w:rsid w:val="008B52DD"/>
    <w:rsid w:val="008B54DE"/>
    <w:rsid w:val="008B5533"/>
    <w:rsid w:val="008B56D2"/>
    <w:rsid w:val="008B592E"/>
    <w:rsid w:val="008B5989"/>
    <w:rsid w:val="008B5992"/>
    <w:rsid w:val="008B5D36"/>
    <w:rsid w:val="008B5E7F"/>
    <w:rsid w:val="008B62C9"/>
    <w:rsid w:val="008B715D"/>
    <w:rsid w:val="008B71A9"/>
    <w:rsid w:val="008B722F"/>
    <w:rsid w:val="008B7C99"/>
    <w:rsid w:val="008C0441"/>
    <w:rsid w:val="008C071B"/>
    <w:rsid w:val="008C0A34"/>
    <w:rsid w:val="008C0B34"/>
    <w:rsid w:val="008C0EFC"/>
    <w:rsid w:val="008C13C1"/>
    <w:rsid w:val="008C15CF"/>
    <w:rsid w:val="008C1DE4"/>
    <w:rsid w:val="008C2357"/>
    <w:rsid w:val="008C23E1"/>
    <w:rsid w:val="008C2B0C"/>
    <w:rsid w:val="008C3B25"/>
    <w:rsid w:val="008C3EC9"/>
    <w:rsid w:val="008C44F5"/>
    <w:rsid w:val="008C45E0"/>
    <w:rsid w:val="008C462E"/>
    <w:rsid w:val="008C4701"/>
    <w:rsid w:val="008C4D74"/>
    <w:rsid w:val="008C5393"/>
    <w:rsid w:val="008C55B5"/>
    <w:rsid w:val="008C57E8"/>
    <w:rsid w:val="008C5F22"/>
    <w:rsid w:val="008C5FAB"/>
    <w:rsid w:val="008C65C1"/>
    <w:rsid w:val="008C72A8"/>
    <w:rsid w:val="008C73A2"/>
    <w:rsid w:val="008D01FB"/>
    <w:rsid w:val="008D0988"/>
    <w:rsid w:val="008D0E8C"/>
    <w:rsid w:val="008D22DB"/>
    <w:rsid w:val="008D2B25"/>
    <w:rsid w:val="008D34CA"/>
    <w:rsid w:val="008D3513"/>
    <w:rsid w:val="008D363B"/>
    <w:rsid w:val="008D428E"/>
    <w:rsid w:val="008D4357"/>
    <w:rsid w:val="008D53CC"/>
    <w:rsid w:val="008D5600"/>
    <w:rsid w:val="008D617B"/>
    <w:rsid w:val="008D6627"/>
    <w:rsid w:val="008D6AAB"/>
    <w:rsid w:val="008D6E36"/>
    <w:rsid w:val="008D6E75"/>
    <w:rsid w:val="008D760E"/>
    <w:rsid w:val="008D7699"/>
    <w:rsid w:val="008D7A27"/>
    <w:rsid w:val="008D7C5A"/>
    <w:rsid w:val="008D7EEF"/>
    <w:rsid w:val="008E052A"/>
    <w:rsid w:val="008E0680"/>
    <w:rsid w:val="008E0FF4"/>
    <w:rsid w:val="008E10A3"/>
    <w:rsid w:val="008E1531"/>
    <w:rsid w:val="008E1A8B"/>
    <w:rsid w:val="008E2478"/>
    <w:rsid w:val="008E2FA0"/>
    <w:rsid w:val="008E3972"/>
    <w:rsid w:val="008E3A74"/>
    <w:rsid w:val="008E45D1"/>
    <w:rsid w:val="008E47BC"/>
    <w:rsid w:val="008E4808"/>
    <w:rsid w:val="008E5580"/>
    <w:rsid w:val="008E564E"/>
    <w:rsid w:val="008E5A90"/>
    <w:rsid w:val="008E6942"/>
    <w:rsid w:val="008E6EB5"/>
    <w:rsid w:val="008E7394"/>
    <w:rsid w:val="008E7631"/>
    <w:rsid w:val="008E7AC5"/>
    <w:rsid w:val="008E7EA2"/>
    <w:rsid w:val="008F05CD"/>
    <w:rsid w:val="008F0AE9"/>
    <w:rsid w:val="008F0B46"/>
    <w:rsid w:val="008F0E1C"/>
    <w:rsid w:val="008F11DD"/>
    <w:rsid w:val="008F13CC"/>
    <w:rsid w:val="008F24F5"/>
    <w:rsid w:val="008F287E"/>
    <w:rsid w:val="008F2A20"/>
    <w:rsid w:val="008F2BE0"/>
    <w:rsid w:val="008F2F88"/>
    <w:rsid w:val="008F3A4A"/>
    <w:rsid w:val="008F3D4F"/>
    <w:rsid w:val="008F4754"/>
    <w:rsid w:val="008F49BC"/>
    <w:rsid w:val="008F49D8"/>
    <w:rsid w:val="008F5195"/>
    <w:rsid w:val="008F5B9A"/>
    <w:rsid w:val="008F6741"/>
    <w:rsid w:val="008F6773"/>
    <w:rsid w:val="008F677F"/>
    <w:rsid w:val="008F679D"/>
    <w:rsid w:val="008F7047"/>
    <w:rsid w:val="008F70B2"/>
    <w:rsid w:val="008F7192"/>
    <w:rsid w:val="008F7A26"/>
    <w:rsid w:val="008F7E47"/>
    <w:rsid w:val="009003D9"/>
    <w:rsid w:val="009006D7"/>
    <w:rsid w:val="0090090E"/>
    <w:rsid w:val="00900EEE"/>
    <w:rsid w:val="009011FC"/>
    <w:rsid w:val="00901996"/>
    <w:rsid w:val="00903034"/>
    <w:rsid w:val="0090316F"/>
    <w:rsid w:val="00903341"/>
    <w:rsid w:val="00903A06"/>
    <w:rsid w:val="00903E11"/>
    <w:rsid w:val="009044F1"/>
    <w:rsid w:val="00904539"/>
    <w:rsid w:val="00904667"/>
    <w:rsid w:val="0090577C"/>
    <w:rsid w:val="00905B19"/>
    <w:rsid w:val="00905F41"/>
    <w:rsid w:val="00906276"/>
    <w:rsid w:val="00906967"/>
    <w:rsid w:val="00906BBD"/>
    <w:rsid w:val="00907152"/>
    <w:rsid w:val="0090730A"/>
    <w:rsid w:val="00910E54"/>
    <w:rsid w:val="00912417"/>
    <w:rsid w:val="009124D2"/>
    <w:rsid w:val="00913966"/>
    <w:rsid w:val="00913F3B"/>
    <w:rsid w:val="00914095"/>
    <w:rsid w:val="0091473F"/>
    <w:rsid w:val="00915572"/>
    <w:rsid w:val="00915B65"/>
    <w:rsid w:val="00916359"/>
    <w:rsid w:val="00916382"/>
    <w:rsid w:val="009170AA"/>
    <w:rsid w:val="00917451"/>
    <w:rsid w:val="009179A9"/>
    <w:rsid w:val="00917A08"/>
    <w:rsid w:val="00917AAE"/>
    <w:rsid w:val="00917CB7"/>
    <w:rsid w:val="00917EC4"/>
    <w:rsid w:val="009206B2"/>
    <w:rsid w:val="00920AEB"/>
    <w:rsid w:val="009213BB"/>
    <w:rsid w:val="00921528"/>
    <w:rsid w:val="0092163E"/>
    <w:rsid w:val="00921704"/>
    <w:rsid w:val="0092177E"/>
    <w:rsid w:val="00921958"/>
    <w:rsid w:val="009219F0"/>
    <w:rsid w:val="00921DAF"/>
    <w:rsid w:val="009223BF"/>
    <w:rsid w:val="0092277B"/>
    <w:rsid w:val="009230DE"/>
    <w:rsid w:val="00923416"/>
    <w:rsid w:val="009237C0"/>
    <w:rsid w:val="009242B2"/>
    <w:rsid w:val="00924E0D"/>
    <w:rsid w:val="00924F18"/>
    <w:rsid w:val="00925C6F"/>
    <w:rsid w:val="00925DD8"/>
    <w:rsid w:val="009260D0"/>
    <w:rsid w:val="009264D8"/>
    <w:rsid w:val="00926551"/>
    <w:rsid w:val="00926C8E"/>
    <w:rsid w:val="00930240"/>
    <w:rsid w:val="009308B8"/>
    <w:rsid w:val="00930D7D"/>
    <w:rsid w:val="00931273"/>
    <w:rsid w:val="00931324"/>
    <w:rsid w:val="0093180D"/>
    <w:rsid w:val="00931E92"/>
    <w:rsid w:val="00933525"/>
    <w:rsid w:val="009336A9"/>
    <w:rsid w:val="00933BC7"/>
    <w:rsid w:val="00935240"/>
    <w:rsid w:val="0093632C"/>
    <w:rsid w:val="009367E9"/>
    <w:rsid w:val="00937A9F"/>
    <w:rsid w:val="00937BB4"/>
    <w:rsid w:val="00937CFD"/>
    <w:rsid w:val="00937D02"/>
    <w:rsid w:val="00937F90"/>
    <w:rsid w:val="009401A6"/>
    <w:rsid w:val="009401E7"/>
    <w:rsid w:val="009402EF"/>
    <w:rsid w:val="009405F9"/>
    <w:rsid w:val="00940C0A"/>
    <w:rsid w:val="00941020"/>
    <w:rsid w:val="00941C81"/>
    <w:rsid w:val="009420B3"/>
    <w:rsid w:val="00942455"/>
    <w:rsid w:val="0094300F"/>
    <w:rsid w:val="0094314E"/>
    <w:rsid w:val="009436E0"/>
    <w:rsid w:val="00943BB6"/>
    <w:rsid w:val="009442A0"/>
    <w:rsid w:val="00944415"/>
    <w:rsid w:val="0094468A"/>
    <w:rsid w:val="009453D9"/>
    <w:rsid w:val="00945B13"/>
    <w:rsid w:val="00946390"/>
    <w:rsid w:val="009466B8"/>
    <w:rsid w:val="00947780"/>
    <w:rsid w:val="0094795E"/>
    <w:rsid w:val="00947BB5"/>
    <w:rsid w:val="00947FBD"/>
    <w:rsid w:val="00950FF1"/>
    <w:rsid w:val="0095226C"/>
    <w:rsid w:val="009522C2"/>
    <w:rsid w:val="009527E9"/>
    <w:rsid w:val="00952D79"/>
    <w:rsid w:val="00952E25"/>
    <w:rsid w:val="00953272"/>
    <w:rsid w:val="00953497"/>
    <w:rsid w:val="0095473F"/>
    <w:rsid w:val="00955505"/>
    <w:rsid w:val="009556DF"/>
    <w:rsid w:val="00955777"/>
    <w:rsid w:val="00955A9A"/>
    <w:rsid w:val="00955BEF"/>
    <w:rsid w:val="009563C6"/>
    <w:rsid w:val="00956762"/>
    <w:rsid w:val="0095693F"/>
    <w:rsid w:val="00956D33"/>
    <w:rsid w:val="00957183"/>
    <w:rsid w:val="00957371"/>
    <w:rsid w:val="0095738C"/>
    <w:rsid w:val="00957489"/>
    <w:rsid w:val="0095785D"/>
    <w:rsid w:val="00957929"/>
    <w:rsid w:val="00960150"/>
    <w:rsid w:val="0096068C"/>
    <w:rsid w:val="009606A0"/>
    <w:rsid w:val="0096160A"/>
    <w:rsid w:val="00963912"/>
    <w:rsid w:val="00963A97"/>
    <w:rsid w:val="00965179"/>
    <w:rsid w:val="009659FB"/>
    <w:rsid w:val="00965B86"/>
    <w:rsid w:val="00965FBC"/>
    <w:rsid w:val="00965FE6"/>
    <w:rsid w:val="00966172"/>
    <w:rsid w:val="00966A07"/>
    <w:rsid w:val="00967589"/>
    <w:rsid w:val="00967D51"/>
    <w:rsid w:val="009716E5"/>
    <w:rsid w:val="0097191B"/>
    <w:rsid w:val="00972469"/>
    <w:rsid w:val="009728C5"/>
    <w:rsid w:val="00973B90"/>
    <w:rsid w:val="00973DD3"/>
    <w:rsid w:val="00973F31"/>
    <w:rsid w:val="0097592D"/>
    <w:rsid w:val="00975B47"/>
    <w:rsid w:val="00975D2D"/>
    <w:rsid w:val="00976068"/>
    <w:rsid w:val="00977083"/>
    <w:rsid w:val="00977899"/>
    <w:rsid w:val="009813EE"/>
    <w:rsid w:val="0098143E"/>
    <w:rsid w:val="00981773"/>
    <w:rsid w:val="009824E9"/>
    <w:rsid w:val="00982B50"/>
    <w:rsid w:val="00982EBF"/>
    <w:rsid w:val="0098347E"/>
    <w:rsid w:val="00983758"/>
    <w:rsid w:val="009837FE"/>
    <w:rsid w:val="00983F2E"/>
    <w:rsid w:val="00984089"/>
    <w:rsid w:val="009854B2"/>
    <w:rsid w:val="00985D55"/>
    <w:rsid w:val="00986510"/>
    <w:rsid w:val="00986707"/>
    <w:rsid w:val="009867A9"/>
    <w:rsid w:val="00986C63"/>
    <w:rsid w:val="00986F38"/>
    <w:rsid w:val="009871E3"/>
    <w:rsid w:val="00987225"/>
    <w:rsid w:val="0098738B"/>
    <w:rsid w:val="009873D3"/>
    <w:rsid w:val="00987AE2"/>
    <w:rsid w:val="00987EA7"/>
    <w:rsid w:val="00990688"/>
    <w:rsid w:val="00991139"/>
    <w:rsid w:val="00992457"/>
    <w:rsid w:val="009924F2"/>
    <w:rsid w:val="009927EC"/>
    <w:rsid w:val="00993225"/>
    <w:rsid w:val="00993943"/>
    <w:rsid w:val="00993AB2"/>
    <w:rsid w:val="00993DB0"/>
    <w:rsid w:val="009945D1"/>
    <w:rsid w:val="00994B0A"/>
    <w:rsid w:val="00995052"/>
    <w:rsid w:val="009952F5"/>
    <w:rsid w:val="00995315"/>
    <w:rsid w:val="00995602"/>
    <w:rsid w:val="00995704"/>
    <w:rsid w:val="009958BD"/>
    <w:rsid w:val="0099659C"/>
    <w:rsid w:val="00997466"/>
    <w:rsid w:val="00997949"/>
    <w:rsid w:val="00997B21"/>
    <w:rsid w:val="00997F8D"/>
    <w:rsid w:val="009A03EB"/>
    <w:rsid w:val="009A0633"/>
    <w:rsid w:val="009A093A"/>
    <w:rsid w:val="009A09D7"/>
    <w:rsid w:val="009A0ABC"/>
    <w:rsid w:val="009A0DF8"/>
    <w:rsid w:val="009A18FA"/>
    <w:rsid w:val="009A1B85"/>
    <w:rsid w:val="009A1D00"/>
    <w:rsid w:val="009A1F31"/>
    <w:rsid w:val="009A216A"/>
    <w:rsid w:val="009A22A2"/>
    <w:rsid w:val="009A269F"/>
    <w:rsid w:val="009A2C67"/>
    <w:rsid w:val="009A2C81"/>
    <w:rsid w:val="009A38E8"/>
    <w:rsid w:val="009A390F"/>
    <w:rsid w:val="009A4751"/>
    <w:rsid w:val="009A492E"/>
    <w:rsid w:val="009A4B3C"/>
    <w:rsid w:val="009A4DB9"/>
    <w:rsid w:val="009A5263"/>
    <w:rsid w:val="009A52B1"/>
    <w:rsid w:val="009A5BEC"/>
    <w:rsid w:val="009A606D"/>
    <w:rsid w:val="009A611F"/>
    <w:rsid w:val="009A6DE3"/>
    <w:rsid w:val="009B061D"/>
    <w:rsid w:val="009B144C"/>
    <w:rsid w:val="009B1789"/>
    <w:rsid w:val="009B1DB4"/>
    <w:rsid w:val="009B1E4A"/>
    <w:rsid w:val="009B23D5"/>
    <w:rsid w:val="009B2BC5"/>
    <w:rsid w:val="009B335C"/>
    <w:rsid w:val="009B3A95"/>
    <w:rsid w:val="009B3D31"/>
    <w:rsid w:val="009B4441"/>
    <w:rsid w:val="009B4B19"/>
    <w:rsid w:val="009B528F"/>
    <w:rsid w:val="009B55BB"/>
    <w:rsid w:val="009B5FC8"/>
    <w:rsid w:val="009B6E93"/>
    <w:rsid w:val="009B722B"/>
    <w:rsid w:val="009B78E1"/>
    <w:rsid w:val="009C0016"/>
    <w:rsid w:val="009C0129"/>
    <w:rsid w:val="009C066D"/>
    <w:rsid w:val="009C13EA"/>
    <w:rsid w:val="009C1DB8"/>
    <w:rsid w:val="009C214C"/>
    <w:rsid w:val="009C224F"/>
    <w:rsid w:val="009C3348"/>
    <w:rsid w:val="009C335D"/>
    <w:rsid w:val="009C387D"/>
    <w:rsid w:val="009C3FBE"/>
    <w:rsid w:val="009C4003"/>
    <w:rsid w:val="009C45B8"/>
    <w:rsid w:val="009C4A6F"/>
    <w:rsid w:val="009C4BC4"/>
    <w:rsid w:val="009C4DE4"/>
    <w:rsid w:val="009C5351"/>
    <w:rsid w:val="009C6C44"/>
    <w:rsid w:val="009C6DB3"/>
    <w:rsid w:val="009C75DA"/>
    <w:rsid w:val="009C7823"/>
    <w:rsid w:val="009C7851"/>
    <w:rsid w:val="009C7EA6"/>
    <w:rsid w:val="009D001E"/>
    <w:rsid w:val="009D020C"/>
    <w:rsid w:val="009D08FD"/>
    <w:rsid w:val="009D1493"/>
    <w:rsid w:val="009D1710"/>
    <w:rsid w:val="009D2288"/>
    <w:rsid w:val="009D270F"/>
    <w:rsid w:val="009D27D1"/>
    <w:rsid w:val="009D2AF3"/>
    <w:rsid w:val="009D2BD6"/>
    <w:rsid w:val="009D2F63"/>
    <w:rsid w:val="009D375B"/>
    <w:rsid w:val="009D5136"/>
    <w:rsid w:val="009D540E"/>
    <w:rsid w:val="009D5775"/>
    <w:rsid w:val="009D5BE0"/>
    <w:rsid w:val="009D601C"/>
    <w:rsid w:val="009D6D7C"/>
    <w:rsid w:val="009D7D75"/>
    <w:rsid w:val="009D7E21"/>
    <w:rsid w:val="009E01AE"/>
    <w:rsid w:val="009E02BC"/>
    <w:rsid w:val="009E043E"/>
    <w:rsid w:val="009E0ACE"/>
    <w:rsid w:val="009E12D6"/>
    <w:rsid w:val="009E1CA1"/>
    <w:rsid w:val="009E2B5E"/>
    <w:rsid w:val="009E2DE6"/>
    <w:rsid w:val="009E331D"/>
    <w:rsid w:val="009E4677"/>
    <w:rsid w:val="009E4A1D"/>
    <w:rsid w:val="009E5416"/>
    <w:rsid w:val="009E5618"/>
    <w:rsid w:val="009E5947"/>
    <w:rsid w:val="009E5DDE"/>
    <w:rsid w:val="009E6173"/>
    <w:rsid w:val="009E695E"/>
    <w:rsid w:val="009E7AB1"/>
    <w:rsid w:val="009E7B03"/>
    <w:rsid w:val="009F0314"/>
    <w:rsid w:val="009F0840"/>
    <w:rsid w:val="009F1C78"/>
    <w:rsid w:val="009F42B5"/>
    <w:rsid w:val="009F599C"/>
    <w:rsid w:val="009F5DDC"/>
    <w:rsid w:val="009F6612"/>
    <w:rsid w:val="009F6727"/>
    <w:rsid w:val="009F6BF3"/>
    <w:rsid w:val="009F6F11"/>
    <w:rsid w:val="009F7092"/>
    <w:rsid w:val="009F7727"/>
    <w:rsid w:val="009F7936"/>
    <w:rsid w:val="009F7C68"/>
    <w:rsid w:val="00A00549"/>
    <w:rsid w:val="00A00E25"/>
    <w:rsid w:val="00A014E3"/>
    <w:rsid w:val="00A017EA"/>
    <w:rsid w:val="00A02529"/>
    <w:rsid w:val="00A0278E"/>
    <w:rsid w:val="00A02A15"/>
    <w:rsid w:val="00A03DC7"/>
    <w:rsid w:val="00A0402B"/>
    <w:rsid w:val="00A044E4"/>
    <w:rsid w:val="00A050F6"/>
    <w:rsid w:val="00A052F5"/>
    <w:rsid w:val="00A054D0"/>
    <w:rsid w:val="00A0705E"/>
    <w:rsid w:val="00A076E3"/>
    <w:rsid w:val="00A07A03"/>
    <w:rsid w:val="00A07B41"/>
    <w:rsid w:val="00A07DC9"/>
    <w:rsid w:val="00A07F62"/>
    <w:rsid w:val="00A10056"/>
    <w:rsid w:val="00A112C9"/>
    <w:rsid w:val="00A11DB7"/>
    <w:rsid w:val="00A11F8A"/>
    <w:rsid w:val="00A125F5"/>
    <w:rsid w:val="00A12DC0"/>
    <w:rsid w:val="00A138D8"/>
    <w:rsid w:val="00A14CED"/>
    <w:rsid w:val="00A14E65"/>
    <w:rsid w:val="00A155F4"/>
    <w:rsid w:val="00A15A4D"/>
    <w:rsid w:val="00A15BFF"/>
    <w:rsid w:val="00A16732"/>
    <w:rsid w:val="00A17B5A"/>
    <w:rsid w:val="00A17D52"/>
    <w:rsid w:val="00A17E48"/>
    <w:rsid w:val="00A204DE"/>
    <w:rsid w:val="00A209A4"/>
    <w:rsid w:val="00A21012"/>
    <w:rsid w:val="00A2109B"/>
    <w:rsid w:val="00A211FF"/>
    <w:rsid w:val="00A21AC0"/>
    <w:rsid w:val="00A21BB5"/>
    <w:rsid w:val="00A21BFA"/>
    <w:rsid w:val="00A21F1C"/>
    <w:rsid w:val="00A220C1"/>
    <w:rsid w:val="00A2214E"/>
    <w:rsid w:val="00A22300"/>
    <w:rsid w:val="00A22929"/>
    <w:rsid w:val="00A23D70"/>
    <w:rsid w:val="00A23F5B"/>
    <w:rsid w:val="00A2423A"/>
    <w:rsid w:val="00A266D7"/>
    <w:rsid w:val="00A2691F"/>
    <w:rsid w:val="00A27606"/>
    <w:rsid w:val="00A27B21"/>
    <w:rsid w:val="00A30F83"/>
    <w:rsid w:val="00A311D4"/>
    <w:rsid w:val="00A313D3"/>
    <w:rsid w:val="00A31532"/>
    <w:rsid w:val="00A3201A"/>
    <w:rsid w:val="00A3209B"/>
    <w:rsid w:val="00A322D8"/>
    <w:rsid w:val="00A335AD"/>
    <w:rsid w:val="00A33E0A"/>
    <w:rsid w:val="00A34100"/>
    <w:rsid w:val="00A3420B"/>
    <w:rsid w:val="00A34E6A"/>
    <w:rsid w:val="00A34F3F"/>
    <w:rsid w:val="00A34FF6"/>
    <w:rsid w:val="00A354F4"/>
    <w:rsid w:val="00A36274"/>
    <w:rsid w:val="00A3699D"/>
    <w:rsid w:val="00A36DAB"/>
    <w:rsid w:val="00A36F2F"/>
    <w:rsid w:val="00A40AEF"/>
    <w:rsid w:val="00A415F6"/>
    <w:rsid w:val="00A41DAD"/>
    <w:rsid w:val="00A421E4"/>
    <w:rsid w:val="00A42860"/>
    <w:rsid w:val="00A429AF"/>
    <w:rsid w:val="00A433F6"/>
    <w:rsid w:val="00A43EE7"/>
    <w:rsid w:val="00A443E9"/>
    <w:rsid w:val="00A445C3"/>
    <w:rsid w:val="00A44DB0"/>
    <w:rsid w:val="00A4511E"/>
    <w:rsid w:val="00A45A8F"/>
    <w:rsid w:val="00A4662A"/>
    <w:rsid w:val="00A46A0C"/>
    <w:rsid w:val="00A47A34"/>
    <w:rsid w:val="00A50DA8"/>
    <w:rsid w:val="00A510D3"/>
    <w:rsid w:val="00A51751"/>
    <w:rsid w:val="00A523DE"/>
    <w:rsid w:val="00A52579"/>
    <w:rsid w:val="00A52A71"/>
    <w:rsid w:val="00A52C0E"/>
    <w:rsid w:val="00A54138"/>
    <w:rsid w:val="00A552DA"/>
    <w:rsid w:val="00A557DF"/>
    <w:rsid w:val="00A56191"/>
    <w:rsid w:val="00A56459"/>
    <w:rsid w:val="00A56A8D"/>
    <w:rsid w:val="00A56D41"/>
    <w:rsid w:val="00A57A5C"/>
    <w:rsid w:val="00A57A71"/>
    <w:rsid w:val="00A57AEB"/>
    <w:rsid w:val="00A60CFE"/>
    <w:rsid w:val="00A61071"/>
    <w:rsid w:val="00A623F1"/>
    <w:rsid w:val="00A6252D"/>
    <w:rsid w:val="00A628DA"/>
    <w:rsid w:val="00A631AB"/>
    <w:rsid w:val="00A6340E"/>
    <w:rsid w:val="00A63DA3"/>
    <w:rsid w:val="00A64226"/>
    <w:rsid w:val="00A64AEE"/>
    <w:rsid w:val="00A6574C"/>
    <w:rsid w:val="00A6613F"/>
    <w:rsid w:val="00A66BDA"/>
    <w:rsid w:val="00A66CF2"/>
    <w:rsid w:val="00A67023"/>
    <w:rsid w:val="00A670FC"/>
    <w:rsid w:val="00A672F7"/>
    <w:rsid w:val="00A67658"/>
    <w:rsid w:val="00A67683"/>
    <w:rsid w:val="00A67DAE"/>
    <w:rsid w:val="00A67EAB"/>
    <w:rsid w:val="00A67F16"/>
    <w:rsid w:val="00A70802"/>
    <w:rsid w:val="00A70A02"/>
    <w:rsid w:val="00A70C73"/>
    <w:rsid w:val="00A70EF7"/>
    <w:rsid w:val="00A70F55"/>
    <w:rsid w:val="00A71147"/>
    <w:rsid w:val="00A715D4"/>
    <w:rsid w:val="00A7191C"/>
    <w:rsid w:val="00A71E41"/>
    <w:rsid w:val="00A72A85"/>
    <w:rsid w:val="00A72BEF"/>
    <w:rsid w:val="00A730F4"/>
    <w:rsid w:val="00A73344"/>
    <w:rsid w:val="00A73CA1"/>
    <w:rsid w:val="00A73CBF"/>
    <w:rsid w:val="00A7412A"/>
    <w:rsid w:val="00A75515"/>
    <w:rsid w:val="00A757CA"/>
    <w:rsid w:val="00A75C3E"/>
    <w:rsid w:val="00A76D17"/>
    <w:rsid w:val="00A7712C"/>
    <w:rsid w:val="00A7779B"/>
    <w:rsid w:val="00A77DAC"/>
    <w:rsid w:val="00A80575"/>
    <w:rsid w:val="00A8085C"/>
    <w:rsid w:val="00A808A9"/>
    <w:rsid w:val="00A80D37"/>
    <w:rsid w:val="00A80ED4"/>
    <w:rsid w:val="00A819A4"/>
    <w:rsid w:val="00A819F2"/>
    <w:rsid w:val="00A82149"/>
    <w:rsid w:val="00A8223D"/>
    <w:rsid w:val="00A82D95"/>
    <w:rsid w:val="00A83114"/>
    <w:rsid w:val="00A83539"/>
    <w:rsid w:val="00A83734"/>
    <w:rsid w:val="00A8374C"/>
    <w:rsid w:val="00A8394C"/>
    <w:rsid w:val="00A839F5"/>
    <w:rsid w:val="00A83BAA"/>
    <w:rsid w:val="00A84887"/>
    <w:rsid w:val="00A84E15"/>
    <w:rsid w:val="00A84FB2"/>
    <w:rsid w:val="00A85145"/>
    <w:rsid w:val="00A852A7"/>
    <w:rsid w:val="00A852AA"/>
    <w:rsid w:val="00A85ADF"/>
    <w:rsid w:val="00A85DBC"/>
    <w:rsid w:val="00A865BD"/>
    <w:rsid w:val="00A87438"/>
    <w:rsid w:val="00A876B2"/>
    <w:rsid w:val="00A8793F"/>
    <w:rsid w:val="00A87A01"/>
    <w:rsid w:val="00A87DA4"/>
    <w:rsid w:val="00A9071A"/>
    <w:rsid w:val="00A90736"/>
    <w:rsid w:val="00A90ACB"/>
    <w:rsid w:val="00A90C64"/>
    <w:rsid w:val="00A9176A"/>
    <w:rsid w:val="00A91E53"/>
    <w:rsid w:val="00A91F62"/>
    <w:rsid w:val="00A931BF"/>
    <w:rsid w:val="00A9374A"/>
    <w:rsid w:val="00A93CFC"/>
    <w:rsid w:val="00A94029"/>
    <w:rsid w:val="00A9441B"/>
    <w:rsid w:val="00A95808"/>
    <w:rsid w:val="00A959A1"/>
    <w:rsid w:val="00A968BE"/>
    <w:rsid w:val="00A96FDE"/>
    <w:rsid w:val="00A976D2"/>
    <w:rsid w:val="00AA0244"/>
    <w:rsid w:val="00AA0309"/>
    <w:rsid w:val="00AA256B"/>
    <w:rsid w:val="00AA2BC1"/>
    <w:rsid w:val="00AA3233"/>
    <w:rsid w:val="00AA327A"/>
    <w:rsid w:val="00AA3361"/>
    <w:rsid w:val="00AA33E8"/>
    <w:rsid w:val="00AA41C0"/>
    <w:rsid w:val="00AA44C7"/>
    <w:rsid w:val="00AA485F"/>
    <w:rsid w:val="00AA48E3"/>
    <w:rsid w:val="00AA4D9A"/>
    <w:rsid w:val="00AA5867"/>
    <w:rsid w:val="00AA6058"/>
    <w:rsid w:val="00AA6C59"/>
    <w:rsid w:val="00AA70A1"/>
    <w:rsid w:val="00AA72A6"/>
    <w:rsid w:val="00AA7D2A"/>
    <w:rsid w:val="00AA7E91"/>
    <w:rsid w:val="00AB04A7"/>
    <w:rsid w:val="00AB1581"/>
    <w:rsid w:val="00AB193C"/>
    <w:rsid w:val="00AB1DD4"/>
    <w:rsid w:val="00AB2759"/>
    <w:rsid w:val="00AB28E9"/>
    <w:rsid w:val="00AB32FD"/>
    <w:rsid w:val="00AB4AD3"/>
    <w:rsid w:val="00AB5030"/>
    <w:rsid w:val="00AB550B"/>
    <w:rsid w:val="00AB5D96"/>
    <w:rsid w:val="00AB61E5"/>
    <w:rsid w:val="00AB66E1"/>
    <w:rsid w:val="00AB6B82"/>
    <w:rsid w:val="00AB76A7"/>
    <w:rsid w:val="00AB7BAE"/>
    <w:rsid w:val="00AB7D04"/>
    <w:rsid w:val="00AC099D"/>
    <w:rsid w:val="00AC10B4"/>
    <w:rsid w:val="00AC199C"/>
    <w:rsid w:val="00AC1D5B"/>
    <w:rsid w:val="00AC1FD8"/>
    <w:rsid w:val="00AC2562"/>
    <w:rsid w:val="00AC2A18"/>
    <w:rsid w:val="00AC33B8"/>
    <w:rsid w:val="00AC33E9"/>
    <w:rsid w:val="00AC3F33"/>
    <w:rsid w:val="00AC47A9"/>
    <w:rsid w:val="00AC4DA8"/>
    <w:rsid w:val="00AC5030"/>
    <w:rsid w:val="00AC50F6"/>
    <w:rsid w:val="00AC5DEE"/>
    <w:rsid w:val="00AC61EF"/>
    <w:rsid w:val="00AC6F6A"/>
    <w:rsid w:val="00AC71EA"/>
    <w:rsid w:val="00AC7D91"/>
    <w:rsid w:val="00AC7F50"/>
    <w:rsid w:val="00AD05DC"/>
    <w:rsid w:val="00AD0821"/>
    <w:rsid w:val="00AD0845"/>
    <w:rsid w:val="00AD18C7"/>
    <w:rsid w:val="00AD1BBB"/>
    <w:rsid w:val="00AD2236"/>
    <w:rsid w:val="00AD2CD3"/>
    <w:rsid w:val="00AD345D"/>
    <w:rsid w:val="00AD377D"/>
    <w:rsid w:val="00AD3E24"/>
    <w:rsid w:val="00AD3FB4"/>
    <w:rsid w:val="00AD4122"/>
    <w:rsid w:val="00AD4280"/>
    <w:rsid w:val="00AD4834"/>
    <w:rsid w:val="00AD49EC"/>
    <w:rsid w:val="00AD5952"/>
    <w:rsid w:val="00AD5A81"/>
    <w:rsid w:val="00AD5C79"/>
    <w:rsid w:val="00AD633F"/>
    <w:rsid w:val="00AD6388"/>
    <w:rsid w:val="00AD6A1E"/>
    <w:rsid w:val="00AD6C95"/>
    <w:rsid w:val="00AD6E28"/>
    <w:rsid w:val="00AD7293"/>
    <w:rsid w:val="00AD75D7"/>
    <w:rsid w:val="00AD76A6"/>
    <w:rsid w:val="00AD77A5"/>
    <w:rsid w:val="00AD7870"/>
    <w:rsid w:val="00AD7EEF"/>
    <w:rsid w:val="00AE02A9"/>
    <w:rsid w:val="00AE0527"/>
    <w:rsid w:val="00AE0574"/>
    <w:rsid w:val="00AE0E5D"/>
    <w:rsid w:val="00AE1441"/>
    <w:rsid w:val="00AE16E0"/>
    <w:rsid w:val="00AE172B"/>
    <w:rsid w:val="00AE17FD"/>
    <w:rsid w:val="00AE1FB0"/>
    <w:rsid w:val="00AE2051"/>
    <w:rsid w:val="00AE2842"/>
    <w:rsid w:val="00AE2933"/>
    <w:rsid w:val="00AE2945"/>
    <w:rsid w:val="00AE29C3"/>
    <w:rsid w:val="00AE2D90"/>
    <w:rsid w:val="00AE3711"/>
    <w:rsid w:val="00AE37A4"/>
    <w:rsid w:val="00AE558C"/>
    <w:rsid w:val="00AE5F84"/>
    <w:rsid w:val="00AE6221"/>
    <w:rsid w:val="00AE6223"/>
    <w:rsid w:val="00AE6280"/>
    <w:rsid w:val="00AE6CCC"/>
    <w:rsid w:val="00AE7434"/>
    <w:rsid w:val="00AF05AF"/>
    <w:rsid w:val="00AF0C66"/>
    <w:rsid w:val="00AF0D48"/>
    <w:rsid w:val="00AF1B54"/>
    <w:rsid w:val="00AF2027"/>
    <w:rsid w:val="00AF2180"/>
    <w:rsid w:val="00AF287A"/>
    <w:rsid w:val="00AF2A67"/>
    <w:rsid w:val="00AF2CF1"/>
    <w:rsid w:val="00AF2F4F"/>
    <w:rsid w:val="00AF3384"/>
    <w:rsid w:val="00AF3727"/>
    <w:rsid w:val="00AF4124"/>
    <w:rsid w:val="00AF461E"/>
    <w:rsid w:val="00AF5225"/>
    <w:rsid w:val="00AF5373"/>
    <w:rsid w:val="00AF53E2"/>
    <w:rsid w:val="00AF5776"/>
    <w:rsid w:val="00AF5CD5"/>
    <w:rsid w:val="00AF628D"/>
    <w:rsid w:val="00AF6376"/>
    <w:rsid w:val="00AF6E34"/>
    <w:rsid w:val="00AF6F29"/>
    <w:rsid w:val="00AF7169"/>
    <w:rsid w:val="00AF727D"/>
    <w:rsid w:val="00AF7AC1"/>
    <w:rsid w:val="00AF7B8A"/>
    <w:rsid w:val="00B001D4"/>
    <w:rsid w:val="00B0042C"/>
    <w:rsid w:val="00B0068B"/>
    <w:rsid w:val="00B009A2"/>
    <w:rsid w:val="00B01FDF"/>
    <w:rsid w:val="00B0221D"/>
    <w:rsid w:val="00B02913"/>
    <w:rsid w:val="00B029A8"/>
    <w:rsid w:val="00B02FB0"/>
    <w:rsid w:val="00B03443"/>
    <w:rsid w:val="00B0408F"/>
    <w:rsid w:val="00B041C3"/>
    <w:rsid w:val="00B042C7"/>
    <w:rsid w:val="00B04B84"/>
    <w:rsid w:val="00B05076"/>
    <w:rsid w:val="00B052DC"/>
    <w:rsid w:val="00B05A0E"/>
    <w:rsid w:val="00B06202"/>
    <w:rsid w:val="00B06A3D"/>
    <w:rsid w:val="00B07AAC"/>
    <w:rsid w:val="00B07D1E"/>
    <w:rsid w:val="00B07E4A"/>
    <w:rsid w:val="00B1028A"/>
    <w:rsid w:val="00B10686"/>
    <w:rsid w:val="00B10DEF"/>
    <w:rsid w:val="00B1111F"/>
    <w:rsid w:val="00B11F9C"/>
    <w:rsid w:val="00B126F9"/>
    <w:rsid w:val="00B1288B"/>
    <w:rsid w:val="00B12D00"/>
    <w:rsid w:val="00B12ECA"/>
    <w:rsid w:val="00B141F8"/>
    <w:rsid w:val="00B1430F"/>
    <w:rsid w:val="00B150C2"/>
    <w:rsid w:val="00B152E4"/>
    <w:rsid w:val="00B15450"/>
    <w:rsid w:val="00B16FC7"/>
    <w:rsid w:val="00B170B8"/>
    <w:rsid w:val="00B170F4"/>
    <w:rsid w:val="00B17227"/>
    <w:rsid w:val="00B174DB"/>
    <w:rsid w:val="00B17BAF"/>
    <w:rsid w:val="00B208B5"/>
    <w:rsid w:val="00B20E02"/>
    <w:rsid w:val="00B21211"/>
    <w:rsid w:val="00B218FA"/>
    <w:rsid w:val="00B21CDE"/>
    <w:rsid w:val="00B222DA"/>
    <w:rsid w:val="00B230F4"/>
    <w:rsid w:val="00B239DD"/>
    <w:rsid w:val="00B250C3"/>
    <w:rsid w:val="00B25174"/>
    <w:rsid w:val="00B25207"/>
    <w:rsid w:val="00B25884"/>
    <w:rsid w:val="00B262FC"/>
    <w:rsid w:val="00B2730A"/>
    <w:rsid w:val="00B277AB"/>
    <w:rsid w:val="00B27E80"/>
    <w:rsid w:val="00B3105C"/>
    <w:rsid w:val="00B31792"/>
    <w:rsid w:val="00B3245E"/>
    <w:rsid w:val="00B32737"/>
    <w:rsid w:val="00B32BFC"/>
    <w:rsid w:val="00B3313F"/>
    <w:rsid w:val="00B333C0"/>
    <w:rsid w:val="00B3349F"/>
    <w:rsid w:val="00B33507"/>
    <w:rsid w:val="00B33E86"/>
    <w:rsid w:val="00B345D0"/>
    <w:rsid w:val="00B34FAD"/>
    <w:rsid w:val="00B3581A"/>
    <w:rsid w:val="00B359E0"/>
    <w:rsid w:val="00B35ADC"/>
    <w:rsid w:val="00B35DC7"/>
    <w:rsid w:val="00B3623D"/>
    <w:rsid w:val="00B36318"/>
    <w:rsid w:val="00B36A7C"/>
    <w:rsid w:val="00B36B86"/>
    <w:rsid w:val="00B37242"/>
    <w:rsid w:val="00B37350"/>
    <w:rsid w:val="00B37601"/>
    <w:rsid w:val="00B37FF3"/>
    <w:rsid w:val="00B40839"/>
    <w:rsid w:val="00B4092D"/>
    <w:rsid w:val="00B40BF6"/>
    <w:rsid w:val="00B40C21"/>
    <w:rsid w:val="00B40CE8"/>
    <w:rsid w:val="00B40D26"/>
    <w:rsid w:val="00B41A94"/>
    <w:rsid w:val="00B41EA6"/>
    <w:rsid w:val="00B4218F"/>
    <w:rsid w:val="00B42502"/>
    <w:rsid w:val="00B42EA6"/>
    <w:rsid w:val="00B434AE"/>
    <w:rsid w:val="00B44726"/>
    <w:rsid w:val="00B44C0F"/>
    <w:rsid w:val="00B44E41"/>
    <w:rsid w:val="00B452C5"/>
    <w:rsid w:val="00B45375"/>
    <w:rsid w:val="00B45AED"/>
    <w:rsid w:val="00B4689F"/>
    <w:rsid w:val="00B46C52"/>
    <w:rsid w:val="00B46DC5"/>
    <w:rsid w:val="00B47121"/>
    <w:rsid w:val="00B4759F"/>
    <w:rsid w:val="00B479EA"/>
    <w:rsid w:val="00B5234A"/>
    <w:rsid w:val="00B523AF"/>
    <w:rsid w:val="00B5348E"/>
    <w:rsid w:val="00B53A80"/>
    <w:rsid w:val="00B55299"/>
    <w:rsid w:val="00B55E87"/>
    <w:rsid w:val="00B561A3"/>
    <w:rsid w:val="00B561BA"/>
    <w:rsid w:val="00B566C9"/>
    <w:rsid w:val="00B56BAA"/>
    <w:rsid w:val="00B575AB"/>
    <w:rsid w:val="00B60F1F"/>
    <w:rsid w:val="00B61140"/>
    <w:rsid w:val="00B61303"/>
    <w:rsid w:val="00B61325"/>
    <w:rsid w:val="00B61C59"/>
    <w:rsid w:val="00B61DF4"/>
    <w:rsid w:val="00B621B2"/>
    <w:rsid w:val="00B62714"/>
    <w:rsid w:val="00B62A8D"/>
    <w:rsid w:val="00B62B9E"/>
    <w:rsid w:val="00B6355E"/>
    <w:rsid w:val="00B6383E"/>
    <w:rsid w:val="00B63912"/>
    <w:rsid w:val="00B64402"/>
    <w:rsid w:val="00B66472"/>
    <w:rsid w:val="00B664F9"/>
    <w:rsid w:val="00B66606"/>
    <w:rsid w:val="00B66F13"/>
    <w:rsid w:val="00B67083"/>
    <w:rsid w:val="00B677D4"/>
    <w:rsid w:val="00B6785F"/>
    <w:rsid w:val="00B67BD8"/>
    <w:rsid w:val="00B705D5"/>
    <w:rsid w:val="00B71CBE"/>
    <w:rsid w:val="00B71E32"/>
    <w:rsid w:val="00B72BE2"/>
    <w:rsid w:val="00B7309E"/>
    <w:rsid w:val="00B735F3"/>
    <w:rsid w:val="00B73AED"/>
    <w:rsid w:val="00B73E77"/>
    <w:rsid w:val="00B747DF"/>
    <w:rsid w:val="00B75560"/>
    <w:rsid w:val="00B75754"/>
    <w:rsid w:val="00B757C0"/>
    <w:rsid w:val="00B75CDA"/>
    <w:rsid w:val="00B75CE6"/>
    <w:rsid w:val="00B760E8"/>
    <w:rsid w:val="00B7667C"/>
    <w:rsid w:val="00B769CE"/>
    <w:rsid w:val="00B77F26"/>
    <w:rsid w:val="00B80D3A"/>
    <w:rsid w:val="00B80D9E"/>
    <w:rsid w:val="00B80F07"/>
    <w:rsid w:val="00B814F8"/>
    <w:rsid w:val="00B81C8A"/>
    <w:rsid w:val="00B82F24"/>
    <w:rsid w:val="00B8365B"/>
    <w:rsid w:val="00B83889"/>
    <w:rsid w:val="00B839C7"/>
    <w:rsid w:val="00B83AC4"/>
    <w:rsid w:val="00B83BF3"/>
    <w:rsid w:val="00B83C4E"/>
    <w:rsid w:val="00B83DFB"/>
    <w:rsid w:val="00B84415"/>
    <w:rsid w:val="00B84732"/>
    <w:rsid w:val="00B84E72"/>
    <w:rsid w:val="00B84FC1"/>
    <w:rsid w:val="00B85C30"/>
    <w:rsid w:val="00B85D41"/>
    <w:rsid w:val="00B85E51"/>
    <w:rsid w:val="00B869E5"/>
    <w:rsid w:val="00B86D49"/>
    <w:rsid w:val="00B873C7"/>
    <w:rsid w:val="00B87AE3"/>
    <w:rsid w:val="00B90432"/>
    <w:rsid w:val="00B90FC7"/>
    <w:rsid w:val="00B9179A"/>
    <w:rsid w:val="00B91FB4"/>
    <w:rsid w:val="00B92277"/>
    <w:rsid w:val="00B923C1"/>
    <w:rsid w:val="00B923C2"/>
    <w:rsid w:val="00B93F92"/>
    <w:rsid w:val="00B94079"/>
    <w:rsid w:val="00B941BF"/>
    <w:rsid w:val="00B943E9"/>
    <w:rsid w:val="00B95102"/>
    <w:rsid w:val="00B952B6"/>
    <w:rsid w:val="00B953DD"/>
    <w:rsid w:val="00B95756"/>
    <w:rsid w:val="00B971A5"/>
    <w:rsid w:val="00B971EB"/>
    <w:rsid w:val="00B97B1A"/>
    <w:rsid w:val="00B97B1D"/>
    <w:rsid w:val="00B97F2C"/>
    <w:rsid w:val="00BA00AD"/>
    <w:rsid w:val="00BA00C5"/>
    <w:rsid w:val="00BA034F"/>
    <w:rsid w:val="00BA036B"/>
    <w:rsid w:val="00BA05B1"/>
    <w:rsid w:val="00BA07F3"/>
    <w:rsid w:val="00BA089A"/>
    <w:rsid w:val="00BA0CDD"/>
    <w:rsid w:val="00BA1190"/>
    <w:rsid w:val="00BA1627"/>
    <w:rsid w:val="00BA18E1"/>
    <w:rsid w:val="00BA205F"/>
    <w:rsid w:val="00BA2100"/>
    <w:rsid w:val="00BA2938"/>
    <w:rsid w:val="00BA350D"/>
    <w:rsid w:val="00BA35C0"/>
    <w:rsid w:val="00BA3A9C"/>
    <w:rsid w:val="00BA4315"/>
    <w:rsid w:val="00BA4816"/>
    <w:rsid w:val="00BA4EC9"/>
    <w:rsid w:val="00BA67BB"/>
    <w:rsid w:val="00BA6956"/>
    <w:rsid w:val="00BA6D56"/>
    <w:rsid w:val="00BA7642"/>
    <w:rsid w:val="00BA7A25"/>
    <w:rsid w:val="00BA7D49"/>
    <w:rsid w:val="00BB0077"/>
    <w:rsid w:val="00BB0202"/>
    <w:rsid w:val="00BB02F3"/>
    <w:rsid w:val="00BB03C9"/>
    <w:rsid w:val="00BB05E5"/>
    <w:rsid w:val="00BB0673"/>
    <w:rsid w:val="00BB0F77"/>
    <w:rsid w:val="00BB13FE"/>
    <w:rsid w:val="00BB14FC"/>
    <w:rsid w:val="00BB1597"/>
    <w:rsid w:val="00BB1E98"/>
    <w:rsid w:val="00BB260F"/>
    <w:rsid w:val="00BB271D"/>
    <w:rsid w:val="00BB31EB"/>
    <w:rsid w:val="00BB3442"/>
    <w:rsid w:val="00BB36D3"/>
    <w:rsid w:val="00BB37D9"/>
    <w:rsid w:val="00BB4556"/>
    <w:rsid w:val="00BB5140"/>
    <w:rsid w:val="00BB5503"/>
    <w:rsid w:val="00BB58F7"/>
    <w:rsid w:val="00BB5F11"/>
    <w:rsid w:val="00BB62A8"/>
    <w:rsid w:val="00BB6645"/>
    <w:rsid w:val="00BB6934"/>
    <w:rsid w:val="00BB69DF"/>
    <w:rsid w:val="00BB6BD9"/>
    <w:rsid w:val="00BB6DD5"/>
    <w:rsid w:val="00BB74EA"/>
    <w:rsid w:val="00BC0150"/>
    <w:rsid w:val="00BC02F5"/>
    <w:rsid w:val="00BC070B"/>
    <w:rsid w:val="00BC0926"/>
    <w:rsid w:val="00BC0C64"/>
    <w:rsid w:val="00BC0E2A"/>
    <w:rsid w:val="00BC25A4"/>
    <w:rsid w:val="00BC2A47"/>
    <w:rsid w:val="00BC2CE3"/>
    <w:rsid w:val="00BC2E47"/>
    <w:rsid w:val="00BC30C5"/>
    <w:rsid w:val="00BC5851"/>
    <w:rsid w:val="00BC5D03"/>
    <w:rsid w:val="00BC6FED"/>
    <w:rsid w:val="00BC7120"/>
    <w:rsid w:val="00BC7712"/>
    <w:rsid w:val="00BC7750"/>
    <w:rsid w:val="00BC79D7"/>
    <w:rsid w:val="00BC7FDB"/>
    <w:rsid w:val="00BD0313"/>
    <w:rsid w:val="00BD063F"/>
    <w:rsid w:val="00BD07D3"/>
    <w:rsid w:val="00BD0DB8"/>
    <w:rsid w:val="00BD0EFE"/>
    <w:rsid w:val="00BD1575"/>
    <w:rsid w:val="00BD1E76"/>
    <w:rsid w:val="00BD1EB1"/>
    <w:rsid w:val="00BD290C"/>
    <w:rsid w:val="00BD3218"/>
    <w:rsid w:val="00BD3266"/>
    <w:rsid w:val="00BD3837"/>
    <w:rsid w:val="00BD3EE8"/>
    <w:rsid w:val="00BD5CE2"/>
    <w:rsid w:val="00BD63FA"/>
    <w:rsid w:val="00BD7394"/>
    <w:rsid w:val="00BD77E6"/>
    <w:rsid w:val="00BD7C91"/>
    <w:rsid w:val="00BE0099"/>
    <w:rsid w:val="00BE0670"/>
    <w:rsid w:val="00BE088F"/>
    <w:rsid w:val="00BE1411"/>
    <w:rsid w:val="00BE169B"/>
    <w:rsid w:val="00BE16D9"/>
    <w:rsid w:val="00BE1714"/>
    <w:rsid w:val="00BE174F"/>
    <w:rsid w:val="00BE2258"/>
    <w:rsid w:val="00BE259E"/>
    <w:rsid w:val="00BE3AF8"/>
    <w:rsid w:val="00BE4A8A"/>
    <w:rsid w:val="00BE5012"/>
    <w:rsid w:val="00BE5140"/>
    <w:rsid w:val="00BE575E"/>
    <w:rsid w:val="00BE57BF"/>
    <w:rsid w:val="00BE5A39"/>
    <w:rsid w:val="00BE5C01"/>
    <w:rsid w:val="00BE6357"/>
    <w:rsid w:val="00BE638E"/>
    <w:rsid w:val="00BE6974"/>
    <w:rsid w:val="00BE6A96"/>
    <w:rsid w:val="00BE6D16"/>
    <w:rsid w:val="00BE7187"/>
    <w:rsid w:val="00BE7FEA"/>
    <w:rsid w:val="00BF0211"/>
    <w:rsid w:val="00BF0CC9"/>
    <w:rsid w:val="00BF0DCC"/>
    <w:rsid w:val="00BF172B"/>
    <w:rsid w:val="00BF268E"/>
    <w:rsid w:val="00BF2882"/>
    <w:rsid w:val="00BF383E"/>
    <w:rsid w:val="00BF3AB4"/>
    <w:rsid w:val="00BF407E"/>
    <w:rsid w:val="00BF4538"/>
    <w:rsid w:val="00BF460E"/>
    <w:rsid w:val="00BF4695"/>
    <w:rsid w:val="00BF47D2"/>
    <w:rsid w:val="00BF4BBD"/>
    <w:rsid w:val="00BF5877"/>
    <w:rsid w:val="00BF62F1"/>
    <w:rsid w:val="00BF65F1"/>
    <w:rsid w:val="00BF6BD2"/>
    <w:rsid w:val="00BF74AE"/>
    <w:rsid w:val="00BF75CA"/>
    <w:rsid w:val="00BF760C"/>
    <w:rsid w:val="00BF77A2"/>
    <w:rsid w:val="00BF7AB1"/>
    <w:rsid w:val="00BF7C54"/>
    <w:rsid w:val="00BF7ED8"/>
    <w:rsid w:val="00C01535"/>
    <w:rsid w:val="00C0192C"/>
    <w:rsid w:val="00C0209E"/>
    <w:rsid w:val="00C02487"/>
    <w:rsid w:val="00C02C30"/>
    <w:rsid w:val="00C02FA1"/>
    <w:rsid w:val="00C031E3"/>
    <w:rsid w:val="00C0377B"/>
    <w:rsid w:val="00C03D08"/>
    <w:rsid w:val="00C03FE4"/>
    <w:rsid w:val="00C04967"/>
    <w:rsid w:val="00C04C0C"/>
    <w:rsid w:val="00C05B40"/>
    <w:rsid w:val="00C0641A"/>
    <w:rsid w:val="00C0695B"/>
    <w:rsid w:val="00C06FB6"/>
    <w:rsid w:val="00C070D8"/>
    <w:rsid w:val="00C076B5"/>
    <w:rsid w:val="00C07F81"/>
    <w:rsid w:val="00C10832"/>
    <w:rsid w:val="00C114C9"/>
    <w:rsid w:val="00C1162E"/>
    <w:rsid w:val="00C1179F"/>
    <w:rsid w:val="00C128FA"/>
    <w:rsid w:val="00C1313D"/>
    <w:rsid w:val="00C133B3"/>
    <w:rsid w:val="00C13D09"/>
    <w:rsid w:val="00C141C6"/>
    <w:rsid w:val="00C146CF"/>
    <w:rsid w:val="00C14722"/>
    <w:rsid w:val="00C14B5F"/>
    <w:rsid w:val="00C14DD8"/>
    <w:rsid w:val="00C150A7"/>
    <w:rsid w:val="00C15523"/>
    <w:rsid w:val="00C16308"/>
    <w:rsid w:val="00C16A0B"/>
    <w:rsid w:val="00C170C1"/>
    <w:rsid w:val="00C174B5"/>
    <w:rsid w:val="00C17525"/>
    <w:rsid w:val="00C17ABF"/>
    <w:rsid w:val="00C200AF"/>
    <w:rsid w:val="00C206C0"/>
    <w:rsid w:val="00C20F0F"/>
    <w:rsid w:val="00C21326"/>
    <w:rsid w:val="00C21FB3"/>
    <w:rsid w:val="00C22993"/>
    <w:rsid w:val="00C22A18"/>
    <w:rsid w:val="00C22E5F"/>
    <w:rsid w:val="00C2354A"/>
    <w:rsid w:val="00C23550"/>
    <w:rsid w:val="00C23A25"/>
    <w:rsid w:val="00C23DDA"/>
    <w:rsid w:val="00C24199"/>
    <w:rsid w:val="00C248F3"/>
    <w:rsid w:val="00C25799"/>
    <w:rsid w:val="00C25C54"/>
    <w:rsid w:val="00C26084"/>
    <w:rsid w:val="00C2687A"/>
    <w:rsid w:val="00C274F5"/>
    <w:rsid w:val="00C27BE8"/>
    <w:rsid w:val="00C303BF"/>
    <w:rsid w:val="00C30C08"/>
    <w:rsid w:val="00C30D95"/>
    <w:rsid w:val="00C317FC"/>
    <w:rsid w:val="00C31B72"/>
    <w:rsid w:val="00C31BA7"/>
    <w:rsid w:val="00C31C0E"/>
    <w:rsid w:val="00C31D35"/>
    <w:rsid w:val="00C31E49"/>
    <w:rsid w:val="00C328AC"/>
    <w:rsid w:val="00C32BF6"/>
    <w:rsid w:val="00C33DC6"/>
    <w:rsid w:val="00C33FEB"/>
    <w:rsid w:val="00C34C15"/>
    <w:rsid w:val="00C3570F"/>
    <w:rsid w:val="00C36371"/>
    <w:rsid w:val="00C36A65"/>
    <w:rsid w:val="00C36B1E"/>
    <w:rsid w:val="00C37D46"/>
    <w:rsid w:val="00C37D7B"/>
    <w:rsid w:val="00C40256"/>
    <w:rsid w:val="00C4032B"/>
    <w:rsid w:val="00C40606"/>
    <w:rsid w:val="00C4078F"/>
    <w:rsid w:val="00C40EA6"/>
    <w:rsid w:val="00C4118D"/>
    <w:rsid w:val="00C415B1"/>
    <w:rsid w:val="00C418E7"/>
    <w:rsid w:val="00C425E0"/>
    <w:rsid w:val="00C428F4"/>
    <w:rsid w:val="00C43014"/>
    <w:rsid w:val="00C43516"/>
    <w:rsid w:val="00C44AB5"/>
    <w:rsid w:val="00C44BCA"/>
    <w:rsid w:val="00C45544"/>
    <w:rsid w:val="00C45C8F"/>
    <w:rsid w:val="00C4616A"/>
    <w:rsid w:val="00C46528"/>
    <w:rsid w:val="00C46713"/>
    <w:rsid w:val="00C46896"/>
    <w:rsid w:val="00C46CF5"/>
    <w:rsid w:val="00C4701D"/>
    <w:rsid w:val="00C471A1"/>
    <w:rsid w:val="00C471BB"/>
    <w:rsid w:val="00C4735C"/>
    <w:rsid w:val="00C47E31"/>
    <w:rsid w:val="00C50DDA"/>
    <w:rsid w:val="00C51466"/>
    <w:rsid w:val="00C51F88"/>
    <w:rsid w:val="00C52307"/>
    <w:rsid w:val="00C52450"/>
    <w:rsid w:val="00C529B8"/>
    <w:rsid w:val="00C52E19"/>
    <w:rsid w:val="00C5305F"/>
    <w:rsid w:val="00C5314F"/>
    <w:rsid w:val="00C53A2B"/>
    <w:rsid w:val="00C53DAF"/>
    <w:rsid w:val="00C542AF"/>
    <w:rsid w:val="00C54DF1"/>
    <w:rsid w:val="00C55632"/>
    <w:rsid w:val="00C557FC"/>
    <w:rsid w:val="00C55978"/>
    <w:rsid w:val="00C56484"/>
    <w:rsid w:val="00C5648C"/>
    <w:rsid w:val="00C6005E"/>
    <w:rsid w:val="00C603D2"/>
    <w:rsid w:val="00C606DC"/>
    <w:rsid w:val="00C612B3"/>
    <w:rsid w:val="00C61583"/>
    <w:rsid w:val="00C61642"/>
    <w:rsid w:val="00C61869"/>
    <w:rsid w:val="00C620C3"/>
    <w:rsid w:val="00C6256C"/>
    <w:rsid w:val="00C62A5A"/>
    <w:rsid w:val="00C62B2D"/>
    <w:rsid w:val="00C636C9"/>
    <w:rsid w:val="00C6375F"/>
    <w:rsid w:val="00C64054"/>
    <w:rsid w:val="00C64196"/>
    <w:rsid w:val="00C64F80"/>
    <w:rsid w:val="00C66680"/>
    <w:rsid w:val="00C66C7B"/>
    <w:rsid w:val="00C67D2A"/>
    <w:rsid w:val="00C70445"/>
    <w:rsid w:val="00C7063B"/>
    <w:rsid w:val="00C7084D"/>
    <w:rsid w:val="00C724C3"/>
    <w:rsid w:val="00C727E5"/>
    <w:rsid w:val="00C73041"/>
    <w:rsid w:val="00C73173"/>
    <w:rsid w:val="00C735C3"/>
    <w:rsid w:val="00C73AA5"/>
    <w:rsid w:val="00C73B00"/>
    <w:rsid w:val="00C73D82"/>
    <w:rsid w:val="00C75A0E"/>
    <w:rsid w:val="00C763C2"/>
    <w:rsid w:val="00C76BD5"/>
    <w:rsid w:val="00C7718A"/>
    <w:rsid w:val="00C772F3"/>
    <w:rsid w:val="00C77BC7"/>
    <w:rsid w:val="00C801FC"/>
    <w:rsid w:val="00C805C0"/>
    <w:rsid w:val="00C80BF8"/>
    <w:rsid w:val="00C81E83"/>
    <w:rsid w:val="00C824EF"/>
    <w:rsid w:val="00C82898"/>
    <w:rsid w:val="00C8342E"/>
    <w:rsid w:val="00C8345C"/>
    <w:rsid w:val="00C837A2"/>
    <w:rsid w:val="00C83853"/>
    <w:rsid w:val="00C83FD1"/>
    <w:rsid w:val="00C842DA"/>
    <w:rsid w:val="00C84610"/>
    <w:rsid w:val="00C84BD6"/>
    <w:rsid w:val="00C8596A"/>
    <w:rsid w:val="00C8610E"/>
    <w:rsid w:val="00C86574"/>
    <w:rsid w:val="00C87C4B"/>
    <w:rsid w:val="00C90B41"/>
    <w:rsid w:val="00C910AB"/>
    <w:rsid w:val="00C910F0"/>
    <w:rsid w:val="00C915A6"/>
    <w:rsid w:val="00C9166E"/>
    <w:rsid w:val="00C9292B"/>
    <w:rsid w:val="00C93645"/>
    <w:rsid w:val="00C93755"/>
    <w:rsid w:val="00C943AE"/>
    <w:rsid w:val="00C9463E"/>
    <w:rsid w:val="00C94F03"/>
    <w:rsid w:val="00C95126"/>
    <w:rsid w:val="00C95D1D"/>
    <w:rsid w:val="00C95FCE"/>
    <w:rsid w:val="00C9655B"/>
    <w:rsid w:val="00C96B9E"/>
    <w:rsid w:val="00C96BB3"/>
    <w:rsid w:val="00C97A1E"/>
    <w:rsid w:val="00C97C03"/>
    <w:rsid w:val="00C97E58"/>
    <w:rsid w:val="00CA0E4C"/>
    <w:rsid w:val="00CA0FBE"/>
    <w:rsid w:val="00CA11D4"/>
    <w:rsid w:val="00CA16D9"/>
    <w:rsid w:val="00CA2E74"/>
    <w:rsid w:val="00CA325F"/>
    <w:rsid w:val="00CA3328"/>
    <w:rsid w:val="00CA3F82"/>
    <w:rsid w:val="00CA4EDC"/>
    <w:rsid w:val="00CA4F7A"/>
    <w:rsid w:val="00CA5077"/>
    <w:rsid w:val="00CA542F"/>
    <w:rsid w:val="00CA5ECC"/>
    <w:rsid w:val="00CA67B9"/>
    <w:rsid w:val="00CA6B5D"/>
    <w:rsid w:val="00CA6C63"/>
    <w:rsid w:val="00CA7026"/>
    <w:rsid w:val="00CA7689"/>
    <w:rsid w:val="00CA7741"/>
    <w:rsid w:val="00CA79A6"/>
    <w:rsid w:val="00CA7A3B"/>
    <w:rsid w:val="00CA7A47"/>
    <w:rsid w:val="00CA7F5C"/>
    <w:rsid w:val="00CB0042"/>
    <w:rsid w:val="00CB0BC2"/>
    <w:rsid w:val="00CB0D04"/>
    <w:rsid w:val="00CB146B"/>
    <w:rsid w:val="00CB184E"/>
    <w:rsid w:val="00CB1B2D"/>
    <w:rsid w:val="00CB2FB2"/>
    <w:rsid w:val="00CB348C"/>
    <w:rsid w:val="00CB397C"/>
    <w:rsid w:val="00CB48B9"/>
    <w:rsid w:val="00CB5595"/>
    <w:rsid w:val="00CB5C58"/>
    <w:rsid w:val="00CB6350"/>
    <w:rsid w:val="00CB654D"/>
    <w:rsid w:val="00CB6EC3"/>
    <w:rsid w:val="00CB712F"/>
    <w:rsid w:val="00CB74FC"/>
    <w:rsid w:val="00CC02A7"/>
    <w:rsid w:val="00CC0BB5"/>
    <w:rsid w:val="00CC0F28"/>
    <w:rsid w:val="00CC1435"/>
    <w:rsid w:val="00CC1DBD"/>
    <w:rsid w:val="00CC1DC6"/>
    <w:rsid w:val="00CC2404"/>
    <w:rsid w:val="00CC2580"/>
    <w:rsid w:val="00CC26DC"/>
    <w:rsid w:val="00CC2AB4"/>
    <w:rsid w:val="00CC3C0D"/>
    <w:rsid w:val="00CC41B2"/>
    <w:rsid w:val="00CC475B"/>
    <w:rsid w:val="00CC54C1"/>
    <w:rsid w:val="00CC62B1"/>
    <w:rsid w:val="00CC6D3C"/>
    <w:rsid w:val="00CC70A5"/>
    <w:rsid w:val="00CC7273"/>
    <w:rsid w:val="00CC7987"/>
    <w:rsid w:val="00CC7B53"/>
    <w:rsid w:val="00CD00BD"/>
    <w:rsid w:val="00CD02F0"/>
    <w:rsid w:val="00CD05D9"/>
    <w:rsid w:val="00CD1841"/>
    <w:rsid w:val="00CD1B4B"/>
    <w:rsid w:val="00CD2ACA"/>
    <w:rsid w:val="00CD2C51"/>
    <w:rsid w:val="00CD2C8B"/>
    <w:rsid w:val="00CD2E70"/>
    <w:rsid w:val="00CD31F3"/>
    <w:rsid w:val="00CD3505"/>
    <w:rsid w:val="00CD3913"/>
    <w:rsid w:val="00CD3B4E"/>
    <w:rsid w:val="00CD3CE7"/>
    <w:rsid w:val="00CD49A3"/>
    <w:rsid w:val="00CD541B"/>
    <w:rsid w:val="00CD622D"/>
    <w:rsid w:val="00CD68CC"/>
    <w:rsid w:val="00CD6E61"/>
    <w:rsid w:val="00CD7239"/>
    <w:rsid w:val="00CD78D9"/>
    <w:rsid w:val="00CD7AD0"/>
    <w:rsid w:val="00CE04ED"/>
    <w:rsid w:val="00CE28E1"/>
    <w:rsid w:val="00CE4DBD"/>
    <w:rsid w:val="00CE4F1A"/>
    <w:rsid w:val="00CE5422"/>
    <w:rsid w:val="00CE5B67"/>
    <w:rsid w:val="00CE604B"/>
    <w:rsid w:val="00CE69C2"/>
    <w:rsid w:val="00CE6E3A"/>
    <w:rsid w:val="00CE75C1"/>
    <w:rsid w:val="00CE7805"/>
    <w:rsid w:val="00CF03F1"/>
    <w:rsid w:val="00CF0CF3"/>
    <w:rsid w:val="00CF1BFE"/>
    <w:rsid w:val="00CF21B2"/>
    <w:rsid w:val="00CF28A0"/>
    <w:rsid w:val="00CF2FCF"/>
    <w:rsid w:val="00CF352C"/>
    <w:rsid w:val="00CF4433"/>
    <w:rsid w:val="00CF446E"/>
    <w:rsid w:val="00CF4788"/>
    <w:rsid w:val="00CF4C60"/>
    <w:rsid w:val="00CF4DE6"/>
    <w:rsid w:val="00CF4E0B"/>
    <w:rsid w:val="00CF4E0F"/>
    <w:rsid w:val="00CF5076"/>
    <w:rsid w:val="00CF5221"/>
    <w:rsid w:val="00CF537C"/>
    <w:rsid w:val="00CF5740"/>
    <w:rsid w:val="00CF630D"/>
    <w:rsid w:val="00CF6387"/>
    <w:rsid w:val="00CF6522"/>
    <w:rsid w:val="00CF6FC4"/>
    <w:rsid w:val="00CF7957"/>
    <w:rsid w:val="00CF7EA1"/>
    <w:rsid w:val="00CF7F78"/>
    <w:rsid w:val="00D0009A"/>
    <w:rsid w:val="00D0146A"/>
    <w:rsid w:val="00D0167D"/>
    <w:rsid w:val="00D018F5"/>
    <w:rsid w:val="00D01A1A"/>
    <w:rsid w:val="00D01EF2"/>
    <w:rsid w:val="00D03297"/>
    <w:rsid w:val="00D03903"/>
    <w:rsid w:val="00D03AEE"/>
    <w:rsid w:val="00D0421D"/>
    <w:rsid w:val="00D04316"/>
    <w:rsid w:val="00D049A2"/>
    <w:rsid w:val="00D04A60"/>
    <w:rsid w:val="00D04A90"/>
    <w:rsid w:val="00D04F50"/>
    <w:rsid w:val="00D0619F"/>
    <w:rsid w:val="00D0684B"/>
    <w:rsid w:val="00D06B60"/>
    <w:rsid w:val="00D06DAF"/>
    <w:rsid w:val="00D106A7"/>
    <w:rsid w:val="00D12271"/>
    <w:rsid w:val="00D127F0"/>
    <w:rsid w:val="00D128CE"/>
    <w:rsid w:val="00D129E3"/>
    <w:rsid w:val="00D12B7A"/>
    <w:rsid w:val="00D12FB6"/>
    <w:rsid w:val="00D13870"/>
    <w:rsid w:val="00D13D4A"/>
    <w:rsid w:val="00D13D5E"/>
    <w:rsid w:val="00D142A0"/>
    <w:rsid w:val="00D1439C"/>
    <w:rsid w:val="00D14494"/>
    <w:rsid w:val="00D14957"/>
    <w:rsid w:val="00D14C01"/>
    <w:rsid w:val="00D14EA0"/>
    <w:rsid w:val="00D1552B"/>
    <w:rsid w:val="00D15D5F"/>
    <w:rsid w:val="00D16421"/>
    <w:rsid w:val="00D16A29"/>
    <w:rsid w:val="00D16CE7"/>
    <w:rsid w:val="00D1775C"/>
    <w:rsid w:val="00D20178"/>
    <w:rsid w:val="00D202DA"/>
    <w:rsid w:val="00D202E2"/>
    <w:rsid w:val="00D21661"/>
    <w:rsid w:val="00D21B15"/>
    <w:rsid w:val="00D222D8"/>
    <w:rsid w:val="00D223C0"/>
    <w:rsid w:val="00D223CE"/>
    <w:rsid w:val="00D237E2"/>
    <w:rsid w:val="00D23811"/>
    <w:rsid w:val="00D23890"/>
    <w:rsid w:val="00D2397D"/>
    <w:rsid w:val="00D23C76"/>
    <w:rsid w:val="00D24541"/>
    <w:rsid w:val="00D25270"/>
    <w:rsid w:val="00D257FC"/>
    <w:rsid w:val="00D25860"/>
    <w:rsid w:val="00D25930"/>
    <w:rsid w:val="00D25DBE"/>
    <w:rsid w:val="00D25F4B"/>
    <w:rsid w:val="00D2611F"/>
    <w:rsid w:val="00D26752"/>
    <w:rsid w:val="00D2703A"/>
    <w:rsid w:val="00D27041"/>
    <w:rsid w:val="00D272B1"/>
    <w:rsid w:val="00D278E2"/>
    <w:rsid w:val="00D3064D"/>
    <w:rsid w:val="00D315BA"/>
    <w:rsid w:val="00D32375"/>
    <w:rsid w:val="00D32577"/>
    <w:rsid w:val="00D325F6"/>
    <w:rsid w:val="00D32B57"/>
    <w:rsid w:val="00D33C76"/>
    <w:rsid w:val="00D33D70"/>
    <w:rsid w:val="00D346AC"/>
    <w:rsid w:val="00D34848"/>
    <w:rsid w:val="00D34ED2"/>
    <w:rsid w:val="00D34FCE"/>
    <w:rsid w:val="00D355C6"/>
    <w:rsid w:val="00D358C8"/>
    <w:rsid w:val="00D359DB"/>
    <w:rsid w:val="00D36B3C"/>
    <w:rsid w:val="00D36B7B"/>
    <w:rsid w:val="00D3720D"/>
    <w:rsid w:val="00D37B0D"/>
    <w:rsid w:val="00D401B4"/>
    <w:rsid w:val="00D40275"/>
    <w:rsid w:val="00D40587"/>
    <w:rsid w:val="00D40995"/>
    <w:rsid w:val="00D40A5E"/>
    <w:rsid w:val="00D414EE"/>
    <w:rsid w:val="00D41E2A"/>
    <w:rsid w:val="00D425E3"/>
    <w:rsid w:val="00D42A55"/>
    <w:rsid w:val="00D42F2B"/>
    <w:rsid w:val="00D43125"/>
    <w:rsid w:val="00D44BE1"/>
    <w:rsid w:val="00D455AF"/>
    <w:rsid w:val="00D47146"/>
    <w:rsid w:val="00D475A2"/>
    <w:rsid w:val="00D479D1"/>
    <w:rsid w:val="00D50568"/>
    <w:rsid w:val="00D50CD8"/>
    <w:rsid w:val="00D5128A"/>
    <w:rsid w:val="00D51446"/>
    <w:rsid w:val="00D5192D"/>
    <w:rsid w:val="00D52735"/>
    <w:rsid w:val="00D52914"/>
    <w:rsid w:val="00D53904"/>
    <w:rsid w:val="00D53BC8"/>
    <w:rsid w:val="00D5426F"/>
    <w:rsid w:val="00D548E9"/>
    <w:rsid w:val="00D54AA5"/>
    <w:rsid w:val="00D5501A"/>
    <w:rsid w:val="00D56D0F"/>
    <w:rsid w:val="00D57001"/>
    <w:rsid w:val="00D577B0"/>
    <w:rsid w:val="00D60364"/>
    <w:rsid w:val="00D60995"/>
    <w:rsid w:val="00D60A7D"/>
    <w:rsid w:val="00D60DB0"/>
    <w:rsid w:val="00D619EC"/>
    <w:rsid w:val="00D61B6D"/>
    <w:rsid w:val="00D61BC7"/>
    <w:rsid w:val="00D620CA"/>
    <w:rsid w:val="00D621A5"/>
    <w:rsid w:val="00D623A0"/>
    <w:rsid w:val="00D6302D"/>
    <w:rsid w:val="00D63523"/>
    <w:rsid w:val="00D63B6F"/>
    <w:rsid w:val="00D63FA3"/>
    <w:rsid w:val="00D64423"/>
    <w:rsid w:val="00D6517F"/>
    <w:rsid w:val="00D651FB"/>
    <w:rsid w:val="00D655FB"/>
    <w:rsid w:val="00D657CA"/>
    <w:rsid w:val="00D65A0A"/>
    <w:rsid w:val="00D65D83"/>
    <w:rsid w:val="00D66239"/>
    <w:rsid w:val="00D66FF7"/>
    <w:rsid w:val="00D7049A"/>
    <w:rsid w:val="00D704AE"/>
    <w:rsid w:val="00D70BF8"/>
    <w:rsid w:val="00D70FAE"/>
    <w:rsid w:val="00D71065"/>
    <w:rsid w:val="00D71B2E"/>
    <w:rsid w:val="00D721E5"/>
    <w:rsid w:val="00D725AA"/>
    <w:rsid w:val="00D72820"/>
    <w:rsid w:val="00D72F50"/>
    <w:rsid w:val="00D73014"/>
    <w:rsid w:val="00D730A1"/>
    <w:rsid w:val="00D75ECC"/>
    <w:rsid w:val="00D76596"/>
    <w:rsid w:val="00D768D0"/>
    <w:rsid w:val="00D76B88"/>
    <w:rsid w:val="00D77181"/>
    <w:rsid w:val="00D7735E"/>
    <w:rsid w:val="00D7755C"/>
    <w:rsid w:val="00D77A8A"/>
    <w:rsid w:val="00D80497"/>
    <w:rsid w:val="00D80542"/>
    <w:rsid w:val="00D80963"/>
    <w:rsid w:val="00D81752"/>
    <w:rsid w:val="00D817BB"/>
    <w:rsid w:val="00D81FF2"/>
    <w:rsid w:val="00D8281D"/>
    <w:rsid w:val="00D828B7"/>
    <w:rsid w:val="00D82B65"/>
    <w:rsid w:val="00D8443F"/>
    <w:rsid w:val="00D852C5"/>
    <w:rsid w:val="00D853A2"/>
    <w:rsid w:val="00D85BFA"/>
    <w:rsid w:val="00D85C6B"/>
    <w:rsid w:val="00D85E8B"/>
    <w:rsid w:val="00D862E1"/>
    <w:rsid w:val="00D86F6F"/>
    <w:rsid w:val="00D86FF4"/>
    <w:rsid w:val="00D9025F"/>
    <w:rsid w:val="00D90969"/>
    <w:rsid w:val="00D90CA8"/>
    <w:rsid w:val="00D90E1D"/>
    <w:rsid w:val="00D91131"/>
    <w:rsid w:val="00D911BB"/>
    <w:rsid w:val="00D916AD"/>
    <w:rsid w:val="00D919BF"/>
    <w:rsid w:val="00D92D7A"/>
    <w:rsid w:val="00D93841"/>
    <w:rsid w:val="00D93B21"/>
    <w:rsid w:val="00D948A4"/>
    <w:rsid w:val="00D94B03"/>
    <w:rsid w:val="00D94BED"/>
    <w:rsid w:val="00D96296"/>
    <w:rsid w:val="00D96E2D"/>
    <w:rsid w:val="00D96E6B"/>
    <w:rsid w:val="00D970E1"/>
    <w:rsid w:val="00D97CF7"/>
    <w:rsid w:val="00D97E2A"/>
    <w:rsid w:val="00DA0A68"/>
    <w:rsid w:val="00DA1919"/>
    <w:rsid w:val="00DA21EE"/>
    <w:rsid w:val="00DA24A9"/>
    <w:rsid w:val="00DA26C0"/>
    <w:rsid w:val="00DA33C2"/>
    <w:rsid w:val="00DA3610"/>
    <w:rsid w:val="00DA3DDA"/>
    <w:rsid w:val="00DA50F6"/>
    <w:rsid w:val="00DA51C0"/>
    <w:rsid w:val="00DA5517"/>
    <w:rsid w:val="00DA5569"/>
    <w:rsid w:val="00DA564D"/>
    <w:rsid w:val="00DA5E04"/>
    <w:rsid w:val="00DA60F4"/>
    <w:rsid w:val="00DA67DD"/>
    <w:rsid w:val="00DA6966"/>
    <w:rsid w:val="00DA70E8"/>
    <w:rsid w:val="00DA79BF"/>
    <w:rsid w:val="00DB08D2"/>
    <w:rsid w:val="00DB0B31"/>
    <w:rsid w:val="00DB0B79"/>
    <w:rsid w:val="00DB117A"/>
    <w:rsid w:val="00DB1567"/>
    <w:rsid w:val="00DB1652"/>
    <w:rsid w:val="00DB1EF9"/>
    <w:rsid w:val="00DB1FF2"/>
    <w:rsid w:val="00DB22EE"/>
    <w:rsid w:val="00DB2304"/>
    <w:rsid w:val="00DB2B04"/>
    <w:rsid w:val="00DB3825"/>
    <w:rsid w:val="00DB40F6"/>
    <w:rsid w:val="00DB4643"/>
    <w:rsid w:val="00DB4C79"/>
    <w:rsid w:val="00DB4EE9"/>
    <w:rsid w:val="00DB5605"/>
    <w:rsid w:val="00DB5737"/>
    <w:rsid w:val="00DB6115"/>
    <w:rsid w:val="00DB665B"/>
    <w:rsid w:val="00DB69B7"/>
    <w:rsid w:val="00DB6D3F"/>
    <w:rsid w:val="00DB7CBE"/>
    <w:rsid w:val="00DC043C"/>
    <w:rsid w:val="00DC0886"/>
    <w:rsid w:val="00DC0FA7"/>
    <w:rsid w:val="00DC1A3A"/>
    <w:rsid w:val="00DC2685"/>
    <w:rsid w:val="00DC2DA5"/>
    <w:rsid w:val="00DC2E3E"/>
    <w:rsid w:val="00DC36FF"/>
    <w:rsid w:val="00DC373B"/>
    <w:rsid w:val="00DC44A2"/>
    <w:rsid w:val="00DC4563"/>
    <w:rsid w:val="00DC4C99"/>
    <w:rsid w:val="00DC4D95"/>
    <w:rsid w:val="00DC4E6A"/>
    <w:rsid w:val="00DC5B92"/>
    <w:rsid w:val="00DC5D9A"/>
    <w:rsid w:val="00DC62B3"/>
    <w:rsid w:val="00DC69EF"/>
    <w:rsid w:val="00DC6F1D"/>
    <w:rsid w:val="00DC71CB"/>
    <w:rsid w:val="00DC7319"/>
    <w:rsid w:val="00DC73A1"/>
    <w:rsid w:val="00DC7D63"/>
    <w:rsid w:val="00DC7D8F"/>
    <w:rsid w:val="00DD0097"/>
    <w:rsid w:val="00DD02ED"/>
    <w:rsid w:val="00DD0F98"/>
    <w:rsid w:val="00DD0FB2"/>
    <w:rsid w:val="00DD1076"/>
    <w:rsid w:val="00DD11D6"/>
    <w:rsid w:val="00DD1DAC"/>
    <w:rsid w:val="00DD1E90"/>
    <w:rsid w:val="00DD210F"/>
    <w:rsid w:val="00DD2474"/>
    <w:rsid w:val="00DD3447"/>
    <w:rsid w:val="00DD3651"/>
    <w:rsid w:val="00DD38DD"/>
    <w:rsid w:val="00DD3DA4"/>
    <w:rsid w:val="00DD4087"/>
    <w:rsid w:val="00DD438B"/>
    <w:rsid w:val="00DD6605"/>
    <w:rsid w:val="00DD6D05"/>
    <w:rsid w:val="00DD7350"/>
    <w:rsid w:val="00DD765C"/>
    <w:rsid w:val="00DD7949"/>
    <w:rsid w:val="00DE0019"/>
    <w:rsid w:val="00DE05A8"/>
    <w:rsid w:val="00DE1471"/>
    <w:rsid w:val="00DE191B"/>
    <w:rsid w:val="00DE1D34"/>
    <w:rsid w:val="00DE1D87"/>
    <w:rsid w:val="00DE2083"/>
    <w:rsid w:val="00DE2A4A"/>
    <w:rsid w:val="00DE2E63"/>
    <w:rsid w:val="00DE3AEE"/>
    <w:rsid w:val="00DE4668"/>
    <w:rsid w:val="00DE51C8"/>
    <w:rsid w:val="00DE55E9"/>
    <w:rsid w:val="00DE56B4"/>
    <w:rsid w:val="00DE5804"/>
    <w:rsid w:val="00DE6FE2"/>
    <w:rsid w:val="00DE7EBF"/>
    <w:rsid w:val="00DF0C20"/>
    <w:rsid w:val="00DF2194"/>
    <w:rsid w:val="00DF24A1"/>
    <w:rsid w:val="00DF2506"/>
    <w:rsid w:val="00DF2C8C"/>
    <w:rsid w:val="00DF2F11"/>
    <w:rsid w:val="00DF3D92"/>
    <w:rsid w:val="00DF4344"/>
    <w:rsid w:val="00DF566D"/>
    <w:rsid w:val="00DF762B"/>
    <w:rsid w:val="00DF76AF"/>
    <w:rsid w:val="00DF7F39"/>
    <w:rsid w:val="00E011F1"/>
    <w:rsid w:val="00E01AB0"/>
    <w:rsid w:val="00E021B4"/>
    <w:rsid w:val="00E029DB"/>
    <w:rsid w:val="00E029FF"/>
    <w:rsid w:val="00E032E3"/>
    <w:rsid w:val="00E03DDE"/>
    <w:rsid w:val="00E0403A"/>
    <w:rsid w:val="00E0427D"/>
    <w:rsid w:val="00E0477B"/>
    <w:rsid w:val="00E04BAE"/>
    <w:rsid w:val="00E05EF2"/>
    <w:rsid w:val="00E0602E"/>
    <w:rsid w:val="00E0762A"/>
    <w:rsid w:val="00E07CEF"/>
    <w:rsid w:val="00E07F54"/>
    <w:rsid w:val="00E111D5"/>
    <w:rsid w:val="00E117B7"/>
    <w:rsid w:val="00E1261F"/>
    <w:rsid w:val="00E13F58"/>
    <w:rsid w:val="00E141A5"/>
    <w:rsid w:val="00E148DD"/>
    <w:rsid w:val="00E14AE5"/>
    <w:rsid w:val="00E14E6A"/>
    <w:rsid w:val="00E158AE"/>
    <w:rsid w:val="00E15EB5"/>
    <w:rsid w:val="00E163B7"/>
    <w:rsid w:val="00E1644F"/>
    <w:rsid w:val="00E16465"/>
    <w:rsid w:val="00E16470"/>
    <w:rsid w:val="00E164FA"/>
    <w:rsid w:val="00E16AD5"/>
    <w:rsid w:val="00E16EF2"/>
    <w:rsid w:val="00E17AC3"/>
    <w:rsid w:val="00E17E00"/>
    <w:rsid w:val="00E20214"/>
    <w:rsid w:val="00E207E6"/>
    <w:rsid w:val="00E21A1A"/>
    <w:rsid w:val="00E21DEF"/>
    <w:rsid w:val="00E21EEC"/>
    <w:rsid w:val="00E2251C"/>
    <w:rsid w:val="00E23051"/>
    <w:rsid w:val="00E23A5B"/>
    <w:rsid w:val="00E23D1F"/>
    <w:rsid w:val="00E23DC5"/>
    <w:rsid w:val="00E24158"/>
    <w:rsid w:val="00E24397"/>
    <w:rsid w:val="00E24A36"/>
    <w:rsid w:val="00E24EBB"/>
    <w:rsid w:val="00E2517F"/>
    <w:rsid w:val="00E25B33"/>
    <w:rsid w:val="00E25CDD"/>
    <w:rsid w:val="00E25F90"/>
    <w:rsid w:val="00E26A16"/>
    <w:rsid w:val="00E26DC7"/>
    <w:rsid w:val="00E27D84"/>
    <w:rsid w:val="00E30627"/>
    <w:rsid w:val="00E3109A"/>
    <w:rsid w:val="00E319BB"/>
    <w:rsid w:val="00E33828"/>
    <w:rsid w:val="00E344AC"/>
    <w:rsid w:val="00E34F6F"/>
    <w:rsid w:val="00E35206"/>
    <w:rsid w:val="00E36F3F"/>
    <w:rsid w:val="00E37132"/>
    <w:rsid w:val="00E37B18"/>
    <w:rsid w:val="00E409AD"/>
    <w:rsid w:val="00E416F6"/>
    <w:rsid w:val="00E41C2C"/>
    <w:rsid w:val="00E422A3"/>
    <w:rsid w:val="00E42BA7"/>
    <w:rsid w:val="00E42C5A"/>
    <w:rsid w:val="00E42D67"/>
    <w:rsid w:val="00E4361C"/>
    <w:rsid w:val="00E43A66"/>
    <w:rsid w:val="00E441A9"/>
    <w:rsid w:val="00E4437C"/>
    <w:rsid w:val="00E45DC6"/>
    <w:rsid w:val="00E4615D"/>
    <w:rsid w:val="00E46DAB"/>
    <w:rsid w:val="00E46E89"/>
    <w:rsid w:val="00E47014"/>
    <w:rsid w:val="00E47729"/>
    <w:rsid w:val="00E47944"/>
    <w:rsid w:val="00E50254"/>
    <w:rsid w:val="00E502FE"/>
    <w:rsid w:val="00E50303"/>
    <w:rsid w:val="00E50B69"/>
    <w:rsid w:val="00E50C87"/>
    <w:rsid w:val="00E50EB8"/>
    <w:rsid w:val="00E50FFF"/>
    <w:rsid w:val="00E510C8"/>
    <w:rsid w:val="00E51366"/>
    <w:rsid w:val="00E51D1D"/>
    <w:rsid w:val="00E53041"/>
    <w:rsid w:val="00E53468"/>
    <w:rsid w:val="00E5476D"/>
    <w:rsid w:val="00E5493E"/>
    <w:rsid w:val="00E54A17"/>
    <w:rsid w:val="00E54A2C"/>
    <w:rsid w:val="00E55529"/>
    <w:rsid w:val="00E5662A"/>
    <w:rsid w:val="00E5667A"/>
    <w:rsid w:val="00E56A67"/>
    <w:rsid w:val="00E6065B"/>
    <w:rsid w:val="00E6077D"/>
    <w:rsid w:val="00E60BB2"/>
    <w:rsid w:val="00E6129B"/>
    <w:rsid w:val="00E6199C"/>
    <w:rsid w:val="00E61CC9"/>
    <w:rsid w:val="00E62440"/>
    <w:rsid w:val="00E633B4"/>
    <w:rsid w:val="00E64B1A"/>
    <w:rsid w:val="00E64DD4"/>
    <w:rsid w:val="00E65131"/>
    <w:rsid w:val="00E658CF"/>
    <w:rsid w:val="00E65F9E"/>
    <w:rsid w:val="00E65FAF"/>
    <w:rsid w:val="00E663F0"/>
    <w:rsid w:val="00E664A6"/>
    <w:rsid w:val="00E67426"/>
    <w:rsid w:val="00E675F1"/>
    <w:rsid w:val="00E70E33"/>
    <w:rsid w:val="00E71ABB"/>
    <w:rsid w:val="00E71D9D"/>
    <w:rsid w:val="00E722C5"/>
    <w:rsid w:val="00E72C04"/>
    <w:rsid w:val="00E72F1C"/>
    <w:rsid w:val="00E734B7"/>
    <w:rsid w:val="00E73D98"/>
    <w:rsid w:val="00E73DC7"/>
    <w:rsid w:val="00E74144"/>
    <w:rsid w:val="00E751BC"/>
    <w:rsid w:val="00E751D1"/>
    <w:rsid w:val="00E76071"/>
    <w:rsid w:val="00E76408"/>
    <w:rsid w:val="00E76789"/>
    <w:rsid w:val="00E7697A"/>
    <w:rsid w:val="00E80A5B"/>
    <w:rsid w:val="00E81FB5"/>
    <w:rsid w:val="00E82515"/>
    <w:rsid w:val="00E826AB"/>
    <w:rsid w:val="00E82962"/>
    <w:rsid w:val="00E83944"/>
    <w:rsid w:val="00E83BB0"/>
    <w:rsid w:val="00E83EF3"/>
    <w:rsid w:val="00E8460C"/>
    <w:rsid w:val="00E84709"/>
    <w:rsid w:val="00E857C1"/>
    <w:rsid w:val="00E85F5E"/>
    <w:rsid w:val="00E860AD"/>
    <w:rsid w:val="00E863E7"/>
    <w:rsid w:val="00E86464"/>
    <w:rsid w:val="00E865B2"/>
    <w:rsid w:val="00E86FBB"/>
    <w:rsid w:val="00E871A0"/>
    <w:rsid w:val="00E9007F"/>
    <w:rsid w:val="00E904AF"/>
    <w:rsid w:val="00E906BA"/>
    <w:rsid w:val="00E9129C"/>
    <w:rsid w:val="00E915F3"/>
    <w:rsid w:val="00E916F9"/>
    <w:rsid w:val="00E919FB"/>
    <w:rsid w:val="00E91CC0"/>
    <w:rsid w:val="00E91FDB"/>
    <w:rsid w:val="00E92819"/>
    <w:rsid w:val="00E933D8"/>
    <w:rsid w:val="00E9393E"/>
    <w:rsid w:val="00E93CDA"/>
    <w:rsid w:val="00E942CE"/>
    <w:rsid w:val="00E94343"/>
    <w:rsid w:val="00E9538B"/>
    <w:rsid w:val="00E95526"/>
    <w:rsid w:val="00E95BAD"/>
    <w:rsid w:val="00E95E32"/>
    <w:rsid w:val="00E96CE4"/>
    <w:rsid w:val="00E97839"/>
    <w:rsid w:val="00EA0107"/>
    <w:rsid w:val="00EA069C"/>
    <w:rsid w:val="00EA0DAE"/>
    <w:rsid w:val="00EA1478"/>
    <w:rsid w:val="00EA279C"/>
    <w:rsid w:val="00EA2B58"/>
    <w:rsid w:val="00EA3032"/>
    <w:rsid w:val="00EA3F53"/>
    <w:rsid w:val="00EA41B6"/>
    <w:rsid w:val="00EA4232"/>
    <w:rsid w:val="00EA470F"/>
    <w:rsid w:val="00EA4AB9"/>
    <w:rsid w:val="00EA4B87"/>
    <w:rsid w:val="00EA4CEC"/>
    <w:rsid w:val="00EA536B"/>
    <w:rsid w:val="00EA5767"/>
    <w:rsid w:val="00EA6094"/>
    <w:rsid w:val="00EA6AD1"/>
    <w:rsid w:val="00EA6EB8"/>
    <w:rsid w:val="00EA7691"/>
    <w:rsid w:val="00EB0A08"/>
    <w:rsid w:val="00EB1C7B"/>
    <w:rsid w:val="00EB3A02"/>
    <w:rsid w:val="00EB3E1A"/>
    <w:rsid w:val="00EB52CC"/>
    <w:rsid w:val="00EB530B"/>
    <w:rsid w:val="00EB5423"/>
    <w:rsid w:val="00EB61EB"/>
    <w:rsid w:val="00EB624B"/>
    <w:rsid w:val="00EB6D74"/>
    <w:rsid w:val="00EB77DD"/>
    <w:rsid w:val="00EB7EA1"/>
    <w:rsid w:val="00EC080A"/>
    <w:rsid w:val="00EC2157"/>
    <w:rsid w:val="00EC294E"/>
    <w:rsid w:val="00EC3201"/>
    <w:rsid w:val="00EC3355"/>
    <w:rsid w:val="00EC3646"/>
    <w:rsid w:val="00EC3A14"/>
    <w:rsid w:val="00EC3BB7"/>
    <w:rsid w:val="00EC433E"/>
    <w:rsid w:val="00EC46E3"/>
    <w:rsid w:val="00EC4C83"/>
    <w:rsid w:val="00EC4F2C"/>
    <w:rsid w:val="00EC5246"/>
    <w:rsid w:val="00EC5B27"/>
    <w:rsid w:val="00EC617D"/>
    <w:rsid w:val="00EC7CA7"/>
    <w:rsid w:val="00ED06BA"/>
    <w:rsid w:val="00ED10E0"/>
    <w:rsid w:val="00ED14DF"/>
    <w:rsid w:val="00ED1913"/>
    <w:rsid w:val="00ED1CB9"/>
    <w:rsid w:val="00ED1D96"/>
    <w:rsid w:val="00ED22EE"/>
    <w:rsid w:val="00ED25A0"/>
    <w:rsid w:val="00ED27FA"/>
    <w:rsid w:val="00ED28BB"/>
    <w:rsid w:val="00ED2A7F"/>
    <w:rsid w:val="00ED2BA0"/>
    <w:rsid w:val="00ED2C2B"/>
    <w:rsid w:val="00ED2D55"/>
    <w:rsid w:val="00ED3445"/>
    <w:rsid w:val="00ED356B"/>
    <w:rsid w:val="00ED406F"/>
    <w:rsid w:val="00ED455B"/>
    <w:rsid w:val="00ED4622"/>
    <w:rsid w:val="00ED4985"/>
    <w:rsid w:val="00ED4A1B"/>
    <w:rsid w:val="00ED4A54"/>
    <w:rsid w:val="00ED4B82"/>
    <w:rsid w:val="00ED4C99"/>
    <w:rsid w:val="00ED6202"/>
    <w:rsid w:val="00ED62A9"/>
    <w:rsid w:val="00ED684D"/>
    <w:rsid w:val="00ED7763"/>
    <w:rsid w:val="00ED7A81"/>
    <w:rsid w:val="00EE01AD"/>
    <w:rsid w:val="00EE02B5"/>
    <w:rsid w:val="00EE05BF"/>
    <w:rsid w:val="00EE05CB"/>
    <w:rsid w:val="00EE0A85"/>
    <w:rsid w:val="00EE0BEB"/>
    <w:rsid w:val="00EE1A45"/>
    <w:rsid w:val="00EE1BBE"/>
    <w:rsid w:val="00EE24BE"/>
    <w:rsid w:val="00EE2737"/>
    <w:rsid w:val="00EE402C"/>
    <w:rsid w:val="00EE4CD7"/>
    <w:rsid w:val="00EE6759"/>
    <w:rsid w:val="00EE6761"/>
    <w:rsid w:val="00EE7090"/>
    <w:rsid w:val="00EF03EB"/>
    <w:rsid w:val="00EF1270"/>
    <w:rsid w:val="00EF147A"/>
    <w:rsid w:val="00EF22BB"/>
    <w:rsid w:val="00EF2360"/>
    <w:rsid w:val="00EF2640"/>
    <w:rsid w:val="00EF28AA"/>
    <w:rsid w:val="00EF42BE"/>
    <w:rsid w:val="00EF448D"/>
    <w:rsid w:val="00EF4A28"/>
    <w:rsid w:val="00EF4A8A"/>
    <w:rsid w:val="00EF4DE1"/>
    <w:rsid w:val="00EF5079"/>
    <w:rsid w:val="00EF5348"/>
    <w:rsid w:val="00EF55EA"/>
    <w:rsid w:val="00EF5A4E"/>
    <w:rsid w:val="00EF5FBA"/>
    <w:rsid w:val="00EF670D"/>
    <w:rsid w:val="00EF74DE"/>
    <w:rsid w:val="00F0017A"/>
    <w:rsid w:val="00F00549"/>
    <w:rsid w:val="00F0086B"/>
    <w:rsid w:val="00F0089C"/>
    <w:rsid w:val="00F014AF"/>
    <w:rsid w:val="00F01719"/>
    <w:rsid w:val="00F01CAA"/>
    <w:rsid w:val="00F01EB8"/>
    <w:rsid w:val="00F027C1"/>
    <w:rsid w:val="00F02F7A"/>
    <w:rsid w:val="00F037DE"/>
    <w:rsid w:val="00F03C6B"/>
    <w:rsid w:val="00F03C8A"/>
    <w:rsid w:val="00F04493"/>
    <w:rsid w:val="00F0587C"/>
    <w:rsid w:val="00F06053"/>
    <w:rsid w:val="00F0705B"/>
    <w:rsid w:val="00F078F3"/>
    <w:rsid w:val="00F07E08"/>
    <w:rsid w:val="00F10A2B"/>
    <w:rsid w:val="00F11966"/>
    <w:rsid w:val="00F11FD5"/>
    <w:rsid w:val="00F1204D"/>
    <w:rsid w:val="00F120A0"/>
    <w:rsid w:val="00F125BE"/>
    <w:rsid w:val="00F130A1"/>
    <w:rsid w:val="00F13E08"/>
    <w:rsid w:val="00F14308"/>
    <w:rsid w:val="00F14643"/>
    <w:rsid w:val="00F14C18"/>
    <w:rsid w:val="00F14DE7"/>
    <w:rsid w:val="00F14FA6"/>
    <w:rsid w:val="00F15080"/>
    <w:rsid w:val="00F15A23"/>
    <w:rsid w:val="00F15F5C"/>
    <w:rsid w:val="00F16243"/>
    <w:rsid w:val="00F16B51"/>
    <w:rsid w:val="00F16B54"/>
    <w:rsid w:val="00F171D8"/>
    <w:rsid w:val="00F17361"/>
    <w:rsid w:val="00F1789B"/>
    <w:rsid w:val="00F17CC2"/>
    <w:rsid w:val="00F20251"/>
    <w:rsid w:val="00F20828"/>
    <w:rsid w:val="00F22048"/>
    <w:rsid w:val="00F22378"/>
    <w:rsid w:val="00F22688"/>
    <w:rsid w:val="00F235B1"/>
    <w:rsid w:val="00F242AA"/>
    <w:rsid w:val="00F244A1"/>
    <w:rsid w:val="00F245B1"/>
    <w:rsid w:val="00F246D1"/>
    <w:rsid w:val="00F24A34"/>
    <w:rsid w:val="00F24F90"/>
    <w:rsid w:val="00F26063"/>
    <w:rsid w:val="00F26196"/>
    <w:rsid w:val="00F267CA"/>
    <w:rsid w:val="00F26A00"/>
    <w:rsid w:val="00F26AEF"/>
    <w:rsid w:val="00F27F88"/>
    <w:rsid w:val="00F3097F"/>
    <w:rsid w:val="00F315E4"/>
    <w:rsid w:val="00F31800"/>
    <w:rsid w:val="00F31F82"/>
    <w:rsid w:val="00F321D2"/>
    <w:rsid w:val="00F32285"/>
    <w:rsid w:val="00F322BD"/>
    <w:rsid w:val="00F324DF"/>
    <w:rsid w:val="00F32586"/>
    <w:rsid w:val="00F32A87"/>
    <w:rsid w:val="00F33416"/>
    <w:rsid w:val="00F33466"/>
    <w:rsid w:val="00F33730"/>
    <w:rsid w:val="00F33A38"/>
    <w:rsid w:val="00F33AE6"/>
    <w:rsid w:val="00F348B2"/>
    <w:rsid w:val="00F35D9D"/>
    <w:rsid w:val="00F3627E"/>
    <w:rsid w:val="00F36566"/>
    <w:rsid w:val="00F37AC1"/>
    <w:rsid w:val="00F37C5F"/>
    <w:rsid w:val="00F402E1"/>
    <w:rsid w:val="00F413D6"/>
    <w:rsid w:val="00F41464"/>
    <w:rsid w:val="00F418BD"/>
    <w:rsid w:val="00F422D6"/>
    <w:rsid w:val="00F42555"/>
    <w:rsid w:val="00F4307A"/>
    <w:rsid w:val="00F430F4"/>
    <w:rsid w:val="00F43371"/>
    <w:rsid w:val="00F435A2"/>
    <w:rsid w:val="00F43768"/>
    <w:rsid w:val="00F43809"/>
    <w:rsid w:val="00F43E51"/>
    <w:rsid w:val="00F43F18"/>
    <w:rsid w:val="00F4445C"/>
    <w:rsid w:val="00F44F50"/>
    <w:rsid w:val="00F45662"/>
    <w:rsid w:val="00F46752"/>
    <w:rsid w:val="00F46CF5"/>
    <w:rsid w:val="00F46F69"/>
    <w:rsid w:val="00F4768D"/>
    <w:rsid w:val="00F50699"/>
    <w:rsid w:val="00F50D6F"/>
    <w:rsid w:val="00F5109B"/>
    <w:rsid w:val="00F525CF"/>
    <w:rsid w:val="00F528E6"/>
    <w:rsid w:val="00F53E4A"/>
    <w:rsid w:val="00F54347"/>
    <w:rsid w:val="00F5464A"/>
    <w:rsid w:val="00F54867"/>
    <w:rsid w:val="00F54D0E"/>
    <w:rsid w:val="00F561D0"/>
    <w:rsid w:val="00F56AF2"/>
    <w:rsid w:val="00F56F97"/>
    <w:rsid w:val="00F60144"/>
    <w:rsid w:val="00F61316"/>
    <w:rsid w:val="00F618FC"/>
    <w:rsid w:val="00F61A65"/>
    <w:rsid w:val="00F62301"/>
    <w:rsid w:val="00F6272A"/>
    <w:rsid w:val="00F63803"/>
    <w:rsid w:val="00F6385C"/>
    <w:rsid w:val="00F643C2"/>
    <w:rsid w:val="00F64785"/>
    <w:rsid w:val="00F64B78"/>
    <w:rsid w:val="00F64E9F"/>
    <w:rsid w:val="00F6508F"/>
    <w:rsid w:val="00F656F2"/>
    <w:rsid w:val="00F65E80"/>
    <w:rsid w:val="00F65F53"/>
    <w:rsid w:val="00F674E9"/>
    <w:rsid w:val="00F67FE1"/>
    <w:rsid w:val="00F7079C"/>
    <w:rsid w:val="00F7114B"/>
    <w:rsid w:val="00F7183D"/>
    <w:rsid w:val="00F72045"/>
    <w:rsid w:val="00F729C0"/>
    <w:rsid w:val="00F731D5"/>
    <w:rsid w:val="00F734F0"/>
    <w:rsid w:val="00F743BB"/>
    <w:rsid w:val="00F74EAF"/>
    <w:rsid w:val="00F7529E"/>
    <w:rsid w:val="00F76370"/>
    <w:rsid w:val="00F7715B"/>
    <w:rsid w:val="00F7740D"/>
    <w:rsid w:val="00F7774C"/>
    <w:rsid w:val="00F800AF"/>
    <w:rsid w:val="00F803F4"/>
    <w:rsid w:val="00F808FD"/>
    <w:rsid w:val="00F80CA3"/>
    <w:rsid w:val="00F80E2F"/>
    <w:rsid w:val="00F81D73"/>
    <w:rsid w:val="00F822EF"/>
    <w:rsid w:val="00F824B3"/>
    <w:rsid w:val="00F82840"/>
    <w:rsid w:val="00F82A9E"/>
    <w:rsid w:val="00F82CDD"/>
    <w:rsid w:val="00F82F1F"/>
    <w:rsid w:val="00F83195"/>
    <w:rsid w:val="00F834B2"/>
    <w:rsid w:val="00F83D83"/>
    <w:rsid w:val="00F83F64"/>
    <w:rsid w:val="00F846D5"/>
    <w:rsid w:val="00F8558A"/>
    <w:rsid w:val="00F85814"/>
    <w:rsid w:val="00F85A73"/>
    <w:rsid w:val="00F85CCA"/>
    <w:rsid w:val="00F85EC7"/>
    <w:rsid w:val="00F85ECD"/>
    <w:rsid w:val="00F86992"/>
    <w:rsid w:val="00F86CAB"/>
    <w:rsid w:val="00F8711D"/>
    <w:rsid w:val="00F879D2"/>
    <w:rsid w:val="00F87A48"/>
    <w:rsid w:val="00F87EFB"/>
    <w:rsid w:val="00F90F3D"/>
    <w:rsid w:val="00F9133E"/>
    <w:rsid w:val="00F9170B"/>
    <w:rsid w:val="00F91AD3"/>
    <w:rsid w:val="00F920F4"/>
    <w:rsid w:val="00F92B3B"/>
    <w:rsid w:val="00F92E03"/>
    <w:rsid w:val="00F931C1"/>
    <w:rsid w:val="00F93C03"/>
    <w:rsid w:val="00F940DC"/>
    <w:rsid w:val="00F94157"/>
    <w:rsid w:val="00F94922"/>
    <w:rsid w:val="00F94F9F"/>
    <w:rsid w:val="00F95078"/>
    <w:rsid w:val="00F95576"/>
    <w:rsid w:val="00F9565C"/>
    <w:rsid w:val="00F95FA1"/>
    <w:rsid w:val="00F96687"/>
    <w:rsid w:val="00F968CF"/>
    <w:rsid w:val="00F96B1B"/>
    <w:rsid w:val="00F970EF"/>
    <w:rsid w:val="00F9743C"/>
    <w:rsid w:val="00F9768B"/>
    <w:rsid w:val="00F97B80"/>
    <w:rsid w:val="00F97BF9"/>
    <w:rsid w:val="00F97E5F"/>
    <w:rsid w:val="00FA0C1C"/>
    <w:rsid w:val="00FA0F19"/>
    <w:rsid w:val="00FA0FFC"/>
    <w:rsid w:val="00FA1579"/>
    <w:rsid w:val="00FA1FDC"/>
    <w:rsid w:val="00FA209E"/>
    <w:rsid w:val="00FA2D5B"/>
    <w:rsid w:val="00FA395A"/>
    <w:rsid w:val="00FA3EF6"/>
    <w:rsid w:val="00FA4572"/>
    <w:rsid w:val="00FA48BC"/>
    <w:rsid w:val="00FA4B8B"/>
    <w:rsid w:val="00FA510F"/>
    <w:rsid w:val="00FA57FF"/>
    <w:rsid w:val="00FA5801"/>
    <w:rsid w:val="00FA5FB0"/>
    <w:rsid w:val="00FA67ED"/>
    <w:rsid w:val="00FA690F"/>
    <w:rsid w:val="00FB0BBB"/>
    <w:rsid w:val="00FB0EA8"/>
    <w:rsid w:val="00FB120A"/>
    <w:rsid w:val="00FB137F"/>
    <w:rsid w:val="00FB15E6"/>
    <w:rsid w:val="00FB1913"/>
    <w:rsid w:val="00FB222D"/>
    <w:rsid w:val="00FB35F1"/>
    <w:rsid w:val="00FB39F8"/>
    <w:rsid w:val="00FB45B3"/>
    <w:rsid w:val="00FB4F67"/>
    <w:rsid w:val="00FB5179"/>
    <w:rsid w:val="00FB55D7"/>
    <w:rsid w:val="00FB5897"/>
    <w:rsid w:val="00FB6166"/>
    <w:rsid w:val="00FB62E1"/>
    <w:rsid w:val="00FB6707"/>
    <w:rsid w:val="00FB6B61"/>
    <w:rsid w:val="00FB710D"/>
    <w:rsid w:val="00FB7E3A"/>
    <w:rsid w:val="00FC0DB3"/>
    <w:rsid w:val="00FC0F2D"/>
    <w:rsid w:val="00FC1AFF"/>
    <w:rsid w:val="00FC1DE7"/>
    <w:rsid w:val="00FC27FE"/>
    <w:rsid w:val="00FC3429"/>
    <w:rsid w:val="00FC40CF"/>
    <w:rsid w:val="00FC41D2"/>
    <w:rsid w:val="00FC4406"/>
    <w:rsid w:val="00FC4A76"/>
    <w:rsid w:val="00FC4FC4"/>
    <w:rsid w:val="00FC5374"/>
    <w:rsid w:val="00FC564B"/>
    <w:rsid w:val="00FC58A9"/>
    <w:rsid w:val="00FC6914"/>
    <w:rsid w:val="00FC7090"/>
    <w:rsid w:val="00FD0AA4"/>
    <w:rsid w:val="00FD0DCA"/>
    <w:rsid w:val="00FD1894"/>
    <w:rsid w:val="00FD1F44"/>
    <w:rsid w:val="00FD23A7"/>
    <w:rsid w:val="00FD275F"/>
    <w:rsid w:val="00FD31C6"/>
    <w:rsid w:val="00FD3534"/>
    <w:rsid w:val="00FD3F1B"/>
    <w:rsid w:val="00FD3F75"/>
    <w:rsid w:val="00FD4F4B"/>
    <w:rsid w:val="00FD51D3"/>
    <w:rsid w:val="00FD6DD8"/>
    <w:rsid w:val="00FD745C"/>
    <w:rsid w:val="00FD7929"/>
    <w:rsid w:val="00FD79AD"/>
    <w:rsid w:val="00FD7E0C"/>
    <w:rsid w:val="00FD7FE0"/>
    <w:rsid w:val="00FE01B6"/>
    <w:rsid w:val="00FE02DE"/>
    <w:rsid w:val="00FE07EA"/>
    <w:rsid w:val="00FE0EEA"/>
    <w:rsid w:val="00FE10BB"/>
    <w:rsid w:val="00FE1577"/>
    <w:rsid w:val="00FE1B85"/>
    <w:rsid w:val="00FE24F7"/>
    <w:rsid w:val="00FE28A8"/>
    <w:rsid w:val="00FE4219"/>
    <w:rsid w:val="00FE4554"/>
    <w:rsid w:val="00FE45E0"/>
    <w:rsid w:val="00FE52E6"/>
    <w:rsid w:val="00FE573B"/>
    <w:rsid w:val="00FE647C"/>
    <w:rsid w:val="00FE685D"/>
    <w:rsid w:val="00FE68FF"/>
    <w:rsid w:val="00FE7DD9"/>
    <w:rsid w:val="00FE7F50"/>
    <w:rsid w:val="00FF0F4D"/>
    <w:rsid w:val="00FF15BA"/>
    <w:rsid w:val="00FF15BF"/>
    <w:rsid w:val="00FF189F"/>
    <w:rsid w:val="00FF1C2B"/>
    <w:rsid w:val="00FF1ED7"/>
    <w:rsid w:val="00FF1FA8"/>
    <w:rsid w:val="00FF2421"/>
    <w:rsid w:val="00FF2873"/>
    <w:rsid w:val="00FF29E7"/>
    <w:rsid w:val="00FF2D5E"/>
    <w:rsid w:val="00FF2E4A"/>
    <w:rsid w:val="00FF4B97"/>
    <w:rsid w:val="00FF4DAD"/>
    <w:rsid w:val="00FF5576"/>
    <w:rsid w:val="00FF582D"/>
    <w:rsid w:val="00FF5BFA"/>
    <w:rsid w:val="00FF5FD5"/>
    <w:rsid w:val="00FF62D9"/>
    <w:rsid w:val="00FF695A"/>
    <w:rsid w:val="00FF7504"/>
    <w:rsid w:val="0143C086"/>
    <w:rsid w:val="01482CCA"/>
    <w:rsid w:val="01614E3D"/>
    <w:rsid w:val="01C15119"/>
    <w:rsid w:val="0253BE20"/>
    <w:rsid w:val="027716A4"/>
    <w:rsid w:val="02FD1E9E"/>
    <w:rsid w:val="03039C95"/>
    <w:rsid w:val="030A6506"/>
    <w:rsid w:val="0341A1C9"/>
    <w:rsid w:val="03A2DD16"/>
    <w:rsid w:val="03C55282"/>
    <w:rsid w:val="03DA9579"/>
    <w:rsid w:val="03DCF7DE"/>
    <w:rsid w:val="03E705D0"/>
    <w:rsid w:val="0423F75E"/>
    <w:rsid w:val="046FAA0A"/>
    <w:rsid w:val="04C5B9B0"/>
    <w:rsid w:val="04CD9DEC"/>
    <w:rsid w:val="053EAD77"/>
    <w:rsid w:val="053FEDBD"/>
    <w:rsid w:val="0566720B"/>
    <w:rsid w:val="05709BA0"/>
    <w:rsid w:val="0581CFF9"/>
    <w:rsid w:val="05C7B2CF"/>
    <w:rsid w:val="05F15037"/>
    <w:rsid w:val="0700DF38"/>
    <w:rsid w:val="0739BD2A"/>
    <w:rsid w:val="0791CE9C"/>
    <w:rsid w:val="07BE2207"/>
    <w:rsid w:val="07C30764"/>
    <w:rsid w:val="08200AD1"/>
    <w:rsid w:val="087A9D0D"/>
    <w:rsid w:val="08DA393A"/>
    <w:rsid w:val="09DD7AE8"/>
    <w:rsid w:val="09F13C6C"/>
    <w:rsid w:val="0A0BD8CE"/>
    <w:rsid w:val="0A1F520E"/>
    <w:rsid w:val="0A48DA2C"/>
    <w:rsid w:val="0A59EAF8"/>
    <w:rsid w:val="0A86E02A"/>
    <w:rsid w:val="0AB525EB"/>
    <w:rsid w:val="0B3E1216"/>
    <w:rsid w:val="0BADE0F6"/>
    <w:rsid w:val="0BADEEFB"/>
    <w:rsid w:val="0BE04952"/>
    <w:rsid w:val="0D2946CE"/>
    <w:rsid w:val="0D34E5D3"/>
    <w:rsid w:val="0DFD5CD7"/>
    <w:rsid w:val="0E823DCA"/>
    <w:rsid w:val="0EB4445A"/>
    <w:rsid w:val="0EFE1958"/>
    <w:rsid w:val="0F1144C0"/>
    <w:rsid w:val="0F4D779A"/>
    <w:rsid w:val="0F840F04"/>
    <w:rsid w:val="0F88970E"/>
    <w:rsid w:val="1042EFCD"/>
    <w:rsid w:val="10F925DC"/>
    <w:rsid w:val="112971D5"/>
    <w:rsid w:val="1135A9E6"/>
    <w:rsid w:val="1165044D"/>
    <w:rsid w:val="11A1005A"/>
    <w:rsid w:val="11F664B2"/>
    <w:rsid w:val="127EE72F"/>
    <w:rsid w:val="1306510A"/>
    <w:rsid w:val="1362EFE6"/>
    <w:rsid w:val="13B75B67"/>
    <w:rsid w:val="13F5D962"/>
    <w:rsid w:val="146D4AA8"/>
    <w:rsid w:val="1476FC41"/>
    <w:rsid w:val="147BB0C0"/>
    <w:rsid w:val="14E900B8"/>
    <w:rsid w:val="14F588A0"/>
    <w:rsid w:val="1575135C"/>
    <w:rsid w:val="1625E3DA"/>
    <w:rsid w:val="16387570"/>
    <w:rsid w:val="16BA5364"/>
    <w:rsid w:val="16BE6934"/>
    <w:rsid w:val="16F995B2"/>
    <w:rsid w:val="174F1260"/>
    <w:rsid w:val="17CF4BFB"/>
    <w:rsid w:val="184ADFAB"/>
    <w:rsid w:val="187F8600"/>
    <w:rsid w:val="18EB37FF"/>
    <w:rsid w:val="18EDCCFA"/>
    <w:rsid w:val="199AF4AC"/>
    <w:rsid w:val="19BD49FE"/>
    <w:rsid w:val="19C4A1D7"/>
    <w:rsid w:val="1A4C1607"/>
    <w:rsid w:val="1AC45C3E"/>
    <w:rsid w:val="1B02DCFA"/>
    <w:rsid w:val="1B1A5FDE"/>
    <w:rsid w:val="1B34A968"/>
    <w:rsid w:val="1BF8B5C6"/>
    <w:rsid w:val="1C0FC84A"/>
    <w:rsid w:val="1C40C1DB"/>
    <w:rsid w:val="1C6C7B9E"/>
    <w:rsid w:val="1C9D4FEB"/>
    <w:rsid w:val="1CA856BA"/>
    <w:rsid w:val="1CDDBABA"/>
    <w:rsid w:val="1D3ED3D9"/>
    <w:rsid w:val="1DEED4A0"/>
    <w:rsid w:val="1E6C2FB4"/>
    <w:rsid w:val="1EB537E6"/>
    <w:rsid w:val="1EF20E2D"/>
    <w:rsid w:val="1FBA4AB2"/>
    <w:rsid w:val="1FC24E32"/>
    <w:rsid w:val="1FCCFC1B"/>
    <w:rsid w:val="1FD754A7"/>
    <w:rsid w:val="1FE08A99"/>
    <w:rsid w:val="2019709F"/>
    <w:rsid w:val="206397E3"/>
    <w:rsid w:val="2069B5CE"/>
    <w:rsid w:val="2069FE4E"/>
    <w:rsid w:val="211432FE"/>
    <w:rsid w:val="212EBF91"/>
    <w:rsid w:val="21721E7E"/>
    <w:rsid w:val="219B3808"/>
    <w:rsid w:val="21B866F4"/>
    <w:rsid w:val="21C22D12"/>
    <w:rsid w:val="225B3CEF"/>
    <w:rsid w:val="22899F5E"/>
    <w:rsid w:val="229AC436"/>
    <w:rsid w:val="22C13957"/>
    <w:rsid w:val="22D1BA57"/>
    <w:rsid w:val="24555F40"/>
    <w:rsid w:val="247CCD33"/>
    <w:rsid w:val="248455C0"/>
    <w:rsid w:val="24984393"/>
    <w:rsid w:val="24A819C7"/>
    <w:rsid w:val="24B53533"/>
    <w:rsid w:val="24DC9F2D"/>
    <w:rsid w:val="250C6897"/>
    <w:rsid w:val="258D636F"/>
    <w:rsid w:val="260ABBB2"/>
    <w:rsid w:val="2617629B"/>
    <w:rsid w:val="261CF63C"/>
    <w:rsid w:val="26458FA1"/>
    <w:rsid w:val="2670303E"/>
    <w:rsid w:val="269723A1"/>
    <w:rsid w:val="26B04BEB"/>
    <w:rsid w:val="273F9D83"/>
    <w:rsid w:val="2763129F"/>
    <w:rsid w:val="27C9370B"/>
    <w:rsid w:val="27EC344B"/>
    <w:rsid w:val="288CB34D"/>
    <w:rsid w:val="28C50431"/>
    <w:rsid w:val="293CFD46"/>
    <w:rsid w:val="298196B4"/>
    <w:rsid w:val="29EB5C56"/>
    <w:rsid w:val="2AE788E6"/>
    <w:rsid w:val="2B22FBF5"/>
    <w:rsid w:val="2B3FAFEA"/>
    <w:rsid w:val="2B53A758"/>
    <w:rsid w:val="2BDD7B46"/>
    <w:rsid w:val="2BFCA4F3"/>
    <w:rsid w:val="2CDE63C1"/>
    <w:rsid w:val="2D6CBCEA"/>
    <w:rsid w:val="2D7729DF"/>
    <w:rsid w:val="2DBFD051"/>
    <w:rsid w:val="2DD93192"/>
    <w:rsid w:val="2DE43CBB"/>
    <w:rsid w:val="2E06CF0F"/>
    <w:rsid w:val="2E0BE772"/>
    <w:rsid w:val="2EDE75A1"/>
    <w:rsid w:val="2F022127"/>
    <w:rsid w:val="2F7A2BE5"/>
    <w:rsid w:val="2FD85C02"/>
    <w:rsid w:val="3022C5FD"/>
    <w:rsid w:val="30B58A77"/>
    <w:rsid w:val="30DA52E7"/>
    <w:rsid w:val="3101E2AC"/>
    <w:rsid w:val="3135414C"/>
    <w:rsid w:val="3137565D"/>
    <w:rsid w:val="31D4BAE9"/>
    <w:rsid w:val="3228FAA3"/>
    <w:rsid w:val="3285EAFF"/>
    <w:rsid w:val="32861F3D"/>
    <w:rsid w:val="3289042F"/>
    <w:rsid w:val="328EBA27"/>
    <w:rsid w:val="33317809"/>
    <w:rsid w:val="3351D681"/>
    <w:rsid w:val="3382D8A5"/>
    <w:rsid w:val="33A4356A"/>
    <w:rsid w:val="3474C5F8"/>
    <w:rsid w:val="34B68CF2"/>
    <w:rsid w:val="34FA2AE7"/>
    <w:rsid w:val="3547B437"/>
    <w:rsid w:val="357DA82A"/>
    <w:rsid w:val="35ED7880"/>
    <w:rsid w:val="3614A635"/>
    <w:rsid w:val="3658F952"/>
    <w:rsid w:val="3661807A"/>
    <w:rsid w:val="3686CB26"/>
    <w:rsid w:val="36E446EE"/>
    <w:rsid w:val="37474520"/>
    <w:rsid w:val="374F765E"/>
    <w:rsid w:val="37EA97C9"/>
    <w:rsid w:val="37FA106E"/>
    <w:rsid w:val="380077DC"/>
    <w:rsid w:val="382735E6"/>
    <w:rsid w:val="383B19F5"/>
    <w:rsid w:val="3853248B"/>
    <w:rsid w:val="38C2BCC4"/>
    <w:rsid w:val="394F0DF4"/>
    <w:rsid w:val="3986682A"/>
    <w:rsid w:val="399CC660"/>
    <w:rsid w:val="39E99F42"/>
    <w:rsid w:val="3A67D055"/>
    <w:rsid w:val="3AAE093F"/>
    <w:rsid w:val="3AB1B7BD"/>
    <w:rsid w:val="3AD049DD"/>
    <w:rsid w:val="3AD83363"/>
    <w:rsid w:val="3B604119"/>
    <w:rsid w:val="3B74ECE4"/>
    <w:rsid w:val="3BABD3A4"/>
    <w:rsid w:val="3C96E4DA"/>
    <w:rsid w:val="3CBE08EC"/>
    <w:rsid w:val="3CCE407F"/>
    <w:rsid w:val="3D30829D"/>
    <w:rsid w:val="3D58A5F4"/>
    <w:rsid w:val="3DA5E722"/>
    <w:rsid w:val="3E2F6ADB"/>
    <w:rsid w:val="3E5EBD4C"/>
    <w:rsid w:val="3EE770E4"/>
    <w:rsid w:val="3EF6A621"/>
    <w:rsid w:val="3F12E3AB"/>
    <w:rsid w:val="3F4DFF41"/>
    <w:rsid w:val="3F5A8843"/>
    <w:rsid w:val="3F65C18C"/>
    <w:rsid w:val="3FA7E097"/>
    <w:rsid w:val="3FEC0567"/>
    <w:rsid w:val="40317002"/>
    <w:rsid w:val="4107D0E4"/>
    <w:rsid w:val="415A16E6"/>
    <w:rsid w:val="41A5B4D6"/>
    <w:rsid w:val="41D44260"/>
    <w:rsid w:val="420DD786"/>
    <w:rsid w:val="42775B2F"/>
    <w:rsid w:val="428428DA"/>
    <w:rsid w:val="42853D02"/>
    <w:rsid w:val="428DC759"/>
    <w:rsid w:val="4291C56C"/>
    <w:rsid w:val="4328ED97"/>
    <w:rsid w:val="432D8442"/>
    <w:rsid w:val="4349D644"/>
    <w:rsid w:val="4416267B"/>
    <w:rsid w:val="442D5AA4"/>
    <w:rsid w:val="4462ADAA"/>
    <w:rsid w:val="44EF9EB1"/>
    <w:rsid w:val="4505EE62"/>
    <w:rsid w:val="453E10E1"/>
    <w:rsid w:val="45774447"/>
    <w:rsid w:val="45794B78"/>
    <w:rsid w:val="45829BAD"/>
    <w:rsid w:val="45A68424"/>
    <w:rsid w:val="45C19889"/>
    <w:rsid w:val="45C270C1"/>
    <w:rsid w:val="46290E39"/>
    <w:rsid w:val="46653122"/>
    <w:rsid w:val="46CD16C3"/>
    <w:rsid w:val="46E79A7F"/>
    <w:rsid w:val="46EA0571"/>
    <w:rsid w:val="46FBD00A"/>
    <w:rsid w:val="47A53F9C"/>
    <w:rsid w:val="47A5953E"/>
    <w:rsid w:val="47B7EACE"/>
    <w:rsid w:val="4890DF49"/>
    <w:rsid w:val="48A327D9"/>
    <w:rsid w:val="48F9394B"/>
    <w:rsid w:val="4917F446"/>
    <w:rsid w:val="49BB11B0"/>
    <w:rsid w:val="49F48EBA"/>
    <w:rsid w:val="49FAF456"/>
    <w:rsid w:val="4A33703B"/>
    <w:rsid w:val="4A4192CD"/>
    <w:rsid w:val="4A8D069D"/>
    <w:rsid w:val="4A9243A9"/>
    <w:rsid w:val="4B4E3DA1"/>
    <w:rsid w:val="4BAD291A"/>
    <w:rsid w:val="4C315B3C"/>
    <w:rsid w:val="4C87DCC4"/>
    <w:rsid w:val="4D17623F"/>
    <w:rsid w:val="4D1B0687"/>
    <w:rsid w:val="4D2C2F7C"/>
    <w:rsid w:val="4E74A253"/>
    <w:rsid w:val="4E86BEF9"/>
    <w:rsid w:val="4EBBB29C"/>
    <w:rsid w:val="4EC888E5"/>
    <w:rsid w:val="4FD432C6"/>
    <w:rsid w:val="4FDD8522"/>
    <w:rsid w:val="50093A71"/>
    <w:rsid w:val="5014A7AC"/>
    <w:rsid w:val="502A1934"/>
    <w:rsid w:val="503A626E"/>
    <w:rsid w:val="507AC440"/>
    <w:rsid w:val="51245C59"/>
    <w:rsid w:val="5190320E"/>
    <w:rsid w:val="519F0027"/>
    <w:rsid w:val="51B3CB26"/>
    <w:rsid w:val="51CE5292"/>
    <w:rsid w:val="529FAF4A"/>
    <w:rsid w:val="52C2D842"/>
    <w:rsid w:val="531E1019"/>
    <w:rsid w:val="5382B58F"/>
    <w:rsid w:val="5382E765"/>
    <w:rsid w:val="546CCDA5"/>
    <w:rsid w:val="547EEE80"/>
    <w:rsid w:val="549A3FF4"/>
    <w:rsid w:val="54DB9EB8"/>
    <w:rsid w:val="54E2DD4D"/>
    <w:rsid w:val="54F71CB4"/>
    <w:rsid w:val="5560CD8B"/>
    <w:rsid w:val="55DD4EF1"/>
    <w:rsid w:val="56138143"/>
    <w:rsid w:val="563DD69F"/>
    <w:rsid w:val="56780867"/>
    <w:rsid w:val="567FC7E4"/>
    <w:rsid w:val="56D5DADC"/>
    <w:rsid w:val="56E3EEA1"/>
    <w:rsid w:val="5734588D"/>
    <w:rsid w:val="581C02BC"/>
    <w:rsid w:val="58F179F3"/>
    <w:rsid w:val="58FA2AE4"/>
    <w:rsid w:val="58FE223E"/>
    <w:rsid w:val="591BCFF3"/>
    <w:rsid w:val="5939FCB7"/>
    <w:rsid w:val="595594ED"/>
    <w:rsid w:val="596B3F72"/>
    <w:rsid w:val="59704A2B"/>
    <w:rsid w:val="59FB1CF9"/>
    <w:rsid w:val="5A4CC6F8"/>
    <w:rsid w:val="5A508476"/>
    <w:rsid w:val="5ADA2EC9"/>
    <w:rsid w:val="5B581C4D"/>
    <w:rsid w:val="5B843A42"/>
    <w:rsid w:val="5BA75F4A"/>
    <w:rsid w:val="5BB899E7"/>
    <w:rsid w:val="5C1F770C"/>
    <w:rsid w:val="5C64B212"/>
    <w:rsid w:val="5C70BCF9"/>
    <w:rsid w:val="5C9227F9"/>
    <w:rsid w:val="5CC8EF4B"/>
    <w:rsid w:val="5CD2CB2E"/>
    <w:rsid w:val="5D16BCCF"/>
    <w:rsid w:val="5D3B41EB"/>
    <w:rsid w:val="5D652406"/>
    <w:rsid w:val="5D687584"/>
    <w:rsid w:val="5D7EE680"/>
    <w:rsid w:val="5DD81F26"/>
    <w:rsid w:val="5E2C8E61"/>
    <w:rsid w:val="5E55B168"/>
    <w:rsid w:val="5E785183"/>
    <w:rsid w:val="5EA8306D"/>
    <w:rsid w:val="5F37884C"/>
    <w:rsid w:val="5F4A1E23"/>
    <w:rsid w:val="5FA95BB0"/>
    <w:rsid w:val="5FDB4762"/>
    <w:rsid w:val="61116561"/>
    <w:rsid w:val="6144E521"/>
    <w:rsid w:val="619A9266"/>
    <w:rsid w:val="6233FA3B"/>
    <w:rsid w:val="6256EF8C"/>
    <w:rsid w:val="626EC6A5"/>
    <w:rsid w:val="62860D70"/>
    <w:rsid w:val="62E8CC83"/>
    <w:rsid w:val="62F0FDC1"/>
    <w:rsid w:val="62F844E5"/>
    <w:rsid w:val="6300C48E"/>
    <w:rsid w:val="6325D7B3"/>
    <w:rsid w:val="63397868"/>
    <w:rsid w:val="63B29211"/>
    <w:rsid w:val="641B0183"/>
    <w:rsid w:val="64250054"/>
    <w:rsid w:val="649B0697"/>
    <w:rsid w:val="64E4278E"/>
    <w:rsid w:val="64F2E701"/>
    <w:rsid w:val="6527EF8D"/>
    <w:rsid w:val="653512AF"/>
    <w:rsid w:val="6547A7A9"/>
    <w:rsid w:val="656F6B9B"/>
    <w:rsid w:val="661F1E61"/>
    <w:rsid w:val="66483038"/>
    <w:rsid w:val="66765D56"/>
    <w:rsid w:val="66D421E8"/>
    <w:rsid w:val="6775F563"/>
    <w:rsid w:val="678B2FC2"/>
    <w:rsid w:val="679AD513"/>
    <w:rsid w:val="68827637"/>
    <w:rsid w:val="6892B825"/>
    <w:rsid w:val="6896EA1E"/>
    <w:rsid w:val="6898AD46"/>
    <w:rsid w:val="68EDC93D"/>
    <w:rsid w:val="69F535FE"/>
    <w:rsid w:val="6A10B3CE"/>
    <w:rsid w:val="6A308FB2"/>
    <w:rsid w:val="6A3DDA2E"/>
    <w:rsid w:val="6A42D196"/>
    <w:rsid w:val="6A76D910"/>
    <w:rsid w:val="6ABADBF2"/>
    <w:rsid w:val="6AE041D3"/>
    <w:rsid w:val="6B3529A9"/>
    <w:rsid w:val="6BBD82DA"/>
    <w:rsid w:val="6BC2C94A"/>
    <w:rsid w:val="6C1FAEAB"/>
    <w:rsid w:val="6C8E51E0"/>
    <w:rsid w:val="6C8E7755"/>
    <w:rsid w:val="6CAED55D"/>
    <w:rsid w:val="6D49DEB4"/>
    <w:rsid w:val="6D62E214"/>
    <w:rsid w:val="6D9E0A1E"/>
    <w:rsid w:val="6DEB2491"/>
    <w:rsid w:val="6E26D477"/>
    <w:rsid w:val="6E33435D"/>
    <w:rsid w:val="6E5B91BF"/>
    <w:rsid w:val="6EAA2E95"/>
    <w:rsid w:val="6EB26054"/>
    <w:rsid w:val="6F3E465D"/>
    <w:rsid w:val="6F65A46A"/>
    <w:rsid w:val="6F82FAAC"/>
    <w:rsid w:val="6F830E4F"/>
    <w:rsid w:val="6FAA1ED3"/>
    <w:rsid w:val="6FBA0CF0"/>
    <w:rsid w:val="6FC1E6A5"/>
    <w:rsid w:val="7012F3F4"/>
    <w:rsid w:val="70593D52"/>
    <w:rsid w:val="7090F3FD"/>
    <w:rsid w:val="70C6C3BE"/>
    <w:rsid w:val="70D4BBFC"/>
    <w:rsid w:val="70D57745"/>
    <w:rsid w:val="7115F08F"/>
    <w:rsid w:val="713C227A"/>
    <w:rsid w:val="713D8310"/>
    <w:rsid w:val="720184FF"/>
    <w:rsid w:val="72444B21"/>
    <w:rsid w:val="72989C49"/>
    <w:rsid w:val="72E8DDB3"/>
    <w:rsid w:val="73BB780F"/>
    <w:rsid w:val="7455B5E9"/>
    <w:rsid w:val="74635389"/>
    <w:rsid w:val="7499AEDE"/>
    <w:rsid w:val="74D96181"/>
    <w:rsid w:val="752DFA93"/>
    <w:rsid w:val="757FDB78"/>
    <w:rsid w:val="759F8407"/>
    <w:rsid w:val="75D04393"/>
    <w:rsid w:val="75E9BF77"/>
    <w:rsid w:val="7603BFC5"/>
    <w:rsid w:val="7649DA13"/>
    <w:rsid w:val="764AD5C0"/>
    <w:rsid w:val="766FB526"/>
    <w:rsid w:val="7671ADAC"/>
    <w:rsid w:val="767BE505"/>
    <w:rsid w:val="768037FF"/>
    <w:rsid w:val="76D4F622"/>
    <w:rsid w:val="7767756B"/>
    <w:rsid w:val="7767A1F5"/>
    <w:rsid w:val="781ACA6B"/>
    <w:rsid w:val="782E8C0F"/>
    <w:rsid w:val="78B55AC4"/>
    <w:rsid w:val="78C71169"/>
    <w:rsid w:val="791FBAC0"/>
    <w:rsid w:val="795CF6FA"/>
    <w:rsid w:val="798B718F"/>
    <w:rsid w:val="799DDE9E"/>
    <w:rsid w:val="7A5A8DFA"/>
    <w:rsid w:val="7A89E4BC"/>
    <w:rsid w:val="7A93D09A"/>
    <w:rsid w:val="7A985CDF"/>
    <w:rsid w:val="7AB86FFC"/>
    <w:rsid w:val="7AF8C75B"/>
    <w:rsid w:val="7B7D4706"/>
    <w:rsid w:val="7BA0D4C9"/>
    <w:rsid w:val="7BCD4A0C"/>
    <w:rsid w:val="7BDA0E46"/>
    <w:rsid w:val="7BF65E5B"/>
    <w:rsid w:val="7C224A3D"/>
    <w:rsid w:val="7C24D8F2"/>
    <w:rsid w:val="7C434314"/>
    <w:rsid w:val="7C693916"/>
    <w:rsid w:val="7C9B2381"/>
    <w:rsid w:val="7D079BE2"/>
    <w:rsid w:val="7D26286E"/>
    <w:rsid w:val="7D30145C"/>
    <w:rsid w:val="7D5C9AAD"/>
    <w:rsid w:val="7D7F1E45"/>
    <w:rsid w:val="7E036D93"/>
    <w:rsid w:val="7E5A8989"/>
    <w:rsid w:val="7E7EB050"/>
    <w:rsid w:val="7EE8944F"/>
    <w:rsid w:val="7F23C5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08829"/>
  <w15:docId w15:val="{1AEDD977-9CC3-492C-B34B-0942A390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9D7"/>
    <w:rPr>
      <w:rFonts w:ascii="Verdana" w:hAnsi="Verdana"/>
      <w:color w:val="000000"/>
      <w:sz w:val="24"/>
      <w:szCs w:val="24"/>
      <w:lang w:eastAsia="en-US"/>
    </w:rPr>
  </w:style>
  <w:style w:type="paragraph" w:styleId="Heading1">
    <w:name w:val="heading 1"/>
    <w:basedOn w:val="Normal"/>
    <w:next w:val="Normal"/>
    <w:link w:val="Heading1Char"/>
    <w:qFormat/>
    <w:rsid w:val="008B71A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71A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B71A9"/>
    <w:pPr>
      <w:keepNext/>
      <w:spacing w:before="240" w:after="60"/>
      <w:outlineLvl w:val="2"/>
    </w:pPr>
    <w:rPr>
      <w:rFonts w:ascii="Arial" w:hAnsi="Arial" w:cs="Arial"/>
      <w:b/>
      <w:bCs/>
      <w:color w:val="auto"/>
      <w:sz w:val="26"/>
      <w:szCs w:val="26"/>
    </w:rPr>
  </w:style>
  <w:style w:type="paragraph" w:styleId="Heading4">
    <w:name w:val="heading 4"/>
    <w:basedOn w:val="Normal"/>
    <w:next w:val="Normal"/>
    <w:link w:val="Heading4Char"/>
    <w:qFormat/>
    <w:rsid w:val="008B71A9"/>
    <w:pPr>
      <w:keepNext/>
      <w:spacing w:before="240" w:after="60"/>
      <w:outlineLvl w:val="3"/>
    </w:pPr>
    <w:rPr>
      <w:rFonts w:ascii="Times New Roman" w:hAnsi="Times New Roman"/>
      <w:b/>
      <w:bCs/>
      <w:color w:val="auto"/>
      <w:sz w:val="28"/>
      <w:szCs w:val="28"/>
    </w:rPr>
  </w:style>
  <w:style w:type="paragraph" w:styleId="Heading5">
    <w:name w:val="heading 5"/>
    <w:basedOn w:val="Normal"/>
    <w:next w:val="Normal"/>
    <w:link w:val="Heading5Char"/>
    <w:qFormat/>
    <w:rsid w:val="008B71A9"/>
    <w:pPr>
      <w:keepNext/>
      <w:widowControl w:val="0"/>
      <w:autoSpaceDE w:val="0"/>
      <w:autoSpaceDN w:val="0"/>
      <w:adjustRightInd w:val="0"/>
      <w:ind w:firstLine="567"/>
      <w:outlineLvl w:val="4"/>
    </w:pPr>
    <w:rPr>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6A01"/>
    <w:rPr>
      <w:rFonts w:ascii="Arial" w:hAnsi="Arial" w:cs="Arial"/>
      <w:b/>
      <w:bCs/>
      <w:color w:val="000000"/>
      <w:kern w:val="32"/>
      <w:sz w:val="32"/>
      <w:szCs w:val="32"/>
      <w:lang w:val="en-GB" w:eastAsia="en-US" w:bidi="ar-SA"/>
    </w:rPr>
  </w:style>
  <w:style w:type="character" w:customStyle="1" w:styleId="Heading2Char">
    <w:name w:val="Heading 2 Char"/>
    <w:link w:val="Heading2"/>
    <w:rsid w:val="00886A01"/>
    <w:rPr>
      <w:rFonts w:ascii="Arial" w:hAnsi="Arial" w:cs="Arial"/>
      <w:b/>
      <w:bCs/>
      <w:i/>
      <w:iCs/>
      <w:color w:val="000000"/>
      <w:sz w:val="28"/>
      <w:szCs w:val="28"/>
      <w:lang w:val="en-GB" w:eastAsia="en-US" w:bidi="ar-SA"/>
    </w:rPr>
  </w:style>
  <w:style w:type="character" w:customStyle="1" w:styleId="Heading3Char">
    <w:name w:val="Heading 3 Char"/>
    <w:link w:val="Heading3"/>
    <w:rsid w:val="00886A01"/>
    <w:rPr>
      <w:rFonts w:ascii="Arial" w:hAnsi="Arial" w:cs="Arial"/>
      <w:b/>
      <w:bCs/>
      <w:sz w:val="26"/>
      <w:szCs w:val="26"/>
      <w:lang w:val="en-GB" w:eastAsia="en-US" w:bidi="ar-SA"/>
    </w:rPr>
  </w:style>
  <w:style w:type="character" w:customStyle="1" w:styleId="Heading4Char">
    <w:name w:val="Heading 4 Char"/>
    <w:link w:val="Heading4"/>
    <w:rsid w:val="00886A01"/>
    <w:rPr>
      <w:b/>
      <w:bCs/>
      <w:sz w:val="28"/>
      <w:szCs w:val="28"/>
      <w:lang w:val="en-GB" w:eastAsia="en-US" w:bidi="ar-SA"/>
    </w:rPr>
  </w:style>
  <w:style w:type="character" w:customStyle="1" w:styleId="Heading5Char">
    <w:name w:val="Heading 5 Char"/>
    <w:link w:val="Heading5"/>
    <w:rsid w:val="00886A01"/>
    <w:rPr>
      <w:rFonts w:ascii="Verdana" w:hAnsi="Verdana"/>
      <w:b/>
      <w:sz w:val="22"/>
      <w:szCs w:val="22"/>
      <w:lang w:val="en-GB" w:eastAsia="en-US" w:bidi="ar-SA"/>
    </w:rPr>
  </w:style>
  <w:style w:type="paragraph" w:customStyle="1" w:styleId="HouseStyle1">
    <w:name w:val="House Style1"/>
    <w:basedOn w:val="Normal"/>
    <w:autoRedefine/>
    <w:rsid w:val="008B71A9"/>
    <w:pPr>
      <w:framePr w:wrap="around" w:vAnchor="text" w:hAnchor="text" w:y="1"/>
      <w:tabs>
        <w:tab w:val="left" w:pos="1701"/>
      </w:tabs>
      <w:ind w:left="-120"/>
    </w:pPr>
  </w:style>
  <w:style w:type="paragraph" w:customStyle="1" w:styleId="Style1">
    <w:name w:val="Style1"/>
    <w:basedOn w:val="Normal"/>
    <w:autoRedefine/>
    <w:rsid w:val="008B71A9"/>
    <w:pPr>
      <w:tabs>
        <w:tab w:val="left" w:pos="1701"/>
      </w:tabs>
    </w:pPr>
  </w:style>
  <w:style w:type="paragraph" w:styleId="Footer">
    <w:name w:val="footer"/>
    <w:basedOn w:val="Normal"/>
    <w:link w:val="FooterChar"/>
    <w:uiPriority w:val="99"/>
    <w:rsid w:val="008B71A9"/>
    <w:pPr>
      <w:tabs>
        <w:tab w:val="center" w:pos="4320"/>
        <w:tab w:val="right" w:pos="8640"/>
      </w:tabs>
    </w:pPr>
  </w:style>
  <w:style w:type="character" w:styleId="PageNumber">
    <w:name w:val="page number"/>
    <w:basedOn w:val="DefaultParagraphFont"/>
    <w:rsid w:val="008B71A9"/>
  </w:style>
  <w:style w:type="character" w:styleId="Hyperlink">
    <w:name w:val="Hyperlink"/>
    <w:uiPriority w:val="99"/>
    <w:rsid w:val="008B71A9"/>
    <w:rPr>
      <w:color w:val="0000FF"/>
      <w:u w:val="single"/>
    </w:rPr>
  </w:style>
  <w:style w:type="character" w:customStyle="1" w:styleId="HouseStyle1CharChar">
    <w:name w:val="House Style1 Char Char"/>
    <w:link w:val="HouseStyle1Char"/>
    <w:rsid w:val="008B71A9"/>
    <w:rPr>
      <w:rFonts w:ascii="Verdana" w:hAnsi="Verdana"/>
      <w:color w:val="000000"/>
      <w:sz w:val="24"/>
      <w:szCs w:val="24"/>
      <w:lang w:val="en-GB" w:eastAsia="en-US" w:bidi="ar-SA"/>
    </w:rPr>
  </w:style>
  <w:style w:type="paragraph" w:customStyle="1" w:styleId="HouseStyle1Char">
    <w:name w:val="House Style1 Char"/>
    <w:basedOn w:val="Normal"/>
    <w:link w:val="HouseStyle1CharChar"/>
    <w:autoRedefine/>
    <w:rsid w:val="008B71A9"/>
    <w:pPr>
      <w:framePr w:wrap="around" w:vAnchor="text" w:hAnchor="text" w:y="1"/>
      <w:tabs>
        <w:tab w:val="left" w:pos="1701"/>
      </w:tabs>
      <w:ind w:left="-120"/>
    </w:pPr>
  </w:style>
  <w:style w:type="paragraph" w:styleId="BodyText3">
    <w:name w:val="Body Text 3"/>
    <w:basedOn w:val="Normal"/>
    <w:link w:val="BodyText3Char"/>
    <w:rsid w:val="008B71A9"/>
    <w:pPr>
      <w:ind w:right="44"/>
      <w:jc w:val="both"/>
    </w:pPr>
    <w:rPr>
      <w:rFonts w:ascii="Times New Roman" w:hAnsi="Times New Roman"/>
      <w:color w:val="auto"/>
      <w:szCs w:val="22"/>
    </w:rPr>
  </w:style>
  <w:style w:type="character" w:customStyle="1" w:styleId="BodyText3Char">
    <w:name w:val="Body Text 3 Char"/>
    <w:link w:val="BodyText3"/>
    <w:rsid w:val="00517462"/>
    <w:rPr>
      <w:sz w:val="24"/>
      <w:szCs w:val="22"/>
      <w:lang w:val="en-GB" w:eastAsia="en-US" w:bidi="ar-SA"/>
    </w:rPr>
  </w:style>
  <w:style w:type="table" w:styleId="TableGrid">
    <w:name w:val="Table Grid"/>
    <w:basedOn w:val="TableNormal"/>
    <w:rsid w:val="008B71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B71A9"/>
    <w:rPr>
      <w:sz w:val="16"/>
      <w:szCs w:val="16"/>
    </w:rPr>
  </w:style>
  <w:style w:type="paragraph" w:styleId="CommentText">
    <w:name w:val="annotation text"/>
    <w:basedOn w:val="Normal"/>
    <w:link w:val="CommentTextChar"/>
    <w:uiPriority w:val="99"/>
    <w:rsid w:val="008B71A9"/>
    <w:rPr>
      <w:sz w:val="20"/>
      <w:szCs w:val="20"/>
    </w:rPr>
  </w:style>
  <w:style w:type="paragraph" w:styleId="CommentSubject">
    <w:name w:val="annotation subject"/>
    <w:basedOn w:val="CommentText"/>
    <w:next w:val="CommentText"/>
    <w:link w:val="CommentSubjectChar"/>
    <w:semiHidden/>
    <w:rsid w:val="008B71A9"/>
    <w:rPr>
      <w:b/>
      <w:bCs/>
    </w:rPr>
  </w:style>
  <w:style w:type="paragraph" w:styleId="BalloonText">
    <w:name w:val="Balloon Text"/>
    <w:basedOn w:val="Normal"/>
    <w:link w:val="BalloonTextChar"/>
    <w:rsid w:val="008B71A9"/>
    <w:rPr>
      <w:rFonts w:ascii="Tahoma" w:hAnsi="Tahoma" w:cs="Tahoma"/>
      <w:sz w:val="16"/>
      <w:szCs w:val="16"/>
    </w:rPr>
  </w:style>
  <w:style w:type="character" w:styleId="Strong">
    <w:name w:val="Strong"/>
    <w:qFormat/>
    <w:rsid w:val="008B71A9"/>
    <w:rPr>
      <w:b/>
      <w:bCs/>
    </w:rPr>
  </w:style>
  <w:style w:type="paragraph" w:styleId="NormalWeb">
    <w:name w:val="Normal (Web)"/>
    <w:basedOn w:val="Normal"/>
    <w:uiPriority w:val="99"/>
    <w:rsid w:val="008B71A9"/>
    <w:pPr>
      <w:spacing w:before="100" w:beforeAutospacing="1" w:after="100" w:afterAutospacing="1"/>
    </w:pPr>
    <w:rPr>
      <w:rFonts w:ascii="Times New Roman" w:hAnsi="Times New Roman"/>
      <w:color w:val="auto"/>
      <w:lang w:val="en-US"/>
    </w:rPr>
  </w:style>
  <w:style w:type="character" w:styleId="Emphasis">
    <w:name w:val="Emphasis"/>
    <w:qFormat/>
    <w:rsid w:val="008B71A9"/>
    <w:rPr>
      <w:i/>
      <w:iCs/>
    </w:rPr>
  </w:style>
  <w:style w:type="character" w:customStyle="1" w:styleId="doccontentheading1">
    <w:name w:val="doccontentheading1"/>
    <w:rsid w:val="008B71A9"/>
    <w:rPr>
      <w:b/>
      <w:bCs/>
      <w:color w:val="C64934"/>
      <w:sz w:val="17"/>
      <w:szCs w:val="17"/>
    </w:rPr>
  </w:style>
  <w:style w:type="paragraph" w:styleId="Header">
    <w:name w:val="header"/>
    <w:basedOn w:val="Normal"/>
    <w:link w:val="HeaderChar"/>
    <w:uiPriority w:val="99"/>
    <w:rsid w:val="008B71A9"/>
    <w:pPr>
      <w:tabs>
        <w:tab w:val="center" w:pos="4320"/>
        <w:tab w:val="right" w:pos="8640"/>
      </w:tabs>
    </w:pPr>
  </w:style>
  <w:style w:type="paragraph" w:styleId="BodyText">
    <w:name w:val="Body Text"/>
    <w:basedOn w:val="Normal"/>
    <w:link w:val="BodyTextChar"/>
    <w:qFormat/>
    <w:rsid w:val="008B71A9"/>
    <w:pPr>
      <w:spacing w:after="120"/>
    </w:pPr>
  </w:style>
  <w:style w:type="paragraph" w:styleId="BodyText2">
    <w:name w:val="Body Text 2"/>
    <w:basedOn w:val="Normal"/>
    <w:link w:val="BodyText2Char"/>
    <w:rsid w:val="008B71A9"/>
    <w:pPr>
      <w:spacing w:after="120" w:line="480" w:lineRule="auto"/>
    </w:pPr>
  </w:style>
  <w:style w:type="character" w:customStyle="1" w:styleId="BodyText2Char">
    <w:name w:val="Body Text 2 Char"/>
    <w:link w:val="BodyText2"/>
    <w:rsid w:val="00517462"/>
    <w:rPr>
      <w:rFonts w:ascii="Verdana" w:hAnsi="Verdana"/>
      <w:color w:val="000000"/>
      <w:sz w:val="24"/>
      <w:szCs w:val="24"/>
      <w:lang w:val="en-GB" w:eastAsia="en-US" w:bidi="ar-SA"/>
    </w:rPr>
  </w:style>
  <w:style w:type="paragraph" w:styleId="Title">
    <w:name w:val="Title"/>
    <w:basedOn w:val="Normal"/>
    <w:link w:val="TitleChar"/>
    <w:qFormat/>
    <w:rsid w:val="008B71A9"/>
    <w:pPr>
      <w:jc w:val="center"/>
    </w:pPr>
    <w:rPr>
      <w:rFonts w:ascii="Times New Roman" w:hAnsi="Times New Roman"/>
      <w:b/>
      <w:color w:val="auto"/>
      <w:sz w:val="28"/>
      <w:szCs w:val="20"/>
    </w:rPr>
  </w:style>
  <w:style w:type="character" w:customStyle="1" w:styleId="TitleChar">
    <w:name w:val="Title Char"/>
    <w:link w:val="Title"/>
    <w:rsid w:val="00517462"/>
    <w:rPr>
      <w:b/>
      <w:sz w:val="28"/>
      <w:lang w:val="en-GB" w:eastAsia="en-US" w:bidi="ar-SA"/>
    </w:rPr>
  </w:style>
  <w:style w:type="paragraph" w:styleId="BodyTextIndent">
    <w:name w:val="Body Text Indent"/>
    <w:basedOn w:val="Normal"/>
    <w:link w:val="BodyTextIndentChar"/>
    <w:rsid w:val="008B71A9"/>
    <w:pPr>
      <w:spacing w:after="120"/>
      <w:ind w:left="283"/>
    </w:pPr>
  </w:style>
  <w:style w:type="paragraph" w:styleId="BodyTextIndent3">
    <w:name w:val="Body Text Indent 3"/>
    <w:basedOn w:val="Normal"/>
    <w:link w:val="BodyTextIndent3Char"/>
    <w:rsid w:val="008B71A9"/>
    <w:pPr>
      <w:spacing w:after="120"/>
      <w:ind w:left="283"/>
    </w:pPr>
    <w:rPr>
      <w:sz w:val="16"/>
      <w:szCs w:val="16"/>
    </w:rPr>
  </w:style>
  <w:style w:type="character" w:customStyle="1" w:styleId="BodyTextIndent3Char">
    <w:name w:val="Body Text Indent 3 Char"/>
    <w:link w:val="BodyTextIndent3"/>
    <w:rsid w:val="00517462"/>
    <w:rPr>
      <w:rFonts w:ascii="Verdana" w:hAnsi="Verdana"/>
      <w:color w:val="000000"/>
      <w:sz w:val="16"/>
      <w:szCs w:val="16"/>
      <w:lang w:val="en-GB" w:eastAsia="en-US" w:bidi="ar-SA"/>
    </w:rPr>
  </w:style>
  <w:style w:type="paragraph" w:styleId="BodyTextIndent2">
    <w:name w:val="Body Text Indent 2"/>
    <w:basedOn w:val="Normal"/>
    <w:link w:val="BodyTextIndent2Char"/>
    <w:rsid w:val="008B71A9"/>
    <w:pPr>
      <w:spacing w:after="120" w:line="480" w:lineRule="auto"/>
      <w:ind w:left="283"/>
    </w:pPr>
    <w:rPr>
      <w:rFonts w:ascii="Times New Roman" w:hAnsi="Times New Roman"/>
      <w:color w:val="auto"/>
    </w:rPr>
  </w:style>
  <w:style w:type="character" w:customStyle="1" w:styleId="BodyTextIndent2Char">
    <w:name w:val="Body Text Indent 2 Char"/>
    <w:link w:val="BodyTextIndent2"/>
    <w:rsid w:val="00517462"/>
    <w:rPr>
      <w:sz w:val="24"/>
      <w:szCs w:val="24"/>
      <w:lang w:val="en-GB" w:eastAsia="en-US" w:bidi="ar-SA"/>
    </w:rPr>
  </w:style>
  <w:style w:type="character" w:styleId="FollowedHyperlink">
    <w:name w:val="FollowedHyperlink"/>
    <w:rsid w:val="008B71A9"/>
    <w:rPr>
      <w:color w:val="800080"/>
      <w:u w:val="single"/>
    </w:rPr>
  </w:style>
  <w:style w:type="paragraph" w:customStyle="1" w:styleId="sectionpara">
    <w:name w:val="sectionpara"/>
    <w:basedOn w:val="Normal"/>
    <w:rsid w:val="008B71A9"/>
    <w:pPr>
      <w:spacing w:after="240"/>
    </w:pPr>
    <w:rPr>
      <w:rFonts w:ascii="Arial" w:hAnsi="Arial" w:cs="Arial"/>
      <w:color w:val="auto"/>
      <w:lang w:val="en-US"/>
    </w:rPr>
  </w:style>
  <w:style w:type="paragraph" w:customStyle="1" w:styleId="H3">
    <w:name w:val="H3"/>
    <w:basedOn w:val="Normal"/>
    <w:next w:val="Normal"/>
    <w:rsid w:val="008B71A9"/>
    <w:pPr>
      <w:keepNext/>
      <w:spacing w:before="100" w:after="100"/>
      <w:outlineLvl w:val="3"/>
    </w:pPr>
    <w:rPr>
      <w:rFonts w:ascii="Times New Roman" w:hAnsi="Times New Roman"/>
      <w:b/>
      <w:snapToGrid w:val="0"/>
      <w:color w:val="auto"/>
      <w:sz w:val="28"/>
      <w:szCs w:val="20"/>
    </w:rPr>
  </w:style>
  <w:style w:type="paragraph" w:customStyle="1" w:styleId="DefinitionTerm">
    <w:name w:val="Definition Term"/>
    <w:basedOn w:val="Normal"/>
    <w:next w:val="Normal"/>
    <w:rsid w:val="008B71A9"/>
    <w:rPr>
      <w:rFonts w:ascii="Times New Roman" w:hAnsi="Times New Roman"/>
      <w:snapToGrid w:val="0"/>
      <w:color w:val="auto"/>
      <w:szCs w:val="20"/>
    </w:r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ootnote Text Char1,Footnote Text Char Cha"/>
    <w:basedOn w:val="Normal"/>
    <w:link w:val="FootnoteTextChar"/>
    <w:uiPriority w:val="99"/>
    <w:qFormat/>
    <w:rsid w:val="008B71A9"/>
    <w:rPr>
      <w:rFonts w:ascii="Times New Roman" w:hAnsi="Times New Roman"/>
      <w:color w:val="auto"/>
      <w:sz w:val="20"/>
      <w:szCs w:val="20"/>
      <w:lang w:eastAsia="en-GB"/>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
    <w:link w:val="FootnoteText"/>
    <w:uiPriority w:val="99"/>
    <w:rsid w:val="00517462"/>
    <w:rPr>
      <w:lang w:val="en-GB" w:eastAsia="en-GB" w:bidi="ar-SA"/>
    </w:rPr>
  </w:style>
  <w:style w:type="paragraph" w:customStyle="1" w:styleId="Default">
    <w:name w:val="Default"/>
    <w:rsid w:val="008B71A9"/>
    <w:pPr>
      <w:autoSpaceDE w:val="0"/>
      <w:autoSpaceDN w:val="0"/>
      <w:adjustRightInd w:val="0"/>
    </w:pPr>
    <w:rPr>
      <w:rFonts w:ascii="Arial" w:hAnsi="Arial" w:cs="Arial"/>
      <w:color w:val="000000"/>
      <w:sz w:val="24"/>
      <w:szCs w:val="24"/>
      <w:lang w:val="en-US" w:eastAsia="en-US"/>
    </w:rPr>
  </w:style>
  <w:style w:type="paragraph" w:customStyle="1" w:styleId="Style3">
    <w:name w:val="Style 3"/>
    <w:basedOn w:val="Default"/>
    <w:next w:val="Default"/>
    <w:rsid w:val="008B71A9"/>
    <w:pPr>
      <w:spacing w:before="240" w:after="60"/>
    </w:pPr>
    <w:rPr>
      <w:rFonts w:cs="Times New Roman"/>
      <w:color w:val="auto"/>
    </w:rPr>
  </w:style>
  <w:style w:type="paragraph" w:customStyle="1" w:styleId="NormalWeb2">
    <w:name w:val="Normal (Web)2"/>
    <w:basedOn w:val="Normal"/>
    <w:rsid w:val="008B71A9"/>
    <w:pPr>
      <w:spacing w:before="100" w:beforeAutospacing="1" w:after="100" w:afterAutospacing="1"/>
    </w:pPr>
    <w:rPr>
      <w:rFonts w:ascii="Times New Roman" w:hAnsi="Times New Roman"/>
      <w:color w:val="auto"/>
      <w:lang w:val="en-US"/>
    </w:rPr>
  </w:style>
  <w:style w:type="character" w:customStyle="1" w:styleId="EmailStyle58">
    <w:name w:val="EmailStyle58"/>
    <w:semiHidden/>
    <w:rsid w:val="0009306C"/>
    <w:rPr>
      <w:rFonts w:ascii="Verdana" w:hAnsi="Verdana" w:hint="default"/>
      <w:b w:val="0"/>
      <w:bCs w:val="0"/>
      <w:i w:val="0"/>
      <w:iCs w:val="0"/>
      <w:strike w:val="0"/>
      <w:dstrike w:val="0"/>
      <w:color w:val="auto"/>
      <w:sz w:val="24"/>
      <w:szCs w:val="24"/>
      <w:u w:val="none"/>
      <w:effect w:val="none"/>
    </w:rPr>
  </w:style>
  <w:style w:type="paragraph" w:styleId="PlainText">
    <w:name w:val="Plain Text"/>
    <w:basedOn w:val="Normal"/>
    <w:link w:val="PlainTextChar"/>
    <w:uiPriority w:val="99"/>
    <w:rsid w:val="000E7801"/>
    <w:rPr>
      <w:rFonts w:ascii="Arial" w:hAnsi="Arial" w:cs="Tahoma"/>
      <w:color w:val="auto"/>
      <w:sz w:val="28"/>
      <w:szCs w:val="20"/>
    </w:rPr>
  </w:style>
  <w:style w:type="character" w:customStyle="1" w:styleId="PlainTextChar">
    <w:name w:val="Plain Text Char"/>
    <w:link w:val="PlainText"/>
    <w:uiPriority w:val="99"/>
    <w:rsid w:val="00886A01"/>
    <w:rPr>
      <w:rFonts w:ascii="Arial" w:hAnsi="Arial" w:cs="Tahoma"/>
      <w:sz w:val="28"/>
      <w:lang w:val="en-GB" w:eastAsia="en-US" w:bidi="ar-SA"/>
    </w:rPr>
  </w:style>
  <w:style w:type="character" w:customStyle="1" w:styleId="td">
    <w:name w:val="td"/>
    <w:basedOn w:val="DefaultParagraphFont"/>
    <w:rsid w:val="00F244A1"/>
  </w:style>
  <w:style w:type="paragraph" w:customStyle="1" w:styleId="text">
    <w:name w:val="text"/>
    <w:basedOn w:val="Normal"/>
    <w:rsid w:val="00F244A1"/>
    <w:pPr>
      <w:spacing w:after="280" w:line="280" w:lineRule="atLeast"/>
    </w:pPr>
    <w:rPr>
      <w:rFonts w:ascii="Times" w:eastAsia="Times" w:hAnsi="Times"/>
      <w:color w:val="auto"/>
      <w:szCs w:val="20"/>
    </w:rPr>
  </w:style>
  <w:style w:type="paragraph" w:customStyle="1" w:styleId="a">
    <w:name w:val="a"/>
    <w:aliases w:val="b,c"/>
    <w:basedOn w:val="Normal"/>
    <w:autoRedefine/>
    <w:rsid w:val="00F244A1"/>
    <w:pPr>
      <w:widowControl w:val="0"/>
      <w:numPr>
        <w:numId w:val="3"/>
      </w:numPr>
      <w:tabs>
        <w:tab w:val="left" w:pos="720"/>
        <w:tab w:val="left" w:pos="1440"/>
      </w:tabs>
      <w:spacing w:before="144" w:after="144"/>
      <w:jc w:val="both"/>
    </w:pPr>
    <w:rPr>
      <w:rFonts w:ascii="Times New Roman" w:hAnsi="Times New Roman"/>
      <w:snapToGrid w:val="0"/>
      <w:sz w:val="22"/>
      <w:szCs w:val="20"/>
      <w:lang w:val="en-IE"/>
    </w:rPr>
  </w:style>
  <w:style w:type="character" w:customStyle="1" w:styleId="apple-style-span">
    <w:name w:val="apple-style-span"/>
    <w:basedOn w:val="DefaultParagraphFont"/>
    <w:rsid w:val="00517462"/>
  </w:style>
  <w:style w:type="character" w:customStyle="1" w:styleId="apple-converted-space">
    <w:name w:val="apple-converted-space"/>
    <w:basedOn w:val="DefaultParagraphFont"/>
    <w:rsid w:val="00517462"/>
  </w:style>
  <w:style w:type="paragraph" w:styleId="DocumentMap">
    <w:name w:val="Document Map"/>
    <w:basedOn w:val="Normal"/>
    <w:link w:val="DocumentMapChar"/>
    <w:rsid w:val="00517462"/>
    <w:pPr>
      <w:shd w:val="clear" w:color="auto" w:fill="000080"/>
    </w:pPr>
    <w:rPr>
      <w:rFonts w:ascii="Tahoma" w:hAnsi="Tahoma" w:cs="Tahoma"/>
      <w:color w:val="auto"/>
      <w:sz w:val="20"/>
      <w:szCs w:val="20"/>
    </w:rPr>
  </w:style>
  <w:style w:type="character" w:customStyle="1" w:styleId="DocumentMapChar">
    <w:name w:val="Document Map Char"/>
    <w:link w:val="DocumentMap"/>
    <w:rsid w:val="00886A01"/>
    <w:rPr>
      <w:rFonts w:ascii="Tahoma" w:hAnsi="Tahoma" w:cs="Tahoma"/>
      <w:lang w:val="en-GB" w:eastAsia="en-US" w:bidi="ar-SA"/>
    </w:rPr>
  </w:style>
  <w:style w:type="character" w:customStyle="1" w:styleId="doccontentheading">
    <w:name w:val="doccontentheading"/>
    <w:basedOn w:val="DefaultParagraphFont"/>
    <w:rsid w:val="00517462"/>
  </w:style>
  <w:style w:type="character" w:customStyle="1" w:styleId="mcontent">
    <w:name w:val="mcontent"/>
    <w:basedOn w:val="DefaultParagraphFont"/>
    <w:rsid w:val="00517462"/>
  </w:style>
  <w:style w:type="character" w:customStyle="1" w:styleId="CharChar12">
    <w:name w:val="Char Char12"/>
    <w:rsid w:val="00886A01"/>
    <w:rPr>
      <w:rFonts w:ascii="Arial" w:hAnsi="Arial" w:cs="Arial"/>
      <w:b/>
      <w:bCs/>
      <w:color w:val="000000"/>
      <w:kern w:val="32"/>
      <w:sz w:val="32"/>
      <w:szCs w:val="32"/>
      <w:lang w:val="en-GB" w:eastAsia="en-US" w:bidi="ar-SA"/>
    </w:rPr>
  </w:style>
  <w:style w:type="character" w:customStyle="1" w:styleId="BodyTextCharChar">
    <w:name w:val="BodyText Char Char"/>
    <w:link w:val="BodyText0"/>
    <w:rsid w:val="005C4DD5"/>
    <w:rPr>
      <w:rFonts w:ascii="Arial" w:hAnsi="Arial"/>
      <w:color w:val="3F454B"/>
      <w:lang w:val="en-GB" w:eastAsia="en-US" w:bidi="ar-SA"/>
    </w:rPr>
  </w:style>
  <w:style w:type="paragraph" w:customStyle="1" w:styleId="BodyText0">
    <w:name w:val="BodyText"/>
    <w:link w:val="BodyTextCharChar"/>
    <w:rsid w:val="005C4DD5"/>
    <w:pPr>
      <w:tabs>
        <w:tab w:val="left" w:pos="1080"/>
      </w:tabs>
      <w:adjustRightInd w:val="0"/>
      <w:spacing w:after="170" w:line="280" w:lineRule="exact"/>
      <w:textAlignment w:val="baseline"/>
    </w:pPr>
    <w:rPr>
      <w:rFonts w:ascii="Arial" w:hAnsi="Arial"/>
      <w:color w:val="3F454B"/>
      <w:lang w:eastAsia="en-US"/>
    </w:rPr>
  </w:style>
  <w:style w:type="character" w:customStyle="1" w:styleId="Slogan">
    <w:name w:val="Slogan"/>
    <w:rsid w:val="005C4DD5"/>
    <w:rPr>
      <w:i/>
      <w:spacing w:val="-6"/>
      <w:sz w:val="24"/>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EB3E1A"/>
    <w:pPr>
      <w:ind w:left="720"/>
    </w:pPr>
  </w:style>
  <w:style w:type="character" w:customStyle="1" w:styleId="FooterChar">
    <w:name w:val="Footer Char"/>
    <w:link w:val="Footer"/>
    <w:uiPriority w:val="99"/>
    <w:rsid w:val="00692D04"/>
    <w:rPr>
      <w:rFonts w:ascii="Verdana" w:hAnsi="Verdana"/>
      <w:color w:val="000000"/>
      <w:sz w:val="24"/>
      <w:szCs w:val="24"/>
      <w:lang w:eastAsia="en-US"/>
    </w:rPr>
  </w:style>
  <w:style w:type="character" w:styleId="FootnoteReference">
    <w:name w:val="footnote reference"/>
    <w:uiPriority w:val="99"/>
    <w:rsid w:val="00E4615D"/>
    <w:rPr>
      <w:vertAlign w:val="superscript"/>
    </w:rPr>
  </w:style>
  <w:style w:type="character" w:customStyle="1" w:styleId="HeaderChar">
    <w:name w:val="Header Char"/>
    <w:link w:val="Header"/>
    <w:uiPriority w:val="99"/>
    <w:rsid w:val="00444E60"/>
    <w:rPr>
      <w:rFonts w:ascii="Verdana" w:hAnsi="Verdana"/>
      <w:color w:val="000000"/>
      <w:sz w:val="24"/>
      <w:szCs w:val="24"/>
      <w:lang w:eastAsia="en-US"/>
    </w:rPr>
  </w:style>
  <w:style w:type="character" w:customStyle="1" w:styleId="BodyTextChar">
    <w:name w:val="Body Text Char"/>
    <w:link w:val="BodyText"/>
    <w:rsid w:val="00444E60"/>
    <w:rPr>
      <w:rFonts w:ascii="Verdana" w:hAnsi="Verdana"/>
      <w:color w:val="000000"/>
      <w:sz w:val="24"/>
      <w:szCs w:val="24"/>
      <w:lang w:eastAsia="en-US"/>
    </w:rPr>
  </w:style>
  <w:style w:type="character" w:customStyle="1" w:styleId="BodyTextIndentChar">
    <w:name w:val="Body Text Indent Char"/>
    <w:link w:val="BodyTextIndent"/>
    <w:rsid w:val="00444E60"/>
    <w:rPr>
      <w:rFonts w:ascii="Verdana" w:hAnsi="Verdana"/>
      <w:color w:val="000000"/>
      <w:sz w:val="24"/>
      <w:szCs w:val="24"/>
      <w:lang w:eastAsia="en-US"/>
    </w:rPr>
  </w:style>
  <w:style w:type="character" w:customStyle="1" w:styleId="BalloonTextChar">
    <w:name w:val="Balloon Text Char"/>
    <w:link w:val="BalloonText"/>
    <w:rsid w:val="00444E60"/>
    <w:rPr>
      <w:rFonts w:ascii="Tahoma" w:hAnsi="Tahoma" w:cs="Tahoma"/>
      <w:color w:val="000000"/>
      <w:sz w:val="16"/>
      <w:szCs w:val="16"/>
      <w:lang w:eastAsia="en-US"/>
    </w:rPr>
  </w:style>
  <w:style w:type="paragraph" w:styleId="Revision">
    <w:name w:val="Revision"/>
    <w:hidden/>
    <w:uiPriority w:val="99"/>
    <w:semiHidden/>
    <w:rsid w:val="005630C2"/>
    <w:rPr>
      <w:rFonts w:ascii="Verdana" w:hAnsi="Verdana"/>
      <w:color w:val="000000"/>
      <w:sz w:val="24"/>
      <w:szCs w:val="24"/>
      <w:lang w:eastAsia="en-US"/>
    </w:rPr>
  </w:style>
  <w:style w:type="character" w:customStyle="1" w:styleId="CommentTextChar">
    <w:name w:val="Comment Text Char"/>
    <w:basedOn w:val="DefaultParagraphFont"/>
    <w:link w:val="CommentText"/>
    <w:uiPriority w:val="99"/>
    <w:rsid w:val="006C693F"/>
    <w:rPr>
      <w:rFonts w:ascii="Verdana" w:hAnsi="Verdana"/>
      <w:color w:val="000000"/>
      <w:lang w:eastAsia="en-US"/>
    </w:rPr>
  </w:style>
  <w:style w:type="paragraph" w:customStyle="1" w:styleId="Pa7">
    <w:name w:val="Pa7"/>
    <w:basedOn w:val="Normal"/>
    <w:next w:val="Normal"/>
    <w:uiPriority w:val="99"/>
    <w:rsid w:val="0073049C"/>
    <w:pPr>
      <w:autoSpaceDE w:val="0"/>
      <w:autoSpaceDN w:val="0"/>
      <w:adjustRightInd w:val="0"/>
      <w:spacing w:line="181" w:lineRule="atLeast"/>
    </w:pPr>
    <w:rPr>
      <w:rFonts w:ascii="Frutiger LT Std 45 Light" w:eastAsia="Calibri" w:hAnsi="Frutiger LT Std 45 Light"/>
      <w:color w:val="auto"/>
    </w:rPr>
  </w:style>
  <w:style w:type="paragraph" w:styleId="NoSpacing">
    <w:name w:val="No Spacing"/>
    <w:link w:val="NoSpacingChar"/>
    <w:uiPriority w:val="1"/>
    <w:qFormat/>
    <w:rsid w:val="006A739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A739C"/>
    <w:rPr>
      <w:rFonts w:asciiTheme="minorHAnsi" w:eastAsiaTheme="minorEastAsia" w:hAnsiTheme="minorHAnsi" w:cstheme="minorBidi"/>
      <w:sz w:val="22"/>
      <w:szCs w:val="22"/>
      <w:lang w:val="en-US" w:eastAsia="ja-JP"/>
    </w:rPr>
  </w:style>
  <w:style w:type="character" w:styleId="LineNumber">
    <w:name w:val="line number"/>
    <w:basedOn w:val="DefaultParagraphFont"/>
    <w:rsid w:val="00D16A29"/>
  </w:style>
  <w:style w:type="paragraph" w:customStyle="1" w:styleId="BasicParagraph">
    <w:name w:val="[Basic Paragraph]"/>
    <w:basedOn w:val="Normal"/>
    <w:uiPriority w:val="99"/>
    <w:rsid w:val="007117EA"/>
    <w:pPr>
      <w:widowControl w:val="0"/>
      <w:autoSpaceDE w:val="0"/>
      <w:autoSpaceDN w:val="0"/>
      <w:adjustRightInd w:val="0"/>
      <w:spacing w:line="288" w:lineRule="auto"/>
      <w:textAlignment w:val="center"/>
    </w:pPr>
    <w:rPr>
      <w:rFonts w:ascii="MinionPro-Regular" w:eastAsiaTheme="minorEastAsia" w:hAnsi="MinionPro-Regular" w:cs="MinionPro-Regular"/>
    </w:rPr>
  </w:style>
  <w:style w:type="paragraph" w:customStyle="1" w:styleId="NIHRCFootnotes">
    <w:name w:val="NIHRC Footnotes"/>
    <w:basedOn w:val="Normal"/>
    <w:qFormat/>
    <w:rsid w:val="0045027A"/>
    <w:pPr>
      <w:tabs>
        <w:tab w:val="left" w:pos="284"/>
      </w:tabs>
    </w:pPr>
    <w:rPr>
      <w:rFonts w:eastAsiaTheme="minorEastAsia" w:cs="Arial"/>
      <w:color w:val="77328A"/>
      <w:sz w:val="16"/>
      <w:szCs w:val="16"/>
    </w:rPr>
  </w:style>
  <w:style w:type="paragraph" w:customStyle="1" w:styleId="BoxHeading">
    <w:name w:val="Box Heading"/>
    <w:basedOn w:val="Normal"/>
    <w:next w:val="Normal"/>
    <w:qFormat/>
    <w:rsid w:val="00F0089C"/>
    <w:pPr>
      <w:keepLines/>
      <w:spacing w:after="113" w:line="300" w:lineRule="exact"/>
      <w:outlineLvl w:val="1"/>
    </w:pPr>
    <w:rPr>
      <w:rFonts w:ascii="Futura Bk BT" w:eastAsiaTheme="minorHAnsi" w:hAnsi="Futura Bk BT" w:cstheme="minorBidi"/>
      <w:color w:val="4F81BD" w:themeColor="accent1"/>
      <w:sz w:val="26"/>
    </w:rPr>
  </w:style>
  <w:style w:type="numbering" w:customStyle="1" w:styleId="OBRChapterNumbers">
    <w:name w:val="OBR Chapter Numbers"/>
    <w:basedOn w:val="NoList"/>
    <w:uiPriority w:val="99"/>
    <w:rsid w:val="00F0089C"/>
    <w:pPr>
      <w:numPr>
        <w:numId w:val="12"/>
      </w:numPr>
    </w:pPr>
  </w:style>
  <w:style w:type="paragraph" w:customStyle="1" w:styleId="ChartHeading">
    <w:name w:val="Chart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FigureHeading">
    <w:name w:val="Figure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TableHeading">
    <w:name w:val="Table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Standard">
    <w:name w:val="Standard"/>
    <w:rsid w:val="00C6256C"/>
    <w:pPr>
      <w:widowControl w:val="0"/>
      <w:suppressAutoHyphens/>
      <w:autoSpaceDN w:val="0"/>
      <w:textAlignment w:val="baseline"/>
    </w:pPr>
    <w:rPr>
      <w:rFonts w:eastAsia="SimSun" w:cs="Mangal"/>
      <w:kern w:val="3"/>
      <w:sz w:val="24"/>
      <w:szCs w:val="24"/>
      <w:lang w:eastAsia="zh-CN" w:bidi="hi-IN"/>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627E1D"/>
    <w:rPr>
      <w:rFonts w:ascii="Verdana" w:hAnsi="Verdana"/>
      <w:color w:val="000000"/>
      <w:sz w:val="24"/>
      <w:szCs w:val="24"/>
      <w:lang w:eastAsia="en-US"/>
    </w:rPr>
  </w:style>
  <w:style w:type="character" w:styleId="SubtleEmphasis">
    <w:name w:val="Subtle Emphasis"/>
    <w:basedOn w:val="DefaultParagraphFont"/>
    <w:uiPriority w:val="19"/>
    <w:qFormat/>
    <w:rsid w:val="00DC2DA5"/>
    <w:rPr>
      <w:i/>
      <w:iCs/>
      <w:color w:val="404040" w:themeColor="text1" w:themeTint="BF"/>
    </w:rPr>
  </w:style>
  <w:style w:type="paragraph" w:styleId="Subtitle">
    <w:name w:val="Subtitle"/>
    <w:basedOn w:val="Normal"/>
    <w:next w:val="Normal"/>
    <w:link w:val="SubtitleChar"/>
    <w:uiPriority w:val="11"/>
    <w:qFormat/>
    <w:rsid w:val="00DC2DA5"/>
    <w:pPr>
      <w:numPr>
        <w:ilvl w:val="1"/>
      </w:numPr>
      <w:spacing w:after="160"/>
    </w:pPr>
    <w:rPr>
      <w:rFonts w:asciiTheme="minorHAnsi" w:eastAsiaTheme="minorEastAsia" w:hAnsiTheme="minorHAnsi" w:cstheme="minorBidi"/>
      <w:color w:val="5A5A5A" w:themeColor="text1" w:themeTint="A5"/>
      <w:spacing w:val="15"/>
      <w:sz w:val="22"/>
      <w:szCs w:val="20"/>
      <w:lang w:eastAsia="en-GB" w:bidi="ne-NP"/>
    </w:rPr>
  </w:style>
  <w:style w:type="character" w:customStyle="1" w:styleId="SubtitleChar">
    <w:name w:val="Subtitle Char"/>
    <w:basedOn w:val="DefaultParagraphFont"/>
    <w:link w:val="Subtitle"/>
    <w:uiPriority w:val="11"/>
    <w:rsid w:val="00DC2DA5"/>
    <w:rPr>
      <w:rFonts w:asciiTheme="minorHAnsi" w:eastAsiaTheme="minorEastAsia" w:hAnsiTheme="minorHAnsi" w:cstheme="minorBidi"/>
      <w:color w:val="5A5A5A" w:themeColor="text1" w:themeTint="A5"/>
      <w:spacing w:val="15"/>
      <w:sz w:val="22"/>
      <w:lang w:bidi="ne-NP"/>
    </w:rPr>
  </w:style>
  <w:style w:type="paragraph" w:styleId="ListBullet">
    <w:name w:val="List Bullet"/>
    <w:basedOn w:val="Normal"/>
    <w:uiPriority w:val="99"/>
    <w:semiHidden/>
    <w:unhideWhenUsed/>
    <w:rsid w:val="00DC2DA5"/>
    <w:pPr>
      <w:contextualSpacing/>
    </w:pPr>
    <w:rPr>
      <w:rFonts w:ascii="Arial" w:hAnsi="Arial" w:cs="Mangal"/>
      <w:color w:val="auto"/>
      <w:sz w:val="20"/>
      <w:szCs w:val="18"/>
      <w:lang w:eastAsia="en-GB" w:bidi="ne-NP"/>
    </w:rPr>
  </w:style>
  <w:style w:type="character" w:customStyle="1" w:styleId="CommentSubjectChar">
    <w:name w:val="Comment Subject Char"/>
    <w:basedOn w:val="CommentTextChar"/>
    <w:link w:val="CommentSubject"/>
    <w:semiHidden/>
    <w:rsid w:val="002667DD"/>
    <w:rPr>
      <w:rFonts w:ascii="Verdana" w:hAnsi="Verdana"/>
      <w:b/>
      <w:bCs/>
      <w:color w:val="000000"/>
      <w:lang w:eastAsia="en-US"/>
    </w:rPr>
  </w:style>
  <w:style w:type="character" w:styleId="Mention">
    <w:name w:val="Mention"/>
    <w:basedOn w:val="DefaultParagraphFont"/>
    <w:uiPriority w:val="99"/>
    <w:unhideWhenUsed/>
    <w:rsid w:val="002667DD"/>
    <w:rPr>
      <w:color w:val="2B579A"/>
      <w:shd w:val="clear" w:color="auto" w:fill="E6E6E6"/>
    </w:rPr>
  </w:style>
  <w:style w:type="paragraph" w:customStyle="1" w:styleId="paragraph">
    <w:name w:val="paragraph"/>
    <w:basedOn w:val="Normal"/>
    <w:rsid w:val="002667DD"/>
    <w:pPr>
      <w:spacing w:before="100" w:beforeAutospacing="1" w:after="100" w:afterAutospacing="1"/>
    </w:pPr>
    <w:rPr>
      <w:rFonts w:ascii="Times New Roman" w:hAnsi="Times New Roman"/>
      <w:color w:val="auto"/>
      <w:lang w:eastAsia="en-GB"/>
    </w:rPr>
  </w:style>
  <w:style w:type="character" w:customStyle="1" w:styleId="normaltextrun">
    <w:name w:val="normaltextrun"/>
    <w:basedOn w:val="DefaultParagraphFont"/>
    <w:uiPriority w:val="1"/>
    <w:rsid w:val="002667DD"/>
  </w:style>
  <w:style w:type="paragraph" w:customStyle="1" w:styleId="pf0">
    <w:name w:val="pf0"/>
    <w:basedOn w:val="Normal"/>
    <w:rsid w:val="002667DD"/>
    <w:pPr>
      <w:spacing w:before="100" w:beforeAutospacing="1" w:after="100" w:afterAutospacing="1"/>
      <w:ind w:left="360"/>
    </w:pPr>
    <w:rPr>
      <w:rFonts w:ascii="Times New Roman" w:hAnsi="Times New Roman"/>
      <w:color w:val="auto"/>
      <w:lang w:eastAsia="en-GB"/>
    </w:rPr>
  </w:style>
  <w:style w:type="character" w:customStyle="1" w:styleId="cf01">
    <w:name w:val="cf01"/>
    <w:basedOn w:val="DefaultParagraphFont"/>
    <w:rsid w:val="002667DD"/>
    <w:rPr>
      <w:rFonts w:ascii="Segoe UI" w:hAnsi="Segoe UI" w:cs="Segoe UI" w:hint="default"/>
      <w:sz w:val="18"/>
      <w:szCs w:val="18"/>
    </w:rPr>
  </w:style>
  <w:style w:type="paragraph" w:styleId="EndnoteText">
    <w:name w:val="endnote text"/>
    <w:basedOn w:val="Normal"/>
    <w:link w:val="EndnoteTextChar"/>
    <w:semiHidden/>
    <w:unhideWhenUsed/>
    <w:rsid w:val="00194B60"/>
    <w:rPr>
      <w:sz w:val="20"/>
      <w:szCs w:val="20"/>
    </w:rPr>
  </w:style>
  <w:style w:type="character" w:customStyle="1" w:styleId="EndnoteTextChar">
    <w:name w:val="Endnote Text Char"/>
    <w:basedOn w:val="DefaultParagraphFont"/>
    <w:link w:val="EndnoteText"/>
    <w:semiHidden/>
    <w:rsid w:val="00194B60"/>
    <w:rPr>
      <w:rFonts w:ascii="Verdana" w:hAnsi="Verdana"/>
      <w:color w:val="000000"/>
      <w:lang w:eastAsia="en-US"/>
    </w:rPr>
  </w:style>
  <w:style w:type="character" w:styleId="EndnoteReference">
    <w:name w:val="endnote reference"/>
    <w:basedOn w:val="DefaultParagraphFont"/>
    <w:semiHidden/>
    <w:unhideWhenUsed/>
    <w:rsid w:val="00194B60"/>
    <w:rPr>
      <w:vertAlign w:val="superscript"/>
    </w:rPr>
  </w:style>
  <w:style w:type="character" w:styleId="UnresolvedMention">
    <w:name w:val="Unresolved Mention"/>
    <w:basedOn w:val="DefaultParagraphFont"/>
    <w:uiPriority w:val="99"/>
    <w:semiHidden/>
    <w:unhideWhenUsed/>
    <w:rsid w:val="00B57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2926">
      <w:bodyDiv w:val="1"/>
      <w:marLeft w:val="0"/>
      <w:marRight w:val="0"/>
      <w:marTop w:val="0"/>
      <w:marBottom w:val="0"/>
      <w:divBdr>
        <w:top w:val="none" w:sz="0" w:space="0" w:color="auto"/>
        <w:left w:val="none" w:sz="0" w:space="0" w:color="auto"/>
        <w:bottom w:val="none" w:sz="0" w:space="0" w:color="auto"/>
        <w:right w:val="none" w:sz="0" w:space="0" w:color="auto"/>
      </w:divBdr>
    </w:div>
    <w:div w:id="107553251">
      <w:bodyDiv w:val="1"/>
      <w:marLeft w:val="0"/>
      <w:marRight w:val="0"/>
      <w:marTop w:val="0"/>
      <w:marBottom w:val="0"/>
      <w:divBdr>
        <w:top w:val="none" w:sz="0" w:space="0" w:color="auto"/>
        <w:left w:val="none" w:sz="0" w:space="0" w:color="auto"/>
        <w:bottom w:val="none" w:sz="0" w:space="0" w:color="auto"/>
        <w:right w:val="none" w:sz="0" w:space="0" w:color="auto"/>
      </w:divBdr>
    </w:div>
    <w:div w:id="113909938">
      <w:bodyDiv w:val="1"/>
      <w:marLeft w:val="0"/>
      <w:marRight w:val="0"/>
      <w:marTop w:val="0"/>
      <w:marBottom w:val="0"/>
      <w:divBdr>
        <w:top w:val="none" w:sz="0" w:space="0" w:color="auto"/>
        <w:left w:val="none" w:sz="0" w:space="0" w:color="auto"/>
        <w:bottom w:val="none" w:sz="0" w:space="0" w:color="auto"/>
        <w:right w:val="none" w:sz="0" w:space="0" w:color="auto"/>
      </w:divBdr>
    </w:div>
    <w:div w:id="114108299">
      <w:bodyDiv w:val="1"/>
      <w:marLeft w:val="0"/>
      <w:marRight w:val="0"/>
      <w:marTop w:val="0"/>
      <w:marBottom w:val="0"/>
      <w:divBdr>
        <w:top w:val="none" w:sz="0" w:space="0" w:color="auto"/>
        <w:left w:val="none" w:sz="0" w:space="0" w:color="auto"/>
        <w:bottom w:val="none" w:sz="0" w:space="0" w:color="auto"/>
        <w:right w:val="none" w:sz="0" w:space="0" w:color="auto"/>
      </w:divBdr>
      <w:divsChild>
        <w:div w:id="653602647">
          <w:marLeft w:val="547"/>
          <w:marRight w:val="0"/>
          <w:marTop w:val="0"/>
          <w:marBottom w:val="120"/>
          <w:divBdr>
            <w:top w:val="none" w:sz="0" w:space="0" w:color="auto"/>
            <w:left w:val="none" w:sz="0" w:space="0" w:color="auto"/>
            <w:bottom w:val="none" w:sz="0" w:space="0" w:color="auto"/>
            <w:right w:val="none" w:sz="0" w:space="0" w:color="auto"/>
          </w:divBdr>
        </w:div>
        <w:div w:id="1907177970">
          <w:marLeft w:val="547"/>
          <w:marRight w:val="0"/>
          <w:marTop w:val="0"/>
          <w:marBottom w:val="120"/>
          <w:divBdr>
            <w:top w:val="none" w:sz="0" w:space="0" w:color="auto"/>
            <w:left w:val="none" w:sz="0" w:space="0" w:color="auto"/>
            <w:bottom w:val="none" w:sz="0" w:space="0" w:color="auto"/>
            <w:right w:val="none" w:sz="0" w:space="0" w:color="auto"/>
          </w:divBdr>
        </w:div>
      </w:divsChild>
    </w:div>
    <w:div w:id="183133582">
      <w:bodyDiv w:val="1"/>
      <w:marLeft w:val="0"/>
      <w:marRight w:val="0"/>
      <w:marTop w:val="0"/>
      <w:marBottom w:val="0"/>
      <w:divBdr>
        <w:top w:val="none" w:sz="0" w:space="0" w:color="auto"/>
        <w:left w:val="none" w:sz="0" w:space="0" w:color="auto"/>
        <w:bottom w:val="none" w:sz="0" w:space="0" w:color="auto"/>
        <w:right w:val="none" w:sz="0" w:space="0" w:color="auto"/>
      </w:divBdr>
    </w:div>
    <w:div w:id="206726071">
      <w:bodyDiv w:val="1"/>
      <w:marLeft w:val="0"/>
      <w:marRight w:val="0"/>
      <w:marTop w:val="0"/>
      <w:marBottom w:val="0"/>
      <w:divBdr>
        <w:top w:val="none" w:sz="0" w:space="0" w:color="auto"/>
        <w:left w:val="none" w:sz="0" w:space="0" w:color="auto"/>
        <w:bottom w:val="none" w:sz="0" w:space="0" w:color="auto"/>
        <w:right w:val="none" w:sz="0" w:space="0" w:color="auto"/>
      </w:divBdr>
    </w:div>
    <w:div w:id="226116077">
      <w:bodyDiv w:val="1"/>
      <w:marLeft w:val="0"/>
      <w:marRight w:val="0"/>
      <w:marTop w:val="0"/>
      <w:marBottom w:val="0"/>
      <w:divBdr>
        <w:top w:val="none" w:sz="0" w:space="0" w:color="auto"/>
        <w:left w:val="none" w:sz="0" w:space="0" w:color="auto"/>
        <w:bottom w:val="none" w:sz="0" w:space="0" w:color="auto"/>
        <w:right w:val="none" w:sz="0" w:space="0" w:color="auto"/>
      </w:divBdr>
      <w:divsChild>
        <w:div w:id="1467427179">
          <w:marLeft w:val="547"/>
          <w:marRight w:val="0"/>
          <w:marTop w:val="0"/>
          <w:marBottom w:val="0"/>
          <w:divBdr>
            <w:top w:val="none" w:sz="0" w:space="0" w:color="auto"/>
            <w:left w:val="none" w:sz="0" w:space="0" w:color="auto"/>
            <w:bottom w:val="none" w:sz="0" w:space="0" w:color="auto"/>
            <w:right w:val="none" w:sz="0" w:space="0" w:color="auto"/>
          </w:divBdr>
        </w:div>
      </w:divsChild>
    </w:div>
    <w:div w:id="263271139">
      <w:bodyDiv w:val="1"/>
      <w:marLeft w:val="0"/>
      <w:marRight w:val="0"/>
      <w:marTop w:val="0"/>
      <w:marBottom w:val="0"/>
      <w:divBdr>
        <w:top w:val="none" w:sz="0" w:space="0" w:color="auto"/>
        <w:left w:val="none" w:sz="0" w:space="0" w:color="auto"/>
        <w:bottom w:val="none" w:sz="0" w:space="0" w:color="auto"/>
        <w:right w:val="none" w:sz="0" w:space="0" w:color="auto"/>
      </w:divBdr>
      <w:divsChild>
        <w:div w:id="1088577863">
          <w:marLeft w:val="0"/>
          <w:marRight w:val="0"/>
          <w:marTop w:val="0"/>
          <w:marBottom w:val="0"/>
          <w:divBdr>
            <w:top w:val="none" w:sz="0" w:space="0" w:color="auto"/>
            <w:left w:val="none" w:sz="0" w:space="0" w:color="auto"/>
            <w:bottom w:val="none" w:sz="0" w:space="0" w:color="auto"/>
            <w:right w:val="none" w:sz="0" w:space="0" w:color="auto"/>
          </w:divBdr>
          <w:divsChild>
            <w:div w:id="116026204">
              <w:marLeft w:val="0"/>
              <w:marRight w:val="0"/>
              <w:marTop w:val="0"/>
              <w:marBottom w:val="0"/>
              <w:divBdr>
                <w:top w:val="none" w:sz="0" w:space="0" w:color="auto"/>
                <w:left w:val="none" w:sz="0" w:space="0" w:color="auto"/>
                <w:bottom w:val="none" w:sz="0" w:space="0" w:color="auto"/>
                <w:right w:val="none" w:sz="0" w:space="0" w:color="auto"/>
              </w:divBdr>
              <w:divsChild>
                <w:div w:id="17150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0374">
      <w:bodyDiv w:val="1"/>
      <w:marLeft w:val="0"/>
      <w:marRight w:val="0"/>
      <w:marTop w:val="0"/>
      <w:marBottom w:val="0"/>
      <w:divBdr>
        <w:top w:val="none" w:sz="0" w:space="0" w:color="auto"/>
        <w:left w:val="none" w:sz="0" w:space="0" w:color="auto"/>
        <w:bottom w:val="none" w:sz="0" w:space="0" w:color="auto"/>
        <w:right w:val="none" w:sz="0" w:space="0" w:color="auto"/>
      </w:divBdr>
    </w:div>
    <w:div w:id="304942446">
      <w:bodyDiv w:val="1"/>
      <w:marLeft w:val="0"/>
      <w:marRight w:val="0"/>
      <w:marTop w:val="0"/>
      <w:marBottom w:val="0"/>
      <w:divBdr>
        <w:top w:val="none" w:sz="0" w:space="0" w:color="auto"/>
        <w:left w:val="none" w:sz="0" w:space="0" w:color="auto"/>
        <w:bottom w:val="none" w:sz="0" w:space="0" w:color="auto"/>
        <w:right w:val="none" w:sz="0" w:space="0" w:color="auto"/>
      </w:divBdr>
    </w:div>
    <w:div w:id="343094585">
      <w:bodyDiv w:val="1"/>
      <w:marLeft w:val="0"/>
      <w:marRight w:val="0"/>
      <w:marTop w:val="0"/>
      <w:marBottom w:val="0"/>
      <w:divBdr>
        <w:top w:val="none" w:sz="0" w:space="0" w:color="auto"/>
        <w:left w:val="none" w:sz="0" w:space="0" w:color="auto"/>
        <w:bottom w:val="none" w:sz="0" w:space="0" w:color="auto"/>
        <w:right w:val="none" w:sz="0" w:space="0" w:color="auto"/>
      </w:divBdr>
    </w:div>
    <w:div w:id="372384760">
      <w:bodyDiv w:val="1"/>
      <w:marLeft w:val="0"/>
      <w:marRight w:val="0"/>
      <w:marTop w:val="0"/>
      <w:marBottom w:val="0"/>
      <w:divBdr>
        <w:top w:val="none" w:sz="0" w:space="0" w:color="auto"/>
        <w:left w:val="none" w:sz="0" w:space="0" w:color="auto"/>
        <w:bottom w:val="none" w:sz="0" w:space="0" w:color="auto"/>
        <w:right w:val="none" w:sz="0" w:space="0" w:color="auto"/>
      </w:divBdr>
    </w:div>
    <w:div w:id="388113009">
      <w:bodyDiv w:val="1"/>
      <w:marLeft w:val="0"/>
      <w:marRight w:val="0"/>
      <w:marTop w:val="0"/>
      <w:marBottom w:val="0"/>
      <w:divBdr>
        <w:top w:val="none" w:sz="0" w:space="0" w:color="auto"/>
        <w:left w:val="none" w:sz="0" w:space="0" w:color="auto"/>
        <w:bottom w:val="none" w:sz="0" w:space="0" w:color="auto"/>
        <w:right w:val="none" w:sz="0" w:space="0" w:color="auto"/>
      </w:divBdr>
    </w:div>
    <w:div w:id="401560007">
      <w:bodyDiv w:val="1"/>
      <w:marLeft w:val="0"/>
      <w:marRight w:val="0"/>
      <w:marTop w:val="0"/>
      <w:marBottom w:val="0"/>
      <w:divBdr>
        <w:top w:val="none" w:sz="0" w:space="0" w:color="auto"/>
        <w:left w:val="none" w:sz="0" w:space="0" w:color="auto"/>
        <w:bottom w:val="none" w:sz="0" w:space="0" w:color="auto"/>
        <w:right w:val="none" w:sz="0" w:space="0" w:color="auto"/>
      </w:divBdr>
    </w:div>
    <w:div w:id="407382924">
      <w:bodyDiv w:val="1"/>
      <w:marLeft w:val="0"/>
      <w:marRight w:val="0"/>
      <w:marTop w:val="0"/>
      <w:marBottom w:val="0"/>
      <w:divBdr>
        <w:top w:val="none" w:sz="0" w:space="0" w:color="auto"/>
        <w:left w:val="none" w:sz="0" w:space="0" w:color="auto"/>
        <w:bottom w:val="none" w:sz="0" w:space="0" w:color="auto"/>
        <w:right w:val="none" w:sz="0" w:space="0" w:color="auto"/>
      </w:divBdr>
    </w:div>
    <w:div w:id="499780149">
      <w:bodyDiv w:val="1"/>
      <w:marLeft w:val="0"/>
      <w:marRight w:val="0"/>
      <w:marTop w:val="0"/>
      <w:marBottom w:val="0"/>
      <w:divBdr>
        <w:top w:val="none" w:sz="0" w:space="0" w:color="auto"/>
        <w:left w:val="none" w:sz="0" w:space="0" w:color="auto"/>
        <w:bottom w:val="none" w:sz="0" w:space="0" w:color="auto"/>
        <w:right w:val="none" w:sz="0" w:space="0" w:color="auto"/>
      </w:divBdr>
      <w:divsChild>
        <w:div w:id="1806198615">
          <w:marLeft w:val="547"/>
          <w:marRight w:val="0"/>
          <w:marTop w:val="0"/>
          <w:marBottom w:val="0"/>
          <w:divBdr>
            <w:top w:val="none" w:sz="0" w:space="0" w:color="auto"/>
            <w:left w:val="none" w:sz="0" w:space="0" w:color="auto"/>
            <w:bottom w:val="none" w:sz="0" w:space="0" w:color="auto"/>
            <w:right w:val="none" w:sz="0" w:space="0" w:color="auto"/>
          </w:divBdr>
        </w:div>
      </w:divsChild>
    </w:div>
    <w:div w:id="500203161">
      <w:bodyDiv w:val="1"/>
      <w:marLeft w:val="0"/>
      <w:marRight w:val="0"/>
      <w:marTop w:val="0"/>
      <w:marBottom w:val="0"/>
      <w:divBdr>
        <w:top w:val="none" w:sz="0" w:space="0" w:color="auto"/>
        <w:left w:val="none" w:sz="0" w:space="0" w:color="auto"/>
        <w:bottom w:val="none" w:sz="0" w:space="0" w:color="auto"/>
        <w:right w:val="none" w:sz="0" w:space="0" w:color="auto"/>
      </w:divBdr>
      <w:divsChild>
        <w:div w:id="1445879752">
          <w:marLeft w:val="0"/>
          <w:marRight w:val="0"/>
          <w:marTop w:val="0"/>
          <w:marBottom w:val="0"/>
          <w:divBdr>
            <w:top w:val="none" w:sz="0" w:space="0" w:color="auto"/>
            <w:left w:val="none" w:sz="0" w:space="0" w:color="auto"/>
            <w:bottom w:val="none" w:sz="0" w:space="0" w:color="auto"/>
            <w:right w:val="none" w:sz="0" w:space="0" w:color="auto"/>
          </w:divBdr>
          <w:divsChild>
            <w:div w:id="1626890783">
              <w:marLeft w:val="0"/>
              <w:marRight w:val="0"/>
              <w:marTop w:val="0"/>
              <w:marBottom w:val="0"/>
              <w:divBdr>
                <w:top w:val="none" w:sz="0" w:space="0" w:color="auto"/>
                <w:left w:val="none" w:sz="0" w:space="0" w:color="auto"/>
                <w:bottom w:val="none" w:sz="0" w:space="0" w:color="auto"/>
                <w:right w:val="none" w:sz="0" w:space="0" w:color="auto"/>
              </w:divBdr>
              <w:divsChild>
                <w:div w:id="21263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3531">
      <w:bodyDiv w:val="1"/>
      <w:marLeft w:val="0"/>
      <w:marRight w:val="0"/>
      <w:marTop w:val="0"/>
      <w:marBottom w:val="0"/>
      <w:divBdr>
        <w:top w:val="none" w:sz="0" w:space="0" w:color="auto"/>
        <w:left w:val="none" w:sz="0" w:space="0" w:color="auto"/>
        <w:bottom w:val="none" w:sz="0" w:space="0" w:color="auto"/>
        <w:right w:val="none" w:sz="0" w:space="0" w:color="auto"/>
      </w:divBdr>
    </w:div>
    <w:div w:id="514156347">
      <w:bodyDiv w:val="1"/>
      <w:marLeft w:val="0"/>
      <w:marRight w:val="0"/>
      <w:marTop w:val="0"/>
      <w:marBottom w:val="0"/>
      <w:divBdr>
        <w:top w:val="none" w:sz="0" w:space="0" w:color="auto"/>
        <w:left w:val="none" w:sz="0" w:space="0" w:color="auto"/>
        <w:bottom w:val="none" w:sz="0" w:space="0" w:color="auto"/>
        <w:right w:val="none" w:sz="0" w:space="0" w:color="auto"/>
      </w:divBdr>
    </w:div>
    <w:div w:id="526411805">
      <w:bodyDiv w:val="1"/>
      <w:marLeft w:val="0"/>
      <w:marRight w:val="0"/>
      <w:marTop w:val="0"/>
      <w:marBottom w:val="0"/>
      <w:divBdr>
        <w:top w:val="none" w:sz="0" w:space="0" w:color="auto"/>
        <w:left w:val="none" w:sz="0" w:space="0" w:color="auto"/>
        <w:bottom w:val="none" w:sz="0" w:space="0" w:color="auto"/>
        <w:right w:val="none" w:sz="0" w:space="0" w:color="auto"/>
      </w:divBdr>
    </w:div>
    <w:div w:id="554973822">
      <w:bodyDiv w:val="1"/>
      <w:marLeft w:val="0"/>
      <w:marRight w:val="0"/>
      <w:marTop w:val="0"/>
      <w:marBottom w:val="0"/>
      <w:divBdr>
        <w:top w:val="none" w:sz="0" w:space="0" w:color="auto"/>
        <w:left w:val="none" w:sz="0" w:space="0" w:color="auto"/>
        <w:bottom w:val="none" w:sz="0" w:space="0" w:color="auto"/>
        <w:right w:val="none" w:sz="0" w:space="0" w:color="auto"/>
      </w:divBdr>
    </w:div>
    <w:div w:id="647591145">
      <w:bodyDiv w:val="1"/>
      <w:marLeft w:val="0"/>
      <w:marRight w:val="0"/>
      <w:marTop w:val="0"/>
      <w:marBottom w:val="0"/>
      <w:divBdr>
        <w:top w:val="none" w:sz="0" w:space="0" w:color="auto"/>
        <w:left w:val="none" w:sz="0" w:space="0" w:color="auto"/>
        <w:bottom w:val="none" w:sz="0" w:space="0" w:color="auto"/>
        <w:right w:val="none" w:sz="0" w:space="0" w:color="auto"/>
      </w:divBdr>
    </w:div>
    <w:div w:id="648048442">
      <w:bodyDiv w:val="1"/>
      <w:marLeft w:val="0"/>
      <w:marRight w:val="0"/>
      <w:marTop w:val="0"/>
      <w:marBottom w:val="0"/>
      <w:divBdr>
        <w:top w:val="none" w:sz="0" w:space="0" w:color="auto"/>
        <w:left w:val="none" w:sz="0" w:space="0" w:color="auto"/>
        <w:bottom w:val="none" w:sz="0" w:space="0" w:color="auto"/>
        <w:right w:val="none" w:sz="0" w:space="0" w:color="auto"/>
      </w:divBdr>
    </w:div>
    <w:div w:id="667371515">
      <w:bodyDiv w:val="1"/>
      <w:marLeft w:val="0"/>
      <w:marRight w:val="0"/>
      <w:marTop w:val="0"/>
      <w:marBottom w:val="0"/>
      <w:divBdr>
        <w:top w:val="none" w:sz="0" w:space="0" w:color="auto"/>
        <w:left w:val="none" w:sz="0" w:space="0" w:color="auto"/>
        <w:bottom w:val="none" w:sz="0" w:space="0" w:color="auto"/>
        <w:right w:val="none" w:sz="0" w:space="0" w:color="auto"/>
      </w:divBdr>
    </w:div>
    <w:div w:id="678703200">
      <w:bodyDiv w:val="1"/>
      <w:marLeft w:val="0"/>
      <w:marRight w:val="0"/>
      <w:marTop w:val="0"/>
      <w:marBottom w:val="0"/>
      <w:divBdr>
        <w:top w:val="none" w:sz="0" w:space="0" w:color="auto"/>
        <w:left w:val="none" w:sz="0" w:space="0" w:color="auto"/>
        <w:bottom w:val="none" w:sz="0" w:space="0" w:color="auto"/>
        <w:right w:val="none" w:sz="0" w:space="0" w:color="auto"/>
      </w:divBdr>
    </w:div>
    <w:div w:id="723988776">
      <w:bodyDiv w:val="1"/>
      <w:marLeft w:val="0"/>
      <w:marRight w:val="0"/>
      <w:marTop w:val="0"/>
      <w:marBottom w:val="0"/>
      <w:divBdr>
        <w:top w:val="none" w:sz="0" w:space="0" w:color="auto"/>
        <w:left w:val="none" w:sz="0" w:space="0" w:color="auto"/>
        <w:bottom w:val="none" w:sz="0" w:space="0" w:color="auto"/>
        <w:right w:val="none" w:sz="0" w:space="0" w:color="auto"/>
      </w:divBdr>
      <w:divsChild>
        <w:div w:id="1299989504">
          <w:marLeft w:val="547"/>
          <w:marRight w:val="0"/>
          <w:marTop w:val="0"/>
          <w:marBottom w:val="120"/>
          <w:divBdr>
            <w:top w:val="none" w:sz="0" w:space="0" w:color="auto"/>
            <w:left w:val="none" w:sz="0" w:space="0" w:color="auto"/>
            <w:bottom w:val="none" w:sz="0" w:space="0" w:color="auto"/>
            <w:right w:val="none" w:sz="0" w:space="0" w:color="auto"/>
          </w:divBdr>
        </w:div>
        <w:div w:id="1314722139">
          <w:marLeft w:val="547"/>
          <w:marRight w:val="0"/>
          <w:marTop w:val="0"/>
          <w:marBottom w:val="120"/>
          <w:divBdr>
            <w:top w:val="none" w:sz="0" w:space="0" w:color="auto"/>
            <w:left w:val="none" w:sz="0" w:space="0" w:color="auto"/>
            <w:bottom w:val="none" w:sz="0" w:space="0" w:color="auto"/>
            <w:right w:val="none" w:sz="0" w:space="0" w:color="auto"/>
          </w:divBdr>
        </w:div>
        <w:div w:id="1334139885">
          <w:marLeft w:val="547"/>
          <w:marRight w:val="0"/>
          <w:marTop w:val="0"/>
          <w:marBottom w:val="120"/>
          <w:divBdr>
            <w:top w:val="none" w:sz="0" w:space="0" w:color="auto"/>
            <w:left w:val="none" w:sz="0" w:space="0" w:color="auto"/>
            <w:bottom w:val="none" w:sz="0" w:space="0" w:color="auto"/>
            <w:right w:val="none" w:sz="0" w:space="0" w:color="auto"/>
          </w:divBdr>
        </w:div>
      </w:divsChild>
    </w:div>
    <w:div w:id="735663231">
      <w:bodyDiv w:val="1"/>
      <w:marLeft w:val="0"/>
      <w:marRight w:val="0"/>
      <w:marTop w:val="0"/>
      <w:marBottom w:val="0"/>
      <w:divBdr>
        <w:top w:val="none" w:sz="0" w:space="0" w:color="auto"/>
        <w:left w:val="none" w:sz="0" w:space="0" w:color="auto"/>
        <w:bottom w:val="none" w:sz="0" w:space="0" w:color="auto"/>
        <w:right w:val="none" w:sz="0" w:space="0" w:color="auto"/>
      </w:divBdr>
    </w:div>
    <w:div w:id="779644973">
      <w:bodyDiv w:val="1"/>
      <w:marLeft w:val="0"/>
      <w:marRight w:val="0"/>
      <w:marTop w:val="0"/>
      <w:marBottom w:val="0"/>
      <w:divBdr>
        <w:top w:val="none" w:sz="0" w:space="0" w:color="auto"/>
        <w:left w:val="none" w:sz="0" w:space="0" w:color="auto"/>
        <w:bottom w:val="none" w:sz="0" w:space="0" w:color="auto"/>
        <w:right w:val="none" w:sz="0" w:space="0" w:color="auto"/>
      </w:divBdr>
    </w:div>
    <w:div w:id="802312313">
      <w:bodyDiv w:val="1"/>
      <w:marLeft w:val="0"/>
      <w:marRight w:val="0"/>
      <w:marTop w:val="0"/>
      <w:marBottom w:val="0"/>
      <w:divBdr>
        <w:top w:val="none" w:sz="0" w:space="0" w:color="auto"/>
        <w:left w:val="none" w:sz="0" w:space="0" w:color="auto"/>
        <w:bottom w:val="none" w:sz="0" w:space="0" w:color="auto"/>
        <w:right w:val="none" w:sz="0" w:space="0" w:color="auto"/>
      </w:divBdr>
    </w:div>
    <w:div w:id="808549926">
      <w:bodyDiv w:val="1"/>
      <w:marLeft w:val="0"/>
      <w:marRight w:val="0"/>
      <w:marTop w:val="0"/>
      <w:marBottom w:val="0"/>
      <w:divBdr>
        <w:top w:val="none" w:sz="0" w:space="0" w:color="auto"/>
        <w:left w:val="none" w:sz="0" w:space="0" w:color="auto"/>
        <w:bottom w:val="none" w:sz="0" w:space="0" w:color="auto"/>
        <w:right w:val="none" w:sz="0" w:space="0" w:color="auto"/>
      </w:divBdr>
    </w:div>
    <w:div w:id="875393700">
      <w:bodyDiv w:val="1"/>
      <w:marLeft w:val="0"/>
      <w:marRight w:val="0"/>
      <w:marTop w:val="0"/>
      <w:marBottom w:val="0"/>
      <w:divBdr>
        <w:top w:val="none" w:sz="0" w:space="0" w:color="auto"/>
        <w:left w:val="none" w:sz="0" w:space="0" w:color="auto"/>
        <w:bottom w:val="none" w:sz="0" w:space="0" w:color="auto"/>
        <w:right w:val="none" w:sz="0" w:space="0" w:color="auto"/>
      </w:divBdr>
    </w:div>
    <w:div w:id="879972614">
      <w:bodyDiv w:val="1"/>
      <w:marLeft w:val="0"/>
      <w:marRight w:val="0"/>
      <w:marTop w:val="0"/>
      <w:marBottom w:val="0"/>
      <w:divBdr>
        <w:top w:val="none" w:sz="0" w:space="0" w:color="auto"/>
        <w:left w:val="none" w:sz="0" w:space="0" w:color="auto"/>
        <w:bottom w:val="none" w:sz="0" w:space="0" w:color="auto"/>
        <w:right w:val="none" w:sz="0" w:space="0" w:color="auto"/>
      </w:divBdr>
    </w:div>
    <w:div w:id="880629231">
      <w:bodyDiv w:val="1"/>
      <w:marLeft w:val="0"/>
      <w:marRight w:val="0"/>
      <w:marTop w:val="0"/>
      <w:marBottom w:val="0"/>
      <w:divBdr>
        <w:top w:val="none" w:sz="0" w:space="0" w:color="auto"/>
        <w:left w:val="none" w:sz="0" w:space="0" w:color="auto"/>
        <w:bottom w:val="none" w:sz="0" w:space="0" w:color="auto"/>
        <w:right w:val="none" w:sz="0" w:space="0" w:color="auto"/>
      </w:divBdr>
    </w:div>
    <w:div w:id="905870492">
      <w:bodyDiv w:val="1"/>
      <w:marLeft w:val="0"/>
      <w:marRight w:val="0"/>
      <w:marTop w:val="0"/>
      <w:marBottom w:val="0"/>
      <w:divBdr>
        <w:top w:val="none" w:sz="0" w:space="0" w:color="auto"/>
        <w:left w:val="none" w:sz="0" w:space="0" w:color="auto"/>
        <w:bottom w:val="none" w:sz="0" w:space="0" w:color="auto"/>
        <w:right w:val="none" w:sz="0" w:space="0" w:color="auto"/>
      </w:divBdr>
    </w:div>
    <w:div w:id="960575923">
      <w:bodyDiv w:val="1"/>
      <w:marLeft w:val="0"/>
      <w:marRight w:val="0"/>
      <w:marTop w:val="0"/>
      <w:marBottom w:val="0"/>
      <w:divBdr>
        <w:top w:val="none" w:sz="0" w:space="0" w:color="auto"/>
        <w:left w:val="none" w:sz="0" w:space="0" w:color="auto"/>
        <w:bottom w:val="none" w:sz="0" w:space="0" w:color="auto"/>
        <w:right w:val="none" w:sz="0" w:space="0" w:color="auto"/>
      </w:divBdr>
    </w:div>
    <w:div w:id="973675065">
      <w:bodyDiv w:val="1"/>
      <w:marLeft w:val="0"/>
      <w:marRight w:val="0"/>
      <w:marTop w:val="0"/>
      <w:marBottom w:val="0"/>
      <w:divBdr>
        <w:top w:val="none" w:sz="0" w:space="0" w:color="auto"/>
        <w:left w:val="none" w:sz="0" w:space="0" w:color="auto"/>
        <w:bottom w:val="none" w:sz="0" w:space="0" w:color="auto"/>
        <w:right w:val="none" w:sz="0" w:space="0" w:color="auto"/>
      </w:divBdr>
    </w:div>
    <w:div w:id="985627440">
      <w:bodyDiv w:val="1"/>
      <w:marLeft w:val="0"/>
      <w:marRight w:val="0"/>
      <w:marTop w:val="0"/>
      <w:marBottom w:val="0"/>
      <w:divBdr>
        <w:top w:val="none" w:sz="0" w:space="0" w:color="auto"/>
        <w:left w:val="none" w:sz="0" w:space="0" w:color="auto"/>
        <w:bottom w:val="none" w:sz="0" w:space="0" w:color="auto"/>
        <w:right w:val="none" w:sz="0" w:space="0" w:color="auto"/>
      </w:divBdr>
    </w:div>
    <w:div w:id="1077938208">
      <w:bodyDiv w:val="1"/>
      <w:marLeft w:val="0"/>
      <w:marRight w:val="0"/>
      <w:marTop w:val="0"/>
      <w:marBottom w:val="0"/>
      <w:divBdr>
        <w:top w:val="none" w:sz="0" w:space="0" w:color="auto"/>
        <w:left w:val="none" w:sz="0" w:space="0" w:color="auto"/>
        <w:bottom w:val="none" w:sz="0" w:space="0" w:color="auto"/>
        <w:right w:val="none" w:sz="0" w:space="0" w:color="auto"/>
      </w:divBdr>
      <w:divsChild>
        <w:div w:id="2119908681">
          <w:blockQuote w:val="1"/>
          <w:marLeft w:val="0"/>
          <w:marRight w:val="0"/>
          <w:marTop w:val="0"/>
          <w:marBottom w:val="360"/>
          <w:divBdr>
            <w:top w:val="none" w:sz="0" w:space="0" w:color="auto"/>
            <w:left w:val="single" w:sz="48" w:space="11" w:color="B1B4B6"/>
            <w:bottom w:val="none" w:sz="0" w:space="0" w:color="auto"/>
            <w:right w:val="none" w:sz="0" w:space="0" w:color="auto"/>
          </w:divBdr>
        </w:div>
      </w:divsChild>
    </w:div>
    <w:div w:id="1095904506">
      <w:bodyDiv w:val="1"/>
      <w:marLeft w:val="0"/>
      <w:marRight w:val="0"/>
      <w:marTop w:val="0"/>
      <w:marBottom w:val="0"/>
      <w:divBdr>
        <w:top w:val="none" w:sz="0" w:space="0" w:color="auto"/>
        <w:left w:val="none" w:sz="0" w:space="0" w:color="auto"/>
        <w:bottom w:val="none" w:sz="0" w:space="0" w:color="auto"/>
        <w:right w:val="none" w:sz="0" w:space="0" w:color="auto"/>
      </w:divBdr>
      <w:divsChild>
        <w:div w:id="2121216012">
          <w:marLeft w:val="0"/>
          <w:marRight w:val="0"/>
          <w:marTop w:val="0"/>
          <w:marBottom w:val="0"/>
          <w:divBdr>
            <w:top w:val="none" w:sz="0" w:space="0" w:color="auto"/>
            <w:left w:val="none" w:sz="0" w:space="0" w:color="auto"/>
            <w:bottom w:val="none" w:sz="0" w:space="0" w:color="auto"/>
            <w:right w:val="none" w:sz="0" w:space="0" w:color="auto"/>
          </w:divBdr>
          <w:divsChild>
            <w:div w:id="1555853023">
              <w:marLeft w:val="0"/>
              <w:marRight w:val="0"/>
              <w:marTop w:val="0"/>
              <w:marBottom w:val="0"/>
              <w:divBdr>
                <w:top w:val="none" w:sz="0" w:space="0" w:color="auto"/>
                <w:left w:val="none" w:sz="0" w:space="0" w:color="auto"/>
                <w:bottom w:val="none" w:sz="0" w:space="0" w:color="auto"/>
                <w:right w:val="none" w:sz="0" w:space="0" w:color="auto"/>
              </w:divBdr>
              <w:divsChild>
                <w:div w:id="17011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3618">
      <w:bodyDiv w:val="1"/>
      <w:marLeft w:val="0"/>
      <w:marRight w:val="0"/>
      <w:marTop w:val="0"/>
      <w:marBottom w:val="0"/>
      <w:divBdr>
        <w:top w:val="none" w:sz="0" w:space="0" w:color="auto"/>
        <w:left w:val="none" w:sz="0" w:space="0" w:color="auto"/>
        <w:bottom w:val="none" w:sz="0" w:space="0" w:color="auto"/>
        <w:right w:val="none" w:sz="0" w:space="0" w:color="auto"/>
      </w:divBdr>
      <w:divsChild>
        <w:div w:id="1316227214">
          <w:marLeft w:val="0"/>
          <w:marRight w:val="0"/>
          <w:marTop w:val="0"/>
          <w:marBottom w:val="0"/>
          <w:divBdr>
            <w:top w:val="none" w:sz="0" w:space="0" w:color="auto"/>
            <w:left w:val="none" w:sz="0" w:space="0" w:color="auto"/>
            <w:bottom w:val="none" w:sz="0" w:space="0" w:color="auto"/>
            <w:right w:val="none" w:sz="0" w:space="0" w:color="auto"/>
          </w:divBdr>
          <w:divsChild>
            <w:div w:id="2045867912">
              <w:marLeft w:val="0"/>
              <w:marRight w:val="0"/>
              <w:marTop w:val="0"/>
              <w:marBottom w:val="0"/>
              <w:divBdr>
                <w:top w:val="none" w:sz="0" w:space="0" w:color="auto"/>
                <w:left w:val="none" w:sz="0" w:space="0" w:color="auto"/>
                <w:bottom w:val="none" w:sz="0" w:space="0" w:color="auto"/>
                <w:right w:val="none" w:sz="0" w:space="0" w:color="auto"/>
              </w:divBdr>
              <w:divsChild>
                <w:div w:id="68776900">
                  <w:marLeft w:val="0"/>
                  <w:marRight w:val="0"/>
                  <w:marTop w:val="0"/>
                  <w:marBottom w:val="0"/>
                  <w:divBdr>
                    <w:top w:val="none" w:sz="0" w:space="0" w:color="auto"/>
                    <w:left w:val="none" w:sz="0" w:space="0" w:color="auto"/>
                    <w:bottom w:val="none" w:sz="0" w:space="0" w:color="auto"/>
                    <w:right w:val="none" w:sz="0" w:space="0" w:color="auto"/>
                  </w:divBdr>
                </w:div>
                <w:div w:id="14047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8247">
      <w:bodyDiv w:val="1"/>
      <w:marLeft w:val="0"/>
      <w:marRight w:val="0"/>
      <w:marTop w:val="0"/>
      <w:marBottom w:val="0"/>
      <w:divBdr>
        <w:top w:val="none" w:sz="0" w:space="0" w:color="auto"/>
        <w:left w:val="none" w:sz="0" w:space="0" w:color="auto"/>
        <w:bottom w:val="none" w:sz="0" w:space="0" w:color="auto"/>
        <w:right w:val="none" w:sz="0" w:space="0" w:color="auto"/>
      </w:divBdr>
      <w:divsChild>
        <w:div w:id="423189460">
          <w:marLeft w:val="547"/>
          <w:marRight w:val="0"/>
          <w:marTop w:val="0"/>
          <w:marBottom w:val="120"/>
          <w:divBdr>
            <w:top w:val="none" w:sz="0" w:space="0" w:color="auto"/>
            <w:left w:val="none" w:sz="0" w:space="0" w:color="auto"/>
            <w:bottom w:val="none" w:sz="0" w:space="0" w:color="auto"/>
            <w:right w:val="none" w:sz="0" w:space="0" w:color="auto"/>
          </w:divBdr>
        </w:div>
        <w:div w:id="1742171549">
          <w:marLeft w:val="547"/>
          <w:marRight w:val="0"/>
          <w:marTop w:val="0"/>
          <w:marBottom w:val="120"/>
          <w:divBdr>
            <w:top w:val="none" w:sz="0" w:space="0" w:color="auto"/>
            <w:left w:val="none" w:sz="0" w:space="0" w:color="auto"/>
            <w:bottom w:val="none" w:sz="0" w:space="0" w:color="auto"/>
            <w:right w:val="none" w:sz="0" w:space="0" w:color="auto"/>
          </w:divBdr>
        </w:div>
      </w:divsChild>
    </w:div>
    <w:div w:id="1293631058">
      <w:bodyDiv w:val="1"/>
      <w:marLeft w:val="0"/>
      <w:marRight w:val="0"/>
      <w:marTop w:val="0"/>
      <w:marBottom w:val="0"/>
      <w:divBdr>
        <w:top w:val="none" w:sz="0" w:space="0" w:color="auto"/>
        <w:left w:val="none" w:sz="0" w:space="0" w:color="auto"/>
        <w:bottom w:val="none" w:sz="0" w:space="0" w:color="auto"/>
        <w:right w:val="none" w:sz="0" w:space="0" w:color="auto"/>
      </w:divBdr>
    </w:div>
    <w:div w:id="1309017107">
      <w:bodyDiv w:val="1"/>
      <w:marLeft w:val="0"/>
      <w:marRight w:val="0"/>
      <w:marTop w:val="0"/>
      <w:marBottom w:val="0"/>
      <w:divBdr>
        <w:top w:val="none" w:sz="0" w:space="0" w:color="auto"/>
        <w:left w:val="none" w:sz="0" w:space="0" w:color="auto"/>
        <w:bottom w:val="none" w:sz="0" w:space="0" w:color="auto"/>
        <w:right w:val="none" w:sz="0" w:space="0" w:color="auto"/>
      </w:divBdr>
    </w:div>
    <w:div w:id="1346206808">
      <w:bodyDiv w:val="1"/>
      <w:marLeft w:val="0"/>
      <w:marRight w:val="0"/>
      <w:marTop w:val="0"/>
      <w:marBottom w:val="0"/>
      <w:divBdr>
        <w:top w:val="none" w:sz="0" w:space="0" w:color="auto"/>
        <w:left w:val="none" w:sz="0" w:space="0" w:color="auto"/>
        <w:bottom w:val="none" w:sz="0" w:space="0" w:color="auto"/>
        <w:right w:val="none" w:sz="0" w:space="0" w:color="auto"/>
      </w:divBdr>
    </w:div>
    <w:div w:id="1356150465">
      <w:bodyDiv w:val="1"/>
      <w:marLeft w:val="0"/>
      <w:marRight w:val="0"/>
      <w:marTop w:val="0"/>
      <w:marBottom w:val="0"/>
      <w:divBdr>
        <w:top w:val="none" w:sz="0" w:space="0" w:color="auto"/>
        <w:left w:val="none" w:sz="0" w:space="0" w:color="auto"/>
        <w:bottom w:val="none" w:sz="0" w:space="0" w:color="auto"/>
        <w:right w:val="none" w:sz="0" w:space="0" w:color="auto"/>
      </w:divBdr>
      <w:divsChild>
        <w:div w:id="1086804693">
          <w:marLeft w:val="0"/>
          <w:marRight w:val="0"/>
          <w:marTop w:val="0"/>
          <w:marBottom w:val="0"/>
          <w:divBdr>
            <w:top w:val="none" w:sz="0" w:space="0" w:color="auto"/>
            <w:left w:val="none" w:sz="0" w:space="0" w:color="auto"/>
            <w:bottom w:val="none" w:sz="0" w:space="0" w:color="auto"/>
            <w:right w:val="none" w:sz="0" w:space="0" w:color="auto"/>
          </w:divBdr>
          <w:divsChild>
            <w:div w:id="2058697777">
              <w:marLeft w:val="0"/>
              <w:marRight w:val="0"/>
              <w:marTop w:val="0"/>
              <w:marBottom w:val="0"/>
              <w:divBdr>
                <w:top w:val="none" w:sz="0" w:space="0" w:color="auto"/>
                <w:left w:val="none" w:sz="0" w:space="0" w:color="auto"/>
                <w:bottom w:val="none" w:sz="0" w:space="0" w:color="auto"/>
                <w:right w:val="none" w:sz="0" w:space="0" w:color="auto"/>
              </w:divBdr>
              <w:divsChild>
                <w:div w:id="12941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99274">
      <w:bodyDiv w:val="1"/>
      <w:marLeft w:val="0"/>
      <w:marRight w:val="0"/>
      <w:marTop w:val="0"/>
      <w:marBottom w:val="0"/>
      <w:divBdr>
        <w:top w:val="none" w:sz="0" w:space="0" w:color="auto"/>
        <w:left w:val="none" w:sz="0" w:space="0" w:color="auto"/>
        <w:bottom w:val="none" w:sz="0" w:space="0" w:color="auto"/>
        <w:right w:val="none" w:sz="0" w:space="0" w:color="auto"/>
      </w:divBdr>
    </w:div>
    <w:div w:id="1405639098">
      <w:bodyDiv w:val="1"/>
      <w:marLeft w:val="0"/>
      <w:marRight w:val="0"/>
      <w:marTop w:val="0"/>
      <w:marBottom w:val="0"/>
      <w:divBdr>
        <w:top w:val="none" w:sz="0" w:space="0" w:color="auto"/>
        <w:left w:val="none" w:sz="0" w:space="0" w:color="auto"/>
        <w:bottom w:val="none" w:sz="0" w:space="0" w:color="auto"/>
        <w:right w:val="none" w:sz="0" w:space="0" w:color="auto"/>
      </w:divBdr>
    </w:div>
    <w:div w:id="1416633513">
      <w:bodyDiv w:val="1"/>
      <w:marLeft w:val="0"/>
      <w:marRight w:val="0"/>
      <w:marTop w:val="0"/>
      <w:marBottom w:val="0"/>
      <w:divBdr>
        <w:top w:val="none" w:sz="0" w:space="0" w:color="auto"/>
        <w:left w:val="none" w:sz="0" w:space="0" w:color="auto"/>
        <w:bottom w:val="none" w:sz="0" w:space="0" w:color="auto"/>
        <w:right w:val="none" w:sz="0" w:space="0" w:color="auto"/>
      </w:divBdr>
    </w:div>
    <w:div w:id="1449278173">
      <w:bodyDiv w:val="1"/>
      <w:marLeft w:val="0"/>
      <w:marRight w:val="0"/>
      <w:marTop w:val="0"/>
      <w:marBottom w:val="0"/>
      <w:divBdr>
        <w:top w:val="none" w:sz="0" w:space="0" w:color="auto"/>
        <w:left w:val="none" w:sz="0" w:space="0" w:color="auto"/>
        <w:bottom w:val="none" w:sz="0" w:space="0" w:color="auto"/>
        <w:right w:val="none" w:sz="0" w:space="0" w:color="auto"/>
      </w:divBdr>
      <w:divsChild>
        <w:div w:id="1329941868">
          <w:marLeft w:val="0"/>
          <w:marRight w:val="0"/>
          <w:marTop w:val="0"/>
          <w:marBottom w:val="0"/>
          <w:divBdr>
            <w:top w:val="none" w:sz="0" w:space="0" w:color="auto"/>
            <w:left w:val="none" w:sz="0" w:space="0" w:color="auto"/>
            <w:bottom w:val="none" w:sz="0" w:space="0" w:color="auto"/>
            <w:right w:val="none" w:sz="0" w:space="0" w:color="auto"/>
          </w:divBdr>
          <w:divsChild>
            <w:div w:id="1879002039">
              <w:marLeft w:val="0"/>
              <w:marRight w:val="0"/>
              <w:marTop w:val="0"/>
              <w:marBottom w:val="0"/>
              <w:divBdr>
                <w:top w:val="none" w:sz="0" w:space="0" w:color="auto"/>
                <w:left w:val="none" w:sz="0" w:space="0" w:color="auto"/>
                <w:bottom w:val="none" w:sz="0" w:space="0" w:color="auto"/>
                <w:right w:val="none" w:sz="0" w:space="0" w:color="auto"/>
              </w:divBdr>
              <w:divsChild>
                <w:div w:id="14017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12991">
      <w:bodyDiv w:val="1"/>
      <w:marLeft w:val="0"/>
      <w:marRight w:val="0"/>
      <w:marTop w:val="0"/>
      <w:marBottom w:val="0"/>
      <w:divBdr>
        <w:top w:val="none" w:sz="0" w:space="0" w:color="auto"/>
        <w:left w:val="none" w:sz="0" w:space="0" w:color="auto"/>
        <w:bottom w:val="none" w:sz="0" w:space="0" w:color="auto"/>
        <w:right w:val="none" w:sz="0" w:space="0" w:color="auto"/>
      </w:divBdr>
    </w:div>
    <w:div w:id="1596279781">
      <w:bodyDiv w:val="1"/>
      <w:marLeft w:val="0"/>
      <w:marRight w:val="0"/>
      <w:marTop w:val="0"/>
      <w:marBottom w:val="0"/>
      <w:divBdr>
        <w:top w:val="none" w:sz="0" w:space="0" w:color="auto"/>
        <w:left w:val="none" w:sz="0" w:space="0" w:color="auto"/>
        <w:bottom w:val="none" w:sz="0" w:space="0" w:color="auto"/>
        <w:right w:val="none" w:sz="0" w:space="0" w:color="auto"/>
      </w:divBdr>
    </w:div>
    <w:div w:id="1597056588">
      <w:bodyDiv w:val="1"/>
      <w:marLeft w:val="0"/>
      <w:marRight w:val="0"/>
      <w:marTop w:val="0"/>
      <w:marBottom w:val="0"/>
      <w:divBdr>
        <w:top w:val="none" w:sz="0" w:space="0" w:color="auto"/>
        <w:left w:val="none" w:sz="0" w:space="0" w:color="auto"/>
        <w:bottom w:val="none" w:sz="0" w:space="0" w:color="auto"/>
        <w:right w:val="none" w:sz="0" w:space="0" w:color="auto"/>
      </w:divBdr>
    </w:div>
    <w:div w:id="1683046752">
      <w:bodyDiv w:val="1"/>
      <w:marLeft w:val="0"/>
      <w:marRight w:val="0"/>
      <w:marTop w:val="0"/>
      <w:marBottom w:val="0"/>
      <w:divBdr>
        <w:top w:val="none" w:sz="0" w:space="0" w:color="auto"/>
        <w:left w:val="none" w:sz="0" w:space="0" w:color="auto"/>
        <w:bottom w:val="none" w:sz="0" w:space="0" w:color="auto"/>
        <w:right w:val="none" w:sz="0" w:space="0" w:color="auto"/>
      </w:divBdr>
    </w:div>
    <w:div w:id="1710716409">
      <w:bodyDiv w:val="1"/>
      <w:marLeft w:val="0"/>
      <w:marRight w:val="0"/>
      <w:marTop w:val="0"/>
      <w:marBottom w:val="0"/>
      <w:divBdr>
        <w:top w:val="none" w:sz="0" w:space="0" w:color="auto"/>
        <w:left w:val="none" w:sz="0" w:space="0" w:color="auto"/>
        <w:bottom w:val="none" w:sz="0" w:space="0" w:color="auto"/>
        <w:right w:val="none" w:sz="0" w:space="0" w:color="auto"/>
      </w:divBdr>
    </w:div>
    <w:div w:id="1764834845">
      <w:bodyDiv w:val="1"/>
      <w:marLeft w:val="0"/>
      <w:marRight w:val="0"/>
      <w:marTop w:val="0"/>
      <w:marBottom w:val="0"/>
      <w:divBdr>
        <w:top w:val="none" w:sz="0" w:space="0" w:color="auto"/>
        <w:left w:val="none" w:sz="0" w:space="0" w:color="auto"/>
        <w:bottom w:val="none" w:sz="0" w:space="0" w:color="auto"/>
        <w:right w:val="none" w:sz="0" w:space="0" w:color="auto"/>
      </w:divBdr>
    </w:div>
    <w:div w:id="17800554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069">
          <w:marLeft w:val="0"/>
          <w:marRight w:val="0"/>
          <w:marTop w:val="0"/>
          <w:marBottom w:val="0"/>
          <w:divBdr>
            <w:top w:val="none" w:sz="0" w:space="0" w:color="auto"/>
            <w:left w:val="none" w:sz="0" w:space="0" w:color="auto"/>
            <w:bottom w:val="none" w:sz="0" w:space="0" w:color="auto"/>
            <w:right w:val="none" w:sz="0" w:space="0" w:color="auto"/>
          </w:divBdr>
          <w:divsChild>
            <w:div w:id="239750715">
              <w:marLeft w:val="0"/>
              <w:marRight w:val="0"/>
              <w:marTop w:val="0"/>
              <w:marBottom w:val="0"/>
              <w:divBdr>
                <w:top w:val="none" w:sz="0" w:space="0" w:color="auto"/>
                <w:left w:val="none" w:sz="0" w:space="0" w:color="auto"/>
                <w:bottom w:val="none" w:sz="0" w:space="0" w:color="auto"/>
                <w:right w:val="none" w:sz="0" w:space="0" w:color="auto"/>
              </w:divBdr>
              <w:divsChild>
                <w:div w:id="19712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8385">
      <w:bodyDiv w:val="1"/>
      <w:marLeft w:val="0"/>
      <w:marRight w:val="0"/>
      <w:marTop w:val="0"/>
      <w:marBottom w:val="0"/>
      <w:divBdr>
        <w:top w:val="none" w:sz="0" w:space="0" w:color="auto"/>
        <w:left w:val="none" w:sz="0" w:space="0" w:color="auto"/>
        <w:bottom w:val="none" w:sz="0" w:space="0" w:color="auto"/>
        <w:right w:val="none" w:sz="0" w:space="0" w:color="auto"/>
      </w:divBdr>
    </w:div>
    <w:div w:id="1925605044">
      <w:bodyDiv w:val="1"/>
      <w:marLeft w:val="0"/>
      <w:marRight w:val="0"/>
      <w:marTop w:val="0"/>
      <w:marBottom w:val="0"/>
      <w:divBdr>
        <w:top w:val="none" w:sz="0" w:space="0" w:color="auto"/>
        <w:left w:val="none" w:sz="0" w:space="0" w:color="auto"/>
        <w:bottom w:val="none" w:sz="0" w:space="0" w:color="auto"/>
        <w:right w:val="none" w:sz="0" w:space="0" w:color="auto"/>
      </w:divBdr>
      <w:divsChild>
        <w:div w:id="1283878732">
          <w:marLeft w:val="0"/>
          <w:marRight w:val="0"/>
          <w:marTop w:val="0"/>
          <w:marBottom w:val="0"/>
          <w:divBdr>
            <w:top w:val="none" w:sz="0" w:space="0" w:color="auto"/>
            <w:left w:val="none" w:sz="0" w:space="0" w:color="auto"/>
            <w:bottom w:val="none" w:sz="0" w:space="0" w:color="auto"/>
            <w:right w:val="none" w:sz="0" w:space="0" w:color="auto"/>
          </w:divBdr>
          <w:divsChild>
            <w:div w:id="2129003272">
              <w:marLeft w:val="0"/>
              <w:marRight w:val="0"/>
              <w:marTop w:val="0"/>
              <w:marBottom w:val="0"/>
              <w:divBdr>
                <w:top w:val="none" w:sz="0" w:space="0" w:color="auto"/>
                <w:left w:val="none" w:sz="0" w:space="0" w:color="auto"/>
                <w:bottom w:val="none" w:sz="0" w:space="0" w:color="auto"/>
                <w:right w:val="none" w:sz="0" w:space="0" w:color="auto"/>
              </w:divBdr>
              <w:divsChild>
                <w:div w:id="5564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1531">
      <w:bodyDiv w:val="1"/>
      <w:marLeft w:val="0"/>
      <w:marRight w:val="0"/>
      <w:marTop w:val="0"/>
      <w:marBottom w:val="0"/>
      <w:divBdr>
        <w:top w:val="none" w:sz="0" w:space="0" w:color="auto"/>
        <w:left w:val="none" w:sz="0" w:space="0" w:color="auto"/>
        <w:bottom w:val="none" w:sz="0" w:space="0" w:color="auto"/>
        <w:right w:val="none" w:sz="0" w:space="0" w:color="auto"/>
      </w:divBdr>
    </w:div>
    <w:div w:id="1975601910">
      <w:bodyDiv w:val="1"/>
      <w:marLeft w:val="0"/>
      <w:marRight w:val="0"/>
      <w:marTop w:val="0"/>
      <w:marBottom w:val="0"/>
      <w:divBdr>
        <w:top w:val="none" w:sz="0" w:space="0" w:color="auto"/>
        <w:left w:val="none" w:sz="0" w:space="0" w:color="auto"/>
        <w:bottom w:val="none" w:sz="0" w:space="0" w:color="auto"/>
        <w:right w:val="none" w:sz="0" w:space="0" w:color="auto"/>
      </w:divBdr>
    </w:div>
    <w:div w:id="1989821573">
      <w:bodyDiv w:val="1"/>
      <w:marLeft w:val="0"/>
      <w:marRight w:val="0"/>
      <w:marTop w:val="0"/>
      <w:marBottom w:val="0"/>
      <w:divBdr>
        <w:top w:val="none" w:sz="0" w:space="0" w:color="auto"/>
        <w:left w:val="none" w:sz="0" w:space="0" w:color="auto"/>
        <w:bottom w:val="none" w:sz="0" w:space="0" w:color="auto"/>
        <w:right w:val="none" w:sz="0" w:space="0" w:color="auto"/>
      </w:divBdr>
    </w:div>
    <w:div w:id="1998261814">
      <w:bodyDiv w:val="1"/>
      <w:marLeft w:val="0"/>
      <w:marRight w:val="0"/>
      <w:marTop w:val="0"/>
      <w:marBottom w:val="0"/>
      <w:divBdr>
        <w:top w:val="none" w:sz="0" w:space="0" w:color="auto"/>
        <w:left w:val="none" w:sz="0" w:space="0" w:color="auto"/>
        <w:bottom w:val="none" w:sz="0" w:space="0" w:color="auto"/>
        <w:right w:val="none" w:sz="0" w:space="0" w:color="auto"/>
      </w:divBdr>
      <w:divsChild>
        <w:div w:id="365448180">
          <w:marLeft w:val="0"/>
          <w:marRight w:val="0"/>
          <w:marTop w:val="0"/>
          <w:marBottom w:val="0"/>
          <w:divBdr>
            <w:top w:val="none" w:sz="0" w:space="0" w:color="auto"/>
            <w:left w:val="none" w:sz="0" w:space="0" w:color="auto"/>
            <w:bottom w:val="none" w:sz="0" w:space="0" w:color="auto"/>
            <w:right w:val="none" w:sz="0" w:space="0" w:color="auto"/>
          </w:divBdr>
          <w:divsChild>
            <w:div w:id="534544340">
              <w:marLeft w:val="0"/>
              <w:marRight w:val="0"/>
              <w:marTop w:val="0"/>
              <w:marBottom w:val="0"/>
              <w:divBdr>
                <w:top w:val="none" w:sz="0" w:space="0" w:color="auto"/>
                <w:left w:val="none" w:sz="0" w:space="0" w:color="auto"/>
                <w:bottom w:val="none" w:sz="0" w:space="0" w:color="auto"/>
                <w:right w:val="none" w:sz="0" w:space="0" w:color="auto"/>
              </w:divBdr>
              <w:divsChild>
                <w:div w:id="20704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76">
      <w:bodyDiv w:val="1"/>
      <w:marLeft w:val="0"/>
      <w:marRight w:val="0"/>
      <w:marTop w:val="0"/>
      <w:marBottom w:val="0"/>
      <w:divBdr>
        <w:top w:val="none" w:sz="0" w:space="0" w:color="auto"/>
        <w:left w:val="none" w:sz="0" w:space="0" w:color="auto"/>
        <w:bottom w:val="none" w:sz="0" w:space="0" w:color="auto"/>
        <w:right w:val="none" w:sz="0" w:space="0" w:color="auto"/>
      </w:divBdr>
    </w:div>
    <w:div w:id="2051998334">
      <w:bodyDiv w:val="1"/>
      <w:marLeft w:val="0"/>
      <w:marRight w:val="0"/>
      <w:marTop w:val="0"/>
      <w:marBottom w:val="0"/>
      <w:divBdr>
        <w:top w:val="none" w:sz="0" w:space="0" w:color="auto"/>
        <w:left w:val="none" w:sz="0" w:space="0" w:color="auto"/>
        <w:bottom w:val="none" w:sz="0" w:space="0" w:color="auto"/>
        <w:right w:val="none" w:sz="0" w:space="0" w:color="auto"/>
      </w:divBdr>
      <w:divsChild>
        <w:div w:id="86968914">
          <w:marLeft w:val="0"/>
          <w:marRight w:val="0"/>
          <w:marTop w:val="0"/>
          <w:marBottom w:val="0"/>
          <w:divBdr>
            <w:top w:val="none" w:sz="0" w:space="0" w:color="auto"/>
            <w:left w:val="none" w:sz="0" w:space="0" w:color="auto"/>
            <w:bottom w:val="none" w:sz="0" w:space="0" w:color="auto"/>
            <w:right w:val="none" w:sz="0" w:space="0" w:color="auto"/>
          </w:divBdr>
          <w:divsChild>
            <w:div w:id="237835859">
              <w:marLeft w:val="0"/>
              <w:marRight w:val="0"/>
              <w:marTop w:val="0"/>
              <w:marBottom w:val="0"/>
              <w:divBdr>
                <w:top w:val="none" w:sz="0" w:space="0" w:color="auto"/>
                <w:left w:val="none" w:sz="0" w:space="0" w:color="auto"/>
                <w:bottom w:val="none" w:sz="0" w:space="0" w:color="auto"/>
                <w:right w:val="none" w:sz="0" w:space="0" w:color="auto"/>
              </w:divBdr>
              <w:divsChild>
                <w:div w:id="14223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3916">
      <w:bodyDiv w:val="1"/>
      <w:marLeft w:val="0"/>
      <w:marRight w:val="0"/>
      <w:marTop w:val="0"/>
      <w:marBottom w:val="0"/>
      <w:divBdr>
        <w:top w:val="none" w:sz="0" w:space="0" w:color="auto"/>
        <w:left w:val="none" w:sz="0" w:space="0" w:color="auto"/>
        <w:bottom w:val="none" w:sz="0" w:space="0" w:color="auto"/>
        <w:right w:val="none" w:sz="0" w:space="0" w:color="auto"/>
      </w:divBdr>
      <w:divsChild>
        <w:div w:id="656688386">
          <w:marLeft w:val="0"/>
          <w:marRight w:val="0"/>
          <w:marTop w:val="0"/>
          <w:marBottom w:val="0"/>
          <w:divBdr>
            <w:top w:val="none" w:sz="0" w:space="0" w:color="auto"/>
            <w:left w:val="none" w:sz="0" w:space="0" w:color="auto"/>
            <w:bottom w:val="none" w:sz="0" w:space="0" w:color="auto"/>
            <w:right w:val="none" w:sz="0" w:space="0" w:color="auto"/>
          </w:divBdr>
          <w:divsChild>
            <w:div w:id="1947497484">
              <w:marLeft w:val="0"/>
              <w:marRight w:val="0"/>
              <w:marTop w:val="0"/>
              <w:marBottom w:val="0"/>
              <w:divBdr>
                <w:top w:val="none" w:sz="0" w:space="0" w:color="auto"/>
                <w:left w:val="none" w:sz="0" w:space="0" w:color="auto"/>
                <w:bottom w:val="none" w:sz="0" w:space="0" w:color="auto"/>
                <w:right w:val="none" w:sz="0" w:space="0" w:color="auto"/>
              </w:divBdr>
              <w:divsChild>
                <w:div w:id="9670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5983">
      <w:bodyDiv w:val="1"/>
      <w:marLeft w:val="0"/>
      <w:marRight w:val="0"/>
      <w:marTop w:val="0"/>
      <w:marBottom w:val="0"/>
      <w:divBdr>
        <w:top w:val="none" w:sz="0" w:space="0" w:color="auto"/>
        <w:left w:val="none" w:sz="0" w:space="0" w:color="auto"/>
        <w:bottom w:val="none" w:sz="0" w:space="0" w:color="auto"/>
        <w:right w:val="none" w:sz="0" w:space="0" w:color="auto"/>
      </w:divBdr>
      <w:divsChild>
        <w:div w:id="1182285324">
          <w:marLeft w:val="547"/>
          <w:marRight w:val="0"/>
          <w:marTop w:val="0"/>
          <w:marBottom w:val="120"/>
          <w:divBdr>
            <w:top w:val="none" w:sz="0" w:space="0" w:color="auto"/>
            <w:left w:val="none" w:sz="0" w:space="0" w:color="auto"/>
            <w:bottom w:val="none" w:sz="0" w:space="0" w:color="auto"/>
            <w:right w:val="none" w:sz="0" w:space="0" w:color="auto"/>
          </w:divBdr>
        </w:div>
        <w:div w:id="1335306375">
          <w:marLeft w:val="547"/>
          <w:marRight w:val="0"/>
          <w:marTop w:val="0"/>
          <w:marBottom w:val="120"/>
          <w:divBdr>
            <w:top w:val="none" w:sz="0" w:space="0" w:color="auto"/>
            <w:left w:val="none" w:sz="0" w:space="0" w:color="auto"/>
            <w:bottom w:val="none" w:sz="0" w:space="0" w:color="auto"/>
            <w:right w:val="none" w:sz="0" w:space="0" w:color="auto"/>
          </w:divBdr>
        </w:div>
        <w:div w:id="1587768130">
          <w:marLeft w:val="547"/>
          <w:marRight w:val="0"/>
          <w:marTop w:val="0"/>
          <w:marBottom w:val="120"/>
          <w:divBdr>
            <w:top w:val="none" w:sz="0" w:space="0" w:color="auto"/>
            <w:left w:val="none" w:sz="0" w:space="0" w:color="auto"/>
            <w:bottom w:val="none" w:sz="0" w:space="0" w:color="auto"/>
            <w:right w:val="none" w:sz="0" w:space="0" w:color="auto"/>
          </w:divBdr>
        </w:div>
        <w:div w:id="1626304593">
          <w:marLeft w:val="547"/>
          <w:marRight w:val="0"/>
          <w:marTop w:val="0"/>
          <w:marBottom w:val="120"/>
          <w:divBdr>
            <w:top w:val="none" w:sz="0" w:space="0" w:color="auto"/>
            <w:left w:val="none" w:sz="0" w:space="0" w:color="auto"/>
            <w:bottom w:val="none" w:sz="0" w:space="0" w:color="auto"/>
            <w:right w:val="none" w:sz="0" w:space="0" w:color="auto"/>
          </w:divBdr>
        </w:div>
        <w:div w:id="1809664338">
          <w:marLeft w:val="547"/>
          <w:marRight w:val="0"/>
          <w:marTop w:val="0"/>
          <w:marBottom w:val="120"/>
          <w:divBdr>
            <w:top w:val="none" w:sz="0" w:space="0" w:color="auto"/>
            <w:left w:val="none" w:sz="0" w:space="0" w:color="auto"/>
            <w:bottom w:val="none" w:sz="0" w:space="0" w:color="auto"/>
            <w:right w:val="none" w:sz="0" w:space="0" w:color="auto"/>
          </w:divBdr>
        </w:div>
        <w:div w:id="1859390739">
          <w:marLeft w:val="547"/>
          <w:marRight w:val="0"/>
          <w:marTop w:val="0"/>
          <w:marBottom w:val="120"/>
          <w:divBdr>
            <w:top w:val="none" w:sz="0" w:space="0" w:color="auto"/>
            <w:left w:val="none" w:sz="0" w:space="0" w:color="auto"/>
            <w:bottom w:val="none" w:sz="0" w:space="0" w:color="auto"/>
            <w:right w:val="none" w:sz="0" w:space="0" w:color="auto"/>
          </w:divBdr>
        </w:div>
        <w:div w:id="1959220656">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archives.gov.uk/doc/open-government-licence/version/3" TargetMode="External"/><Relationship Id="rId18" Type="http://schemas.openxmlformats.org/officeDocument/2006/relationships/footer" Target="footer1.xml"/><Relationship Id="rId26" Type="http://schemas.openxmlformats.org/officeDocument/2006/relationships/hyperlink" Target="http://www.nihrc.org"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5.png"/><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civilservicepensionscheme.org.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ihrc.org/publication/detail/annual-human-rights-statement-2024" TargetMode="External"/><Relationship Id="rId32" Type="http://schemas.openxmlformats.org/officeDocument/2006/relationships/hyperlink" Target="https://www.frc.org.uk/auditors/audit-assurance/auditor-s-responsibilities-for-the-audit-of-the-fi/description-of-the-auditor%e2%80%99s-responsibilities-for" TargetMode="Externa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png"/><Relationship Id="rId28" Type="http://schemas.openxmlformats.org/officeDocument/2006/relationships/hyperlink" Target="https://nihrc.org/publication/detail/strategic-plan-2022-2025"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official-documents" TargetMode="External"/><Relationship Id="rId22" Type="http://schemas.openxmlformats.org/officeDocument/2006/relationships/hyperlink" Target="https://www.ohchr.org/en/instruments-mechanisms/instruments/principles-relating-status-national-institutions-paris" TargetMode="External"/><Relationship Id="rId27" Type="http://schemas.openxmlformats.org/officeDocument/2006/relationships/hyperlink" Target="http://www.nihrc.org" TargetMode="External"/><Relationship Id="rId30" Type="http://schemas.openxmlformats.org/officeDocument/2006/relationships/hyperlink" Target="https://www.civilservicepensionscheme.org.uk/about-us/scheme-valuations/"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gov.uk/government/collections/how-the-public-service-pension-remedy-affects-your-pension" TargetMode="External"/><Relationship Id="rId1" Type="http://schemas.openxmlformats.org/officeDocument/2006/relationships/hyperlink" Target="https://nihrc.org/publication/detail/annual-human-rights-statement-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074D9-EEC5-4935-8D34-3A3505F318C0}">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609EF0E4-74E6-4683-9B68-0A13926555A8}">
  <ds:schemaRefs>
    <ds:schemaRef ds:uri="http://schemas.microsoft.com/sharepoint/v3/contenttype/forms"/>
  </ds:schemaRefs>
</ds:datastoreItem>
</file>

<file path=customXml/itemProps3.xml><?xml version="1.0" encoding="utf-8"?>
<ds:datastoreItem xmlns:ds="http://schemas.openxmlformats.org/officeDocument/2006/customXml" ds:itemID="{207AC907-E384-4D37-B4E5-A22E35586837}">
  <ds:schemaRefs>
    <ds:schemaRef ds:uri="http://schemas.openxmlformats.org/officeDocument/2006/bibliography"/>
  </ds:schemaRefs>
</ds:datastoreItem>
</file>

<file path=customXml/itemProps4.xml><?xml version="1.0" encoding="utf-8"?>
<ds:datastoreItem xmlns:ds="http://schemas.openxmlformats.org/officeDocument/2006/customXml" ds:itemID="{345A114D-1415-40A2-80A1-7752F62EB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99</Pages>
  <Words>25181</Words>
  <Characters>144043</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Chief Commissioner’s Foreword</vt:lpstr>
    </vt:vector>
  </TitlesOfParts>
  <Company/>
  <LinksUpToDate>false</LinksUpToDate>
  <CharactersWithSpaces>168887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Commissioner’s Foreword</dc:title>
  <dc:subject/>
  <dc:creator>Don.Leeson</dc:creator>
  <cp:keywords/>
  <cp:lastModifiedBy>Jacqueline McClintock</cp:lastModifiedBy>
  <cp:revision>47</cp:revision>
  <cp:lastPrinted>2025-06-04T16:28:00Z</cp:lastPrinted>
  <dcterms:created xsi:type="dcterms:W3CDTF">2025-06-23T07:21:00Z</dcterms:created>
  <dcterms:modified xsi:type="dcterms:W3CDTF">2025-07-10T11:00:00Z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-222357991</vt:i4>
  </property>
  <property fmtid="{D5CDD505-2E9C-101B-9397-08002B2CF9AE}" pid="3" name="ContentTypeId">
    <vt:lpwstr>0x010100F41320E77E35C644A511CBC5C12B0A0B</vt:lpwstr>
  </property>
  <property fmtid="{D5CDD505-2E9C-101B-9397-08002B2CF9AE}" pid="4" name="Order">
    <vt:r8>833600</vt:r8>
  </property>
  <property fmtid="{D5CDD505-2E9C-101B-9397-08002B2CF9AE}" pid="5" name="MediaServiceImageTags">
    <vt:lpwstr/>
  </property>
  <property fmtid="{D5CDD505-2E9C-101B-9397-08002B2CF9AE}" pid="6" name="MSIP_Label_ffb1adc6-49a1-42ed-8bb1-d783e6cdf4d4_Enabled">
    <vt:lpwstr>true</vt:lpwstr>
  </property>
  <property fmtid="{D5CDD505-2E9C-101B-9397-08002B2CF9AE}" pid="7" name="MSIP_Label_ffb1adc6-49a1-42ed-8bb1-d783e6cdf4d4_SetDate">
    <vt:lpwstr>2025-06-04T16:28:41Z</vt:lpwstr>
  </property>
  <property fmtid="{D5CDD505-2E9C-101B-9397-08002B2CF9AE}" pid="8" name="MSIP_Label_ffb1adc6-49a1-42ed-8bb1-d783e6cdf4d4_Method">
    <vt:lpwstr>Privileged</vt:lpwstr>
  </property>
  <property fmtid="{D5CDD505-2E9C-101B-9397-08002B2CF9AE}" pid="9" name="MSIP_Label_ffb1adc6-49a1-42ed-8bb1-d783e6cdf4d4_Name">
    <vt:lpwstr>Client Sensitive</vt:lpwstr>
  </property>
  <property fmtid="{D5CDD505-2E9C-101B-9397-08002B2CF9AE}" pid="10" name="MSIP_Label_ffb1adc6-49a1-42ed-8bb1-d783e6cdf4d4_SiteId">
    <vt:lpwstr>e569c7b0-6dfc-42b8-9b6a-2cfc414d4f8c</vt:lpwstr>
  </property>
  <property fmtid="{D5CDD505-2E9C-101B-9397-08002B2CF9AE}" pid="11" name="MSIP_Label_ffb1adc6-49a1-42ed-8bb1-d783e6cdf4d4_ActionId">
    <vt:lpwstr>c2dce50e-d4be-4148-8623-04eef611e387</vt:lpwstr>
  </property>
  <property fmtid="{D5CDD505-2E9C-101B-9397-08002B2CF9AE}" pid="12" name="MSIP_Label_ffb1adc6-49a1-42ed-8bb1-d783e6cdf4d4_ContentBits">
    <vt:lpwstr>0</vt:lpwstr>
  </property>
  <property fmtid="{D5CDD505-2E9C-101B-9397-08002B2CF9AE}" pid="13" name="MSIP_Label_ffb1adc6-49a1-42ed-8bb1-d783e6cdf4d4_Tag">
    <vt:lpwstr>10, 0, 1, 1</vt:lpwstr>
  </property>
</Properties>
</file>