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571A" w14:textId="77777777" w:rsidR="00DB0F0C" w:rsidRDefault="00DB0F0C" w:rsidP="00DB0F0C">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44468778" wp14:editId="60C7ED05">
            <wp:extent cx="2908485" cy="3886623"/>
            <wp:effectExtent l="0" t="0" r="0" b="0"/>
            <wp:docPr id="7"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9E07449" w14:textId="77777777" w:rsidR="00DB0F0C" w:rsidRPr="00EA12CE" w:rsidRDefault="00DB0F0C" w:rsidP="00DB0F0C">
      <w:pPr>
        <w:pStyle w:val="BasicParagraph"/>
        <w:suppressAutoHyphens/>
        <w:jc w:val="center"/>
        <w:rPr>
          <w:rFonts w:ascii="Verdana" w:hAnsi="Verdana" w:cs="Arial"/>
          <w:b/>
          <w:bCs/>
          <w:color w:val="734791"/>
          <w:sz w:val="36"/>
          <w:szCs w:val="36"/>
        </w:rPr>
      </w:pPr>
    </w:p>
    <w:p w14:paraId="04932FEF" w14:textId="77777777" w:rsidR="006A5D8B" w:rsidRDefault="006A5D8B" w:rsidP="00DB0F0C">
      <w:pPr>
        <w:pStyle w:val="BasicParagraph"/>
        <w:suppressAutoHyphens/>
        <w:jc w:val="center"/>
        <w:rPr>
          <w:rFonts w:ascii="Verdana" w:hAnsi="Verdana" w:cs="Arial"/>
          <w:b/>
          <w:bCs/>
          <w:color w:val="77328A"/>
          <w:sz w:val="36"/>
          <w:szCs w:val="36"/>
        </w:rPr>
      </w:pPr>
    </w:p>
    <w:p w14:paraId="72D9E776" w14:textId="21E43782" w:rsidR="00DB0F0C" w:rsidRPr="003B7D0E" w:rsidRDefault="006A5D8B" w:rsidP="00DB0F0C">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Evidence to Joint Committee on Human Rights Legislative Scrutiny</w:t>
      </w:r>
      <w:r w:rsidR="008B3F25">
        <w:rPr>
          <w:rFonts w:ascii="Verdana" w:hAnsi="Verdana" w:cs="Arial"/>
          <w:b/>
          <w:bCs/>
          <w:color w:val="77328A"/>
          <w:sz w:val="36"/>
          <w:szCs w:val="36"/>
        </w:rPr>
        <w:t xml:space="preserve"> of the</w:t>
      </w:r>
      <w:r>
        <w:rPr>
          <w:rFonts w:ascii="Verdana" w:hAnsi="Verdana" w:cs="Arial"/>
          <w:b/>
          <w:bCs/>
          <w:color w:val="77328A"/>
          <w:sz w:val="36"/>
          <w:szCs w:val="36"/>
        </w:rPr>
        <w:t xml:space="preserve"> Bill of Rights Bill</w:t>
      </w:r>
    </w:p>
    <w:p w14:paraId="2C919CFE" w14:textId="77777777" w:rsidR="00DB0F0C" w:rsidRDefault="00DB0F0C" w:rsidP="00DB0F0C">
      <w:pPr>
        <w:pStyle w:val="Default"/>
        <w:spacing w:line="288" w:lineRule="auto"/>
        <w:jc w:val="center"/>
        <w:rPr>
          <w:rFonts w:cs="Arial"/>
          <w:color w:val="232120"/>
          <w:sz w:val="36"/>
          <w:szCs w:val="36"/>
        </w:rPr>
      </w:pPr>
    </w:p>
    <w:p w14:paraId="69409151" w14:textId="77777777" w:rsidR="00DB0F0C" w:rsidRDefault="00DB0F0C" w:rsidP="00DB0F0C">
      <w:pPr>
        <w:pStyle w:val="Default"/>
        <w:spacing w:line="288" w:lineRule="auto"/>
        <w:jc w:val="center"/>
        <w:rPr>
          <w:rFonts w:cs="Arial"/>
          <w:color w:val="232120"/>
          <w:sz w:val="36"/>
          <w:szCs w:val="36"/>
        </w:rPr>
      </w:pPr>
    </w:p>
    <w:p w14:paraId="6D13B07B" w14:textId="77777777" w:rsidR="00DB0F0C" w:rsidRDefault="00DB0F0C" w:rsidP="00DB0F0C">
      <w:pPr>
        <w:pStyle w:val="Default"/>
        <w:spacing w:line="288" w:lineRule="auto"/>
        <w:jc w:val="center"/>
        <w:rPr>
          <w:rFonts w:cs="Arial"/>
          <w:color w:val="232120"/>
          <w:sz w:val="36"/>
          <w:szCs w:val="36"/>
        </w:rPr>
      </w:pPr>
    </w:p>
    <w:p w14:paraId="276659A5" w14:textId="77777777" w:rsidR="00DB0F0C" w:rsidRDefault="00DB0F0C" w:rsidP="00DB0F0C">
      <w:pPr>
        <w:pStyle w:val="Default"/>
        <w:spacing w:line="288" w:lineRule="auto"/>
        <w:jc w:val="center"/>
        <w:rPr>
          <w:rFonts w:cs="Arial"/>
          <w:color w:val="232120"/>
          <w:sz w:val="36"/>
          <w:szCs w:val="36"/>
        </w:rPr>
      </w:pPr>
    </w:p>
    <w:p w14:paraId="1C89C544" w14:textId="77777777" w:rsidR="00DB0F0C" w:rsidRDefault="00DB0F0C" w:rsidP="00DB0F0C">
      <w:pPr>
        <w:pStyle w:val="Default"/>
        <w:spacing w:line="288" w:lineRule="auto"/>
        <w:jc w:val="center"/>
        <w:rPr>
          <w:rFonts w:cs="Arial"/>
          <w:color w:val="232120"/>
          <w:sz w:val="36"/>
          <w:szCs w:val="36"/>
        </w:rPr>
      </w:pPr>
    </w:p>
    <w:p w14:paraId="6C618FA0" w14:textId="77777777" w:rsidR="00DB0F0C" w:rsidRPr="00331C61" w:rsidRDefault="00DB0F0C" w:rsidP="00DB0F0C">
      <w:pPr>
        <w:pStyle w:val="Default"/>
        <w:spacing w:line="288" w:lineRule="auto"/>
        <w:jc w:val="center"/>
        <w:rPr>
          <w:rFonts w:cs="Arial"/>
          <w:color w:val="232120"/>
          <w:sz w:val="36"/>
          <w:szCs w:val="36"/>
        </w:rPr>
      </w:pPr>
    </w:p>
    <w:p w14:paraId="75CFE9BA" w14:textId="77116743" w:rsidR="00DB0F0C" w:rsidRPr="00331C61" w:rsidRDefault="00682D3C" w:rsidP="00DB0F0C">
      <w:pPr>
        <w:jc w:val="center"/>
        <w:rPr>
          <w:rFonts w:cs="Arial"/>
          <w:b/>
          <w:color w:val="232120"/>
          <w:sz w:val="30"/>
          <w:szCs w:val="30"/>
        </w:rPr>
      </w:pPr>
      <w:r>
        <w:rPr>
          <w:rFonts w:cs="Arial"/>
          <w:b/>
          <w:color w:val="232120"/>
          <w:sz w:val="30"/>
          <w:szCs w:val="30"/>
        </w:rPr>
        <w:t>September</w:t>
      </w:r>
      <w:r w:rsidR="00DB0F0C">
        <w:rPr>
          <w:rFonts w:cs="Arial"/>
          <w:b/>
          <w:color w:val="232120"/>
          <w:sz w:val="30"/>
          <w:szCs w:val="30"/>
        </w:rPr>
        <w:t xml:space="preserve"> 2022</w:t>
      </w:r>
    </w:p>
    <w:p w14:paraId="7B5F3A08" w14:textId="5D6F0575" w:rsidR="00800AF0" w:rsidRDefault="00800AF0"/>
    <w:p w14:paraId="073136A5" w14:textId="060A02F4" w:rsidR="00DB0F0C" w:rsidRDefault="00DB0F0C"/>
    <w:p w14:paraId="49200828" w14:textId="6CE5C53D" w:rsidR="00DB0F0C" w:rsidRDefault="00DB0F0C">
      <w:r>
        <w:br w:type="page"/>
      </w:r>
    </w:p>
    <w:sdt>
      <w:sdtPr>
        <w:rPr>
          <w:rFonts w:ascii="Verdana" w:eastAsiaTheme="minorEastAsia" w:hAnsi="Verdana" w:cstheme="minorBidi"/>
          <w:b/>
          <w:bCs/>
          <w:noProof/>
          <w:color w:val="auto"/>
          <w:sz w:val="24"/>
          <w:szCs w:val="24"/>
          <w:lang w:val="en" w:eastAsia="en-GB"/>
        </w:rPr>
        <w:id w:val="432368594"/>
        <w:docPartObj>
          <w:docPartGallery w:val="Table of Contents"/>
          <w:docPartUnique/>
        </w:docPartObj>
      </w:sdtPr>
      <w:sdtContent>
        <w:p w14:paraId="3D9F7621" w14:textId="654E664B" w:rsidR="006B0D35" w:rsidRDefault="006B0D35">
          <w:pPr>
            <w:pStyle w:val="TOCHeading"/>
            <w:rPr>
              <w:rFonts w:ascii="Verdana" w:hAnsi="Verdana"/>
              <w:b/>
              <w:bCs/>
              <w:color w:val="77328A"/>
            </w:rPr>
          </w:pPr>
          <w:r w:rsidRPr="006B0D35">
            <w:rPr>
              <w:rFonts w:ascii="Verdana" w:hAnsi="Verdana"/>
              <w:b/>
              <w:bCs/>
              <w:color w:val="77328A"/>
            </w:rPr>
            <w:t>Table of Contents</w:t>
          </w:r>
        </w:p>
        <w:p w14:paraId="0BB73652" w14:textId="77777777" w:rsidR="006B0D35" w:rsidRPr="006B0D35" w:rsidRDefault="006B0D35" w:rsidP="006B0D35">
          <w:pPr>
            <w:rPr>
              <w:lang w:val="en-US"/>
            </w:rPr>
          </w:pPr>
        </w:p>
        <w:p w14:paraId="6302E2C2" w14:textId="52CBB21B" w:rsidR="00516BAD" w:rsidRDefault="007B4BD4">
          <w:pPr>
            <w:pStyle w:val="TOC1"/>
            <w:rPr>
              <w:rFonts w:asciiTheme="minorHAnsi" w:hAnsiTheme="minorHAnsi"/>
              <w:b w:val="0"/>
              <w:bCs w:val="0"/>
              <w:sz w:val="22"/>
              <w:szCs w:val="22"/>
              <w:lang w:val="en-GB"/>
            </w:rPr>
          </w:pPr>
          <w:r>
            <w:fldChar w:fldCharType="begin"/>
          </w:r>
          <w:r w:rsidR="006B0D35">
            <w:instrText>TOC \o "1-3" \h \z \u</w:instrText>
          </w:r>
          <w:r>
            <w:fldChar w:fldCharType="separate"/>
          </w:r>
          <w:hyperlink w:anchor="_Toc113010909" w:history="1">
            <w:r w:rsidR="00516BAD" w:rsidRPr="001D7E51">
              <w:rPr>
                <w:rStyle w:val="Hyperlink"/>
              </w:rPr>
              <w:t>1.0</w:t>
            </w:r>
            <w:r w:rsidR="00516BAD">
              <w:rPr>
                <w:rFonts w:asciiTheme="minorHAnsi" w:hAnsiTheme="minorHAnsi"/>
                <w:b w:val="0"/>
                <w:bCs w:val="0"/>
                <w:sz w:val="22"/>
                <w:szCs w:val="22"/>
                <w:lang w:val="en-GB"/>
              </w:rPr>
              <w:tab/>
            </w:r>
            <w:r w:rsidR="00516BAD" w:rsidRPr="001D7E51">
              <w:rPr>
                <w:rStyle w:val="Hyperlink"/>
              </w:rPr>
              <w:t>Introduction</w:t>
            </w:r>
            <w:r w:rsidR="00516BAD">
              <w:rPr>
                <w:webHidden/>
              </w:rPr>
              <w:tab/>
            </w:r>
            <w:r w:rsidR="00516BAD">
              <w:rPr>
                <w:webHidden/>
              </w:rPr>
              <w:fldChar w:fldCharType="begin"/>
            </w:r>
            <w:r w:rsidR="00516BAD">
              <w:rPr>
                <w:webHidden/>
              </w:rPr>
              <w:instrText xml:space="preserve"> PAGEREF _Toc113010909 \h </w:instrText>
            </w:r>
            <w:r w:rsidR="00516BAD">
              <w:rPr>
                <w:webHidden/>
              </w:rPr>
            </w:r>
            <w:r w:rsidR="00516BAD">
              <w:rPr>
                <w:webHidden/>
              </w:rPr>
              <w:fldChar w:fldCharType="separate"/>
            </w:r>
            <w:r w:rsidR="00530692">
              <w:rPr>
                <w:webHidden/>
              </w:rPr>
              <w:t>3</w:t>
            </w:r>
            <w:r w:rsidR="00516BAD">
              <w:rPr>
                <w:webHidden/>
              </w:rPr>
              <w:fldChar w:fldCharType="end"/>
            </w:r>
          </w:hyperlink>
        </w:p>
        <w:p w14:paraId="00C21A67" w14:textId="0A8A6D08" w:rsidR="00516BAD" w:rsidRDefault="00516BAD">
          <w:pPr>
            <w:pStyle w:val="TOC1"/>
            <w:rPr>
              <w:rFonts w:asciiTheme="minorHAnsi" w:hAnsiTheme="minorHAnsi"/>
              <w:b w:val="0"/>
              <w:bCs w:val="0"/>
              <w:sz w:val="22"/>
              <w:szCs w:val="22"/>
              <w:lang w:val="en-GB"/>
            </w:rPr>
          </w:pPr>
          <w:hyperlink w:anchor="_Toc113010910" w:history="1">
            <w:r w:rsidRPr="001D7E51">
              <w:rPr>
                <w:rStyle w:val="Hyperlink"/>
              </w:rPr>
              <w:t>2.0</w:t>
            </w:r>
            <w:r>
              <w:rPr>
                <w:rFonts w:asciiTheme="minorHAnsi" w:hAnsiTheme="minorHAnsi"/>
                <w:b w:val="0"/>
                <w:bCs w:val="0"/>
                <w:sz w:val="22"/>
                <w:szCs w:val="22"/>
                <w:lang w:val="en-GB"/>
              </w:rPr>
              <w:tab/>
            </w:r>
            <w:r w:rsidRPr="001D7E51">
              <w:rPr>
                <w:rStyle w:val="Hyperlink"/>
              </w:rPr>
              <w:t>Repeal of Human Rights Act 1998</w:t>
            </w:r>
            <w:r>
              <w:rPr>
                <w:webHidden/>
              </w:rPr>
              <w:tab/>
            </w:r>
            <w:r>
              <w:rPr>
                <w:webHidden/>
              </w:rPr>
              <w:fldChar w:fldCharType="begin"/>
            </w:r>
            <w:r>
              <w:rPr>
                <w:webHidden/>
              </w:rPr>
              <w:instrText xml:space="preserve"> PAGEREF _Toc113010910 \h </w:instrText>
            </w:r>
            <w:r>
              <w:rPr>
                <w:webHidden/>
              </w:rPr>
            </w:r>
            <w:r>
              <w:rPr>
                <w:webHidden/>
              </w:rPr>
              <w:fldChar w:fldCharType="separate"/>
            </w:r>
            <w:r w:rsidR="00530692">
              <w:rPr>
                <w:webHidden/>
              </w:rPr>
              <w:t>3</w:t>
            </w:r>
            <w:r>
              <w:rPr>
                <w:webHidden/>
              </w:rPr>
              <w:fldChar w:fldCharType="end"/>
            </w:r>
          </w:hyperlink>
        </w:p>
        <w:p w14:paraId="317B8071" w14:textId="4A8EAE9F" w:rsidR="00516BAD" w:rsidRDefault="00516BAD">
          <w:pPr>
            <w:pStyle w:val="TOC1"/>
            <w:rPr>
              <w:rFonts w:asciiTheme="minorHAnsi" w:hAnsiTheme="minorHAnsi"/>
              <w:b w:val="0"/>
              <w:bCs w:val="0"/>
              <w:sz w:val="22"/>
              <w:szCs w:val="22"/>
              <w:lang w:val="en-GB"/>
            </w:rPr>
          </w:pPr>
          <w:hyperlink w:anchor="_Toc113010911" w:history="1">
            <w:r w:rsidRPr="001D7E51">
              <w:rPr>
                <w:rStyle w:val="Hyperlink"/>
              </w:rPr>
              <w:t>3.0</w:t>
            </w:r>
            <w:r>
              <w:rPr>
                <w:rFonts w:asciiTheme="minorHAnsi" w:hAnsiTheme="minorHAnsi"/>
                <w:b w:val="0"/>
                <w:bCs w:val="0"/>
                <w:sz w:val="22"/>
                <w:szCs w:val="22"/>
                <w:lang w:val="en-GB"/>
              </w:rPr>
              <w:tab/>
            </w:r>
            <w:r w:rsidRPr="001D7E51">
              <w:rPr>
                <w:rStyle w:val="Hyperlink"/>
              </w:rPr>
              <w:t>Relationship between UK Courts and ECtHR</w:t>
            </w:r>
            <w:r>
              <w:rPr>
                <w:webHidden/>
              </w:rPr>
              <w:tab/>
            </w:r>
            <w:r>
              <w:rPr>
                <w:webHidden/>
              </w:rPr>
              <w:fldChar w:fldCharType="begin"/>
            </w:r>
            <w:r>
              <w:rPr>
                <w:webHidden/>
              </w:rPr>
              <w:instrText xml:space="preserve"> PAGEREF _Toc113010911 \h </w:instrText>
            </w:r>
            <w:r>
              <w:rPr>
                <w:webHidden/>
              </w:rPr>
            </w:r>
            <w:r>
              <w:rPr>
                <w:webHidden/>
              </w:rPr>
              <w:fldChar w:fldCharType="separate"/>
            </w:r>
            <w:r w:rsidR="00530692">
              <w:rPr>
                <w:webHidden/>
              </w:rPr>
              <w:t>5</w:t>
            </w:r>
            <w:r>
              <w:rPr>
                <w:webHidden/>
              </w:rPr>
              <w:fldChar w:fldCharType="end"/>
            </w:r>
          </w:hyperlink>
        </w:p>
        <w:p w14:paraId="69FB2A2B" w14:textId="193FF809" w:rsidR="00516BAD" w:rsidRDefault="00516BAD">
          <w:pPr>
            <w:pStyle w:val="TOC1"/>
            <w:rPr>
              <w:rFonts w:asciiTheme="minorHAnsi" w:hAnsiTheme="minorHAnsi"/>
              <w:b w:val="0"/>
              <w:bCs w:val="0"/>
              <w:sz w:val="22"/>
              <w:szCs w:val="22"/>
              <w:lang w:val="en-GB"/>
            </w:rPr>
          </w:pPr>
          <w:hyperlink w:anchor="_Toc113010912" w:history="1">
            <w:r w:rsidRPr="001D7E51">
              <w:rPr>
                <w:rStyle w:val="Hyperlink"/>
              </w:rPr>
              <w:t>4.0</w:t>
            </w:r>
            <w:r>
              <w:rPr>
                <w:rFonts w:asciiTheme="minorHAnsi" w:hAnsiTheme="minorHAnsi"/>
                <w:b w:val="0"/>
                <w:bCs w:val="0"/>
                <w:sz w:val="22"/>
                <w:szCs w:val="22"/>
                <w:lang w:val="en-GB"/>
              </w:rPr>
              <w:tab/>
            </w:r>
            <w:r w:rsidRPr="001D7E51">
              <w:rPr>
                <w:rStyle w:val="Hyperlink"/>
              </w:rPr>
              <w:t>Interim measures</w:t>
            </w:r>
            <w:r>
              <w:rPr>
                <w:webHidden/>
              </w:rPr>
              <w:tab/>
            </w:r>
            <w:r>
              <w:rPr>
                <w:webHidden/>
              </w:rPr>
              <w:fldChar w:fldCharType="begin"/>
            </w:r>
            <w:r>
              <w:rPr>
                <w:webHidden/>
              </w:rPr>
              <w:instrText xml:space="preserve"> PAGEREF _Toc113010912 \h </w:instrText>
            </w:r>
            <w:r>
              <w:rPr>
                <w:webHidden/>
              </w:rPr>
            </w:r>
            <w:r>
              <w:rPr>
                <w:webHidden/>
              </w:rPr>
              <w:fldChar w:fldCharType="separate"/>
            </w:r>
            <w:r w:rsidR="00530692">
              <w:rPr>
                <w:webHidden/>
              </w:rPr>
              <w:t>8</w:t>
            </w:r>
            <w:r>
              <w:rPr>
                <w:webHidden/>
              </w:rPr>
              <w:fldChar w:fldCharType="end"/>
            </w:r>
          </w:hyperlink>
        </w:p>
        <w:p w14:paraId="638DA506" w14:textId="1EBE92A0" w:rsidR="00516BAD" w:rsidRDefault="00516BAD">
          <w:pPr>
            <w:pStyle w:val="TOC1"/>
            <w:rPr>
              <w:rFonts w:asciiTheme="minorHAnsi" w:hAnsiTheme="minorHAnsi"/>
              <w:b w:val="0"/>
              <w:bCs w:val="0"/>
              <w:sz w:val="22"/>
              <w:szCs w:val="22"/>
              <w:lang w:val="en-GB"/>
            </w:rPr>
          </w:pPr>
          <w:hyperlink w:anchor="_Toc113010913" w:history="1">
            <w:r w:rsidRPr="001D7E51">
              <w:rPr>
                <w:rStyle w:val="Hyperlink"/>
              </w:rPr>
              <w:t>5.0</w:t>
            </w:r>
            <w:r>
              <w:rPr>
                <w:rFonts w:asciiTheme="minorHAnsi" w:hAnsiTheme="minorHAnsi"/>
                <w:b w:val="0"/>
                <w:bCs w:val="0"/>
                <w:sz w:val="22"/>
                <w:szCs w:val="22"/>
                <w:lang w:val="en-GB"/>
              </w:rPr>
              <w:tab/>
            </w:r>
            <w:r w:rsidRPr="001D7E51">
              <w:rPr>
                <w:rStyle w:val="Hyperlink"/>
              </w:rPr>
              <w:t>Parliamentary scrutiny of human rights</w:t>
            </w:r>
            <w:r>
              <w:rPr>
                <w:webHidden/>
              </w:rPr>
              <w:tab/>
            </w:r>
            <w:r>
              <w:rPr>
                <w:webHidden/>
              </w:rPr>
              <w:fldChar w:fldCharType="begin"/>
            </w:r>
            <w:r>
              <w:rPr>
                <w:webHidden/>
              </w:rPr>
              <w:instrText xml:space="preserve"> PAGEREF _Toc113010913 \h </w:instrText>
            </w:r>
            <w:r>
              <w:rPr>
                <w:webHidden/>
              </w:rPr>
            </w:r>
            <w:r>
              <w:rPr>
                <w:webHidden/>
              </w:rPr>
              <w:fldChar w:fldCharType="separate"/>
            </w:r>
            <w:r w:rsidR="00530692">
              <w:rPr>
                <w:webHidden/>
              </w:rPr>
              <w:t>9</w:t>
            </w:r>
            <w:r>
              <w:rPr>
                <w:webHidden/>
              </w:rPr>
              <w:fldChar w:fldCharType="end"/>
            </w:r>
          </w:hyperlink>
        </w:p>
        <w:p w14:paraId="4C00C0D4" w14:textId="2D195A69" w:rsidR="00516BAD" w:rsidRDefault="00516BAD">
          <w:pPr>
            <w:pStyle w:val="TOC1"/>
            <w:rPr>
              <w:rFonts w:asciiTheme="minorHAnsi" w:hAnsiTheme="minorHAnsi"/>
              <w:b w:val="0"/>
              <w:bCs w:val="0"/>
              <w:sz w:val="22"/>
              <w:szCs w:val="22"/>
              <w:lang w:val="en-GB"/>
            </w:rPr>
          </w:pPr>
          <w:hyperlink w:anchor="_Toc113010914" w:history="1">
            <w:r w:rsidRPr="001D7E51">
              <w:rPr>
                <w:rStyle w:val="Hyperlink"/>
              </w:rPr>
              <w:t>6.0</w:t>
            </w:r>
            <w:r>
              <w:rPr>
                <w:rFonts w:asciiTheme="minorHAnsi" w:hAnsiTheme="minorHAnsi"/>
                <w:b w:val="0"/>
                <w:bCs w:val="0"/>
                <w:sz w:val="22"/>
                <w:szCs w:val="22"/>
                <w:lang w:val="en-GB"/>
              </w:rPr>
              <w:tab/>
            </w:r>
            <w:r w:rsidRPr="001D7E51">
              <w:rPr>
                <w:rStyle w:val="Hyperlink"/>
              </w:rPr>
              <w:t>Interpreting and Applying the Law</w:t>
            </w:r>
            <w:r>
              <w:rPr>
                <w:webHidden/>
              </w:rPr>
              <w:tab/>
            </w:r>
            <w:r>
              <w:rPr>
                <w:webHidden/>
              </w:rPr>
              <w:fldChar w:fldCharType="begin"/>
            </w:r>
            <w:r>
              <w:rPr>
                <w:webHidden/>
              </w:rPr>
              <w:instrText xml:space="preserve"> PAGEREF _Toc113010914 \h </w:instrText>
            </w:r>
            <w:r>
              <w:rPr>
                <w:webHidden/>
              </w:rPr>
            </w:r>
            <w:r>
              <w:rPr>
                <w:webHidden/>
              </w:rPr>
              <w:fldChar w:fldCharType="separate"/>
            </w:r>
            <w:r w:rsidR="00530692">
              <w:rPr>
                <w:webHidden/>
              </w:rPr>
              <w:t>11</w:t>
            </w:r>
            <w:r>
              <w:rPr>
                <w:webHidden/>
              </w:rPr>
              <w:fldChar w:fldCharType="end"/>
            </w:r>
          </w:hyperlink>
        </w:p>
        <w:p w14:paraId="53F26333" w14:textId="78152B56" w:rsidR="00516BAD" w:rsidRDefault="00516BAD">
          <w:pPr>
            <w:pStyle w:val="TOC2"/>
            <w:tabs>
              <w:tab w:val="right" w:leader="dot" w:pos="9016"/>
            </w:tabs>
            <w:rPr>
              <w:rFonts w:asciiTheme="minorHAnsi" w:hAnsiTheme="minorHAnsi"/>
              <w:noProof/>
              <w:sz w:val="22"/>
              <w:szCs w:val="22"/>
              <w:lang w:eastAsia="en-GB"/>
            </w:rPr>
          </w:pPr>
          <w:hyperlink w:anchor="_Toc113010915" w:history="1">
            <w:r w:rsidRPr="001D7E51">
              <w:rPr>
                <w:rStyle w:val="Hyperlink"/>
                <w:noProof/>
                <w:lang w:val="en" w:eastAsia="en-GB"/>
              </w:rPr>
              <w:t>Positive obligations</w:t>
            </w:r>
            <w:r>
              <w:rPr>
                <w:noProof/>
                <w:webHidden/>
              </w:rPr>
              <w:tab/>
            </w:r>
            <w:r>
              <w:rPr>
                <w:noProof/>
                <w:webHidden/>
              </w:rPr>
              <w:fldChar w:fldCharType="begin"/>
            </w:r>
            <w:r>
              <w:rPr>
                <w:noProof/>
                <w:webHidden/>
              </w:rPr>
              <w:instrText xml:space="preserve"> PAGEREF _Toc113010915 \h </w:instrText>
            </w:r>
            <w:r>
              <w:rPr>
                <w:noProof/>
                <w:webHidden/>
              </w:rPr>
            </w:r>
            <w:r>
              <w:rPr>
                <w:noProof/>
                <w:webHidden/>
              </w:rPr>
              <w:fldChar w:fldCharType="separate"/>
            </w:r>
            <w:r w:rsidR="00530692">
              <w:rPr>
                <w:noProof/>
                <w:webHidden/>
              </w:rPr>
              <w:t>11</w:t>
            </w:r>
            <w:r>
              <w:rPr>
                <w:noProof/>
                <w:webHidden/>
              </w:rPr>
              <w:fldChar w:fldCharType="end"/>
            </w:r>
          </w:hyperlink>
        </w:p>
        <w:p w14:paraId="14D481BC" w14:textId="4AE29229" w:rsidR="00516BAD" w:rsidRDefault="00516BAD">
          <w:pPr>
            <w:pStyle w:val="TOC2"/>
            <w:tabs>
              <w:tab w:val="right" w:leader="dot" w:pos="9016"/>
            </w:tabs>
            <w:rPr>
              <w:rFonts w:asciiTheme="minorHAnsi" w:hAnsiTheme="minorHAnsi"/>
              <w:noProof/>
              <w:sz w:val="22"/>
              <w:szCs w:val="22"/>
              <w:lang w:eastAsia="en-GB"/>
            </w:rPr>
          </w:pPr>
          <w:hyperlink w:anchor="_Toc113010916" w:history="1">
            <w:r w:rsidRPr="001D7E51">
              <w:rPr>
                <w:rStyle w:val="Hyperlink"/>
                <w:noProof/>
              </w:rPr>
              <w:t>Proportionality</w:t>
            </w:r>
            <w:r>
              <w:rPr>
                <w:noProof/>
                <w:webHidden/>
              </w:rPr>
              <w:tab/>
            </w:r>
            <w:r>
              <w:rPr>
                <w:noProof/>
                <w:webHidden/>
              </w:rPr>
              <w:fldChar w:fldCharType="begin"/>
            </w:r>
            <w:r>
              <w:rPr>
                <w:noProof/>
                <w:webHidden/>
              </w:rPr>
              <w:instrText xml:space="preserve"> PAGEREF _Toc113010916 \h </w:instrText>
            </w:r>
            <w:r>
              <w:rPr>
                <w:noProof/>
                <w:webHidden/>
              </w:rPr>
            </w:r>
            <w:r>
              <w:rPr>
                <w:noProof/>
                <w:webHidden/>
              </w:rPr>
              <w:fldChar w:fldCharType="separate"/>
            </w:r>
            <w:r w:rsidR="00530692">
              <w:rPr>
                <w:noProof/>
                <w:webHidden/>
              </w:rPr>
              <w:t>13</w:t>
            </w:r>
            <w:r>
              <w:rPr>
                <w:noProof/>
                <w:webHidden/>
              </w:rPr>
              <w:fldChar w:fldCharType="end"/>
            </w:r>
          </w:hyperlink>
        </w:p>
        <w:p w14:paraId="3781B37B" w14:textId="40C5993D" w:rsidR="00516BAD" w:rsidRDefault="00516BAD">
          <w:pPr>
            <w:pStyle w:val="TOC2"/>
            <w:tabs>
              <w:tab w:val="right" w:leader="dot" w:pos="9016"/>
            </w:tabs>
            <w:rPr>
              <w:rFonts w:asciiTheme="minorHAnsi" w:hAnsiTheme="minorHAnsi"/>
              <w:noProof/>
              <w:sz w:val="22"/>
              <w:szCs w:val="22"/>
              <w:lang w:eastAsia="en-GB"/>
            </w:rPr>
          </w:pPr>
          <w:hyperlink w:anchor="_Toc113010917" w:history="1">
            <w:r w:rsidRPr="001D7E51">
              <w:rPr>
                <w:rStyle w:val="Hyperlink"/>
                <w:noProof/>
              </w:rPr>
              <w:t>Meaningful consultation</w:t>
            </w:r>
            <w:r>
              <w:rPr>
                <w:noProof/>
                <w:webHidden/>
              </w:rPr>
              <w:tab/>
            </w:r>
            <w:r>
              <w:rPr>
                <w:noProof/>
                <w:webHidden/>
              </w:rPr>
              <w:fldChar w:fldCharType="begin"/>
            </w:r>
            <w:r>
              <w:rPr>
                <w:noProof/>
                <w:webHidden/>
              </w:rPr>
              <w:instrText xml:space="preserve"> PAGEREF _Toc113010917 \h </w:instrText>
            </w:r>
            <w:r>
              <w:rPr>
                <w:noProof/>
                <w:webHidden/>
              </w:rPr>
            </w:r>
            <w:r>
              <w:rPr>
                <w:noProof/>
                <w:webHidden/>
              </w:rPr>
              <w:fldChar w:fldCharType="separate"/>
            </w:r>
            <w:r w:rsidR="00530692">
              <w:rPr>
                <w:noProof/>
                <w:webHidden/>
              </w:rPr>
              <w:t>14</w:t>
            </w:r>
            <w:r>
              <w:rPr>
                <w:noProof/>
                <w:webHidden/>
              </w:rPr>
              <w:fldChar w:fldCharType="end"/>
            </w:r>
          </w:hyperlink>
        </w:p>
        <w:p w14:paraId="05CF59A4" w14:textId="19D278EF" w:rsidR="00516BAD" w:rsidRDefault="00516BAD">
          <w:pPr>
            <w:pStyle w:val="TOC1"/>
            <w:rPr>
              <w:rFonts w:asciiTheme="minorHAnsi" w:hAnsiTheme="minorHAnsi"/>
              <w:b w:val="0"/>
              <w:bCs w:val="0"/>
              <w:sz w:val="22"/>
              <w:szCs w:val="22"/>
              <w:lang w:val="en-GB"/>
            </w:rPr>
          </w:pPr>
          <w:hyperlink w:anchor="_Toc113010918" w:history="1">
            <w:r w:rsidRPr="001D7E51">
              <w:rPr>
                <w:rStyle w:val="Hyperlink"/>
              </w:rPr>
              <w:t>7.0</w:t>
            </w:r>
            <w:r>
              <w:rPr>
                <w:rFonts w:asciiTheme="minorHAnsi" w:hAnsiTheme="minorHAnsi"/>
                <w:b w:val="0"/>
                <w:bCs w:val="0"/>
                <w:sz w:val="22"/>
                <w:szCs w:val="22"/>
                <w:lang w:val="en-GB"/>
              </w:rPr>
              <w:tab/>
            </w:r>
            <w:r w:rsidRPr="001D7E51">
              <w:rPr>
                <w:rStyle w:val="Hyperlink"/>
              </w:rPr>
              <w:t>Enforcement of Human Rights</w:t>
            </w:r>
            <w:r>
              <w:rPr>
                <w:webHidden/>
              </w:rPr>
              <w:tab/>
            </w:r>
            <w:r>
              <w:rPr>
                <w:webHidden/>
              </w:rPr>
              <w:fldChar w:fldCharType="begin"/>
            </w:r>
            <w:r>
              <w:rPr>
                <w:webHidden/>
              </w:rPr>
              <w:instrText xml:space="preserve"> PAGEREF _Toc113010918 \h </w:instrText>
            </w:r>
            <w:r>
              <w:rPr>
                <w:webHidden/>
              </w:rPr>
            </w:r>
            <w:r>
              <w:rPr>
                <w:webHidden/>
              </w:rPr>
              <w:fldChar w:fldCharType="separate"/>
            </w:r>
            <w:r w:rsidR="00530692">
              <w:rPr>
                <w:webHidden/>
              </w:rPr>
              <w:t>15</w:t>
            </w:r>
            <w:r>
              <w:rPr>
                <w:webHidden/>
              </w:rPr>
              <w:fldChar w:fldCharType="end"/>
            </w:r>
          </w:hyperlink>
        </w:p>
        <w:p w14:paraId="7EAEA7E4" w14:textId="61537A31" w:rsidR="00516BAD" w:rsidRDefault="00516BAD">
          <w:pPr>
            <w:pStyle w:val="TOC1"/>
            <w:rPr>
              <w:rFonts w:asciiTheme="minorHAnsi" w:hAnsiTheme="minorHAnsi"/>
              <w:b w:val="0"/>
              <w:bCs w:val="0"/>
              <w:sz w:val="22"/>
              <w:szCs w:val="22"/>
              <w:lang w:val="en-GB"/>
            </w:rPr>
          </w:pPr>
          <w:hyperlink w:anchor="_Toc113010919" w:history="1">
            <w:r w:rsidRPr="001D7E51">
              <w:rPr>
                <w:rStyle w:val="Hyperlink"/>
              </w:rPr>
              <w:t>8.0</w:t>
            </w:r>
            <w:r>
              <w:rPr>
                <w:rFonts w:asciiTheme="minorHAnsi" w:hAnsiTheme="minorHAnsi"/>
                <w:b w:val="0"/>
                <w:bCs w:val="0"/>
                <w:sz w:val="22"/>
                <w:szCs w:val="22"/>
                <w:lang w:val="en-GB"/>
              </w:rPr>
              <w:tab/>
            </w:r>
            <w:r w:rsidRPr="001D7E51">
              <w:rPr>
                <w:rStyle w:val="Hyperlink"/>
              </w:rPr>
              <w:t>Specific Issues</w:t>
            </w:r>
            <w:r>
              <w:rPr>
                <w:webHidden/>
              </w:rPr>
              <w:tab/>
            </w:r>
            <w:r>
              <w:rPr>
                <w:webHidden/>
              </w:rPr>
              <w:fldChar w:fldCharType="begin"/>
            </w:r>
            <w:r>
              <w:rPr>
                <w:webHidden/>
              </w:rPr>
              <w:instrText xml:space="preserve"> PAGEREF _Toc113010919 \h </w:instrText>
            </w:r>
            <w:r>
              <w:rPr>
                <w:webHidden/>
              </w:rPr>
            </w:r>
            <w:r>
              <w:rPr>
                <w:webHidden/>
              </w:rPr>
              <w:fldChar w:fldCharType="separate"/>
            </w:r>
            <w:r w:rsidR="00530692">
              <w:rPr>
                <w:webHidden/>
              </w:rPr>
              <w:t>16</w:t>
            </w:r>
            <w:r>
              <w:rPr>
                <w:webHidden/>
              </w:rPr>
              <w:fldChar w:fldCharType="end"/>
            </w:r>
          </w:hyperlink>
        </w:p>
        <w:p w14:paraId="0D6BC254" w14:textId="070F8632" w:rsidR="00516BAD" w:rsidRDefault="00516BAD">
          <w:pPr>
            <w:pStyle w:val="TOC2"/>
            <w:tabs>
              <w:tab w:val="right" w:leader="dot" w:pos="9016"/>
            </w:tabs>
            <w:rPr>
              <w:rFonts w:asciiTheme="minorHAnsi" w:hAnsiTheme="minorHAnsi"/>
              <w:noProof/>
              <w:sz w:val="22"/>
              <w:szCs w:val="22"/>
              <w:lang w:eastAsia="en-GB"/>
            </w:rPr>
          </w:pPr>
          <w:hyperlink w:anchor="_Toc113010920" w:history="1">
            <w:r w:rsidRPr="001D7E51">
              <w:rPr>
                <w:rStyle w:val="Hyperlink"/>
                <w:noProof/>
                <w:lang w:val="en" w:eastAsia="en-GB"/>
              </w:rPr>
              <w:t>Universality</w:t>
            </w:r>
            <w:r>
              <w:rPr>
                <w:noProof/>
                <w:webHidden/>
              </w:rPr>
              <w:tab/>
            </w:r>
            <w:r>
              <w:rPr>
                <w:noProof/>
                <w:webHidden/>
              </w:rPr>
              <w:fldChar w:fldCharType="begin"/>
            </w:r>
            <w:r>
              <w:rPr>
                <w:noProof/>
                <w:webHidden/>
              </w:rPr>
              <w:instrText xml:space="preserve"> PAGEREF _Toc113010920 \h </w:instrText>
            </w:r>
            <w:r>
              <w:rPr>
                <w:noProof/>
                <w:webHidden/>
              </w:rPr>
            </w:r>
            <w:r>
              <w:rPr>
                <w:noProof/>
                <w:webHidden/>
              </w:rPr>
              <w:fldChar w:fldCharType="separate"/>
            </w:r>
            <w:r w:rsidR="00530692">
              <w:rPr>
                <w:noProof/>
                <w:webHidden/>
              </w:rPr>
              <w:t>16</w:t>
            </w:r>
            <w:r>
              <w:rPr>
                <w:noProof/>
                <w:webHidden/>
              </w:rPr>
              <w:fldChar w:fldCharType="end"/>
            </w:r>
          </w:hyperlink>
        </w:p>
        <w:p w14:paraId="7A0AC496" w14:textId="6C5DE28F" w:rsidR="00516BAD" w:rsidRDefault="00516BAD">
          <w:pPr>
            <w:pStyle w:val="TOC2"/>
            <w:tabs>
              <w:tab w:val="right" w:leader="dot" w:pos="9016"/>
            </w:tabs>
            <w:rPr>
              <w:rFonts w:asciiTheme="minorHAnsi" w:hAnsiTheme="minorHAnsi"/>
              <w:noProof/>
              <w:sz w:val="22"/>
              <w:szCs w:val="22"/>
              <w:lang w:eastAsia="en-GB"/>
            </w:rPr>
          </w:pPr>
          <w:hyperlink w:anchor="_Toc113010921" w:history="1">
            <w:r w:rsidRPr="001D7E51">
              <w:rPr>
                <w:rStyle w:val="Hyperlink"/>
                <w:noProof/>
              </w:rPr>
              <w:t>Hierarchy of rights</w:t>
            </w:r>
            <w:r>
              <w:rPr>
                <w:noProof/>
                <w:webHidden/>
              </w:rPr>
              <w:tab/>
            </w:r>
            <w:r>
              <w:rPr>
                <w:noProof/>
                <w:webHidden/>
              </w:rPr>
              <w:fldChar w:fldCharType="begin"/>
            </w:r>
            <w:r>
              <w:rPr>
                <w:noProof/>
                <w:webHidden/>
              </w:rPr>
              <w:instrText xml:space="preserve"> PAGEREF _Toc113010921 \h </w:instrText>
            </w:r>
            <w:r>
              <w:rPr>
                <w:noProof/>
                <w:webHidden/>
              </w:rPr>
            </w:r>
            <w:r>
              <w:rPr>
                <w:noProof/>
                <w:webHidden/>
              </w:rPr>
              <w:fldChar w:fldCharType="separate"/>
            </w:r>
            <w:r w:rsidR="00530692">
              <w:rPr>
                <w:noProof/>
                <w:webHidden/>
              </w:rPr>
              <w:t>17</w:t>
            </w:r>
            <w:r>
              <w:rPr>
                <w:noProof/>
                <w:webHidden/>
              </w:rPr>
              <w:fldChar w:fldCharType="end"/>
            </w:r>
          </w:hyperlink>
        </w:p>
        <w:p w14:paraId="0A24B7EA" w14:textId="1240428B" w:rsidR="00516BAD" w:rsidRDefault="00516BAD">
          <w:pPr>
            <w:pStyle w:val="TOC2"/>
            <w:tabs>
              <w:tab w:val="right" w:leader="dot" w:pos="9016"/>
            </w:tabs>
            <w:rPr>
              <w:rFonts w:asciiTheme="minorHAnsi" w:hAnsiTheme="minorHAnsi"/>
              <w:noProof/>
              <w:sz w:val="22"/>
              <w:szCs w:val="22"/>
              <w:lang w:eastAsia="en-GB"/>
            </w:rPr>
          </w:pPr>
          <w:hyperlink w:anchor="_Toc113010922" w:history="1">
            <w:r w:rsidRPr="001D7E51">
              <w:rPr>
                <w:rStyle w:val="Hyperlink"/>
                <w:noProof/>
                <w:shd w:val="clear" w:color="auto" w:fill="FFFFFF"/>
              </w:rPr>
              <w:t>Extra-territoriality</w:t>
            </w:r>
            <w:r>
              <w:rPr>
                <w:noProof/>
                <w:webHidden/>
              </w:rPr>
              <w:tab/>
            </w:r>
            <w:r>
              <w:rPr>
                <w:noProof/>
                <w:webHidden/>
              </w:rPr>
              <w:fldChar w:fldCharType="begin"/>
            </w:r>
            <w:r>
              <w:rPr>
                <w:noProof/>
                <w:webHidden/>
              </w:rPr>
              <w:instrText xml:space="preserve"> PAGEREF _Toc113010922 \h </w:instrText>
            </w:r>
            <w:r>
              <w:rPr>
                <w:noProof/>
                <w:webHidden/>
              </w:rPr>
            </w:r>
            <w:r>
              <w:rPr>
                <w:noProof/>
                <w:webHidden/>
              </w:rPr>
              <w:fldChar w:fldCharType="separate"/>
            </w:r>
            <w:r w:rsidR="00530692">
              <w:rPr>
                <w:noProof/>
                <w:webHidden/>
              </w:rPr>
              <w:t>18</w:t>
            </w:r>
            <w:r>
              <w:rPr>
                <w:noProof/>
                <w:webHidden/>
              </w:rPr>
              <w:fldChar w:fldCharType="end"/>
            </w:r>
          </w:hyperlink>
        </w:p>
        <w:p w14:paraId="3DB04494" w14:textId="76D0FA02" w:rsidR="00516BAD" w:rsidRDefault="00516BAD">
          <w:pPr>
            <w:pStyle w:val="TOC2"/>
            <w:tabs>
              <w:tab w:val="right" w:leader="dot" w:pos="9016"/>
            </w:tabs>
            <w:rPr>
              <w:rFonts w:asciiTheme="minorHAnsi" w:hAnsiTheme="minorHAnsi"/>
              <w:noProof/>
              <w:sz w:val="22"/>
              <w:szCs w:val="22"/>
              <w:lang w:eastAsia="en-GB"/>
            </w:rPr>
          </w:pPr>
          <w:hyperlink w:anchor="_Toc113010923" w:history="1">
            <w:r w:rsidRPr="001D7E51">
              <w:rPr>
                <w:rStyle w:val="Hyperlink"/>
                <w:noProof/>
                <w:shd w:val="clear" w:color="auto" w:fill="FFFFFF"/>
              </w:rPr>
              <w:t>Trial by jury</w:t>
            </w:r>
            <w:r>
              <w:rPr>
                <w:noProof/>
                <w:webHidden/>
              </w:rPr>
              <w:tab/>
            </w:r>
            <w:r>
              <w:rPr>
                <w:noProof/>
                <w:webHidden/>
              </w:rPr>
              <w:fldChar w:fldCharType="begin"/>
            </w:r>
            <w:r>
              <w:rPr>
                <w:noProof/>
                <w:webHidden/>
              </w:rPr>
              <w:instrText xml:space="preserve"> PAGEREF _Toc113010923 \h </w:instrText>
            </w:r>
            <w:r>
              <w:rPr>
                <w:noProof/>
                <w:webHidden/>
              </w:rPr>
            </w:r>
            <w:r>
              <w:rPr>
                <w:noProof/>
                <w:webHidden/>
              </w:rPr>
              <w:fldChar w:fldCharType="separate"/>
            </w:r>
            <w:r w:rsidR="00530692">
              <w:rPr>
                <w:noProof/>
                <w:webHidden/>
              </w:rPr>
              <w:t>19</w:t>
            </w:r>
            <w:r>
              <w:rPr>
                <w:noProof/>
                <w:webHidden/>
              </w:rPr>
              <w:fldChar w:fldCharType="end"/>
            </w:r>
          </w:hyperlink>
        </w:p>
        <w:p w14:paraId="2E43C0ED" w14:textId="01DC37A9" w:rsidR="00516BAD" w:rsidRDefault="00516BAD">
          <w:pPr>
            <w:pStyle w:val="TOC1"/>
            <w:rPr>
              <w:rFonts w:asciiTheme="minorHAnsi" w:hAnsiTheme="minorHAnsi"/>
              <w:b w:val="0"/>
              <w:bCs w:val="0"/>
              <w:sz w:val="22"/>
              <w:szCs w:val="22"/>
              <w:lang w:val="en-GB"/>
            </w:rPr>
          </w:pPr>
          <w:hyperlink w:anchor="_Toc113010924" w:history="1">
            <w:r w:rsidRPr="001D7E51">
              <w:rPr>
                <w:rStyle w:val="Hyperlink"/>
              </w:rPr>
              <w:t>9.0</w:t>
            </w:r>
            <w:r>
              <w:rPr>
                <w:rFonts w:asciiTheme="minorHAnsi" w:hAnsiTheme="minorHAnsi"/>
                <w:b w:val="0"/>
                <w:bCs w:val="0"/>
                <w:sz w:val="22"/>
                <w:szCs w:val="22"/>
                <w:lang w:val="en-GB"/>
              </w:rPr>
              <w:tab/>
            </w:r>
            <w:r w:rsidRPr="001D7E51">
              <w:rPr>
                <w:rStyle w:val="Hyperlink"/>
              </w:rPr>
              <w:t>Devolution</w:t>
            </w:r>
            <w:r>
              <w:rPr>
                <w:webHidden/>
              </w:rPr>
              <w:tab/>
            </w:r>
            <w:r>
              <w:rPr>
                <w:webHidden/>
              </w:rPr>
              <w:fldChar w:fldCharType="begin"/>
            </w:r>
            <w:r>
              <w:rPr>
                <w:webHidden/>
              </w:rPr>
              <w:instrText xml:space="preserve"> PAGEREF _Toc113010924 \h </w:instrText>
            </w:r>
            <w:r>
              <w:rPr>
                <w:webHidden/>
              </w:rPr>
            </w:r>
            <w:r>
              <w:rPr>
                <w:webHidden/>
              </w:rPr>
              <w:fldChar w:fldCharType="separate"/>
            </w:r>
            <w:r w:rsidR="00530692">
              <w:rPr>
                <w:webHidden/>
              </w:rPr>
              <w:t>20</w:t>
            </w:r>
            <w:r>
              <w:rPr>
                <w:webHidden/>
              </w:rPr>
              <w:fldChar w:fldCharType="end"/>
            </w:r>
          </w:hyperlink>
        </w:p>
        <w:p w14:paraId="784D11CC" w14:textId="320B26AD" w:rsidR="00516BAD" w:rsidRDefault="00516BAD">
          <w:pPr>
            <w:pStyle w:val="TOC1"/>
            <w:rPr>
              <w:rFonts w:asciiTheme="minorHAnsi" w:hAnsiTheme="minorHAnsi"/>
              <w:b w:val="0"/>
              <w:bCs w:val="0"/>
              <w:sz w:val="22"/>
              <w:szCs w:val="22"/>
              <w:lang w:val="en-GB"/>
            </w:rPr>
          </w:pPr>
          <w:hyperlink w:anchor="_Toc113010925" w:history="1">
            <w:r w:rsidRPr="001D7E51">
              <w:rPr>
                <w:rStyle w:val="Hyperlink"/>
              </w:rPr>
              <w:t>10.0 NIHRC’s Powers</w:t>
            </w:r>
            <w:r>
              <w:rPr>
                <w:webHidden/>
              </w:rPr>
              <w:tab/>
            </w:r>
            <w:r>
              <w:rPr>
                <w:webHidden/>
              </w:rPr>
              <w:fldChar w:fldCharType="begin"/>
            </w:r>
            <w:r>
              <w:rPr>
                <w:webHidden/>
              </w:rPr>
              <w:instrText xml:space="preserve"> PAGEREF _Toc113010925 \h </w:instrText>
            </w:r>
            <w:r>
              <w:rPr>
                <w:webHidden/>
              </w:rPr>
            </w:r>
            <w:r>
              <w:rPr>
                <w:webHidden/>
              </w:rPr>
              <w:fldChar w:fldCharType="separate"/>
            </w:r>
            <w:r w:rsidR="00530692">
              <w:rPr>
                <w:webHidden/>
              </w:rPr>
              <w:t>22</w:t>
            </w:r>
            <w:r>
              <w:rPr>
                <w:webHidden/>
              </w:rPr>
              <w:fldChar w:fldCharType="end"/>
            </w:r>
          </w:hyperlink>
        </w:p>
        <w:p w14:paraId="097AA885" w14:textId="3FB0A6CF" w:rsidR="007A364A" w:rsidRDefault="007B4BD4" w:rsidP="6EF483D1">
          <w:pPr>
            <w:pStyle w:val="TOC1"/>
            <w:tabs>
              <w:tab w:val="clear" w:pos="9016"/>
              <w:tab w:val="right" w:leader="dot" w:pos="9015"/>
              <w:tab w:val="left" w:pos="480"/>
            </w:tabs>
            <w:rPr>
              <w:rFonts w:eastAsia="Yu Mincho"/>
              <w:lang w:val="en-GB"/>
            </w:rPr>
          </w:pPr>
          <w:r>
            <w:fldChar w:fldCharType="end"/>
          </w:r>
        </w:p>
      </w:sdtContent>
    </w:sdt>
    <w:p w14:paraId="2983B212" w14:textId="7EDAD4F4" w:rsidR="006B0D35" w:rsidRDefault="006B0D35"/>
    <w:p w14:paraId="45CCA5C7" w14:textId="57009D6E" w:rsidR="00DB0F0C" w:rsidRDefault="00DB0F0C">
      <w:r>
        <w:br w:type="page"/>
      </w:r>
    </w:p>
    <w:p w14:paraId="6B47E171" w14:textId="6A2B72C8" w:rsidR="00DB0F0C" w:rsidRDefault="00DB0F0C" w:rsidP="000B660E">
      <w:pPr>
        <w:pStyle w:val="Heading1"/>
        <w:numPr>
          <w:ilvl w:val="0"/>
          <w:numId w:val="12"/>
        </w:numPr>
      </w:pPr>
      <w:bookmarkStart w:id="0" w:name="_Toc99362340"/>
      <w:bookmarkStart w:id="1" w:name="_Toc113010909"/>
      <w:r>
        <w:lastRenderedPageBreak/>
        <w:t>Introduction</w:t>
      </w:r>
      <w:bookmarkEnd w:id="0"/>
      <w:bookmarkEnd w:id="1"/>
    </w:p>
    <w:p w14:paraId="7EA80DCA" w14:textId="396A4968" w:rsidR="00DE688D" w:rsidRPr="00C521FF" w:rsidRDefault="00C00D80" w:rsidP="00DE688D">
      <w:pPr>
        <w:pStyle w:val="ListParagraph"/>
        <w:numPr>
          <w:ilvl w:val="1"/>
          <w:numId w:val="12"/>
        </w:numPr>
      </w:pPr>
      <w:r w:rsidRPr="00C521FF">
        <w:t>The Northern Ireland Human Rights Commission (NIHRC), pursuant to section 69(1) of the Northern Ireland (NI) Act 1998, reviews the adequacy and effectiveness of law and practice relating to the protection of human rights in NI. The NIHRC is also mandated, under section 78A(1) to monitor the implementation of Article 2(1) of the Protocol on Ireland/NI of the European Union (EU) Withdrawal Agreement, to ensure there is no diminution of rights protected in the ‘Rights, Safeguards and Equality of Opportunity’ chapter of the Belfast (Good Friday) Agreement 1998 as a result of the United Kingdom</w:t>
      </w:r>
      <w:r w:rsidR="006921AE" w:rsidRPr="00C521FF">
        <w:t xml:space="preserve"> (UK)</w:t>
      </w:r>
      <w:r w:rsidRPr="00C521FF">
        <w:t xml:space="preserve">’s withdrawal from the </w:t>
      </w:r>
      <w:r w:rsidR="006921AE" w:rsidRPr="00C521FF">
        <w:t>EU</w:t>
      </w:r>
      <w:r w:rsidRPr="00C521FF">
        <w:t>. In accordance with these functions</w:t>
      </w:r>
      <w:r w:rsidR="006921AE" w:rsidRPr="00C521FF">
        <w:t>,</w:t>
      </w:r>
      <w:r w:rsidRPr="00C521FF">
        <w:t xml:space="preserve"> the following evidence is submitted to the Joint Committee on Human Rights (Joint Committee) for its legislative scrutiny of the </w:t>
      </w:r>
      <w:r w:rsidR="00EC4A53" w:rsidRPr="00C521FF">
        <w:t>Bill of Rights</w:t>
      </w:r>
      <w:r w:rsidRPr="00C521FF">
        <w:t xml:space="preserve"> Bill.</w:t>
      </w:r>
    </w:p>
    <w:p w14:paraId="5F307B18" w14:textId="77777777" w:rsidR="00DE688D" w:rsidRPr="00C521FF" w:rsidRDefault="00DE688D" w:rsidP="00DE688D">
      <w:pPr>
        <w:pStyle w:val="ListParagraph"/>
        <w:numPr>
          <w:ilvl w:val="0"/>
          <w:numId w:val="0"/>
        </w:numPr>
      </w:pPr>
    </w:p>
    <w:p w14:paraId="71A5F507" w14:textId="5BF734DF" w:rsidR="00C00D80" w:rsidRPr="00C521FF" w:rsidRDefault="00C00D80" w:rsidP="00DE688D">
      <w:pPr>
        <w:pStyle w:val="ListParagraph"/>
        <w:numPr>
          <w:ilvl w:val="1"/>
          <w:numId w:val="12"/>
        </w:numPr>
      </w:pPr>
      <w:r w:rsidRPr="00C521FF">
        <w:t>The NIHRC is due to publish comprehensive advice, which will be shared with the Joint Committee in due course. This evidence raises the headline issues in line with the Joint Committee’s questions.</w:t>
      </w:r>
    </w:p>
    <w:p w14:paraId="492D75F5" w14:textId="77777777" w:rsidR="004F03D8" w:rsidRPr="002913CB" w:rsidRDefault="004F03D8" w:rsidP="004F03D8">
      <w:pPr>
        <w:pStyle w:val="ListParagraph"/>
        <w:numPr>
          <w:ilvl w:val="0"/>
          <w:numId w:val="0"/>
        </w:numPr>
      </w:pPr>
    </w:p>
    <w:p w14:paraId="753DF361" w14:textId="2A7D84F8" w:rsidR="004A069A" w:rsidRPr="004A069A" w:rsidRDefault="004A069A" w:rsidP="0697744C">
      <w:pPr>
        <w:pStyle w:val="Heading1"/>
        <w:numPr>
          <w:ilvl w:val="0"/>
          <w:numId w:val="14"/>
        </w:numPr>
      </w:pPr>
      <w:bookmarkStart w:id="2" w:name="_Toc113010910"/>
      <w:r>
        <w:t>Repeal of Human Rights Act 1998</w:t>
      </w:r>
      <w:bookmarkEnd w:id="2"/>
    </w:p>
    <w:p w14:paraId="2683DA56" w14:textId="58421610" w:rsidR="00DE688D" w:rsidRPr="00C521FF" w:rsidRDefault="00DE688D" w:rsidP="00DE688D">
      <w:pPr>
        <w:ind w:left="720" w:hanging="720"/>
      </w:pPr>
      <w:r w:rsidRPr="00C521FF">
        <w:t>2.1</w:t>
      </w:r>
      <w:r w:rsidRPr="00C521FF">
        <w:tab/>
      </w:r>
      <w:r w:rsidR="00160844" w:rsidRPr="00C521FF">
        <w:t xml:space="preserve">Several independent human rights experts </w:t>
      </w:r>
      <w:r w:rsidR="00C83513" w:rsidRPr="00C521FF">
        <w:t>have emphasised</w:t>
      </w:r>
      <w:r w:rsidR="00160844" w:rsidRPr="00C521FF">
        <w:t xml:space="preserve"> that any change to the UK’s current domestic human rights framework should strengthen, not weaken</w:t>
      </w:r>
      <w:r w:rsidR="00C66A7D">
        <w:t>,</w:t>
      </w:r>
      <w:r w:rsidR="00160844" w:rsidRPr="00C521FF">
        <w:t xml:space="preserve"> human rights protections.</w:t>
      </w:r>
      <w:r w:rsidR="00160844" w:rsidRPr="00C521FF">
        <w:rPr>
          <w:rStyle w:val="FootnoteReference"/>
        </w:rPr>
        <w:footnoteReference w:id="2"/>
      </w:r>
      <w:r w:rsidR="00160844" w:rsidRPr="00C521FF">
        <w:t xml:space="preserve"> Also, specific to NI, any changes should “</w:t>
      </w:r>
      <w:r w:rsidR="00160844" w:rsidRPr="00C521FF">
        <w:rPr>
          <w:rStyle w:val="Strong"/>
          <w:b w:val="0"/>
          <w:bCs w:val="0"/>
        </w:rPr>
        <w:t>complement rather than replace the incorporation of the ECHR in NI law”.</w:t>
      </w:r>
      <w:r w:rsidR="00160844" w:rsidRPr="00C521FF">
        <w:rPr>
          <w:rStyle w:val="FootnoteReference"/>
        </w:rPr>
        <w:footnoteReference w:id="3"/>
      </w:r>
    </w:p>
    <w:p w14:paraId="7EF5E10F" w14:textId="77777777" w:rsidR="00DE688D" w:rsidRPr="00C521FF" w:rsidRDefault="00DE688D" w:rsidP="00DE688D">
      <w:pPr>
        <w:ind w:left="720" w:hanging="720"/>
      </w:pPr>
    </w:p>
    <w:p w14:paraId="2843FB05" w14:textId="0929BFD9" w:rsidR="00774CDB" w:rsidRPr="00C521FF" w:rsidRDefault="46E4309E" w:rsidP="00DE688D">
      <w:pPr>
        <w:ind w:left="720" w:hanging="720"/>
      </w:pPr>
      <w:r>
        <w:t>2.</w:t>
      </w:r>
      <w:r w:rsidR="006B4B29">
        <w:t>2</w:t>
      </w:r>
      <w:r w:rsidR="00DE688D">
        <w:tab/>
      </w:r>
      <w:r w:rsidR="3E3FED24">
        <w:t>Furthermore</w:t>
      </w:r>
      <w:r w:rsidR="03CA8388">
        <w:t>,</w:t>
      </w:r>
      <w:r w:rsidR="3E3FED24">
        <w:t xml:space="preserve"> </w:t>
      </w:r>
      <w:r w:rsidR="03CA8388">
        <w:t>Lady Hale</w:t>
      </w:r>
      <w:r w:rsidR="3DAA4881">
        <w:t>, former President of the UK Supreme Court,</w:t>
      </w:r>
      <w:r w:rsidR="4CC78446">
        <w:t xml:space="preserve"> has stated that</w:t>
      </w:r>
      <w:r w:rsidR="6FBFEB1F">
        <w:t xml:space="preserve">: </w:t>
      </w:r>
    </w:p>
    <w:p w14:paraId="3B9CEDC8" w14:textId="0E5AD818" w:rsidR="00E239ED" w:rsidRPr="00C521FF" w:rsidRDefault="00E239ED" w:rsidP="00E239ED">
      <w:pPr>
        <w:pStyle w:val="ListParagraph"/>
        <w:numPr>
          <w:ilvl w:val="0"/>
          <w:numId w:val="0"/>
        </w:numPr>
        <w:ind w:left="720"/>
      </w:pPr>
    </w:p>
    <w:p w14:paraId="4E20BA4E" w14:textId="6F0419AC" w:rsidR="00E239ED" w:rsidRPr="00C521FF" w:rsidRDefault="00D86686" w:rsidP="00D86686">
      <w:pPr>
        <w:pStyle w:val="Quote"/>
      </w:pPr>
      <w:r w:rsidRPr="00C521FF">
        <w:rPr>
          <w:shd w:val="clear" w:color="auto" w:fill="FFFFFF"/>
        </w:rPr>
        <w:lastRenderedPageBreak/>
        <w:t>q</w:t>
      </w:r>
      <w:r w:rsidR="00E239ED" w:rsidRPr="00C521FF">
        <w:rPr>
          <w:shd w:val="clear" w:color="auto" w:fill="FFFFFF"/>
        </w:rPr>
        <w:t>uite apart from reducing the protection currently available to the victims of human rights violations, and thus risking the breach of our international obligations</w:t>
      </w:r>
      <w:r w:rsidRPr="00C521FF">
        <w:rPr>
          <w:shd w:val="clear" w:color="auto" w:fill="FFFFFF"/>
        </w:rPr>
        <w:t>… [a British Bill of Rights]</w:t>
      </w:r>
      <w:r w:rsidR="00E239ED" w:rsidRPr="00C521FF">
        <w:rPr>
          <w:shd w:val="clear" w:color="auto" w:fill="FFFFFF"/>
        </w:rPr>
        <w:t xml:space="preserve"> will lead to doubts and uncertainties and a greatly increased risk of time-consuming and costly litigation both here and in Strasbourg for years to come. And the case for taking that risk has simply not been made out.</w:t>
      </w:r>
      <w:r w:rsidRPr="00C521FF">
        <w:rPr>
          <w:rStyle w:val="FootnoteReference"/>
          <w:shd w:val="clear" w:color="auto" w:fill="FFFFFF"/>
        </w:rPr>
        <w:footnoteReference w:id="4"/>
      </w:r>
    </w:p>
    <w:p w14:paraId="5D66E890" w14:textId="77777777" w:rsidR="00E239ED" w:rsidRPr="00C521FF" w:rsidRDefault="00E239ED" w:rsidP="00E239ED">
      <w:pPr>
        <w:pStyle w:val="ListParagraph"/>
        <w:numPr>
          <w:ilvl w:val="0"/>
          <w:numId w:val="0"/>
        </w:numPr>
        <w:ind w:left="720"/>
      </w:pPr>
    </w:p>
    <w:p w14:paraId="35901C75" w14:textId="55A6C1C3" w:rsidR="006A59CE" w:rsidRPr="00C521FF" w:rsidRDefault="002D5D31" w:rsidP="006B4B29">
      <w:pPr>
        <w:pStyle w:val="ListParagraph"/>
        <w:numPr>
          <w:ilvl w:val="1"/>
          <w:numId w:val="21"/>
        </w:numPr>
      </w:pPr>
      <w:r w:rsidRPr="00C521FF">
        <w:t xml:space="preserve">Clause 1(1) of </w:t>
      </w:r>
      <w:r w:rsidR="0065674E" w:rsidRPr="00C521FF">
        <w:t>the current draft proposes</w:t>
      </w:r>
      <w:r w:rsidRPr="00C521FF">
        <w:t xml:space="preserve"> that this legislation “reforms the law relating to human rights by repealing and replacing the Human Rights Act 1998”.</w:t>
      </w:r>
      <w:r w:rsidR="0065674E" w:rsidRPr="00C521FF">
        <w:t xml:space="preserve"> </w:t>
      </w:r>
    </w:p>
    <w:p w14:paraId="4F8A0BBE" w14:textId="77777777" w:rsidR="006A59CE" w:rsidRDefault="006A59CE" w:rsidP="006A59CE">
      <w:pPr>
        <w:pStyle w:val="ListParagraph"/>
        <w:numPr>
          <w:ilvl w:val="0"/>
          <w:numId w:val="0"/>
        </w:numPr>
        <w:ind w:left="720"/>
      </w:pPr>
    </w:p>
    <w:p w14:paraId="369046D5" w14:textId="77777777" w:rsidR="002F7B84" w:rsidRDefault="0065674E" w:rsidP="00DE688D">
      <w:pPr>
        <w:pStyle w:val="ListParagraph"/>
        <w:numPr>
          <w:ilvl w:val="1"/>
          <w:numId w:val="21"/>
        </w:numPr>
        <w:rPr>
          <w:b/>
          <w:bCs/>
        </w:rPr>
      </w:pPr>
      <w:r w:rsidRPr="006A59CE">
        <w:rPr>
          <w:b/>
          <w:bCs/>
        </w:rPr>
        <w:t>T</w:t>
      </w:r>
      <w:r w:rsidR="001F04E6" w:rsidRPr="006A59CE">
        <w:rPr>
          <w:b/>
          <w:bCs/>
        </w:rPr>
        <w:t xml:space="preserve">he NIHRC is gravely concerned that </w:t>
      </w:r>
      <w:r w:rsidRPr="006A59CE">
        <w:rPr>
          <w:b/>
          <w:bCs/>
        </w:rPr>
        <w:t>the present Bill</w:t>
      </w:r>
      <w:r w:rsidR="001F04E6" w:rsidRPr="006A59CE">
        <w:rPr>
          <w:b/>
          <w:bCs/>
        </w:rPr>
        <w:t xml:space="preserve"> </w:t>
      </w:r>
      <w:r w:rsidR="006A59CE" w:rsidRPr="006A59CE">
        <w:rPr>
          <w:b/>
          <w:bCs/>
        </w:rPr>
        <w:t>will</w:t>
      </w:r>
      <w:r w:rsidR="001F04E6" w:rsidRPr="006A59CE">
        <w:rPr>
          <w:b/>
          <w:bCs/>
        </w:rPr>
        <w:t xml:space="preserve"> </w:t>
      </w:r>
      <w:r w:rsidR="00F85555">
        <w:rPr>
          <w:b/>
          <w:bCs/>
        </w:rPr>
        <w:t xml:space="preserve">significantly </w:t>
      </w:r>
      <w:r w:rsidR="00C66A7D">
        <w:rPr>
          <w:b/>
          <w:bCs/>
        </w:rPr>
        <w:t>weaken the protection afforded.</w:t>
      </w:r>
    </w:p>
    <w:p w14:paraId="57FA30F8" w14:textId="77777777" w:rsidR="002F7B84" w:rsidRPr="002F7B84" w:rsidRDefault="002F7B84" w:rsidP="002F7B84">
      <w:pPr>
        <w:pStyle w:val="ListParagraph"/>
        <w:numPr>
          <w:ilvl w:val="0"/>
          <w:numId w:val="0"/>
        </w:numPr>
        <w:rPr>
          <w:b/>
          <w:bCs/>
        </w:rPr>
      </w:pPr>
    </w:p>
    <w:p w14:paraId="2B9DC437" w14:textId="1DD6ADAE" w:rsidR="002F7B84" w:rsidRDefault="002F7B84" w:rsidP="002F7B84">
      <w:pPr>
        <w:pStyle w:val="ListParagraph"/>
        <w:numPr>
          <w:ilvl w:val="1"/>
          <w:numId w:val="21"/>
        </w:numPr>
      </w:pPr>
      <w:r w:rsidRPr="00BB6A92">
        <w:t xml:space="preserve">The UK Government and the EU recognised the centrality of human rights and equality protections to the peace process in the negotiations leading to the UK’s withdrawal from the EU and that the Belfast (Good Friday) Agreement required </w:t>
      </w:r>
      <w:r w:rsidR="00B45062">
        <w:t xml:space="preserve">special </w:t>
      </w:r>
      <w:r w:rsidRPr="00BB6A92">
        <w:t>consideration and protection.</w:t>
      </w:r>
      <w:r w:rsidRPr="00BB6A92">
        <w:rPr>
          <w:rStyle w:val="FootnoteReference"/>
        </w:rPr>
        <w:footnoteReference w:id="5"/>
      </w:r>
      <w:r>
        <w:t xml:space="preserve"> </w:t>
      </w:r>
      <w:r w:rsidRPr="00FE4C9F">
        <w:t>Protocol Article 2 requires the UK Government and the NI Executive to ensure that no diminution of rights, safeguards and equality of opportunity contained in the relevant part of the Belfast (Good Friday) Agreement occurs as a result of the UK’s withdrawal from the EU.</w:t>
      </w:r>
    </w:p>
    <w:p w14:paraId="5E7D4872" w14:textId="77777777" w:rsidR="002F7B84" w:rsidRDefault="002F7B84" w:rsidP="002F7B84">
      <w:pPr>
        <w:pStyle w:val="ListParagraph"/>
        <w:numPr>
          <w:ilvl w:val="0"/>
          <w:numId w:val="0"/>
        </w:numPr>
      </w:pPr>
    </w:p>
    <w:p w14:paraId="07512EC9" w14:textId="33B49369" w:rsidR="002F7B84" w:rsidRDefault="002F7B84" w:rsidP="002F7B84">
      <w:pPr>
        <w:pStyle w:val="ListParagraph"/>
        <w:numPr>
          <w:ilvl w:val="1"/>
          <w:numId w:val="21"/>
        </w:numPr>
      </w:pPr>
      <w:r w:rsidRPr="00C94BE2">
        <w:t xml:space="preserve">The </w:t>
      </w:r>
      <w:r>
        <w:t xml:space="preserve">UK-EU </w:t>
      </w:r>
      <w:r w:rsidRPr="00C94BE2">
        <w:t>Withdrawal Agreement</w:t>
      </w:r>
      <w:r>
        <w:t xml:space="preserve"> provides that </w:t>
      </w:r>
      <w:r w:rsidRPr="00C94BE2">
        <w:t>individuals can rely directly on the provision</w:t>
      </w:r>
      <w:r>
        <w:t>s</w:t>
      </w:r>
      <w:r w:rsidRPr="00C94BE2">
        <w:t xml:space="preserve"> of the Withdrawal Agreement, in</w:t>
      </w:r>
      <w:r>
        <w:t>clud</w:t>
      </w:r>
      <w:r w:rsidRPr="00C94BE2">
        <w:t>ing Protocol Article 2</w:t>
      </w:r>
      <w:r>
        <w:t>,</w:t>
      </w:r>
      <w:r w:rsidRPr="00C94BE2">
        <w:t xml:space="preserve"> in UK Courts.</w:t>
      </w:r>
      <w:r>
        <w:rPr>
          <w:rStyle w:val="FootnoteReference"/>
        </w:rPr>
        <w:footnoteReference w:id="6"/>
      </w:r>
      <w:r>
        <w:t xml:space="preserve"> Section 7A </w:t>
      </w:r>
      <w:r w:rsidRPr="006F6E42">
        <w:t>of the EU (Withdrawal) Act 2018</w:t>
      </w:r>
      <w:r>
        <w:t xml:space="preserve"> </w:t>
      </w:r>
      <w:r w:rsidRPr="006F6E42">
        <w:t>gives effect to all the rights, obligations and remedies arising under the UK-EU Withdrawal Agreement in UK law without the need for further enactment.</w:t>
      </w:r>
      <w:r>
        <w:t xml:space="preserve">  The UK Government has recognised that </w:t>
      </w:r>
      <w:r w:rsidRPr="006F6E42">
        <w:t>it is “obliged to ensure that holders of relevant rights are able to bring challenges before domestic courts and … that appropriate remedies are available”</w:t>
      </w:r>
      <w:r w:rsidRPr="006F6E42">
        <w:rPr>
          <w:rStyle w:val="FootnoteReference"/>
        </w:rPr>
        <w:footnoteReference w:id="7"/>
      </w:r>
      <w:r w:rsidRPr="006F6E42">
        <w:t xml:space="preserve"> </w:t>
      </w:r>
      <w:r>
        <w:t>and this has been confirmed by the NI High Court.</w:t>
      </w:r>
      <w:r>
        <w:rPr>
          <w:rStyle w:val="FootnoteReference"/>
        </w:rPr>
        <w:footnoteReference w:id="8"/>
      </w:r>
    </w:p>
    <w:p w14:paraId="507C81AD" w14:textId="77777777" w:rsidR="002F7B84" w:rsidRDefault="002F7B84" w:rsidP="002F7B84">
      <w:pPr>
        <w:pStyle w:val="ListParagraph"/>
        <w:numPr>
          <w:ilvl w:val="0"/>
          <w:numId w:val="0"/>
        </w:numPr>
      </w:pPr>
    </w:p>
    <w:p w14:paraId="415E2297" w14:textId="2C9596AC" w:rsidR="00E25F2E" w:rsidRPr="00F47DA7" w:rsidRDefault="002F7B84" w:rsidP="00E25F2E">
      <w:pPr>
        <w:pStyle w:val="ListParagraph"/>
        <w:numPr>
          <w:ilvl w:val="1"/>
          <w:numId w:val="21"/>
        </w:numPr>
        <w:rPr>
          <w:b/>
          <w:bCs/>
        </w:rPr>
      </w:pPr>
      <w:r>
        <w:rPr>
          <w:b/>
          <w:bCs/>
        </w:rPr>
        <w:t xml:space="preserve">The </w:t>
      </w:r>
      <w:r w:rsidRPr="00FE4C9F">
        <w:rPr>
          <w:b/>
          <w:bCs/>
        </w:rPr>
        <w:t xml:space="preserve">NIHRC advises that the protections in Protocol Article 2, while an important safeguard against the diminution of rights following UK withdrawal from the EU, are not a substitute for the comprehensive framework of human rights protections </w:t>
      </w:r>
      <w:r w:rsidRPr="00F47DA7">
        <w:rPr>
          <w:b/>
          <w:bCs/>
        </w:rPr>
        <w:t>under the Human Rights Act.</w:t>
      </w:r>
      <w:r w:rsidR="00BC35A8" w:rsidRPr="00F47DA7">
        <w:rPr>
          <w:b/>
          <w:bCs/>
        </w:rPr>
        <w:t xml:space="preserve"> </w:t>
      </w:r>
    </w:p>
    <w:p w14:paraId="5361C389" w14:textId="77777777" w:rsidR="00E25F2E" w:rsidRPr="00F47DA7" w:rsidRDefault="00E25F2E" w:rsidP="00E25F2E">
      <w:pPr>
        <w:pStyle w:val="ListParagraph"/>
        <w:numPr>
          <w:ilvl w:val="0"/>
          <w:numId w:val="0"/>
        </w:numPr>
      </w:pPr>
    </w:p>
    <w:p w14:paraId="5E94E7A9" w14:textId="70C8C2B1" w:rsidR="00E25F2E" w:rsidRPr="00F47DA7" w:rsidRDefault="00E25F2E" w:rsidP="00E25F2E">
      <w:pPr>
        <w:pStyle w:val="ListParagraph"/>
        <w:numPr>
          <w:ilvl w:val="1"/>
          <w:numId w:val="21"/>
        </w:numPr>
        <w:rPr>
          <w:b/>
          <w:bCs/>
        </w:rPr>
      </w:pPr>
      <w:r w:rsidRPr="00F47DA7">
        <w:rPr>
          <w:b/>
          <w:bCs/>
        </w:rPr>
        <w:t xml:space="preserve">The NIHRC is </w:t>
      </w:r>
      <w:r w:rsidR="00A4149A" w:rsidRPr="00F47DA7">
        <w:rPr>
          <w:b/>
          <w:bCs/>
        </w:rPr>
        <w:t xml:space="preserve">further </w:t>
      </w:r>
      <w:r w:rsidRPr="00F47DA7">
        <w:rPr>
          <w:b/>
          <w:bCs/>
        </w:rPr>
        <w:t xml:space="preserve">concerned that, while </w:t>
      </w:r>
      <w:r w:rsidRPr="00F47DA7">
        <w:rPr>
          <w:rFonts w:cs="Arial"/>
          <w:b/>
          <w:bCs/>
        </w:rPr>
        <w:t>Protocol Article 2 provide</w:t>
      </w:r>
      <w:r w:rsidR="00B45062" w:rsidRPr="00F47DA7">
        <w:rPr>
          <w:rFonts w:cs="Arial"/>
          <w:b/>
          <w:bCs/>
        </w:rPr>
        <w:t>s</w:t>
      </w:r>
      <w:r w:rsidRPr="00F47DA7">
        <w:rPr>
          <w:rFonts w:cs="Arial"/>
          <w:b/>
          <w:bCs/>
        </w:rPr>
        <w:t xml:space="preserve"> an additional framework for </w:t>
      </w:r>
      <w:r w:rsidR="00B45062" w:rsidRPr="00F47DA7">
        <w:rPr>
          <w:rFonts w:cs="Arial"/>
          <w:b/>
          <w:bCs/>
        </w:rPr>
        <w:t xml:space="preserve">the protection of </w:t>
      </w:r>
      <w:r w:rsidRPr="00F47DA7">
        <w:rPr>
          <w:rFonts w:cs="Arial"/>
          <w:b/>
          <w:bCs/>
        </w:rPr>
        <w:t>rights and safeguards,</w:t>
      </w:r>
      <w:r w:rsidRPr="00F47DA7">
        <w:rPr>
          <w:b/>
          <w:bCs/>
        </w:rPr>
        <w:t xml:space="preserve"> the weakening of human rights protections in the present Bill will </w:t>
      </w:r>
      <w:r w:rsidR="004A3F42" w:rsidRPr="00F47DA7">
        <w:rPr>
          <w:b/>
          <w:bCs/>
        </w:rPr>
        <w:t>create uncertainty and confusion, making the interpretation of Protocol Article 2 more challenging and may</w:t>
      </w:r>
      <w:r w:rsidR="004A3F42" w:rsidRPr="00F47DA7">
        <w:rPr>
          <w:b/>
        </w:rPr>
        <w:t xml:space="preserve"> </w:t>
      </w:r>
      <w:r w:rsidRPr="00F47DA7">
        <w:rPr>
          <w:b/>
          <w:bCs/>
        </w:rPr>
        <w:t xml:space="preserve">lead to a culture shift that will </w:t>
      </w:r>
      <w:r w:rsidR="004A3F42" w:rsidRPr="00F47DA7">
        <w:rPr>
          <w:b/>
          <w:bCs/>
        </w:rPr>
        <w:t xml:space="preserve">further </w:t>
      </w:r>
      <w:r w:rsidRPr="00F47DA7">
        <w:rPr>
          <w:b/>
          <w:bCs/>
        </w:rPr>
        <w:t xml:space="preserve">reduce the robustness </w:t>
      </w:r>
      <w:r w:rsidR="00B45062" w:rsidRPr="00F47DA7">
        <w:rPr>
          <w:b/>
          <w:bCs/>
        </w:rPr>
        <w:t xml:space="preserve">of </w:t>
      </w:r>
      <w:r w:rsidRPr="00F47DA7">
        <w:rPr>
          <w:b/>
          <w:bCs/>
        </w:rPr>
        <w:t>human rights protections</w:t>
      </w:r>
      <w:r w:rsidR="00B45062" w:rsidRPr="00F47DA7">
        <w:rPr>
          <w:b/>
          <w:bCs/>
        </w:rPr>
        <w:t xml:space="preserve"> </w:t>
      </w:r>
      <w:r w:rsidR="00B45062" w:rsidRPr="00F47DA7">
        <w:rPr>
          <w:rFonts w:cs="Arial"/>
          <w:b/>
          <w:bCs/>
        </w:rPr>
        <w:t>in NI</w:t>
      </w:r>
      <w:r w:rsidRPr="00F47DA7">
        <w:rPr>
          <w:b/>
          <w:bCs/>
        </w:rPr>
        <w:t>.</w:t>
      </w:r>
    </w:p>
    <w:p w14:paraId="6DE9BB85" w14:textId="7AA689B1" w:rsidR="00E76535" w:rsidRDefault="00E76535" w:rsidP="00E76535"/>
    <w:p w14:paraId="61FD3B18" w14:textId="5ADB35B4" w:rsidR="00C21F5A" w:rsidRDefault="00FC081F" w:rsidP="007671F3">
      <w:pPr>
        <w:pStyle w:val="Heading1"/>
      </w:pPr>
      <w:bookmarkStart w:id="4" w:name="_Toc113010911"/>
      <w:r>
        <w:t>3.0</w:t>
      </w:r>
      <w:r>
        <w:tab/>
      </w:r>
      <w:r w:rsidR="00C21F5A">
        <w:t>Relationship between UK Courts and ECtHR</w:t>
      </w:r>
      <w:bookmarkEnd w:id="4"/>
    </w:p>
    <w:p w14:paraId="080A578B" w14:textId="1CCC39D2" w:rsidR="00FC081F" w:rsidRDefault="47F71F57" w:rsidP="00FC081F">
      <w:pPr>
        <w:ind w:left="720" w:hanging="720"/>
        <w:rPr>
          <w:rFonts w:cs="Poppins"/>
          <w:shd w:val="clear" w:color="auto" w:fill="FFFFFF"/>
        </w:rPr>
      </w:pPr>
      <w:r w:rsidRPr="00C521FF">
        <w:rPr>
          <w:rFonts w:cs="Poppins"/>
          <w:shd w:val="clear" w:color="auto" w:fill="FFFFFF"/>
        </w:rPr>
        <w:t>3.1</w:t>
      </w:r>
      <w:r w:rsidR="00FC081F" w:rsidRPr="00C521FF">
        <w:rPr>
          <w:rFonts w:cs="Poppins"/>
          <w:shd w:val="clear" w:color="auto" w:fill="FFFFFF"/>
        </w:rPr>
        <w:tab/>
      </w:r>
      <w:r w:rsidR="63DB495C">
        <w:rPr>
          <w:rFonts w:cs="Poppins"/>
          <w:shd w:val="clear" w:color="auto" w:fill="FFFFFF"/>
        </w:rPr>
        <w:t xml:space="preserve">The present Bill seeks to </w:t>
      </w:r>
      <w:r w:rsidR="5C4050F3">
        <w:rPr>
          <w:rFonts w:cs="Poppins"/>
          <w:shd w:val="clear" w:color="auto" w:fill="FFFFFF"/>
        </w:rPr>
        <w:t xml:space="preserve">clarify and </w:t>
      </w:r>
      <w:r w:rsidR="63DB495C">
        <w:rPr>
          <w:rFonts w:cs="Poppins"/>
          <w:shd w:val="clear" w:color="auto" w:fill="FFFFFF"/>
        </w:rPr>
        <w:t>re</w:t>
      </w:r>
      <w:r w:rsidR="56122875">
        <w:rPr>
          <w:rFonts w:cs="Poppins"/>
          <w:shd w:val="clear" w:color="auto" w:fill="FFFFFF"/>
        </w:rPr>
        <w:t>-</w:t>
      </w:r>
      <w:r w:rsidR="63DB495C">
        <w:rPr>
          <w:rFonts w:cs="Poppins"/>
          <w:shd w:val="clear" w:color="auto" w:fill="FFFFFF"/>
        </w:rPr>
        <w:t>balance the relationship between the UK courts</w:t>
      </w:r>
      <w:r w:rsidR="5C4050F3">
        <w:rPr>
          <w:rFonts w:cs="Poppins"/>
          <w:shd w:val="clear" w:color="auto" w:fill="FFFFFF"/>
        </w:rPr>
        <w:t xml:space="preserve">, </w:t>
      </w:r>
      <w:r w:rsidR="63DB495C">
        <w:rPr>
          <w:rFonts w:cs="Poppins"/>
          <w:shd w:val="clear" w:color="auto" w:fill="FFFFFF"/>
        </w:rPr>
        <w:t>the ECtHR</w:t>
      </w:r>
      <w:r w:rsidR="5C4050F3">
        <w:rPr>
          <w:rFonts w:cs="Poppins"/>
          <w:shd w:val="clear" w:color="auto" w:fill="FFFFFF"/>
        </w:rPr>
        <w:t xml:space="preserve"> and UK Parliament</w:t>
      </w:r>
      <w:r w:rsidR="7089B869">
        <w:rPr>
          <w:rFonts w:cs="Poppins"/>
          <w:shd w:val="clear" w:color="auto" w:fill="FFFFFF"/>
        </w:rPr>
        <w:t>.</w:t>
      </w:r>
      <w:r w:rsidR="000658AE">
        <w:rPr>
          <w:rStyle w:val="FootnoteReference"/>
          <w:rFonts w:cs="Poppins"/>
          <w:shd w:val="clear" w:color="auto" w:fill="FFFFFF"/>
        </w:rPr>
        <w:footnoteReference w:id="9"/>
      </w:r>
      <w:r w:rsidR="7089B869">
        <w:rPr>
          <w:rFonts w:cs="Poppins"/>
          <w:shd w:val="clear" w:color="auto" w:fill="FFFFFF"/>
        </w:rPr>
        <w:t xml:space="preserve"> Yet, </w:t>
      </w:r>
      <w:r w:rsidR="1F52B6E5" w:rsidRPr="00C521FF">
        <w:rPr>
          <w:rFonts w:cs="Poppins"/>
          <w:shd w:val="clear" w:color="auto" w:fill="FFFFFF"/>
        </w:rPr>
        <w:t xml:space="preserve">State discretion is </w:t>
      </w:r>
      <w:r w:rsidR="11B5475E" w:rsidRPr="00C521FF">
        <w:rPr>
          <w:rFonts w:cs="Poppins"/>
          <w:shd w:val="clear" w:color="auto" w:fill="FFFFFF"/>
        </w:rPr>
        <w:t xml:space="preserve">already embedded within domestic legislation. </w:t>
      </w:r>
      <w:r w:rsidR="0A10F2BB" w:rsidRPr="00C521FF">
        <w:rPr>
          <w:rFonts w:cs="Poppins"/>
          <w:shd w:val="clear" w:color="auto" w:fill="FFFFFF"/>
        </w:rPr>
        <w:t>The principle</w:t>
      </w:r>
      <w:r w:rsidR="00C66A7D">
        <w:rPr>
          <w:rFonts w:cs="Poppins"/>
          <w:shd w:val="clear" w:color="auto" w:fill="FFFFFF"/>
        </w:rPr>
        <w:t>s</w:t>
      </w:r>
      <w:r w:rsidR="0A10F2BB" w:rsidRPr="00C521FF">
        <w:rPr>
          <w:rFonts w:cs="Poppins"/>
          <w:shd w:val="clear" w:color="auto" w:fill="FFFFFF"/>
        </w:rPr>
        <w:t xml:space="preserve"> of subsidiarity</w:t>
      </w:r>
      <w:r w:rsidR="046A4892" w:rsidRPr="00C521FF">
        <w:rPr>
          <w:rFonts w:cs="Poppins"/>
          <w:shd w:val="clear" w:color="auto" w:fill="FFFFFF"/>
        </w:rPr>
        <w:t>,</w:t>
      </w:r>
      <w:r w:rsidR="00861C60" w:rsidRPr="00C521FF">
        <w:rPr>
          <w:rStyle w:val="FootnoteReference"/>
          <w:rFonts w:cs="Poppins"/>
          <w:shd w:val="clear" w:color="auto" w:fill="FFFFFF"/>
        </w:rPr>
        <w:footnoteReference w:id="10"/>
      </w:r>
      <w:r w:rsidR="1840853A" w:rsidRPr="00C521FF">
        <w:rPr>
          <w:rFonts w:cs="Poppins"/>
          <w:shd w:val="clear" w:color="auto" w:fill="FFFFFF"/>
        </w:rPr>
        <w:t xml:space="preserve"> margin of appreciation</w:t>
      </w:r>
      <w:r w:rsidR="00861C60" w:rsidRPr="00C521FF">
        <w:rPr>
          <w:rStyle w:val="FootnoteReference"/>
          <w:rFonts w:cs="Poppins"/>
          <w:shd w:val="clear" w:color="auto" w:fill="FFFFFF"/>
        </w:rPr>
        <w:footnoteReference w:id="11"/>
      </w:r>
      <w:r w:rsidR="1840853A" w:rsidRPr="00C521FF">
        <w:rPr>
          <w:rFonts w:cs="Poppins"/>
          <w:shd w:val="clear" w:color="auto" w:fill="FFFFFF"/>
        </w:rPr>
        <w:t xml:space="preserve"> and</w:t>
      </w:r>
      <w:r w:rsidR="046A4892" w:rsidRPr="00C521FF">
        <w:rPr>
          <w:rFonts w:cs="Poppins"/>
          <w:shd w:val="clear" w:color="auto" w:fill="FFFFFF"/>
        </w:rPr>
        <w:t xml:space="preserve"> </w:t>
      </w:r>
      <w:r w:rsidR="00E06328">
        <w:rPr>
          <w:rFonts w:cs="Poppins"/>
          <w:shd w:val="clear" w:color="auto" w:fill="FFFFFF"/>
        </w:rPr>
        <w:t>the restriction on</w:t>
      </w:r>
      <w:r w:rsidR="00E06328" w:rsidRPr="00C521FF">
        <w:rPr>
          <w:rFonts w:cs="Poppins"/>
          <w:shd w:val="clear" w:color="auto" w:fill="FFFFFF"/>
        </w:rPr>
        <w:t xml:space="preserve"> </w:t>
      </w:r>
      <w:r w:rsidR="00E06328">
        <w:rPr>
          <w:rFonts w:cs="Poppins"/>
          <w:shd w:val="clear" w:color="auto" w:fill="FFFFFF"/>
        </w:rPr>
        <w:t xml:space="preserve">courts’ declarations of incompatibility of </w:t>
      </w:r>
      <w:r w:rsidR="4F8A45FF" w:rsidRPr="00C521FF">
        <w:rPr>
          <w:rFonts w:cs="Poppins"/>
          <w:shd w:val="clear" w:color="auto" w:fill="FFFFFF"/>
        </w:rPr>
        <w:t>primary legislation</w:t>
      </w:r>
      <w:r w:rsidR="00861C60" w:rsidRPr="00C521FF">
        <w:rPr>
          <w:rStyle w:val="FootnoteReference"/>
          <w:rFonts w:cs="Poppins"/>
          <w:shd w:val="clear" w:color="auto" w:fill="FFFFFF"/>
        </w:rPr>
        <w:footnoteReference w:id="12"/>
      </w:r>
      <w:r w:rsidR="046A4892" w:rsidRPr="00C521FF">
        <w:rPr>
          <w:rFonts w:cs="Poppins"/>
          <w:shd w:val="clear" w:color="auto" w:fill="FFFFFF"/>
        </w:rPr>
        <w:t xml:space="preserve"> </w:t>
      </w:r>
      <w:r w:rsidR="00E06328">
        <w:rPr>
          <w:rFonts w:cs="Poppins"/>
          <w:shd w:val="clear" w:color="auto" w:fill="FFFFFF"/>
        </w:rPr>
        <w:t xml:space="preserve">preserve </w:t>
      </w:r>
      <w:r w:rsidR="370DA1D3" w:rsidRPr="00C521FF">
        <w:rPr>
          <w:rFonts w:cs="Poppins"/>
          <w:shd w:val="clear" w:color="auto" w:fill="FFFFFF"/>
        </w:rPr>
        <w:t>respect for Parliamentary sovereignty</w:t>
      </w:r>
      <w:r w:rsidR="4F8A45FF" w:rsidRPr="00C521FF">
        <w:rPr>
          <w:rFonts w:cs="Poppins"/>
          <w:shd w:val="clear" w:color="auto" w:fill="FFFFFF"/>
        </w:rPr>
        <w:t xml:space="preserve"> and </w:t>
      </w:r>
      <w:r w:rsidR="00E06328">
        <w:rPr>
          <w:rFonts w:cs="Poppins"/>
          <w:shd w:val="clear" w:color="auto" w:fill="FFFFFF"/>
        </w:rPr>
        <w:t xml:space="preserve">already require </w:t>
      </w:r>
      <w:r w:rsidR="4F8A45FF" w:rsidRPr="00C521FF">
        <w:rPr>
          <w:rFonts w:cs="Poppins"/>
          <w:shd w:val="clear" w:color="auto" w:fill="FFFFFF"/>
        </w:rPr>
        <w:t xml:space="preserve">a balanced relationship between the UK courts and ECtHR. </w:t>
      </w:r>
      <w:r w:rsidR="3F97A764" w:rsidRPr="00C521FF">
        <w:rPr>
          <w:rFonts w:cs="Poppins"/>
          <w:shd w:val="clear" w:color="auto" w:fill="FFFFFF"/>
        </w:rPr>
        <w:t xml:space="preserve">It is also the UK’s choice </w:t>
      </w:r>
      <w:r w:rsidR="7E73B4F8" w:rsidRPr="00C521FF">
        <w:rPr>
          <w:rFonts w:cs="Poppins"/>
          <w:shd w:val="clear" w:color="auto" w:fill="FFFFFF"/>
        </w:rPr>
        <w:t>to be</w:t>
      </w:r>
      <w:r w:rsidR="3F97A764" w:rsidRPr="00C521FF">
        <w:rPr>
          <w:rFonts w:cs="Poppins"/>
          <w:shd w:val="clear" w:color="auto" w:fill="FFFFFF"/>
        </w:rPr>
        <w:t xml:space="preserve"> a High Contracting Party to the ECHR and thus </w:t>
      </w:r>
      <w:r w:rsidR="6CFA4F06" w:rsidRPr="00C521FF">
        <w:rPr>
          <w:rFonts w:cs="Poppins"/>
          <w:shd w:val="clear" w:color="auto" w:fill="FFFFFF"/>
        </w:rPr>
        <w:t>must “undertake to abide by” the ECtHR’s final judgment.</w:t>
      </w:r>
      <w:r w:rsidR="00C631CB" w:rsidRPr="00C521FF">
        <w:rPr>
          <w:rStyle w:val="FootnoteReference"/>
          <w:rFonts w:cs="Poppins"/>
          <w:shd w:val="clear" w:color="auto" w:fill="FFFFFF"/>
        </w:rPr>
        <w:footnoteReference w:id="13"/>
      </w:r>
    </w:p>
    <w:p w14:paraId="13FF9908" w14:textId="4F9E875F" w:rsidR="00112101" w:rsidRDefault="00112101" w:rsidP="00FC081F">
      <w:pPr>
        <w:ind w:left="720" w:hanging="720"/>
        <w:rPr>
          <w:rFonts w:cs="Poppins"/>
          <w:shd w:val="clear" w:color="auto" w:fill="FFFFFF"/>
        </w:rPr>
      </w:pPr>
    </w:p>
    <w:p w14:paraId="21001D75" w14:textId="6266F17F" w:rsidR="00A16902" w:rsidRPr="00C521FF" w:rsidRDefault="00FC081F" w:rsidP="00FC081F">
      <w:pPr>
        <w:ind w:left="720" w:hanging="720"/>
        <w:rPr>
          <w:rFonts w:cs="Poppins"/>
          <w:shd w:val="clear" w:color="auto" w:fill="FFFFFF"/>
        </w:rPr>
      </w:pPr>
      <w:r w:rsidRPr="00C521FF">
        <w:rPr>
          <w:rFonts w:cs="Poppins"/>
          <w:shd w:val="clear" w:color="auto" w:fill="FFFFFF"/>
        </w:rPr>
        <w:t>3.2</w:t>
      </w:r>
      <w:r w:rsidRPr="00C521FF">
        <w:rPr>
          <w:rFonts w:cs="Poppins"/>
          <w:shd w:val="clear" w:color="auto" w:fill="FFFFFF"/>
        </w:rPr>
        <w:tab/>
      </w:r>
      <w:r w:rsidR="00C130FE" w:rsidRPr="00C521FF">
        <w:rPr>
          <w:rFonts w:cs="Poppins"/>
          <w:shd w:val="clear" w:color="auto" w:fill="FFFFFF"/>
        </w:rPr>
        <w:t>T</w:t>
      </w:r>
      <w:r w:rsidR="00A16902" w:rsidRPr="00C521FF">
        <w:rPr>
          <w:rFonts w:cs="Poppins"/>
          <w:shd w:val="clear" w:color="auto" w:fill="FFFFFF"/>
        </w:rPr>
        <w:t>he present Bill</w:t>
      </w:r>
      <w:r w:rsidR="00E06328">
        <w:rPr>
          <w:rFonts w:cs="Poppins"/>
          <w:shd w:val="clear" w:color="auto" w:fill="FFFFFF"/>
        </w:rPr>
        <w:t>, however,</w:t>
      </w:r>
      <w:r w:rsidR="00A16902" w:rsidRPr="00C521FF">
        <w:rPr>
          <w:rFonts w:cs="Poppins"/>
          <w:shd w:val="clear" w:color="auto" w:fill="FFFFFF"/>
        </w:rPr>
        <w:t xml:space="preserve"> proposes that </w:t>
      </w:r>
      <w:r w:rsidR="002F59F4" w:rsidRPr="00C521FF">
        <w:rPr>
          <w:rFonts w:cs="Poppins"/>
          <w:shd w:val="clear" w:color="auto" w:fill="FFFFFF"/>
        </w:rPr>
        <w:t xml:space="preserve">domestic courts </w:t>
      </w:r>
      <w:r w:rsidR="00A0141E" w:rsidRPr="00C521FF">
        <w:rPr>
          <w:rFonts w:cs="Poppins"/>
          <w:shd w:val="clear" w:color="auto" w:fill="FFFFFF"/>
        </w:rPr>
        <w:t>“must have particular regard</w:t>
      </w:r>
      <w:r w:rsidR="00E8329B" w:rsidRPr="00C521FF">
        <w:rPr>
          <w:rFonts w:cs="Poppins"/>
          <w:shd w:val="clear" w:color="auto" w:fill="FFFFFF"/>
        </w:rPr>
        <w:t>”</w:t>
      </w:r>
      <w:r w:rsidR="00A0141E" w:rsidRPr="00C521FF">
        <w:rPr>
          <w:rFonts w:cs="Poppins"/>
          <w:shd w:val="clear" w:color="auto" w:fill="FFFFFF"/>
        </w:rPr>
        <w:t xml:space="preserve"> to the </w:t>
      </w:r>
      <w:r w:rsidR="00282B3C" w:rsidRPr="00C521FF">
        <w:rPr>
          <w:rFonts w:cs="Poppins"/>
          <w:shd w:val="clear" w:color="auto" w:fill="FFFFFF"/>
        </w:rPr>
        <w:t xml:space="preserve">text of the </w:t>
      </w:r>
      <w:r w:rsidR="00A0141E" w:rsidRPr="00C521FF">
        <w:rPr>
          <w:rFonts w:cs="Poppins"/>
          <w:shd w:val="clear" w:color="auto" w:fill="FFFFFF"/>
        </w:rPr>
        <w:t>ECHR and</w:t>
      </w:r>
      <w:r w:rsidR="00282B3C" w:rsidRPr="00C521FF">
        <w:rPr>
          <w:rFonts w:cs="Poppins"/>
          <w:shd w:val="clear" w:color="auto" w:fill="FFFFFF"/>
        </w:rPr>
        <w:t xml:space="preserve">, in </w:t>
      </w:r>
      <w:r w:rsidR="00E8329B" w:rsidRPr="00C521FF">
        <w:rPr>
          <w:rFonts w:cs="Poppins"/>
          <w:shd w:val="clear" w:color="auto" w:fill="FFFFFF"/>
        </w:rPr>
        <w:t>interpreting the text,</w:t>
      </w:r>
      <w:r w:rsidR="00282B3C" w:rsidRPr="00C521FF">
        <w:rPr>
          <w:rFonts w:cs="Poppins"/>
          <w:shd w:val="clear" w:color="auto" w:fill="FFFFFF"/>
        </w:rPr>
        <w:t xml:space="preserve"> to </w:t>
      </w:r>
      <w:r w:rsidR="00801CC8">
        <w:rPr>
          <w:rFonts w:cs="Poppins"/>
          <w:shd w:val="clear" w:color="auto" w:fill="FFFFFF"/>
        </w:rPr>
        <w:t xml:space="preserve">the </w:t>
      </w:r>
      <w:r w:rsidR="00282B3C" w:rsidRPr="00C521FF">
        <w:rPr>
          <w:rFonts w:cs="Poppins"/>
          <w:shd w:val="clear" w:color="auto" w:fill="FFFFFF"/>
        </w:rPr>
        <w:t>preparatory work of the ECHR</w:t>
      </w:r>
      <w:r w:rsidR="00E8329B" w:rsidRPr="00C521FF">
        <w:rPr>
          <w:rFonts w:cs="Poppins"/>
          <w:shd w:val="clear" w:color="auto" w:fill="FFFFFF"/>
        </w:rPr>
        <w:t>.</w:t>
      </w:r>
      <w:r w:rsidR="00C130FE" w:rsidRPr="00C521FF">
        <w:rPr>
          <w:rStyle w:val="FootnoteReference"/>
          <w:rFonts w:cs="Poppins"/>
          <w:shd w:val="clear" w:color="auto" w:fill="FFFFFF"/>
        </w:rPr>
        <w:footnoteReference w:id="14"/>
      </w:r>
      <w:r w:rsidR="00E8329B" w:rsidRPr="00C521FF">
        <w:rPr>
          <w:rFonts w:cs="Poppins"/>
          <w:shd w:val="clear" w:color="auto" w:fill="FFFFFF"/>
        </w:rPr>
        <w:t xml:space="preserve"> </w:t>
      </w:r>
      <w:r w:rsidR="00133488" w:rsidRPr="00C521FF">
        <w:rPr>
          <w:rFonts w:cs="Poppins"/>
          <w:shd w:val="clear" w:color="auto" w:fill="FFFFFF"/>
        </w:rPr>
        <w:t xml:space="preserve">The </w:t>
      </w:r>
      <w:r w:rsidR="00801CC8">
        <w:rPr>
          <w:rFonts w:cs="Poppins"/>
          <w:shd w:val="clear" w:color="auto" w:fill="FFFFFF"/>
        </w:rPr>
        <w:t>ECHR</w:t>
      </w:r>
      <w:r w:rsidR="00753029" w:rsidRPr="00C521FF">
        <w:rPr>
          <w:rFonts w:cs="Poppins"/>
          <w:shd w:val="clear" w:color="auto" w:fill="FFFFFF"/>
        </w:rPr>
        <w:t xml:space="preserve"> is a living document</w:t>
      </w:r>
      <w:r w:rsidR="0064230E" w:rsidRPr="00C521FF">
        <w:rPr>
          <w:rFonts w:cs="Poppins"/>
          <w:shd w:val="clear" w:color="auto" w:fill="FFFFFF"/>
        </w:rPr>
        <w:t xml:space="preserve"> that </w:t>
      </w:r>
      <w:r w:rsidR="006F358D" w:rsidRPr="00C521FF">
        <w:rPr>
          <w:rFonts w:cs="Poppins"/>
          <w:shd w:val="clear" w:color="auto" w:fill="FFFFFF"/>
        </w:rPr>
        <w:t>should have the ability</w:t>
      </w:r>
      <w:r w:rsidR="0064230E" w:rsidRPr="00C521FF">
        <w:rPr>
          <w:rFonts w:cs="Poppins"/>
          <w:shd w:val="clear" w:color="auto" w:fill="FFFFFF"/>
        </w:rPr>
        <w:t xml:space="preserve"> to</w:t>
      </w:r>
      <w:r w:rsidR="00102CCA" w:rsidRPr="00C521FF">
        <w:rPr>
          <w:rFonts w:cs="Poppins"/>
          <w:shd w:val="clear" w:color="auto" w:fill="FFFFFF"/>
        </w:rPr>
        <w:t xml:space="preserve"> react to</w:t>
      </w:r>
      <w:r w:rsidR="0064230E" w:rsidRPr="00C521FF">
        <w:rPr>
          <w:rFonts w:cs="Poppins"/>
          <w:shd w:val="clear" w:color="auto" w:fill="FFFFFF"/>
        </w:rPr>
        <w:t xml:space="preserve"> societal developments.</w:t>
      </w:r>
      <w:r w:rsidR="00801CC8">
        <w:rPr>
          <w:rFonts w:cs="Poppins"/>
          <w:shd w:val="clear" w:color="auto" w:fill="FFFFFF"/>
        </w:rPr>
        <w:t xml:space="preserve"> The preparatory work of the ECHR only reflects society as it was in the 1950s.</w:t>
      </w:r>
    </w:p>
    <w:p w14:paraId="341502DB" w14:textId="251B5F8E" w:rsidR="00102CCA" w:rsidRDefault="00102CCA" w:rsidP="00E8329B">
      <w:pPr>
        <w:ind w:left="720" w:hanging="720"/>
        <w:rPr>
          <w:rFonts w:cs="Poppins"/>
          <w:color w:val="232120"/>
          <w:shd w:val="clear" w:color="auto" w:fill="FFFFFF"/>
        </w:rPr>
      </w:pPr>
    </w:p>
    <w:p w14:paraId="1EA247E5" w14:textId="77777777" w:rsidR="00E268CE" w:rsidRDefault="47F71F57" w:rsidP="00801CC8">
      <w:pPr>
        <w:ind w:left="720" w:hanging="720"/>
        <w:rPr>
          <w:rFonts w:cs="Poppins"/>
          <w:shd w:val="clear" w:color="auto" w:fill="FFFFFF"/>
        </w:rPr>
      </w:pPr>
      <w:r>
        <w:rPr>
          <w:rFonts w:cs="Poppins"/>
          <w:color w:val="232120"/>
          <w:shd w:val="clear" w:color="auto" w:fill="FFFFFF"/>
        </w:rPr>
        <w:lastRenderedPageBreak/>
        <w:t>3.3</w:t>
      </w:r>
      <w:r w:rsidR="00FC081F">
        <w:rPr>
          <w:rFonts w:cs="Poppins"/>
          <w:color w:val="232120"/>
          <w:shd w:val="clear" w:color="auto" w:fill="FFFFFF"/>
        </w:rPr>
        <w:tab/>
      </w:r>
      <w:r w:rsidR="40803E59" w:rsidRPr="00A107D9">
        <w:rPr>
          <w:rFonts w:cs="Poppins"/>
          <w:shd w:val="clear" w:color="auto" w:fill="FFFFFF"/>
        </w:rPr>
        <w:t xml:space="preserve">The Human Rights Act </w:t>
      </w:r>
      <w:r w:rsidR="00801CC8">
        <w:rPr>
          <w:rFonts w:cs="Poppins"/>
          <w:shd w:val="clear" w:color="auto" w:fill="FFFFFF"/>
        </w:rPr>
        <w:t xml:space="preserve">1998 </w:t>
      </w:r>
      <w:r w:rsidR="1DA1B65E" w:rsidRPr="00A107D9">
        <w:rPr>
          <w:rFonts w:cs="Poppins"/>
          <w:shd w:val="clear" w:color="auto" w:fill="FFFFFF"/>
        </w:rPr>
        <w:t>requires that</w:t>
      </w:r>
      <w:r w:rsidR="40803E59" w:rsidRPr="00A107D9">
        <w:rPr>
          <w:rFonts w:cs="Poppins"/>
          <w:shd w:val="clear" w:color="auto" w:fill="FFFFFF"/>
        </w:rPr>
        <w:t xml:space="preserve"> domestic courts </w:t>
      </w:r>
      <w:r w:rsidR="1DA1B65E" w:rsidRPr="00A107D9">
        <w:rPr>
          <w:rFonts w:cs="Poppins"/>
          <w:shd w:val="clear" w:color="auto" w:fill="FFFFFF"/>
        </w:rPr>
        <w:t>“</w:t>
      </w:r>
      <w:r w:rsidR="40803E59" w:rsidRPr="00A107D9">
        <w:rPr>
          <w:rFonts w:cs="Poppins"/>
          <w:shd w:val="clear" w:color="auto" w:fill="FFFFFF"/>
        </w:rPr>
        <w:t>must take into account</w:t>
      </w:r>
      <w:r w:rsidR="1DA1B65E" w:rsidRPr="00A107D9">
        <w:rPr>
          <w:rFonts w:cs="Poppins"/>
          <w:shd w:val="clear" w:color="auto" w:fill="FFFFFF"/>
        </w:rPr>
        <w:t>”</w:t>
      </w:r>
      <w:r w:rsidR="40803E59" w:rsidRPr="00A107D9">
        <w:rPr>
          <w:rFonts w:cs="Poppins"/>
          <w:shd w:val="clear" w:color="auto" w:fill="FFFFFF"/>
        </w:rPr>
        <w:t xml:space="preserve"> ECtHR jurisprudence.</w:t>
      </w:r>
      <w:r w:rsidR="00B229F4" w:rsidRPr="00A107D9">
        <w:rPr>
          <w:rStyle w:val="FootnoteReference"/>
          <w:rFonts w:cs="Poppins"/>
          <w:shd w:val="clear" w:color="auto" w:fill="FFFFFF"/>
        </w:rPr>
        <w:footnoteReference w:id="15"/>
      </w:r>
      <w:r w:rsidR="40803E59" w:rsidRPr="00A107D9">
        <w:rPr>
          <w:rFonts w:cs="Poppins"/>
          <w:shd w:val="clear" w:color="auto" w:fill="FFFFFF"/>
        </w:rPr>
        <w:t xml:space="preserve"> </w:t>
      </w:r>
      <w:r w:rsidR="278F148D" w:rsidRPr="00A107D9">
        <w:rPr>
          <w:rFonts w:cs="Poppins"/>
          <w:shd w:val="clear" w:color="auto" w:fill="FFFFFF"/>
        </w:rPr>
        <w:t>This is not replicated within the present Bill</w:t>
      </w:r>
      <w:r w:rsidR="44684093" w:rsidRPr="00A107D9">
        <w:rPr>
          <w:rFonts w:cs="Poppins"/>
          <w:shd w:val="clear" w:color="auto" w:fill="FFFFFF"/>
        </w:rPr>
        <w:t>,</w:t>
      </w:r>
      <w:r w:rsidR="278F148D" w:rsidRPr="00A107D9">
        <w:rPr>
          <w:rFonts w:cs="Poppins"/>
          <w:shd w:val="clear" w:color="auto" w:fill="FFFFFF"/>
        </w:rPr>
        <w:t xml:space="preserve"> </w:t>
      </w:r>
      <w:r w:rsidR="2075FAA7">
        <w:rPr>
          <w:rFonts w:cs="Poppins"/>
          <w:shd w:val="clear" w:color="auto" w:fill="FFFFFF"/>
        </w:rPr>
        <w:t>which</w:t>
      </w:r>
      <w:r w:rsidR="3C725D0E" w:rsidRPr="00A107D9">
        <w:rPr>
          <w:rFonts w:cs="Poppins"/>
          <w:shd w:val="clear" w:color="auto" w:fill="FFFFFF"/>
        </w:rPr>
        <w:t xml:space="preserve"> proposes that </w:t>
      </w:r>
      <w:r w:rsidR="58B59772" w:rsidRPr="00A107D9">
        <w:rPr>
          <w:rFonts w:cs="Poppins"/>
          <w:shd w:val="clear" w:color="auto" w:fill="FFFFFF"/>
        </w:rPr>
        <w:t>“the UK Supreme Court is the ultimate judicial authority on questions arising under domestic law in connection with” the ECHR.</w:t>
      </w:r>
      <w:r w:rsidR="005249EB" w:rsidRPr="00A107D9">
        <w:rPr>
          <w:rStyle w:val="FootnoteReference"/>
          <w:rFonts w:cs="Poppins"/>
          <w:shd w:val="clear" w:color="auto" w:fill="FFFFFF"/>
        </w:rPr>
        <w:footnoteReference w:id="16"/>
      </w:r>
      <w:r w:rsidR="58B59772" w:rsidRPr="00A107D9">
        <w:rPr>
          <w:rFonts w:cs="Poppins"/>
          <w:shd w:val="clear" w:color="auto" w:fill="FFFFFF"/>
        </w:rPr>
        <w:t xml:space="preserve"> </w:t>
      </w:r>
      <w:r w:rsidR="5B22601D" w:rsidRPr="00A107D9">
        <w:rPr>
          <w:rFonts w:cs="Poppins"/>
          <w:shd w:val="clear" w:color="auto" w:fill="FFFFFF"/>
        </w:rPr>
        <w:t>It continues</w:t>
      </w:r>
      <w:r w:rsidR="58B59772" w:rsidRPr="00A107D9">
        <w:rPr>
          <w:rFonts w:cs="Poppins"/>
          <w:shd w:val="clear" w:color="auto" w:fill="FFFFFF"/>
        </w:rPr>
        <w:t xml:space="preserve"> </w:t>
      </w:r>
      <w:r w:rsidR="373CC424" w:rsidRPr="00A107D9">
        <w:rPr>
          <w:rFonts w:cs="Poppins"/>
          <w:shd w:val="clear" w:color="auto" w:fill="FFFFFF"/>
        </w:rPr>
        <w:t>that a domestic court “may not adopt an interpretation” of an ECHR right that “expands the protection</w:t>
      </w:r>
      <w:r w:rsidR="342F5ED9" w:rsidRPr="00A107D9">
        <w:rPr>
          <w:rFonts w:cs="Poppins"/>
          <w:shd w:val="clear" w:color="auto" w:fill="FFFFFF"/>
        </w:rPr>
        <w:t>” of this right “unless… [there is] no reasonable doubt that the ECtHR would adopt that interpretation if the case were before it”</w:t>
      </w:r>
      <w:r w:rsidR="45F7542B" w:rsidRPr="00A107D9">
        <w:rPr>
          <w:rFonts w:cs="Poppins"/>
          <w:shd w:val="clear" w:color="auto" w:fill="FFFFFF"/>
        </w:rPr>
        <w:t>,</w:t>
      </w:r>
      <w:r w:rsidR="2E005AB5" w:rsidRPr="00A107D9">
        <w:rPr>
          <w:rFonts w:cs="Poppins"/>
          <w:shd w:val="clear" w:color="auto" w:fill="FFFFFF"/>
        </w:rPr>
        <w:t xml:space="preserve"> but a domestic court may also </w:t>
      </w:r>
      <w:r w:rsidR="7E911826" w:rsidRPr="00A107D9">
        <w:rPr>
          <w:rFonts w:cs="Poppins"/>
          <w:shd w:val="clear" w:color="auto" w:fill="FFFFFF"/>
        </w:rPr>
        <w:t>“adopt an interpretation of the right that diverges” from ECtHR jurisprudence</w:t>
      </w:r>
      <w:r w:rsidR="342F5ED9" w:rsidRPr="00A107D9">
        <w:rPr>
          <w:rFonts w:cs="Poppins"/>
          <w:shd w:val="clear" w:color="auto" w:fill="FFFFFF"/>
        </w:rPr>
        <w:t>.</w:t>
      </w:r>
      <w:r w:rsidR="005249EB" w:rsidRPr="00A107D9">
        <w:rPr>
          <w:rStyle w:val="FootnoteReference"/>
          <w:rFonts w:cs="Poppins"/>
          <w:shd w:val="clear" w:color="auto" w:fill="FFFFFF"/>
        </w:rPr>
        <w:footnoteReference w:id="17"/>
      </w:r>
      <w:r w:rsidR="342F5ED9" w:rsidRPr="00A107D9">
        <w:rPr>
          <w:rFonts w:cs="Poppins"/>
          <w:shd w:val="clear" w:color="auto" w:fill="FFFFFF"/>
        </w:rPr>
        <w:t xml:space="preserve"> </w:t>
      </w:r>
    </w:p>
    <w:p w14:paraId="71B2ED82" w14:textId="77777777" w:rsidR="00E268CE" w:rsidRDefault="00E268CE" w:rsidP="00801CC8">
      <w:pPr>
        <w:ind w:left="720" w:hanging="720"/>
        <w:rPr>
          <w:rFonts w:cs="Poppins"/>
          <w:shd w:val="clear" w:color="auto" w:fill="FFFFFF"/>
        </w:rPr>
      </w:pPr>
    </w:p>
    <w:p w14:paraId="262D95D1" w14:textId="18CF2918" w:rsidR="00102CCA" w:rsidRPr="00A107D9" w:rsidRDefault="00E268CE" w:rsidP="00801CC8">
      <w:pPr>
        <w:ind w:left="720" w:hanging="720"/>
        <w:rPr>
          <w:rFonts w:cs="Poppins"/>
          <w:shd w:val="clear" w:color="auto" w:fill="FFFFFF"/>
        </w:rPr>
      </w:pPr>
      <w:r>
        <w:rPr>
          <w:rFonts w:cs="Poppins"/>
          <w:shd w:val="clear" w:color="auto" w:fill="FFFFFF"/>
        </w:rPr>
        <w:t>3.4</w:t>
      </w:r>
      <w:r>
        <w:rPr>
          <w:rFonts w:cs="Poppins"/>
          <w:shd w:val="clear" w:color="auto" w:fill="FFFFFF"/>
        </w:rPr>
        <w:tab/>
      </w:r>
      <w:r w:rsidR="71FC9B25" w:rsidRPr="00A107D9">
        <w:rPr>
          <w:rFonts w:cs="Poppins"/>
          <w:shd w:val="clear" w:color="auto" w:fill="FFFFFF"/>
        </w:rPr>
        <w:t xml:space="preserve">These clauses </w:t>
      </w:r>
      <w:r w:rsidR="00830F01">
        <w:rPr>
          <w:rFonts w:cs="Poppins"/>
          <w:shd w:val="clear" w:color="auto" w:fill="FFFFFF"/>
        </w:rPr>
        <w:t>are self-</w:t>
      </w:r>
      <w:r w:rsidR="71FC9B25" w:rsidRPr="00A107D9">
        <w:rPr>
          <w:rFonts w:cs="Poppins"/>
          <w:shd w:val="clear" w:color="auto" w:fill="FFFFFF"/>
        </w:rPr>
        <w:t>contradict</w:t>
      </w:r>
      <w:r w:rsidR="00830F01">
        <w:rPr>
          <w:rFonts w:cs="Poppins"/>
          <w:shd w:val="clear" w:color="auto" w:fill="FFFFFF"/>
        </w:rPr>
        <w:t xml:space="preserve">ory. The </w:t>
      </w:r>
      <w:r w:rsidR="01BA4C6C" w:rsidRPr="00A107D9">
        <w:rPr>
          <w:rFonts w:cs="Poppins"/>
          <w:shd w:val="clear" w:color="auto" w:fill="FFFFFF"/>
        </w:rPr>
        <w:t xml:space="preserve">UK Supreme Court is </w:t>
      </w:r>
      <w:r w:rsidR="00830F01">
        <w:rPr>
          <w:rFonts w:cs="Poppins"/>
          <w:shd w:val="clear" w:color="auto" w:fill="FFFFFF"/>
        </w:rPr>
        <w:t xml:space="preserve">to be the ultimate </w:t>
      </w:r>
      <w:r w:rsidR="2F2BBA8B" w:rsidRPr="00A107D9">
        <w:rPr>
          <w:rFonts w:cs="Poppins"/>
          <w:shd w:val="clear" w:color="auto" w:fill="FFFFFF"/>
        </w:rPr>
        <w:t>adjudicator</w:t>
      </w:r>
      <w:r w:rsidR="01BA4C6C" w:rsidRPr="00A107D9">
        <w:rPr>
          <w:rFonts w:cs="Poppins"/>
          <w:shd w:val="clear" w:color="auto" w:fill="FFFFFF"/>
        </w:rPr>
        <w:t>, but only i</w:t>
      </w:r>
      <w:r w:rsidR="7658E2CA" w:rsidRPr="00A107D9">
        <w:rPr>
          <w:rFonts w:cs="Poppins"/>
          <w:shd w:val="clear" w:color="auto" w:fill="FFFFFF"/>
        </w:rPr>
        <w:t xml:space="preserve">f it is </w:t>
      </w:r>
      <w:r w:rsidR="00830F01">
        <w:rPr>
          <w:rFonts w:cs="Poppins"/>
          <w:shd w:val="clear" w:color="auto" w:fill="FFFFFF"/>
        </w:rPr>
        <w:t xml:space="preserve">minded to limit rather than </w:t>
      </w:r>
      <w:r w:rsidR="7658E2CA" w:rsidRPr="00A107D9">
        <w:rPr>
          <w:rFonts w:cs="Poppins"/>
          <w:shd w:val="clear" w:color="auto" w:fill="FFFFFF"/>
        </w:rPr>
        <w:t>enhanc</w:t>
      </w:r>
      <w:r w:rsidR="00830F01">
        <w:rPr>
          <w:rFonts w:cs="Poppins"/>
          <w:shd w:val="clear" w:color="auto" w:fill="FFFFFF"/>
        </w:rPr>
        <w:t xml:space="preserve">e </w:t>
      </w:r>
      <w:r w:rsidR="7658E2CA" w:rsidRPr="00A107D9">
        <w:rPr>
          <w:rFonts w:cs="Poppins"/>
          <w:shd w:val="clear" w:color="auto" w:fill="FFFFFF"/>
        </w:rPr>
        <w:t xml:space="preserve">human rights protection. </w:t>
      </w:r>
      <w:r w:rsidR="00830F01">
        <w:rPr>
          <w:rFonts w:cs="Poppins"/>
          <w:shd w:val="clear" w:color="auto" w:fill="FFFFFF"/>
        </w:rPr>
        <w:t xml:space="preserve">This is unnecessary and confusing. While it sits along with </w:t>
      </w:r>
      <w:r w:rsidR="4E11211B" w:rsidRPr="00A107D9">
        <w:rPr>
          <w:rFonts w:cs="Poppins"/>
          <w:shd w:val="clear" w:color="auto" w:fill="FFFFFF"/>
        </w:rPr>
        <w:t xml:space="preserve">the </w:t>
      </w:r>
      <w:r w:rsidR="00732B8C" w:rsidRPr="00A107D9">
        <w:rPr>
          <w:rFonts w:cs="Poppins"/>
          <w:shd w:val="clear" w:color="auto" w:fill="FFFFFF"/>
        </w:rPr>
        <w:t xml:space="preserve">previously established </w:t>
      </w:r>
      <w:r w:rsidR="4E11211B" w:rsidRPr="00A107D9">
        <w:rPr>
          <w:rFonts w:cs="Poppins"/>
          <w:shd w:val="clear" w:color="auto" w:fill="FFFFFF"/>
        </w:rPr>
        <w:t>Ullah principle,</w:t>
      </w:r>
      <w:r w:rsidR="007733F8" w:rsidRPr="00A107D9">
        <w:rPr>
          <w:rStyle w:val="FootnoteReference"/>
          <w:rFonts w:cs="Poppins"/>
          <w:shd w:val="clear" w:color="auto" w:fill="FFFFFF"/>
        </w:rPr>
        <w:footnoteReference w:id="18"/>
      </w:r>
      <w:r w:rsidR="4E11211B" w:rsidRPr="00A107D9">
        <w:rPr>
          <w:rFonts w:cs="Poppins"/>
          <w:shd w:val="clear" w:color="auto" w:fill="FFFFFF"/>
        </w:rPr>
        <w:t xml:space="preserve"> </w:t>
      </w:r>
      <w:r w:rsidR="00830F01">
        <w:rPr>
          <w:rFonts w:cs="Poppins"/>
          <w:shd w:val="clear" w:color="auto" w:fill="FFFFFF"/>
        </w:rPr>
        <w:t xml:space="preserve">this has been reconsidered </w:t>
      </w:r>
      <w:r w:rsidR="00732B8C" w:rsidRPr="00A107D9">
        <w:rPr>
          <w:rFonts w:cs="Poppins"/>
          <w:shd w:val="clear" w:color="auto" w:fill="FFFFFF"/>
        </w:rPr>
        <w:t>over the years</w:t>
      </w:r>
      <w:r w:rsidR="2CDCE53F" w:rsidRPr="00A107D9">
        <w:rPr>
          <w:rFonts w:cs="Poppins"/>
          <w:shd w:val="clear" w:color="auto" w:fill="FFFFFF"/>
        </w:rPr>
        <w:t xml:space="preserve"> to accommodate </w:t>
      </w:r>
      <w:r w:rsidR="6DAEE347" w:rsidRPr="00A107D9">
        <w:rPr>
          <w:rFonts w:cs="Poppins"/>
          <w:shd w:val="clear" w:color="auto" w:fill="FFFFFF"/>
        </w:rPr>
        <w:t>instances where established ECtHR jurisprudence does not exist or</w:t>
      </w:r>
      <w:r w:rsidR="43A46602" w:rsidRPr="00A107D9">
        <w:rPr>
          <w:rFonts w:cs="Poppins"/>
          <w:shd w:val="clear" w:color="auto" w:fill="FFFFFF"/>
        </w:rPr>
        <w:t xml:space="preserve"> </w:t>
      </w:r>
      <w:r w:rsidR="23384946" w:rsidRPr="00A107D9">
        <w:rPr>
          <w:rFonts w:cs="Poppins"/>
          <w:shd w:val="clear" w:color="auto" w:fill="FFFFFF"/>
        </w:rPr>
        <w:t xml:space="preserve">has not yet been </w:t>
      </w:r>
      <w:r w:rsidR="43A46602" w:rsidRPr="00A107D9">
        <w:rPr>
          <w:rFonts w:cs="Poppins"/>
          <w:shd w:val="clear" w:color="auto" w:fill="FFFFFF"/>
        </w:rPr>
        <w:t xml:space="preserve">reconsidered </w:t>
      </w:r>
      <w:r w:rsidR="00830F01">
        <w:rPr>
          <w:rFonts w:cs="Poppins"/>
          <w:shd w:val="clear" w:color="auto" w:fill="FFFFFF"/>
        </w:rPr>
        <w:t xml:space="preserve">so as </w:t>
      </w:r>
      <w:r w:rsidR="23384946" w:rsidRPr="00A107D9">
        <w:rPr>
          <w:rFonts w:cs="Poppins"/>
          <w:shd w:val="clear" w:color="auto" w:fill="FFFFFF"/>
        </w:rPr>
        <w:t>to reflect</w:t>
      </w:r>
      <w:r w:rsidR="43A46602" w:rsidRPr="00A107D9">
        <w:rPr>
          <w:rFonts w:cs="Poppins"/>
          <w:shd w:val="clear" w:color="auto" w:fill="FFFFFF"/>
        </w:rPr>
        <w:t xml:space="preserve"> societal developments.</w:t>
      </w:r>
      <w:r w:rsidR="61635866" w:rsidRPr="00A107D9">
        <w:rPr>
          <w:rFonts w:cs="Poppins"/>
          <w:shd w:val="clear" w:color="auto" w:fill="FFFFFF"/>
        </w:rPr>
        <w:t xml:space="preserve"> </w:t>
      </w:r>
      <w:r w:rsidR="4DDEB37A" w:rsidRPr="00A107D9">
        <w:rPr>
          <w:rFonts w:cs="Poppins"/>
          <w:shd w:val="clear" w:color="auto" w:fill="FFFFFF"/>
        </w:rPr>
        <w:t xml:space="preserve">The domestic courts have </w:t>
      </w:r>
      <w:r w:rsidR="00830F01">
        <w:rPr>
          <w:rFonts w:cs="Poppins"/>
          <w:shd w:val="clear" w:color="auto" w:fill="FFFFFF"/>
        </w:rPr>
        <w:t xml:space="preserve">played </w:t>
      </w:r>
      <w:r w:rsidR="4DDEB37A" w:rsidRPr="00A107D9">
        <w:rPr>
          <w:rFonts w:cs="Poppins"/>
          <w:shd w:val="clear" w:color="auto" w:fill="FFFFFF"/>
        </w:rPr>
        <w:t>a</w:t>
      </w:r>
      <w:r w:rsidR="00830F01">
        <w:rPr>
          <w:rFonts w:cs="Poppins"/>
          <w:shd w:val="clear" w:color="auto" w:fill="FFFFFF"/>
        </w:rPr>
        <w:t>n important</w:t>
      </w:r>
      <w:r w:rsidR="4DDEB37A" w:rsidRPr="00A107D9">
        <w:rPr>
          <w:rFonts w:cs="Poppins"/>
          <w:shd w:val="clear" w:color="auto" w:fill="FFFFFF"/>
        </w:rPr>
        <w:t xml:space="preserve"> role in protecting minorities against discrimination</w:t>
      </w:r>
      <w:r w:rsidR="00830F01">
        <w:rPr>
          <w:rFonts w:cs="Poppins"/>
          <w:shd w:val="clear" w:color="auto" w:fill="FFFFFF"/>
        </w:rPr>
        <w:t xml:space="preserve">. This Bill will weaken their ability to protect those who </w:t>
      </w:r>
      <w:r w:rsidR="00B20335">
        <w:rPr>
          <w:rFonts w:cs="Poppins"/>
          <w:shd w:val="clear" w:color="auto" w:fill="FFFFFF"/>
        </w:rPr>
        <w:t xml:space="preserve">do </w:t>
      </w:r>
      <w:r w:rsidR="004B493D">
        <w:rPr>
          <w:rFonts w:cs="Poppins"/>
          <w:shd w:val="clear" w:color="auto" w:fill="FFFFFF"/>
        </w:rPr>
        <w:t>not have</w:t>
      </w:r>
      <w:r w:rsidR="4DDEB37A" w:rsidRPr="00A107D9">
        <w:rPr>
          <w:rFonts w:cs="Poppins"/>
          <w:shd w:val="clear" w:color="auto" w:fill="FFFFFF"/>
        </w:rPr>
        <w:t xml:space="preserve"> the </w:t>
      </w:r>
      <w:r w:rsidR="4DDEB37A">
        <w:rPr>
          <w:rFonts w:cs="Poppins"/>
          <w:shd w:val="clear" w:color="auto" w:fill="FFFFFF"/>
        </w:rPr>
        <w:t xml:space="preserve">agency or support </w:t>
      </w:r>
      <w:r w:rsidR="4DDEB37A" w:rsidRPr="00A107D9">
        <w:rPr>
          <w:rFonts w:cs="Poppins"/>
          <w:shd w:val="clear" w:color="auto" w:fill="FFFFFF"/>
        </w:rPr>
        <w:t>to test a case before the ECtHR.</w:t>
      </w:r>
      <w:r w:rsidR="4DDEB37A">
        <w:rPr>
          <w:rFonts w:cs="Poppins"/>
          <w:shd w:val="clear" w:color="auto" w:fill="FFFFFF"/>
        </w:rPr>
        <w:t xml:space="preserve"> </w:t>
      </w:r>
      <w:r w:rsidR="00B20335">
        <w:rPr>
          <w:rFonts w:cs="Poppins"/>
          <w:shd w:val="clear" w:color="auto" w:fill="FFFFFF"/>
        </w:rPr>
        <w:t xml:space="preserve">A case like </w:t>
      </w:r>
      <w:r w:rsidR="0F4CA0D9" w:rsidRPr="0697744C">
        <w:rPr>
          <w:rFonts w:cs="Poppins"/>
          <w:i/>
          <w:iCs/>
          <w:shd w:val="clear" w:color="auto" w:fill="FFFFFF"/>
        </w:rPr>
        <w:t>Rabone</w:t>
      </w:r>
      <w:r w:rsidR="1CFC9CFA" w:rsidRPr="00A107D9">
        <w:rPr>
          <w:rFonts w:cs="Poppins"/>
          <w:shd w:val="clear" w:color="auto" w:fill="FFFFFF"/>
        </w:rPr>
        <w:t xml:space="preserve"> [2012]</w:t>
      </w:r>
      <w:r w:rsidR="11CD6E67" w:rsidRPr="00A107D9">
        <w:rPr>
          <w:rFonts w:cs="Poppins"/>
          <w:shd w:val="clear" w:color="auto" w:fill="FFFFFF"/>
        </w:rPr>
        <w:t>,</w:t>
      </w:r>
      <w:r w:rsidR="0026143E" w:rsidRPr="00A107D9">
        <w:rPr>
          <w:rStyle w:val="FootnoteReference"/>
          <w:rFonts w:cs="Poppins"/>
          <w:shd w:val="clear" w:color="auto" w:fill="FFFFFF"/>
        </w:rPr>
        <w:footnoteReference w:id="19"/>
      </w:r>
      <w:r w:rsidR="11CD6E67" w:rsidRPr="00A107D9">
        <w:rPr>
          <w:rFonts w:cs="Poppins"/>
          <w:shd w:val="clear" w:color="auto" w:fill="FFFFFF"/>
        </w:rPr>
        <w:t xml:space="preserve"> </w:t>
      </w:r>
      <w:r w:rsidR="00B20335">
        <w:rPr>
          <w:rFonts w:cs="Poppins"/>
          <w:shd w:val="clear" w:color="auto" w:fill="FFFFFF"/>
        </w:rPr>
        <w:t xml:space="preserve">which </w:t>
      </w:r>
      <w:r w:rsidR="11CD6E67" w:rsidRPr="00A107D9">
        <w:rPr>
          <w:rFonts w:cs="Poppins"/>
          <w:shd w:val="clear" w:color="auto" w:fill="FFFFFF"/>
        </w:rPr>
        <w:t>ruled that positive obligations applied to informal</w:t>
      </w:r>
      <w:r w:rsidR="1CFC9CFA" w:rsidRPr="00A107D9">
        <w:rPr>
          <w:rFonts w:cs="Poppins"/>
          <w:shd w:val="clear" w:color="auto" w:fill="FFFFFF"/>
        </w:rPr>
        <w:t>, not just detained,</w:t>
      </w:r>
      <w:r w:rsidR="11CD6E67" w:rsidRPr="00A107D9">
        <w:rPr>
          <w:rFonts w:cs="Poppins"/>
          <w:shd w:val="clear" w:color="auto" w:fill="FFFFFF"/>
        </w:rPr>
        <w:t xml:space="preserve"> psychiatric patient</w:t>
      </w:r>
      <w:r w:rsidR="1CFC9CFA" w:rsidRPr="00A107D9">
        <w:rPr>
          <w:rFonts w:cs="Poppins"/>
          <w:shd w:val="clear" w:color="auto" w:fill="FFFFFF"/>
        </w:rPr>
        <w:t>s</w:t>
      </w:r>
      <w:r w:rsidR="00B20335">
        <w:rPr>
          <w:rFonts w:cs="Poppins"/>
          <w:shd w:val="clear" w:color="auto" w:fill="FFFFFF"/>
        </w:rPr>
        <w:t>, could not be brought.</w:t>
      </w:r>
    </w:p>
    <w:p w14:paraId="2AB420C8" w14:textId="34DCFB7C" w:rsidR="00F4579E" w:rsidRPr="00A107D9" w:rsidRDefault="00F4579E" w:rsidP="00E8329B">
      <w:pPr>
        <w:ind w:left="720" w:hanging="720"/>
        <w:rPr>
          <w:rFonts w:cs="Poppins"/>
          <w:shd w:val="clear" w:color="auto" w:fill="FFFFFF"/>
        </w:rPr>
      </w:pPr>
    </w:p>
    <w:p w14:paraId="728F8AC8" w14:textId="6664C4E2" w:rsidR="008E20D0" w:rsidRDefault="00FC081F" w:rsidP="00E8329B">
      <w:pPr>
        <w:ind w:left="720" w:hanging="720"/>
        <w:rPr>
          <w:rFonts w:cs="Poppins"/>
          <w:shd w:val="clear" w:color="auto" w:fill="FFFFFF"/>
        </w:rPr>
      </w:pPr>
      <w:r w:rsidRPr="00A107D9">
        <w:rPr>
          <w:rFonts w:cs="Poppins"/>
          <w:shd w:val="clear" w:color="auto" w:fill="FFFFFF"/>
        </w:rPr>
        <w:t>3</w:t>
      </w:r>
      <w:r w:rsidR="008E20D0" w:rsidRPr="00A107D9">
        <w:rPr>
          <w:rFonts w:cs="Poppins"/>
          <w:shd w:val="clear" w:color="auto" w:fill="FFFFFF"/>
        </w:rPr>
        <w:t>.</w:t>
      </w:r>
      <w:r w:rsidR="00DD6D0C">
        <w:rPr>
          <w:rFonts w:cs="Poppins"/>
          <w:shd w:val="clear" w:color="auto" w:fill="FFFFFF"/>
        </w:rPr>
        <w:t>5</w:t>
      </w:r>
      <w:r w:rsidR="008E20D0" w:rsidRPr="00A107D9">
        <w:rPr>
          <w:rFonts w:cs="Poppins"/>
          <w:shd w:val="clear" w:color="auto" w:fill="FFFFFF"/>
        </w:rPr>
        <w:tab/>
      </w:r>
      <w:r w:rsidR="00C931AE" w:rsidRPr="00A107D9">
        <w:rPr>
          <w:rFonts w:cs="Poppins"/>
          <w:shd w:val="clear" w:color="auto" w:fill="FFFFFF"/>
        </w:rPr>
        <w:t>Public authorities must still act in a way that is compatible with the ECHR</w:t>
      </w:r>
      <w:r w:rsidR="00F23F1F" w:rsidRPr="00A107D9">
        <w:rPr>
          <w:rFonts w:cs="Poppins"/>
          <w:shd w:val="clear" w:color="auto" w:fill="FFFFFF"/>
        </w:rPr>
        <w:t>.</w:t>
      </w:r>
      <w:r w:rsidR="00EB0A1D" w:rsidRPr="00A107D9">
        <w:rPr>
          <w:rStyle w:val="FootnoteReference"/>
          <w:rFonts w:cs="Poppins"/>
          <w:shd w:val="clear" w:color="auto" w:fill="FFFFFF"/>
        </w:rPr>
        <w:footnoteReference w:id="20"/>
      </w:r>
      <w:r w:rsidR="00F23F1F" w:rsidRPr="00A107D9">
        <w:rPr>
          <w:rFonts w:cs="Poppins"/>
          <w:shd w:val="clear" w:color="auto" w:fill="FFFFFF"/>
        </w:rPr>
        <w:t xml:space="preserve"> </w:t>
      </w:r>
      <w:r w:rsidR="00E61DCE">
        <w:rPr>
          <w:rFonts w:cs="Poppins"/>
          <w:shd w:val="clear" w:color="auto" w:fill="FFFFFF"/>
        </w:rPr>
        <w:t>T</w:t>
      </w:r>
      <w:r w:rsidR="00F23F1F" w:rsidRPr="00A107D9">
        <w:rPr>
          <w:rFonts w:cs="Poppins"/>
          <w:shd w:val="clear" w:color="auto" w:fill="FFFFFF"/>
        </w:rPr>
        <w:t xml:space="preserve">he Human Rights Act </w:t>
      </w:r>
      <w:r w:rsidR="00E603EA" w:rsidRPr="00A107D9">
        <w:rPr>
          <w:rFonts w:cs="Poppins"/>
          <w:shd w:val="clear" w:color="auto" w:fill="FFFFFF"/>
        </w:rPr>
        <w:t xml:space="preserve">makes it clear that this requires </w:t>
      </w:r>
      <w:r w:rsidR="00A72F3C">
        <w:rPr>
          <w:rFonts w:cs="Poppins"/>
          <w:shd w:val="clear" w:color="auto" w:fill="FFFFFF"/>
        </w:rPr>
        <w:t xml:space="preserve">public authorities and courts to interpret </w:t>
      </w:r>
      <w:r w:rsidR="00E603EA" w:rsidRPr="00A107D9">
        <w:rPr>
          <w:rFonts w:cs="Poppins"/>
          <w:shd w:val="clear" w:color="auto" w:fill="FFFFFF"/>
        </w:rPr>
        <w:t>legislation “so far as it is possible to do so” in an ECHR-compliant way.</w:t>
      </w:r>
      <w:r w:rsidR="00E61DCE">
        <w:rPr>
          <w:rStyle w:val="FootnoteReference"/>
          <w:rFonts w:cs="Poppins"/>
          <w:shd w:val="clear" w:color="auto" w:fill="FFFFFF"/>
        </w:rPr>
        <w:footnoteReference w:id="21"/>
      </w:r>
      <w:r w:rsidR="00E603EA" w:rsidRPr="00A107D9">
        <w:rPr>
          <w:rFonts w:cs="Poppins"/>
          <w:shd w:val="clear" w:color="auto" w:fill="FFFFFF"/>
        </w:rPr>
        <w:t xml:space="preserve"> </w:t>
      </w:r>
      <w:r w:rsidR="00E61DCE">
        <w:rPr>
          <w:rFonts w:cs="Poppins"/>
          <w:shd w:val="clear" w:color="auto" w:fill="FFFFFF"/>
        </w:rPr>
        <w:t>T</w:t>
      </w:r>
      <w:r w:rsidR="00464F5F" w:rsidRPr="00A107D9">
        <w:rPr>
          <w:rFonts w:cs="Poppins"/>
          <w:shd w:val="clear" w:color="auto" w:fill="FFFFFF"/>
        </w:rPr>
        <w:t xml:space="preserve">he present Bill </w:t>
      </w:r>
      <w:r w:rsidR="00240B58">
        <w:rPr>
          <w:rFonts w:cs="Poppins"/>
          <w:shd w:val="clear" w:color="auto" w:fill="FFFFFF"/>
        </w:rPr>
        <w:t xml:space="preserve">however preserves that duty but with an important difference - </w:t>
      </w:r>
      <w:r w:rsidR="00A978B6" w:rsidRPr="00A107D9">
        <w:rPr>
          <w:rFonts w:cs="Poppins"/>
          <w:shd w:val="clear" w:color="auto" w:fill="FFFFFF"/>
        </w:rPr>
        <w:t xml:space="preserve">the focus </w:t>
      </w:r>
      <w:r w:rsidR="00240B58">
        <w:rPr>
          <w:rFonts w:cs="Poppins"/>
          <w:shd w:val="clear" w:color="auto" w:fill="FFFFFF"/>
        </w:rPr>
        <w:t xml:space="preserve">is </w:t>
      </w:r>
      <w:r w:rsidR="00A978B6" w:rsidRPr="00A107D9">
        <w:rPr>
          <w:rFonts w:cs="Poppins"/>
          <w:shd w:val="clear" w:color="auto" w:fill="FFFFFF"/>
        </w:rPr>
        <w:t xml:space="preserve">on how the courts </w:t>
      </w:r>
      <w:r w:rsidR="00A72F3C">
        <w:rPr>
          <w:rFonts w:cs="Poppins"/>
          <w:shd w:val="clear" w:color="auto" w:fill="FFFFFF"/>
        </w:rPr>
        <w:t xml:space="preserve">(not public authorities) </w:t>
      </w:r>
      <w:r w:rsidR="00A978B6" w:rsidRPr="00A107D9">
        <w:rPr>
          <w:rFonts w:cs="Poppins"/>
          <w:shd w:val="clear" w:color="auto" w:fill="FFFFFF"/>
        </w:rPr>
        <w:t>interpret EC</w:t>
      </w:r>
      <w:r w:rsidR="00504BC3" w:rsidRPr="00A107D9">
        <w:rPr>
          <w:rFonts w:cs="Poppins"/>
          <w:shd w:val="clear" w:color="auto" w:fill="FFFFFF"/>
        </w:rPr>
        <w:t>HR rights.</w:t>
      </w:r>
      <w:r w:rsidR="00E61DCE">
        <w:rPr>
          <w:rStyle w:val="FootnoteReference"/>
          <w:rFonts w:cs="Poppins"/>
          <w:shd w:val="clear" w:color="auto" w:fill="FFFFFF"/>
        </w:rPr>
        <w:footnoteReference w:id="22"/>
      </w:r>
      <w:r w:rsidR="003227A7" w:rsidRPr="00A107D9">
        <w:rPr>
          <w:rFonts w:cs="Poppins"/>
          <w:shd w:val="clear" w:color="auto" w:fill="FFFFFF"/>
        </w:rPr>
        <w:t xml:space="preserve"> This </w:t>
      </w:r>
      <w:r w:rsidR="00124B4D" w:rsidRPr="00A107D9">
        <w:rPr>
          <w:rFonts w:cs="Poppins"/>
          <w:shd w:val="clear" w:color="auto" w:fill="FFFFFF"/>
        </w:rPr>
        <w:t xml:space="preserve">creates unnecessary confusion </w:t>
      </w:r>
      <w:r w:rsidR="00240B58">
        <w:rPr>
          <w:rFonts w:cs="Poppins"/>
          <w:shd w:val="clear" w:color="auto" w:fill="FFFFFF"/>
        </w:rPr>
        <w:t xml:space="preserve">and a weakening of protection in practice </w:t>
      </w:r>
      <w:r w:rsidR="00124B4D" w:rsidRPr="00A107D9">
        <w:rPr>
          <w:rFonts w:cs="Poppins"/>
          <w:shd w:val="clear" w:color="auto" w:fill="FFFFFF"/>
        </w:rPr>
        <w:t xml:space="preserve">that </w:t>
      </w:r>
      <w:r w:rsidR="00A62488" w:rsidRPr="00A107D9">
        <w:rPr>
          <w:rFonts w:cs="Poppins"/>
          <w:shd w:val="clear" w:color="auto" w:fill="FFFFFF"/>
        </w:rPr>
        <w:t>d</w:t>
      </w:r>
      <w:r w:rsidR="002B20BA" w:rsidRPr="00A107D9">
        <w:rPr>
          <w:rFonts w:cs="Poppins"/>
          <w:shd w:val="clear" w:color="auto" w:fill="FFFFFF"/>
        </w:rPr>
        <w:t>oes</w:t>
      </w:r>
      <w:r w:rsidR="00A62488" w:rsidRPr="00A107D9">
        <w:rPr>
          <w:rFonts w:cs="Poppins"/>
          <w:shd w:val="clear" w:color="auto" w:fill="FFFFFF"/>
        </w:rPr>
        <w:t xml:space="preserve"> not exist under the 1998 Act.</w:t>
      </w:r>
    </w:p>
    <w:p w14:paraId="1011884D" w14:textId="0BA6B988" w:rsidR="00E61DCE" w:rsidRDefault="00E61DCE" w:rsidP="00E8329B">
      <w:pPr>
        <w:ind w:left="720" w:hanging="720"/>
        <w:rPr>
          <w:rFonts w:cs="Poppins"/>
          <w:shd w:val="clear" w:color="auto" w:fill="FFFFFF"/>
        </w:rPr>
      </w:pPr>
    </w:p>
    <w:p w14:paraId="16285BCB" w14:textId="743E7F04" w:rsidR="00E61DCE" w:rsidRPr="002A779A" w:rsidRDefault="00E61DCE" w:rsidP="00E8329B">
      <w:pPr>
        <w:ind w:left="720" w:hanging="720"/>
        <w:rPr>
          <w:rFonts w:cs="Poppins"/>
          <w:b/>
          <w:bCs/>
          <w:shd w:val="clear" w:color="auto" w:fill="FFFFFF"/>
        </w:rPr>
      </w:pPr>
      <w:r w:rsidRPr="002A779A">
        <w:rPr>
          <w:rFonts w:cs="Poppins"/>
          <w:b/>
          <w:bCs/>
          <w:shd w:val="clear" w:color="auto" w:fill="FFFFFF"/>
        </w:rPr>
        <w:lastRenderedPageBreak/>
        <w:t>3.</w:t>
      </w:r>
      <w:r w:rsidR="00DD6D0C">
        <w:rPr>
          <w:rFonts w:cs="Poppins"/>
          <w:b/>
          <w:bCs/>
          <w:shd w:val="clear" w:color="auto" w:fill="FFFFFF"/>
        </w:rPr>
        <w:t>6</w:t>
      </w:r>
      <w:r w:rsidRPr="002A779A">
        <w:rPr>
          <w:rFonts w:cs="Poppins"/>
          <w:b/>
          <w:bCs/>
          <w:shd w:val="clear" w:color="auto" w:fill="FFFFFF"/>
        </w:rPr>
        <w:tab/>
        <w:t xml:space="preserve">The NIHRC advises that </w:t>
      </w:r>
      <w:r w:rsidR="000E1B24">
        <w:rPr>
          <w:rFonts w:cs="Poppins"/>
          <w:b/>
          <w:bCs/>
          <w:shd w:val="clear" w:color="auto" w:fill="FFFFFF"/>
        </w:rPr>
        <w:t>there is already a</w:t>
      </w:r>
      <w:r w:rsidRPr="002A779A">
        <w:rPr>
          <w:rFonts w:cs="Poppins"/>
          <w:b/>
          <w:bCs/>
          <w:shd w:val="clear" w:color="auto" w:fill="FFFFFF"/>
        </w:rPr>
        <w:t xml:space="preserve"> balanced relationship between the UK courts, ECtHR and UK Parliament</w:t>
      </w:r>
      <w:r w:rsidR="008259B0">
        <w:rPr>
          <w:rFonts w:cs="Poppins"/>
          <w:b/>
          <w:bCs/>
          <w:shd w:val="clear" w:color="auto" w:fill="FFFFFF"/>
        </w:rPr>
        <w:t xml:space="preserve"> by virtue of the </w:t>
      </w:r>
      <w:r w:rsidRPr="002A779A">
        <w:rPr>
          <w:rFonts w:cs="Poppins"/>
          <w:b/>
          <w:bCs/>
          <w:shd w:val="clear" w:color="auto" w:fill="FFFFFF"/>
        </w:rPr>
        <w:t>Human Rights Act. The NIHRC is concerned that the present Bill create</w:t>
      </w:r>
      <w:r w:rsidR="000E1B24">
        <w:rPr>
          <w:rFonts w:cs="Poppins"/>
          <w:b/>
          <w:bCs/>
          <w:shd w:val="clear" w:color="auto" w:fill="FFFFFF"/>
        </w:rPr>
        <w:t>s</w:t>
      </w:r>
      <w:r w:rsidRPr="002A779A">
        <w:rPr>
          <w:rFonts w:cs="Poppins"/>
          <w:b/>
          <w:bCs/>
          <w:shd w:val="clear" w:color="auto" w:fill="FFFFFF"/>
        </w:rPr>
        <w:t xml:space="preserve"> </w:t>
      </w:r>
      <w:r w:rsidR="008259B0">
        <w:rPr>
          <w:rFonts w:cs="Poppins"/>
          <w:b/>
          <w:bCs/>
          <w:shd w:val="clear" w:color="auto" w:fill="FFFFFF"/>
        </w:rPr>
        <w:t xml:space="preserve">an imbalance and will lead to </w:t>
      </w:r>
      <w:r w:rsidRPr="002A779A">
        <w:rPr>
          <w:rFonts w:cs="Poppins"/>
          <w:b/>
          <w:bCs/>
          <w:shd w:val="clear" w:color="auto" w:fill="FFFFFF"/>
        </w:rPr>
        <w:t xml:space="preserve">uncertainty, prevent the domestic courts from reacting to societal developments and redirect cases </w:t>
      </w:r>
      <w:r w:rsidR="0021584D">
        <w:rPr>
          <w:rFonts w:cs="Poppins"/>
          <w:b/>
          <w:bCs/>
          <w:shd w:val="clear" w:color="auto" w:fill="FFFFFF"/>
        </w:rPr>
        <w:t xml:space="preserve">away from the domestic courts </w:t>
      </w:r>
      <w:r w:rsidRPr="002A779A">
        <w:rPr>
          <w:rFonts w:cs="Poppins"/>
          <w:b/>
          <w:bCs/>
          <w:shd w:val="clear" w:color="auto" w:fill="FFFFFF"/>
        </w:rPr>
        <w:t>towards the ECtHR.</w:t>
      </w:r>
    </w:p>
    <w:p w14:paraId="37E8F28F" w14:textId="000F0B55" w:rsidR="00C85B6D" w:rsidRDefault="00C85B6D" w:rsidP="0697744C">
      <w:pPr>
        <w:ind w:left="720" w:hanging="720"/>
        <w:rPr>
          <w:rFonts w:cs="Poppins"/>
          <w:color w:val="232120"/>
          <w:shd w:val="clear" w:color="auto" w:fill="FFFFFF"/>
        </w:rPr>
      </w:pPr>
    </w:p>
    <w:p w14:paraId="102E3AB7" w14:textId="3E093061" w:rsidR="002F7B84" w:rsidRDefault="002F7B84" w:rsidP="002F7B84">
      <w:pPr>
        <w:spacing w:line="276" w:lineRule="auto"/>
        <w:ind w:left="720" w:hanging="720"/>
        <w:jc w:val="left"/>
      </w:pPr>
      <w:r>
        <w:rPr>
          <w:rFonts w:cs="Poppins"/>
          <w:shd w:val="clear" w:color="auto" w:fill="FFFFFF"/>
        </w:rPr>
        <w:t>3.</w:t>
      </w:r>
      <w:r w:rsidR="006B4B29">
        <w:rPr>
          <w:rFonts w:cs="Poppins"/>
          <w:shd w:val="clear" w:color="auto" w:fill="FFFFFF"/>
        </w:rPr>
        <w:t>7</w:t>
      </w:r>
      <w:r>
        <w:rPr>
          <w:rFonts w:cs="Poppins"/>
          <w:shd w:val="clear" w:color="auto" w:fill="FFFFFF"/>
        </w:rPr>
        <w:tab/>
        <w:t>The Belfast (Good Friday) Agreement makes a direct link between the Rights, Safeguards and Equality of Opportunity Chapter and the ECHR.</w:t>
      </w:r>
      <w:r w:rsidRPr="002A1BF9">
        <w:rPr>
          <w:vertAlign w:val="superscript"/>
        </w:rPr>
        <w:footnoteReference w:id="23"/>
      </w:r>
      <w:r>
        <w:rPr>
          <w:rFonts w:cs="Poppins"/>
          <w:shd w:val="clear" w:color="auto" w:fill="FFFFFF"/>
        </w:rPr>
        <w:t xml:space="preserve"> </w:t>
      </w:r>
      <w:r w:rsidR="00E25F2E">
        <w:t>T</w:t>
      </w:r>
      <w:r w:rsidR="00E25F2E" w:rsidRPr="00B14056">
        <w:t xml:space="preserve">he UK Government has </w:t>
      </w:r>
      <w:r w:rsidR="00E25F2E">
        <w:t xml:space="preserve">recognised </w:t>
      </w:r>
      <w:r w:rsidR="00E25F2E" w:rsidRPr="00B14056">
        <w:t>that the “key rights and equality provisions in the [Belfast (Good Friday)] Agreement are supported by the ECHR which has been incorporated into NI law pursuant to the commitment in the Agreement to do so”.</w:t>
      </w:r>
      <w:r w:rsidR="00E25F2E" w:rsidRPr="00B14056">
        <w:rPr>
          <w:rStyle w:val="FootnoteReference"/>
        </w:rPr>
        <w:footnoteReference w:id="24"/>
      </w:r>
      <w:r w:rsidR="00E25F2E" w:rsidRPr="00B14056">
        <w:t xml:space="preserve">  The </w:t>
      </w:r>
      <w:r w:rsidR="00E25F2E">
        <w:t>signatories</w:t>
      </w:r>
      <w:r w:rsidR="002977BD">
        <w:t xml:space="preserve">’ commitment in </w:t>
      </w:r>
      <w:r w:rsidR="00E25F2E" w:rsidRPr="00B14056">
        <w:t>the Belfast (Good Friday) Agreement</w:t>
      </w:r>
      <w:r w:rsidR="00E25F2E">
        <w:t xml:space="preserve"> to rights in this chapter must therefore be understood as embracing, as a minimum, those rights set out in the ECHR.</w:t>
      </w:r>
      <w:r w:rsidR="00E25F2E">
        <w:rPr>
          <w:rStyle w:val="FootnoteReference"/>
        </w:rPr>
        <w:footnoteReference w:id="25"/>
      </w:r>
      <w:r w:rsidR="00E25F2E">
        <w:t xml:space="preserve">  Therefore, </w:t>
      </w:r>
      <w:r w:rsidR="00E25F2E" w:rsidRPr="005E33D6">
        <w:t xml:space="preserve">the non-diminution commitment in Protocol Article 2 encompasses the full range of rights set out in the ECHR, </w:t>
      </w:r>
      <w:r w:rsidR="00E25F2E" w:rsidRPr="00340C0A">
        <w:t>to the extent that they are underpinned by EU obligations</w:t>
      </w:r>
      <w:r w:rsidR="00E25F2E" w:rsidRPr="005E33D6">
        <w:t xml:space="preserve"> in force on 31 December 2020</w:t>
      </w:r>
      <w:r w:rsidR="00E25F2E">
        <w:t>.</w:t>
      </w:r>
      <w:r>
        <w:rPr>
          <w:rStyle w:val="FootnoteReference"/>
        </w:rPr>
        <w:footnoteReference w:id="26"/>
      </w:r>
      <w:r>
        <w:t xml:space="preserve"> As noted above, both the UK Government and the NI High court have recognised that Protocol Article 2 has direct effect </w:t>
      </w:r>
      <w:r w:rsidRPr="00643E65">
        <w:t xml:space="preserve">and that </w:t>
      </w:r>
      <w:r>
        <w:t>individuals</w:t>
      </w:r>
      <w:r w:rsidRPr="00D4563F">
        <w:t xml:space="preserve"> </w:t>
      </w:r>
      <w:r w:rsidRPr="0006017E">
        <w:t xml:space="preserve">can </w:t>
      </w:r>
      <w:r w:rsidRPr="00CD5299">
        <w:t xml:space="preserve">invoke their </w:t>
      </w:r>
      <w:r w:rsidRPr="00AF40B4">
        <w:t>rights under Protocol Article 2 in UK Courts</w:t>
      </w:r>
      <w:r>
        <w:t>.</w:t>
      </w:r>
      <w:r>
        <w:rPr>
          <w:rStyle w:val="FootnoteReference"/>
        </w:rPr>
        <w:footnoteReference w:id="27"/>
      </w:r>
    </w:p>
    <w:p w14:paraId="588F2A16" w14:textId="77777777" w:rsidR="002F7B84" w:rsidRDefault="002F7B84" w:rsidP="002F7B84">
      <w:pPr>
        <w:spacing w:line="276" w:lineRule="auto"/>
        <w:ind w:left="720" w:hanging="720"/>
        <w:jc w:val="left"/>
      </w:pPr>
    </w:p>
    <w:p w14:paraId="074E8342" w14:textId="506D0E2E" w:rsidR="002F7B84" w:rsidRDefault="002F7B84" w:rsidP="002F7B84">
      <w:pPr>
        <w:spacing w:line="276" w:lineRule="auto"/>
        <w:ind w:left="720" w:hanging="720"/>
        <w:jc w:val="left"/>
      </w:pPr>
      <w:r>
        <w:t>3.</w:t>
      </w:r>
      <w:r w:rsidR="006B4B29">
        <w:t>8</w:t>
      </w:r>
      <w:r>
        <w:tab/>
      </w:r>
      <w:r w:rsidRPr="000A31C0">
        <w:t xml:space="preserve">The EU Charter </w:t>
      </w:r>
      <w:r>
        <w:t xml:space="preserve">of Fundamental Rights </w:t>
      </w:r>
      <w:r w:rsidRPr="000A31C0">
        <w:t xml:space="preserve">continues to apply in the application and </w:t>
      </w:r>
      <w:bookmarkStart w:id="5" w:name="_Hlk94694513"/>
      <w:r w:rsidRPr="000A31C0">
        <w:t xml:space="preserve">interpretation </w:t>
      </w:r>
      <w:bookmarkStart w:id="6" w:name="_Hlk94694537"/>
      <w:r w:rsidRPr="000A31C0">
        <w:t>of</w:t>
      </w:r>
      <w:r>
        <w:t xml:space="preserve"> any</w:t>
      </w:r>
      <w:r w:rsidRPr="006F6E42">
        <w:t xml:space="preserve"> EU law</w:t>
      </w:r>
      <w:r>
        <w:t xml:space="preserve"> and concepts referred to in the Withdrawal Agreement</w:t>
      </w:r>
      <w:bookmarkEnd w:id="6"/>
      <w:r>
        <w:t xml:space="preserve">, </w:t>
      </w:r>
      <w:r w:rsidRPr="00F13370">
        <w:t xml:space="preserve">including any EU obligations which underpin the rights, safeguards and equality of opportunity </w:t>
      </w:r>
      <w:r w:rsidRPr="00F13370">
        <w:lastRenderedPageBreak/>
        <w:t>protections within scope of Protocol Article 2</w:t>
      </w:r>
      <w:r w:rsidRPr="006F6E42">
        <w:t>.</w:t>
      </w:r>
      <w:bookmarkStart w:id="7" w:name="_Hlk94694589"/>
      <w:r>
        <w:rPr>
          <w:rStyle w:val="FootnoteReference"/>
        </w:rPr>
        <w:footnoteReference w:id="28"/>
      </w:r>
      <w:bookmarkEnd w:id="5"/>
      <w:bookmarkEnd w:id="7"/>
      <w:r>
        <w:t xml:space="preserve">  </w:t>
      </w:r>
      <w:r w:rsidR="00145102" w:rsidRPr="00F47DA7">
        <w:t xml:space="preserve">Article 52 of the EU Charter establishes a </w:t>
      </w:r>
      <w:r w:rsidRPr="00F47DA7">
        <w:t xml:space="preserve">link between </w:t>
      </w:r>
      <w:r w:rsidR="00145102" w:rsidRPr="00F47DA7">
        <w:t xml:space="preserve">the </w:t>
      </w:r>
      <w:r w:rsidRPr="00F47DA7">
        <w:t>rights in the EU Charter and the ECHR</w:t>
      </w:r>
      <w:r w:rsidR="00145102" w:rsidRPr="00F47DA7">
        <w:t xml:space="preserve"> and this link </w:t>
      </w:r>
      <w:r w:rsidR="00E50E53" w:rsidRPr="00F47DA7">
        <w:t xml:space="preserve">has been further developed </w:t>
      </w:r>
      <w:r w:rsidR="00145102" w:rsidRPr="00F47DA7">
        <w:t>in the jurisprudence of the Court of Justice of the EU</w:t>
      </w:r>
      <w:r w:rsidR="00E50E53" w:rsidRPr="00F47DA7">
        <w:t xml:space="preserve"> (CJEU)</w:t>
      </w:r>
      <w:r w:rsidRPr="00F47DA7">
        <w:t>.</w:t>
      </w:r>
      <w:r w:rsidRPr="00F47DA7">
        <w:rPr>
          <w:rStyle w:val="FootnoteReference"/>
        </w:rPr>
        <w:footnoteReference w:id="29"/>
      </w:r>
    </w:p>
    <w:p w14:paraId="6A0E38B7" w14:textId="77777777" w:rsidR="002F7B84" w:rsidRDefault="002F7B84" w:rsidP="002F7B84">
      <w:pPr>
        <w:spacing w:line="276" w:lineRule="auto"/>
        <w:ind w:left="720" w:hanging="720"/>
        <w:jc w:val="left"/>
      </w:pPr>
    </w:p>
    <w:p w14:paraId="3EA2B818" w14:textId="7D242393" w:rsidR="002F7B84" w:rsidRDefault="002F7B84" w:rsidP="002F7B84">
      <w:pPr>
        <w:spacing w:line="276" w:lineRule="auto"/>
        <w:ind w:left="720" w:hanging="720"/>
        <w:jc w:val="left"/>
      </w:pPr>
      <w:r>
        <w:t>3.</w:t>
      </w:r>
      <w:r w:rsidR="006B4B29">
        <w:t>9</w:t>
      </w:r>
      <w:r>
        <w:tab/>
      </w:r>
      <w:r w:rsidRPr="00B04B79">
        <w:t>Pursuant to Protocol Article 2, there can be no diminution of those ECHR rights which were underpinned by EU law prior to 1 January 2021</w:t>
      </w:r>
      <w:r>
        <w:t xml:space="preserve">.  </w:t>
      </w:r>
      <w:r w:rsidR="00145102" w:rsidRPr="00F47DA7">
        <w:t>Where an EU Charter right is engaged</w:t>
      </w:r>
      <w:r w:rsidR="00D327D2" w:rsidRPr="00F47DA7">
        <w:t>,</w:t>
      </w:r>
      <w:r w:rsidR="00145102" w:rsidRPr="00F47DA7">
        <w:t xml:space="preserve"> which corresponds to </w:t>
      </w:r>
      <w:r w:rsidR="00E50E53" w:rsidRPr="00F47DA7">
        <w:t xml:space="preserve">a right in the ECHR, the CJEU has </w:t>
      </w:r>
      <w:r w:rsidR="00BE0D71" w:rsidRPr="00F47DA7">
        <w:t xml:space="preserve">consistently </w:t>
      </w:r>
      <w:r w:rsidR="00E50E53" w:rsidRPr="00F47DA7">
        <w:t>found that</w:t>
      </w:r>
      <w:r w:rsidR="00BE0D71" w:rsidRPr="00F47DA7">
        <w:t xml:space="preserve"> it should be interpreted in line with the relevant ECHR right</w:t>
      </w:r>
      <w:r w:rsidR="00D327D2" w:rsidRPr="00F47DA7">
        <w:t xml:space="preserve"> and connected  </w:t>
      </w:r>
      <w:r w:rsidR="00683ADD" w:rsidRPr="00F47DA7">
        <w:t>case law of the ECtHR.</w:t>
      </w:r>
      <w:r w:rsidR="00683ADD" w:rsidRPr="00F47DA7">
        <w:rPr>
          <w:rStyle w:val="FootnoteReference"/>
        </w:rPr>
        <w:footnoteReference w:id="30"/>
      </w:r>
      <w:r w:rsidR="00683ADD">
        <w:t xml:space="preserve"> </w:t>
      </w:r>
      <w:r>
        <w:t xml:space="preserve">The non-diminution commitment </w:t>
      </w:r>
      <w:r w:rsidR="00683ADD">
        <w:t xml:space="preserve">therefore </w:t>
      </w:r>
      <w:r>
        <w:t xml:space="preserve">maintains its link to the ECHR </w:t>
      </w:r>
      <w:r w:rsidR="00D327D2">
        <w:t xml:space="preserve">as </w:t>
      </w:r>
      <w:r>
        <w:t xml:space="preserve">interpreted </w:t>
      </w:r>
      <w:r w:rsidR="00D327D2">
        <w:t xml:space="preserve">through the </w:t>
      </w:r>
      <w:r>
        <w:t>ECtHR regardless of any change to how those rights are implemented in the present Bill. Nevertheless, d</w:t>
      </w:r>
      <w:r w:rsidRPr="002E628D">
        <w:t xml:space="preserve">ecoupling the link between how UK courts interpret ECHR rights and the case law of the ECtHR creates </w:t>
      </w:r>
      <w:r>
        <w:t xml:space="preserve">unhelpful confusion.  For example, whereas </w:t>
      </w:r>
      <w:r w:rsidRPr="002E628D">
        <w:t xml:space="preserve">ECHR </w:t>
      </w:r>
      <w:r>
        <w:t xml:space="preserve">rights, and relevant </w:t>
      </w:r>
      <w:r w:rsidRPr="002E628D">
        <w:t>EU Charter rights</w:t>
      </w:r>
      <w:r>
        <w:t>,</w:t>
      </w:r>
      <w:r w:rsidRPr="002E628D">
        <w:t xml:space="preserve"> within the scope of Protocol Article 2 would maintain a </w:t>
      </w:r>
      <w:r>
        <w:t xml:space="preserve">direct </w:t>
      </w:r>
      <w:r w:rsidRPr="002E628D">
        <w:t xml:space="preserve">link to the ECtHR case law, ECHR </w:t>
      </w:r>
      <w:r>
        <w:t xml:space="preserve">rights </w:t>
      </w:r>
      <w:r w:rsidRPr="002E628D">
        <w:t>outside the scope of Protocol Article 2 would be subject to a different, lower standard.</w:t>
      </w:r>
      <w:r>
        <w:t xml:space="preserve"> </w:t>
      </w:r>
    </w:p>
    <w:p w14:paraId="037D54FA" w14:textId="77777777" w:rsidR="002F7B84" w:rsidRDefault="002F7B84" w:rsidP="002F7B84">
      <w:pPr>
        <w:spacing w:line="276" w:lineRule="auto"/>
        <w:ind w:left="720" w:hanging="720"/>
        <w:jc w:val="left"/>
      </w:pPr>
    </w:p>
    <w:p w14:paraId="4A52BB05" w14:textId="321511E6" w:rsidR="004A3F42" w:rsidRDefault="002F7B84" w:rsidP="002F7B84">
      <w:pPr>
        <w:ind w:left="720" w:hanging="720"/>
        <w:rPr>
          <w:b/>
        </w:rPr>
      </w:pPr>
      <w:r>
        <w:t>3.</w:t>
      </w:r>
      <w:r w:rsidR="006B4B29">
        <w:t>10</w:t>
      </w:r>
      <w:r>
        <w:tab/>
      </w:r>
      <w:bookmarkStart w:id="9" w:name="_Hlk112310526"/>
      <w:r w:rsidRPr="00F47DA7">
        <w:rPr>
          <w:b/>
          <w:bCs/>
        </w:rPr>
        <w:t>The NIHRC advises that</w:t>
      </w:r>
      <w:r w:rsidR="004A3F42" w:rsidRPr="00F47DA7">
        <w:rPr>
          <w:b/>
        </w:rPr>
        <w:t>, irrespective of the provisions of the Bill, future ECtHR jurisprudence will continue to inform the interpretation of Protocol Article 2, due to the interpretive requirement in Article 52 of the EU Charter of Fundamental Rights regarding the ECHR</w:t>
      </w:r>
      <w:r w:rsidR="004B74E7" w:rsidRPr="00F47DA7">
        <w:rPr>
          <w:b/>
        </w:rPr>
        <w:t xml:space="preserve"> and the resulting CJEU jurisprudence.</w:t>
      </w:r>
      <w:r w:rsidR="004B74E7">
        <w:rPr>
          <w:b/>
        </w:rPr>
        <w:t xml:space="preserve"> </w:t>
      </w:r>
      <w:bookmarkEnd w:id="9"/>
    </w:p>
    <w:p w14:paraId="6EE8A85D" w14:textId="7249EA48" w:rsidR="001D63B0" w:rsidRDefault="00FC081F" w:rsidP="007671F3">
      <w:pPr>
        <w:pStyle w:val="Heading1"/>
        <w:rPr>
          <w:lang w:val="en" w:eastAsia="en-GB"/>
        </w:rPr>
      </w:pPr>
      <w:bookmarkStart w:id="10" w:name="_Toc113010912"/>
      <w:r>
        <w:rPr>
          <w:lang w:val="en" w:eastAsia="en-GB"/>
        </w:rPr>
        <w:t>4</w:t>
      </w:r>
      <w:r w:rsidR="0070606F">
        <w:rPr>
          <w:lang w:val="en" w:eastAsia="en-GB"/>
        </w:rPr>
        <w:t>.0</w:t>
      </w:r>
      <w:r w:rsidR="0070606F">
        <w:tab/>
      </w:r>
      <w:r w:rsidR="001D63B0">
        <w:rPr>
          <w:lang w:val="en" w:eastAsia="en-GB"/>
        </w:rPr>
        <w:t>Interim measures</w:t>
      </w:r>
      <w:bookmarkEnd w:id="10"/>
    </w:p>
    <w:p w14:paraId="1F7A658C" w14:textId="5F6EBC69" w:rsidR="00FC081F" w:rsidRDefault="47F71F57" w:rsidP="00FC081F">
      <w:pPr>
        <w:ind w:left="720" w:hanging="720"/>
        <w:rPr>
          <w:rFonts w:cs="Segoe UI"/>
          <w:lang w:val="en" w:eastAsia="en-GB"/>
        </w:rPr>
      </w:pPr>
      <w:r>
        <w:rPr>
          <w:rFonts w:cs="Segoe UI"/>
          <w:lang w:val="en" w:eastAsia="en-GB"/>
        </w:rPr>
        <w:t>4.1</w:t>
      </w:r>
      <w:r w:rsidR="00FC081F">
        <w:rPr>
          <w:rFonts w:cs="Segoe UI"/>
          <w:lang w:val="en" w:eastAsia="en-GB"/>
        </w:rPr>
        <w:tab/>
      </w:r>
      <w:r w:rsidR="698C6B10">
        <w:rPr>
          <w:rFonts w:cs="Segoe UI"/>
          <w:lang w:val="en" w:eastAsia="en-GB"/>
        </w:rPr>
        <w:t>T</w:t>
      </w:r>
      <w:r w:rsidR="08017AD2" w:rsidRPr="0070606F">
        <w:rPr>
          <w:rFonts w:cs="Segoe UI"/>
          <w:lang w:val="en" w:eastAsia="en-GB"/>
        </w:rPr>
        <w:t xml:space="preserve">he ECtHR can indicate interim measures to any </w:t>
      </w:r>
      <w:r w:rsidR="0DDEEE67">
        <w:rPr>
          <w:rFonts w:cs="Segoe UI"/>
          <w:lang w:val="en" w:eastAsia="en-GB"/>
        </w:rPr>
        <w:t>High Contracting Party</w:t>
      </w:r>
      <w:r w:rsidR="08017AD2" w:rsidRPr="0070606F">
        <w:rPr>
          <w:rFonts w:cs="Segoe UI"/>
          <w:lang w:val="en" w:eastAsia="en-GB"/>
        </w:rPr>
        <w:t xml:space="preserve"> to the ECHR.</w:t>
      </w:r>
      <w:r w:rsidR="0021584D">
        <w:rPr>
          <w:rStyle w:val="FootnoteReference"/>
          <w:rFonts w:cs="Segoe UI"/>
          <w:lang w:val="en" w:eastAsia="en-GB"/>
        </w:rPr>
        <w:footnoteReference w:id="31"/>
      </w:r>
      <w:r w:rsidR="08017AD2" w:rsidRPr="0070606F">
        <w:rPr>
          <w:rFonts w:cs="Segoe UI"/>
          <w:lang w:val="en" w:eastAsia="en-GB"/>
        </w:rPr>
        <w:t xml:space="preserve"> </w:t>
      </w:r>
      <w:r w:rsidR="0DDEEE67">
        <w:rPr>
          <w:rFonts w:cs="Segoe UI"/>
          <w:lang w:val="en" w:eastAsia="en-GB"/>
        </w:rPr>
        <w:t>These</w:t>
      </w:r>
      <w:r w:rsidR="08017AD2" w:rsidRPr="0070606F">
        <w:rPr>
          <w:rFonts w:cs="Segoe UI"/>
          <w:lang w:val="en" w:eastAsia="en-GB"/>
        </w:rPr>
        <w:t xml:space="preserve"> are urgent measures which, in accordance with the established practice of the ECtHR, apply only where there is </w:t>
      </w:r>
      <w:r w:rsidR="08017AD2" w:rsidRPr="0070606F">
        <w:rPr>
          <w:rFonts w:cs="Segoe UI"/>
          <w:lang w:val="en" w:eastAsia="en-GB"/>
        </w:rPr>
        <w:lastRenderedPageBreak/>
        <w:t>an “imminent risk of irreparable damage”.</w:t>
      </w:r>
      <w:r w:rsidR="001D63B0">
        <w:rPr>
          <w:rStyle w:val="FootnoteReference"/>
          <w:rFonts w:cs="Segoe UI"/>
          <w:lang w:val="en" w:eastAsia="en-GB"/>
        </w:rPr>
        <w:footnoteReference w:id="32"/>
      </w:r>
      <w:r w:rsidR="08017AD2" w:rsidRPr="0070606F">
        <w:rPr>
          <w:rFonts w:cs="Segoe UI"/>
          <w:lang w:val="en" w:eastAsia="en-GB"/>
        </w:rPr>
        <w:t xml:space="preserve"> </w:t>
      </w:r>
      <w:r w:rsidR="71C97C40">
        <w:rPr>
          <w:rFonts w:cs="Segoe UI"/>
          <w:lang w:val="en" w:eastAsia="en-GB"/>
        </w:rPr>
        <w:t>They</w:t>
      </w:r>
      <w:r w:rsidR="08017AD2" w:rsidRPr="0070606F">
        <w:rPr>
          <w:rFonts w:cs="Segoe UI"/>
          <w:lang w:val="en" w:eastAsia="en-GB"/>
        </w:rPr>
        <w:t xml:space="preserve"> are only to be applied in limited situation</w:t>
      </w:r>
      <w:r w:rsidR="1C633109">
        <w:rPr>
          <w:rFonts w:cs="Segoe UI"/>
          <w:lang w:val="en" w:eastAsia="en-GB"/>
        </w:rPr>
        <w:t>s</w:t>
      </w:r>
      <w:r w:rsidR="08017AD2" w:rsidRPr="0070606F">
        <w:rPr>
          <w:rFonts w:cs="Segoe UI"/>
          <w:lang w:val="en" w:eastAsia="en-GB"/>
        </w:rPr>
        <w:t>, typically those where there are fears of a threat to life or ill-treatment.</w:t>
      </w:r>
      <w:r w:rsidR="001D63B0">
        <w:rPr>
          <w:rStyle w:val="FootnoteReference"/>
          <w:rFonts w:cs="Segoe UI"/>
          <w:lang w:val="en" w:eastAsia="en-GB"/>
        </w:rPr>
        <w:footnoteReference w:id="33"/>
      </w:r>
      <w:r w:rsidR="08017AD2" w:rsidRPr="0070606F">
        <w:rPr>
          <w:rFonts w:cs="Segoe UI"/>
          <w:lang w:val="en" w:eastAsia="en-GB"/>
        </w:rPr>
        <w:t xml:space="preserve"> Historically, the majority of interim measures </w:t>
      </w:r>
      <w:r w:rsidR="00FA6FE3">
        <w:rPr>
          <w:rFonts w:cs="Segoe UI"/>
          <w:lang w:val="en" w:eastAsia="en-GB"/>
        </w:rPr>
        <w:t>were</w:t>
      </w:r>
      <w:r w:rsidR="00FA6FE3" w:rsidRPr="0070606F">
        <w:rPr>
          <w:rFonts w:cs="Segoe UI"/>
          <w:lang w:val="en" w:eastAsia="en-GB"/>
        </w:rPr>
        <w:t xml:space="preserve"> </w:t>
      </w:r>
      <w:r w:rsidR="08017AD2" w:rsidRPr="0070606F">
        <w:rPr>
          <w:rFonts w:cs="Segoe UI"/>
          <w:lang w:val="en" w:eastAsia="en-GB"/>
        </w:rPr>
        <w:t>used in deportation and extradition cases</w:t>
      </w:r>
      <w:r w:rsidR="00FA6FE3">
        <w:rPr>
          <w:rFonts w:cs="Segoe UI"/>
          <w:lang w:val="en" w:eastAsia="en-GB"/>
        </w:rPr>
        <w:t>.</w:t>
      </w:r>
      <w:r w:rsidR="001D63B0">
        <w:rPr>
          <w:rStyle w:val="FootnoteReference"/>
          <w:rFonts w:cs="Segoe UI"/>
          <w:lang w:val="en" w:eastAsia="en-GB"/>
        </w:rPr>
        <w:footnoteReference w:id="34"/>
      </w:r>
      <w:r w:rsidR="08017AD2" w:rsidRPr="0070606F">
        <w:rPr>
          <w:rFonts w:cs="Segoe UI"/>
          <w:lang w:val="en" w:eastAsia="en-GB"/>
        </w:rPr>
        <w:t xml:space="preserve"> </w:t>
      </w:r>
      <w:r w:rsidR="00FA6FE3">
        <w:rPr>
          <w:rFonts w:cs="Segoe UI"/>
          <w:lang w:val="en" w:eastAsia="en-GB"/>
        </w:rPr>
        <w:t xml:space="preserve">See also </w:t>
      </w:r>
      <w:r w:rsidR="08017AD2" w:rsidRPr="0070606F">
        <w:rPr>
          <w:rFonts w:cs="Segoe UI"/>
          <w:lang w:val="en" w:eastAsia="en-GB"/>
        </w:rPr>
        <w:t xml:space="preserve">the UK’s </w:t>
      </w:r>
      <w:r w:rsidR="2DAE2DB1" w:rsidRPr="0070606F">
        <w:rPr>
          <w:rFonts w:cs="Segoe UI"/>
          <w:lang w:val="en" w:eastAsia="en-GB"/>
        </w:rPr>
        <w:t xml:space="preserve">recent </w:t>
      </w:r>
      <w:r w:rsidR="4AC8BCBF">
        <w:rPr>
          <w:rFonts w:cs="Segoe UI"/>
          <w:lang w:val="en" w:eastAsia="en-GB"/>
        </w:rPr>
        <w:t xml:space="preserve">attempted </w:t>
      </w:r>
      <w:r w:rsidR="08017AD2" w:rsidRPr="0070606F">
        <w:rPr>
          <w:rFonts w:cs="Segoe UI"/>
          <w:lang w:val="en" w:eastAsia="en-GB"/>
        </w:rPr>
        <w:t>deportation of asylum seekers to Rwanda.</w:t>
      </w:r>
      <w:r w:rsidR="001D63B0">
        <w:rPr>
          <w:rStyle w:val="FootnoteReference"/>
          <w:rFonts w:cs="Segoe UI"/>
          <w:lang w:val="en" w:eastAsia="en-GB"/>
        </w:rPr>
        <w:footnoteReference w:id="35"/>
      </w:r>
    </w:p>
    <w:p w14:paraId="64B49956" w14:textId="77777777" w:rsidR="00FC081F" w:rsidRDefault="00FC081F" w:rsidP="00FC081F">
      <w:pPr>
        <w:ind w:left="720" w:hanging="720"/>
        <w:rPr>
          <w:rFonts w:cs="Segoe UI"/>
          <w:lang w:val="en" w:eastAsia="en-GB"/>
        </w:rPr>
      </w:pPr>
    </w:p>
    <w:p w14:paraId="2A359D5D" w14:textId="4B74E38E" w:rsidR="00982654" w:rsidRDefault="47F71F57" w:rsidP="00FC081F">
      <w:pPr>
        <w:ind w:left="720" w:hanging="720"/>
        <w:rPr>
          <w:rFonts w:cs="Segoe UI"/>
          <w:lang w:val="en" w:eastAsia="en-GB"/>
        </w:rPr>
      </w:pPr>
      <w:r>
        <w:rPr>
          <w:rFonts w:cs="Segoe UI"/>
          <w:lang w:val="en" w:eastAsia="en-GB"/>
        </w:rPr>
        <w:t>4.2</w:t>
      </w:r>
      <w:r w:rsidR="00FC081F">
        <w:rPr>
          <w:rFonts w:cs="Segoe UI"/>
          <w:lang w:val="en" w:eastAsia="en-GB"/>
        </w:rPr>
        <w:tab/>
      </w:r>
      <w:r w:rsidR="4729DBF2">
        <w:rPr>
          <w:rFonts w:cs="Segoe UI"/>
          <w:lang w:val="en" w:eastAsia="en-GB"/>
        </w:rPr>
        <w:t>T</w:t>
      </w:r>
      <w:r w:rsidR="08017AD2" w:rsidRPr="0070606F">
        <w:rPr>
          <w:rFonts w:cs="Segoe UI"/>
          <w:lang w:val="en" w:eastAsia="en-GB"/>
        </w:rPr>
        <w:t>he</w:t>
      </w:r>
      <w:r w:rsidR="4729DBF2">
        <w:rPr>
          <w:rFonts w:cs="Segoe UI"/>
          <w:lang w:val="en" w:eastAsia="en-GB"/>
        </w:rPr>
        <w:t xml:space="preserve"> present</w:t>
      </w:r>
      <w:r w:rsidR="08017AD2" w:rsidRPr="0070606F">
        <w:rPr>
          <w:rFonts w:cs="Segoe UI"/>
          <w:lang w:val="en" w:eastAsia="en-GB"/>
        </w:rPr>
        <w:t xml:space="preserve"> Bill proposes that interim measures issued by the ECtHR are to be ignored by domestic courts, public authorities and any other person.</w:t>
      </w:r>
      <w:r w:rsidR="007F1E43">
        <w:rPr>
          <w:rStyle w:val="FootnoteReference"/>
          <w:rFonts w:cs="Segoe UI"/>
          <w:lang w:val="en" w:eastAsia="en-GB"/>
        </w:rPr>
        <w:footnoteReference w:id="36"/>
      </w:r>
      <w:r w:rsidR="08017AD2" w:rsidRPr="0070606F">
        <w:rPr>
          <w:rFonts w:cs="Segoe UI"/>
          <w:lang w:val="en" w:eastAsia="en-GB"/>
        </w:rPr>
        <w:t xml:space="preserve"> </w:t>
      </w:r>
      <w:r w:rsidR="4BF1C110" w:rsidRPr="0070606F">
        <w:rPr>
          <w:rFonts w:cs="Segoe UI"/>
          <w:lang w:val="en" w:eastAsia="en-GB"/>
        </w:rPr>
        <w:t xml:space="preserve">This </w:t>
      </w:r>
      <w:r w:rsidR="00FA6FE3">
        <w:rPr>
          <w:rFonts w:cs="Segoe UI"/>
          <w:lang w:val="en" w:eastAsia="en-GB"/>
        </w:rPr>
        <w:t>will likely</w:t>
      </w:r>
      <w:r w:rsidR="00FA6FE3" w:rsidRPr="0070606F">
        <w:rPr>
          <w:rFonts w:cs="Segoe UI"/>
          <w:lang w:val="en" w:eastAsia="en-GB"/>
        </w:rPr>
        <w:t xml:space="preserve"> </w:t>
      </w:r>
      <w:r w:rsidR="4BF1C110" w:rsidRPr="0070606F">
        <w:rPr>
          <w:rFonts w:cs="Segoe UI"/>
          <w:lang w:val="en" w:eastAsia="en-GB"/>
        </w:rPr>
        <w:t>increas</w:t>
      </w:r>
      <w:r w:rsidR="00FA6FE3">
        <w:rPr>
          <w:rFonts w:cs="Segoe UI"/>
          <w:lang w:val="en" w:eastAsia="en-GB"/>
        </w:rPr>
        <w:t>e</w:t>
      </w:r>
      <w:r w:rsidR="4BF1C110" w:rsidRPr="0070606F">
        <w:rPr>
          <w:rFonts w:cs="Segoe UI"/>
          <w:lang w:val="en" w:eastAsia="en-GB"/>
        </w:rPr>
        <w:t xml:space="preserve"> the number of violations for which individuals will be entitled to exercise their right to an effective remedy. </w:t>
      </w:r>
      <w:r w:rsidR="6F558414" w:rsidRPr="0070606F">
        <w:rPr>
          <w:rFonts w:cs="Segoe UI"/>
          <w:lang w:val="en" w:eastAsia="en-GB"/>
        </w:rPr>
        <w:t>Combined with the proposals to rebalance the relationship with the ECtHR</w:t>
      </w:r>
      <w:r w:rsidR="00FC081F" w:rsidRPr="0697744C">
        <w:rPr>
          <w:rFonts w:cs="Segoe UI"/>
          <w:vertAlign w:val="superscript"/>
          <w:lang w:val="en" w:eastAsia="en-GB"/>
        </w:rPr>
        <w:footnoteReference w:id="37"/>
      </w:r>
      <w:r w:rsidR="3460FFAA" w:rsidRPr="0070606F">
        <w:rPr>
          <w:rFonts w:cs="Segoe UI"/>
          <w:lang w:val="en" w:eastAsia="en-GB"/>
        </w:rPr>
        <w:t xml:space="preserve"> and to significantly restrict positive obligations</w:t>
      </w:r>
      <w:r w:rsidR="6F558414" w:rsidRPr="0070606F">
        <w:rPr>
          <w:rFonts w:cs="Segoe UI"/>
          <w:lang w:val="en" w:eastAsia="en-GB"/>
        </w:rPr>
        <w:t>,</w:t>
      </w:r>
      <w:r w:rsidR="00FC081F" w:rsidRPr="0697744C">
        <w:rPr>
          <w:rFonts w:cs="Segoe UI"/>
          <w:vertAlign w:val="superscript"/>
          <w:lang w:val="en" w:eastAsia="en-GB"/>
        </w:rPr>
        <w:footnoteReference w:id="38"/>
      </w:r>
      <w:r w:rsidR="6F558414" w:rsidRPr="0070606F">
        <w:rPr>
          <w:rFonts w:cs="Segoe UI"/>
          <w:lang w:val="en" w:eastAsia="en-GB"/>
        </w:rPr>
        <w:t xml:space="preserve"> </w:t>
      </w:r>
      <w:r w:rsidR="614D7EAB" w:rsidRPr="0070606F">
        <w:rPr>
          <w:rFonts w:cs="Segoe UI"/>
          <w:lang w:val="en" w:eastAsia="en-GB"/>
        </w:rPr>
        <w:t xml:space="preserve">resulting </w:t>
      </w:r>
      <w:r w:rsidR="04B141B0" w:rsidRPr="0070606F">
        <w:rPr>
          <w:rFonts w:cs="Segoe UI"/>
          <w:lang w:val="en" w:eastAsia="en-GB"/>
        </w:rPr>
        <w:t>cases will be</w:t>
      </w:r>
      <w:r w:rsidR="04B44200" w:rsidRPr="0070606F">
        <w:rPr>
          <w:rFonts w:cs="Segoe UI"/>
          <w:lang w:val="en" w:eastAsia="en-GB"/>
        </w:rPr>
        <w:t xml:space="preserve"> increasingly pushed a</w:t>
      </w:r>
      <w:r w:rsidR="1911A463" w:rsidRPr="0070606F">
        <w:rPr>
          <w:rFonts w:cs="Segoe UI"/>
          <w:lang w:val="en" w:eastAsia="en-GB"/>
        </w:rPr>
        <w:t>way from the domestic courts towards the ECt</w:t>
      </w:r>
      <w:r w:rsidR="2E70624E" w:rsidRPr="0070606F">
        <w:rPr>
          <w:rFonts w:cs="Segoe UI"/>
          <w:lang w:val="en" w:eastAsia="en-GB"/>
        </w:rPr>
        <w:t xml:space="preserve">HR. </w:t>
      </w:r>
    </w:p>
    <w:p w14:paraId="44C92E92" w14:textId="77777777" w:rsidR="00982654" w:rsidRDefault="00982654" w:rsidP="00FC081F">
      <w:pPr>
        <w:ind w:left="720" w:hanging="720"/>
        <w:rPr>
          <w:rFonts w:cs="Segoe UI"/>
          <w:lang w:val="en" w:eastAsia="en-GB"/>
        </w:rPr>
      </w:pPr>
    </w:p>
    <w:p w14:paraId="42C333AC" w14:textId="4060C0A6" w:rsidR="001D63B0" w:rsidRPr="00982654" w:rsidRDefault="00982654" w:rsidP="00FC081F">
      <w:pPr>
        <w:ind w:left="720" w:hanging="720"/>
        <w:rPr>
          <w:rFonts w:cs="Segoe UI"/>
          <w:b/>
          <w:bCs/>
          <w:lang w:val="en" w:eastAsia="en-GB"/>
        </w:rPr>
      </w:pPr>
      <w:r w:rsidRPr="00982654">
        <w:rPr>
          <w:rFonts w:cs="Segoe UI"/>
          <w:b/>
          <w:bCs/>
          <w:lang w:val="en" w:eastAsia="en-GB"/>
        </w:rPr>
        <w:t>4.3</w:t>
      </w:r>
      <w:r w:rsidRPr="00982654">
        <w:rPr>
          <w:rFonts w:cs="Segoe UI"/>
          <w:b/>
          <w:bCs/>
          <w:lang w:val="en" w:eastAsia="en-GB"/>
        </w:rPr>
        <w:tab/>
        <w:t>The NIHRC advises that i</w:t>
      </w:r>
      <w:r w:rsidR="001D63B0" w:rsidRPr="00982654">
        <w:rPr>
          <w:rFonts w:cs="Segoe UI"/>
          <w:b/>
          <w:bCs/>
          <w:lang w:val="en" w:eastAsia="en-GB"/>
        </w:rPr>
        <w:t xml:space="preserve">nterim measures are an early warning sign to a State that its proposed actions are incompatible with human rights and will likely be subject to legal action, during which time significant damage is possible that will require remedying. </w:t>
      </w:r>
      <w:r w:rsidR="003552B8">
        <w:rPr>
          <w:rFonts w:cs="Segoe UI"/>
          <w:b/>
          <w:bCs/>
          <w:lang w:val="en" w:eastAsia="en-GB"/>
        </w:rPr>
        <w:t>The NIHRC warns that, g</w:t>
      </w:r>
      <w:r w:rsidR="001D63B0" w:rsidRPr="00982654">
        <w:rPr>
          <w:rFonts w:cs="Segoe UI"/>
          <w:b/>
          <w:bCs/>
          <w:lang w:val="en" w:eastAsia="en-GB"/>
        </w:rPr>
        <w:t>iven the scenarios for which the ECtHR reserves interim measures, simply ignoring one could cost lives – an irremediable outcome.</w:t>
      </w:r>
    </w:p>
    <w:p w14:paraId="55A230FD" w14:textId="77777777" w:rsidR="001D63B0" w:rsidRDefault="001D63B0" w:rsidP="001D63B0">
      <w:pPr>
        <w:rPr>
          <w:rFonts w:cs="Segoe UI"/>
          <w:lang w:val="en" w:eastAsia="en-GB"/>
        </w:rPr>
      </w:pPr>
    </w:p>
    <w:p w14:paraId="536D9D88" w14:textId="61516B95" w:rsidR="00E76535" w:rsidRDefault="00FC081F" w:rsidP="007671F3">
      <w:pPr>
        <w:pStyle w:val="Heading1"/>
      </w:pPr>
      <w:bookmarkStart w:id="11" w:name="_Toc113010913"/>
      <w:r>
        <w:t>5</w:t>
      </w:r>
      <w:r w:rsidR="0070606F">
        <w:t>.0</w:t>
      </w:r>
      <w:r w:rsidR="0070606F">
        <w:tab/>
      </w:r>
      <w:r w:rsidR="003B1C6A">
        <w:t xml:space="preserve">Parliamentary scrutiny </w:t>
      </w:r>
      <w:r w:rsidR="00E06F0F">
        <w:t>of human rights</w:t>
      </w:r>
      <w:bookmarkEnd w:id="11"/>
    </w:p>
    <w:p w14:paraId="2AB2224E" w14:textId="27287750" w:rsidR="0070606F" w:rsidRDefault="47F71F57" w:rsidP="0070606F">
      <w:pPr>
        <w:ind w:left="720" w:hanging="720"/>
      </w:pPr>
      <w:r>
        <w:t>5</w:t>
      </w:r>
      <w:r w:rsidR="632E492A">
        <w:t>.1</w:t>
      </w:r>
      <w:r w:rsidR="0070606F">
        <w:tab/>
      </w:r>
      <w:r w:rsidR="0A095E28" w:rsidRPr="00602366">
        <w:t>Parliamentary sovereignty enables the UK Parliament to create or repeal any law.</w:t>
      </w:r>
      <w:r w:rsidR="008151DC" w:rsidRPr="00602366">
        <w:rPr>
          <w:rStyle w:val="FootnoteReference"/>
        </w:rPr>
        <w:footnoteReference w:id="39"/>
      </w:r>
      <w:r w:rsidR="0A095E28" w:rsidRPr="00602366">
        <w:t xml:space="preserve"> No Parliament can pass laws that future Parliaments cannot change</w:t>
      </w:r>
      <w:r w:rsidR="14355983" w:rsidRPr="00602366">
        <w:t>,</w:t>
      </w:r>
      <w:r w:rsidR="0A095E28" w:rsidRPr="00602366">
        <w:t xml:space="preserve"> and the courts cannot overrule a Parliament’s legislation.</w:t>
      </w:r>
      <w:r w:rsidR="0090011D" w:rsidRPr="00602366">
        <w:rPr>
          <w:rStyle w:val="FootnoteReference"/>
        </w:rPr>
        <w:footnoteReference w:id="40"/>
      </w:r>
      <w:r w:rsidR="0A095E28" w:rsidRPr="00602366">
        <w:t xml:space="preserve"> However, </w:t>
      </w:r>
      <w:r w:rsidR="01A15E99" w:rsidRPr="00602366">
        <w:t xml:space="preserve">the UK’s </w:t>
      </w:r>
      <w:r w:rsidR="0A095E28" w:rsidRPr="00602366">
        <w:t xml:space="preserve">separation of powers </w:t>
      </w:r>
      <w:r w:rsidR="00C13262">
        <w:t>doctrine</w:t>
      </w:r>
      <w:r w:rsidR="0A095E28" w:rsidRPr="00602366">
        <w:t xml:space="preserve"> </w:t>
      </w:r>
      <w:r w:rsidR="00C13262">
        <w:t>is</w:t>
      </w:r>
      <w:r w:rsidR="00C13262" w:rsidRPr="00602366">
        <w:t xml:space="preserve"> </w:t>
      </w:r>
      <w:r w:rsidR="0A095E28" w:rsidRPr="00602366">
        <w:lastRenderedPageBreak/>
        <w:t>relevant</w:t>
      </w:r>
      <w:r w:rsidR="00C13262">
        <w:t xml:space="preserve"> whereby </w:t>
      </w:r>
      <w:r w:rsidR="48067FAC">
        <w:t>“major institutions of State should be functionally independent”.</w:t>
      </w:r>
      <w:r w:rsidR="00982A84">
        <w:rPr>
          <w:rStyle w:val="FootnoteReference"/>
        </w:rPr>
        <w:footnoteReference w:id="41"/>
      </w:r>
      <w:r w:rsidR="0A095E28" w:rsidRPr="00602366">
        <w:t xml:space="preserve"> Parliament make</w:t>
      </w:r>
      <w:r w:rsidR="00126341">
        <w:t>s</w:t>
      </w:r>
      <w:r w:rsidR="0A095E28" w:rsidRPr="00602366">
        <w:t xml:space="preserve"> </w:t>
      </w:r>
      <w:r w:rsidR="00126341">
        <w:t>(and changes)</w:t>
      </w:r>
      <w:r w:rsidR="00B73BA7">
        <w:t xml:space="preserve"> </w:t>
      </w:r>
      <w:r w:rsidR="0A095E28" w:rsidRPr="00602366">
        <w:t>the law, the Executive Government put</w:t>
      </w:r>
      <w:r w:rsidR="00126341">
        <w:t>s</w:t>
      </w:r>
      <w:r w:rsidR="0A095E28" w:rsidRPr="00602366">
        <w:t xml:space="preserve"> the law into action</w:t>
      </w:r>
      <w:r w:rsidR="00126341">
        <w:t>,</w:t>
      </w:r>
      <w:r w:rsidR="0A095E28" w:rsidRPr="00602366">
        <w:t xml:space="preserve"> and the courts </w:t>
      </w:r>
      <w:r w:rsidR="00126341">
        <w:t xml:space="preserve">make findings on evidence and issue </w:t>
      </w:r>
      <w:r w:rsidR="0A095E28" w:rsidRPr="00602366">
        <w:t xml:space="preserve">judgments on the </w:t>
      </w:r>
      <w:r w:rsidR="00126341">
        <w:t xml:space="preserve">correct interpretation of the </w:t>
      </w:r>
      <w:r w:rsidR="0A095E28" w:rsidRPr="00602366">
        <w:t>law. This enables the courts to assess whether it believes that Parliament struck the right balance with a law and to make a judgment suggesting a change to the law as and when the courts deem it necessary.</w:t>
      </w:r>
      <w:r w:rsidR="632E492A" w:rsidRPr="00602366">
        <w:t xml:space="preserve"> </w:t>
      </w:r>
    </w:p>
    <w:p w14:paraId="7AE12D03" w14:textId="77777777" w:rsidR="0070606F" w:rsidRDefault="0070606F" w:rsidP="0070606F">
      <w:pPr>
        <w:ind w:left="720" w:hanging="720"/>
      </w:pPr>
    </w:p>
    <w:p w14:paraId="608ED11B" w14:textId="5A91CDB7" w:rsidR="00415F17" w:rsidRDefault="47F71F57" w:rsidP="0070606F">
      <w:pPr>
        <w:ind w:left="720" w:hanging="720"/>
      </w:pPr>
      <w:r>
        <w:t>5</w:t>
      </w:r>
      <w:r w:rsidR="632E492A">
        <w:t>.2</w:t>
      </w:r>
      <w:r w:rsidR="0070606F">
        <w:tab/>
      </w:r>
      <w:r w:rsidR="3F28C456">
        <w:t>The present Bill</w:t>
      </w:r>
      <w:r w:rsidR="2BB264F0">
        <w:t xml:space="preserve"> “</w:t>
      </w:r>
      <w:r w:rsidR="35BE80DF">
        <w:t>clarifies and re-balances the relationship between the courts in the UK, the ECtHR and Parliament</w:t>
      </w:r>
      <w:r w:rsidR="2BB264F0">
        <w:t>”</w:t>
      </w:r>
      <w:r w:rsidR="74D6CB1D">
        <w:t>, including by ensuring that “courts must give the greatest possible weight” to Parliamentary decisions.</w:t>
      </w:r>
      <w:r w:rsidR="00515077">
        <w:rPr>
          <w:rStyle w:val="FootnoteReference"/>
        </w:rPr>
        <w:footnoteReference w:id="42"/>
      </w:r>
      <w:r w:rsidR="7ADABEA9">
        <w:t xml:space="preserve"> </w:t>
      </w:r>
      <w:r w:rsidR="047FE57A" w:rsidRPr="00146CA0">
        <w:t xml:space="preserve">Parliamentary sovereignty </w:t>
      </w:r>
      <w:r w:rsidR="047FE57A">
        <w:t>provides that</w:t>
      </w:r>
      <w:r w:rsidR="047FE57A" w:rsidRPr="00146CA0">
        <w:t xml:space="preserve"> it is Parliament’s prerogative whether to follow or disregard the courts</w:t>
      </w:r>
      <w:r w:rsidR="00B30A36">
        <w:t>’</w:t>
      </w:r>
      <w:r w:rsidR="047FE57A" w:rsidRPr="00146CA0">
        <w:t xml:space="preserve"> assessment</w:t>
      </w:r>
      <w:r w:rsidR="00B30A36">
        <w:t>s</w:t>
      </w:r>
      <w:r w:rsidR="047FE57A" w:rsidRPr="00146CA0">
        <w:t xml:space="preserve">. However, the option to </w:t>
      </w:r>
      <w:r w:rsidR="00B30A36">
        <w:t>assess that</w:t>
      </w:r>
      <w:r w:rsidR="047FE57A" w:rsidRPr="00146CA0">
        <w:t xml:space="preserve"> must be practically available and utilised by the courts.</w:t>
      </w:r>
    </w:p>
    <w:p w14:paraId="22D56F0C" w14:textId="77777777" w:rsidR="00415F17" w:rsidRDefault="00415F17" w:rsidP="0070606F">
      <w:pPr>
        <w:ind w:left="720" w:hanging="720"/>
      </w:pPr>
    </w:p>
    <w:p w14:paraId="595F5CEC" w14:textId="0B81AE2D" w:rsidR="008C1057" w:rsidRPr="002A44DE" w:rsidRDefault="00415F17" w:rsidP="0070606F">
      <w:pPr>
        <w:ind w:left="720" w:hanging="720"/>
        <w:rPr>
          <w:b/>
          <w:bCs/>
        </w:rPr>
      </w:pPr>
      <w:r w:rsidRPr="002A44DE">
        <w:rPr>
          <w:b/>
          <w:bCs/>
        </w:rPr>
        <w:t>5.3</w:t>
      </w:r>
      <w:r w:rsidRPr="002A44DE">
        <w:rPr>
          <w:b/>
          <w:bCs/>
        </w:rPr>
        <w:tab/>
        <w:t xml:space="preserve">The NIHRC advises </w:t>
      </w:r>
      <w:r w:rsidR="00BF5E07">
        <w:rPr>
          <w:b/>
          <w:bCs/>
        </w:rPr>
        <w:t xml:space="preserve">that </w:t>
      </w:r>
      <w:r w:rsidR="00146CA0">
        <w:rPr>
          <w:b/>
          <w:bCs/>
        </w:rPr>
        <w:t xml:space="preserve">parliamentary sovereignty and </w:t>
      </w:r>
      <w:r w:rsidR="0097780C">
        <w:rPr>
          <w:b/>
          <w:bCs/>
        </w:rPr>
        <w:t>separation of powers</w:t>
      </w:r>
      <w:r w:rsidR="00F11383" w:rsidRPr="002A44DE">
        <w:rPr>
          <w:b/>
          <w:bCs/>
        </w:rPr>
        <w:t xml:space="preserve"> </w:t>
      </w:r>
      <w:r w:rsidR="00B6639A" w:rsidRPr="002A44DE">
        <w:rPr>
          <w:b/>
          <w:bCs/>
        </w:rPr>
        <w:t>should</w:t>
      </w:r>
      <w:r w:rsidR="00F11383" w:rsidRPr="002A44DE">
        <w:rPr>
          <w:b/>
          <w:bCs/>
        </w:rPr>
        <w:t xml:space="preserve"> go hand-in-hand</w:t>
      </w:r>
      <w:r w:rsidR="00B25C1C">
        <w:rPr>
          <w:b/>
          <w:bCs/>
        </w:rPr>
        <w:t>. This</w:t>
      </w:r>
      <w:r w:rsidR="00A85CAB" w:rsidRPr="002A44DE">
        <w:rPr>
          <w:b/>
          <w:bCs/>
        </w:rPr>
        <w:t xml:space="preserve"> is not the case in </w:t>
      </w:r>
      <w:r w:rsidR="0097780C">
        <w:rPr>
          <w:b/>
          <w:bCs/>
        </w:rPr>
        <w:t xml:space="preserve">the present Bill, particularly within proposed </w:t>
      </w:r>
      <w:r w:rsidR="00A85CAB" w:rsidRPr="002A44DE">
        <w:rPr>
          <w:b/>
          <w:bCs/>
        </w:rPr>
        <w:t>clause 1(2)(c).</w:t>
      </w:r>
      <w:r w:rsidR="004B5F84" w:rsidRPr="002A44DE">
        <w:rPr>
          <w:b/>
          <w:bCs/>
        </w:rPr>
        <w:t xml:space="preserve"> </w:t>
      </w:r>
    </w:p>
    <w:p w14:paraId="5CFD74A8" w14:textId="77777777" w:rsidR="008C1057" w:rsidRDefault="008C1057" w:rsidP="0070606F">
      <w:pPr>
        <w:ind w:left="720" w:hanging="720"/>
      </w:pPr>
    </w:p>
    <w:p w14:paraId="0E32B359" w14:textId="77777777" w:rsidR="008C1057" w:rsidRDefault="66300A99" w:rsidP="0070606F">
      <w:pPr>
        <w:ind w:left="720" w:hanging="720"/>
      </w:pPr>
      <w:r>
        <w:t>5.4</w:t>
      </w:r>
      <w:r w:rsidR="008C1057">
        <w:tab/>
      </w:r>
      <w:r>
        <w:t>The present Bill proposes to</w:t>
      </w:r>
      <w:r w:rsidR="5A05792E">
        <w:t xml:space="preserve"> remov</w:t>
      </w:r>
      <w:r>
        <w:t xml:space="preserve">e </w:t>
      </w:r>
      <w:r w:rsidR="5A05792E">
        <w:t>the requirement for Ministers to make a statement as to whether a Government Bill is compatible with human rights</w:t>
      </w:r>
      <w:r>
        <w:t>.</w:t>
      </w:r>
      <w:r w:rsidR="00B445B2">
        <w:rPr>
          <w:rStyle w:val="FootnoteReference"/>
        </w:rPr>
        <w:footnoteReference w:id="43"/>
      </w:r>
      <w:r w:rsidR="5D43373B">
        <w:t xml:space="preserve"> </w:t>
      </w:r>
    </w:p>
    <w:p w14:paraId="72A77E76" w14:textId="77777777" w:rsidR="008C1057" w:rsidRDefault="008C1057" w:rsidP="0070606F">
      <w:pPr>
        <w:ind w:left="720" w:hanging="720"/>
      </w:pPr>
    </w:p>
    <w:p w14:paraId="13C681E9" w14:textId="1F1484EB" w:rsidR="00891286" w:rsidRPr="002A44DE" w:rsidRDefault="008C1057" w:rsidP="0070606F">
      <w:pPr>
        <w:ind w:left="720" w:hanging="720"/>
        <w:rPr>
          <w:b/>
          <w:bCs/>
        </w:rPr>
      </w:pPr>
      <w:r w:rsidRPr="002A44DE">
        <w:rPr>
          <w:b/>
          <w:bCs/>
        </w:rPr>
        <w:t>5.5</w:t>
      </w:r>
      <w:r w:rsidRPr="002A44DE">
        <w:rPr>
          <w:b/>
          <w:bCs/>
        </w:rPr>
        <w:tab/>
        <w:t xml:space="preserve">The NIHRC advises that </w:t>
      </w:r>
      <w:r w:rsidR="002A44DE" w:rsidRPr="002A44DE">
        <w:rPr>
          <w:b/>
          <w:bCs/>
        </w:rPr>
        <w:t xml:space="preserve">removing the requirement for Ministers to make a statement on </w:t>
      </w:r>
      <w:r w:rsidR="003F015F">
        <w:rPr>
          <w:b/>
          <w:bCs/>
        </w:rPr>
        <w:t>legislation’s</w:t>
      </w:r>
      <w:r w:rsidR="002A44DE" w:rsidRPr="002A44DE">
        <w:rPr>
          <w:b/>
          <w:bCs/>
        </w:rPr>
        <w:t xml:space="preserve"> compatibility with human rights </w:t>
      </w:r>
      <w:r w:rsidR="00B445B2" w:rsidRPr="002A44DE">
        <w:rPr>
          <w:b/>
          <w:bCs/>
        </w:rPr>
        <w:t>removes an important monitoring mechanis</w:t>
      </w:r>
      <w:r w:rsidR="00C8721F" w:rsidRPr="002A44DE">
        <w:rPr>
          <w:b/>
          <w:bCs/>
        </w:rPr>
        <w:t>m</w:t>
      </w:r>
      <w:r w:rsidR="00B138CB" w:rsidRPr="002A44DE">
        <w:rPr>
          <w:b/>
          <w:bCs/>
        </w:rPr>
        <w:t xml:space="preserve"> that places human rights at the forefront of </w:t>
      </w:r>
      <w:r w:rsidR="00904892" w:rsidRPr="002A44DE">
        <w:rPr>
          <w:b/>
          <w:bCs/>
        </w:rPr>
        <w:t>lawmakers</w:t>
      </w:r>
      <w:r w:rsidR="00B138CB" w:rsidRPr="002A44DE">
        <w:rPr>
          <w:b/>
          <w:bCs/>
        </w:rPr>
        <w:t>’ minds.</w:t>
      </w:r>
    </w:p>
    <w:p w14:paraId="5AF8C375" w14:textId="3649BAC1" w:rsidR="00A85CAB" w:rsidRDefault="00A85CAB" w:rsidP="007671F3"/>
    <w:p w14:paraId="458E3DCD" w14:textId="4ACDBE7D" w:rsidR="007671F3" w:rsidRDefault="00FC081F" w:rsidP="007671F3">
      <w:pPr>
        <w:pStyle w:val="Heading1"/>
      </w:pPr>
      <w:bookmarkStart w:id="12" w:name="_Toc113010914"/>
      <w:r>
        <w:lastRenderedPageBreak/>
        <w:t>6</w:t>
      </w:r>
      <w:r w:rsidR="0070606F">
        <w:t>.0</w:t>
      </w:r>
      <w:r w:rsidR="0070606F">
        <w:tab/>
      </w:r>
      <w:r w:rsidR="007671F3">
        <w:t>Interpreting and Applying the Law</w:t>
      </w:r>
      <w:bookmarkEnd w:id="12"/>
    </w:p>
    <w:p w14:paraId="78BC6965" w14:textId="77777777" w:rsidR="0007352A" w:rsidRDefault="0007352A" w:rsidP="0007352A">
      <w:pPr>
        <w:pStyle w:val="Heading2"/>
        <w:rPr>
          <w:lang w:val="en" w:eastAsia="en-GB"/>
        </w:rPr>
      </w:pPr>
      <w:bookmarkStart w:id="13" w:name="_Toc113010915"/>
      <w:r>
        <w:rPr>
          <w:lang w:val="en" w:eastAsia="en-GB"/>
        </w:rPr>
        <w:t>Positive obligations</w:t>
      </w:r>
      <w:bookmarkEnd w:id="13"/>
    </w:p>
    <w:p w14:paraId="7812D2C5" w14:textId="2E8105EF" w:rsidR="0070606F" w:rsidRDefault="47F71F57" w:rsidP="0697744C">
      <w:pPr>
        <w:ind w:left="720" w:hanging="720"/>
        <w:rPr>
          <w:lang w:val="en" w:eastAsia="en-GB"/>
        </w:rPr>
      </w:pPr>
      <w:r>
        <w:rPr>
          <w:lang w:val="en" w:eastAsia="en-GB"/>
        </w:rPr>
        <w:t>6</w:t>
      </w:r>
      <w:r w:rsidR="632E492A">
        <w:rPr>
          <w:lang w:val="en" w:eastAsia="en-GB"/>
        </w:rPr>
        <w:t>.1</w:t>
      </w:r>
      <w:r w:rsidR="0070606F">
        <w:rPr>
          <w:lang w:val="en" w:eastAsia="en-GB"/>
        </w:rPr>
        <w:tab/>
      </w:r>
      <w:r w:rsidR="00B30A36">
        <w:rPr>
          <w:lang w:val="en" w:eastAsia="en-GB"/>
        </w:rPr>
        <w:t>O</w:t>
      </w:r>
      <w:r w:rsidR="626AFE1F" w:rsidRPr="0070606F">
        <w:rPr>
          <w:lang w:val="en" w:eastAsia="en-GB"/>
        </w:rPr>
        <w:t xml:space="preserve">bligations are attached to each </w:t>
      </w:r>
      <w:r w:rsidR="34C26FEF">
        <w:rPr>
          <w:lang w:val="en" w:eastAsia="en-GB"/>
        </w:rPr>
        <w:t xml:space="preserve">substantive </w:t>
      </w:r>
      <w:r w:rsidR="626AFE1F" w:rsidRPr="0070606F">
        <w:rPr>
          <w:lang w:val="en" w:eastAsia="en-GB"/>
        </w:rPr>
        <w:t>ECHR right</w:t>
      </w:r>
      <w:r w:rsidR="0CAB34DC" w:rsidRPr="0070606F">
        <w:rPr>
          <w:lang w:val="en" w:eastAsia="en-GB"/>
        </w:rPr>
        <w:t>,</w:t>
      </w:r>
      <w:r w:rsidR="626AFE1F" w:rsidRPr="0070606F">
        <w:rPr>
          <w:lang w:val="en" w:eastAsia="en-GB"/>
        </w:rPr>
        <w:t xml:space="preserve">  requir</w:t>
      </w:r>
      <w:r w:rsidR="7A02D611" w:rsidRPr="0070606F">
        <w:rPr>
          <w:lang w:val="en" w:eastAsia="en-GB"/>
        </w:rPr>
        <w:t>ing</w:t>
      </w:r>
      <w:r w:rsidR="626AFE1F" w:rsidRPr="0070606F">
        <w:rPr>
          <w:lang w:val="en" w:eastAsia="en-GB"/>
        </w:rPr>
        <w:t xml:space="preserve"> </w:t>
      </w:r>
      <w:r w:rsidR="45999316">
        <w:rPr>
          <w:lang w:val="en" w:eastAsia="en-GB"/>
        </w:rPr>
        <w:t xml:space="preserve">that </w:t>
      </w:r>
      <w:r w:rsidR="626AFE1F" w:rsidRPr="0070606F">
        <w:rPr>
          <w:lang w:val="en" w:eastAsia="en-GB"/>
        </w:rPr>
        <w:t>a State ensure</w:t>
      </w:r>
      <w:r w:rsidR="6FDBC63C">
        <w:rPr>
          <w:lang w:val="en" w:eastAsia="en-GB"/>
        </w:rPr>
        <w:t>s</w:t>
      </w:r>
      <w:r w:rsidR="626AFE1F" w:rsidRPr="0070606F">
        <w:rPr>
          <w:lang w:val="en" w:eastAsia="en-GB"/>
        </w:rPr>
        <w:t xml:space="preserve"> appropriate steps are taken to protect against unlawful infringement of a right.</w:t>
      </w:r>
      <w:r w:rsidR="0007352A">
        <w:rPr>
          <w:rStyle w:val="FootnoteReference"/>
          <w:lang w:val="en" w:eastAsia="en-GB"/>
        </w:rPr>
        <w:footnoteReference w:id="44"/>
      </w:r>
      <w:r w:rsidR="626AFE1F" w:rsidRPr="0070606F">
        <w:rPr>
          <w:lang w:val="en" w:eastAsia="en-GB"/>
        </w:rPr>
        <w:t xml:space="preserve"> </w:t>
      </w:r>
      <w:r w:rsidR="6FDBC63C">
        <w:rPr>
          <w:lang w:val="en" w:eastAsia="en-GB"/>
        </w:rPr>
        <w:t>Such steps</w:t>
      </w:r>
      <w:r w:rsidR="626AFE1F" w:rsidRPr="0070606F">
        <w:rPr>
          <w:lang w:val="en" w:eastAsia="en-GB"/>
        </w:rPr>
        <w:t xml:space="preserve"> should have the “real prospect of altering the outcome or mitigating the harm”.</w:t>
      </w:r>
      <w:r w:rsidR="0007352A">
        <w:rPr>
          <w:rStyle w:val="FootnoteReference"/>
          <w:lang w:val="en" w:eastAsia="en-GB"/>
        </w:rPr>
        <w:footnoteReference w:id="45"/>
      </w:r>
      <w:r w:rsidR="632E492A">
        <w:rPr>
          <w:lang w:val="en" w:eastAsia="en-GB"/>
        </w:rPr>
        <w:t xml:space="preserve"> </w:t>
      </w:r>
      <w:r w:rsidR="08892501">
        <w:rPr>
          <w:lang w:val="en" w:eastAsia="en-GB"/>
        </w:rPr>
        <w:t>W</w:t>
      </w:r>
      <w:r w:rsidR="08892501" w:rsidRPr="0697744C">
        <w:rPr>
          <w:lang w:val="en" w:eastAsia="en-GB"/>
        </w:rPr>
        <w:t xml:space="preserve">hen </w:t>
      </w:r>
      <w:r w:rsidR="2019E667" w:rsidRPr="0697744C">
        <w:rPr>
          <w:lang w:val="en" w:eastAsia="en-GB"/>
        </w:rPr>
        <w:t>State resources are limited</w:t>
      </w:r>
      <w:r w:rsidR="08892501" w:rsidRPr="0697744C">
        <w:rPr>
          <w:lang w:val="en" w:eastAsia="en-GB"/>
        </w:rPr>
        <w:t>,</w:t>
      </w:r>
      <w:r w:rsidR="08892501">
        <w:rPr>
          <w:lang w:val="en" w:eastAsia="en-GB"/>
        </w:rPr>
        <w:t xml:space="preserve"> </w:t>
      </w:r>
      <w:r w:rsidR="144DED85">
        <w:rPr>
          <w:lang w:val="en" w:eastAsia="en-GB"/>
        </w:rPr>
        <w:t>States have</w:t>
      </w:r>
      <w:r w:rsidR="4021263F">
        <w:rPr>
          <w:lang w:val="en" w:eastAsia="en-GB"/>
        </w:rPr>
        <w:t xml:space="preserve"> wide discretion</w:t>
      </w:r>
      <w:r w:rsidR="02A6C0BF">
        <w:rPr>
          <w:lang w:val="en" w:eastAsia="en-GB"/>
        </w:rPr>
        <w:t xml:space="preserve"> </w:t>
      </w:r>
      <w:r w:rsidR="26807CCB">
        <w:rPr>
          <w:lang w:val="en" w:eastAsia="en-GB"/>
        </w:rPr>
        <w:t xml:space="preserve">as to what steps should be taken, but this </w:t>
      </w:r>
      <w:r w:rsidR="6AE970CD">
        <w:rPr>
          <w:lang w:val="en" w:eastAsia="en-GB"/>
        </w:rPr>
        <w:t>should consider the specific circumstances of the case</w:t>
      </w:r>
      <w:r w:rsidR="4021263F" w:rsidRPr="0697744C">
        <w:rPr>
          <w:lang w:val="en" w:eastAsia="en-GB"/>
        </w:rPr>
        <w:t>.</w:t>
      </w:r>
      <w:r w:rsidR="00FD1D5A">
        <w:rPr>
          <w:rStyle w:val="FootnoteReference"/>
          <w:lang w:val="en" w:eastAsia="en-GB"/>
        </w:rPr>
        <w:footnoteReference w:id="46"/>
      </w:r>
      <w:r w:rsidR="4021263F">
        <w:rPr>
          <w:lang w:val="en" w:eastAsia="en-GB"/>
        </w:rPr>
        <w:t xml:space="preserve"> </w:t>
      </w:r>
      <w:r w:rsidR="1905B3A4">
        <w:rPr>
          <w:lang w:val="en" w:eastAsia="en-GB"/>
        </w:rPr>
        <w:t>T</w:t>
      </w:r>
      <w:r w:rsidR="009842FF">
        <w:rPr>
          <w:lang w:val="en" w:eastAsia="en-GB"/>
        </w:rPr>
        <w:t>he right to an effective remedy can take many forms, including thorough investigation,</w:t>
      </w:r>
      <w:r w:rsidR="00D54D4C" w:rsidRPr="002F2B00">
        <w:rPr>
          <w:rStyle w:val="FootnoteReference"/>
        </w:rPr>
        <w:footnoteReference w:id="47"/>
      </w:r>
      <w:r w:rsidR="3AD1216E">
        <w:t xml:space="preserve"> </w:t>
      </w:r>
      <w:r w:rsidR="1905B3A4">
        <w:t>deeming it</w:t>
      </w:r>
      <w:r w:rsidR="3AD1216E">
        <w:t xml:space="preserve"> also </w:t>
      </w:r>
      <w:r w:rsidR="3EF6A841">
        <w:t>relevant</w:t>
      </w:r>
      <w:r w:rsidR="3AD1216E">
        <w:rPr>
          <w:lang w:val="en" w:eastAsia="en-GB"/>
        </w:rPr>
        <w:t xml:space="preserve">. </w:t>
      </w:r>
      <w:r w:rsidR="3AD1216E" w:rsidRPr="0697744C">
        <w:rPr>
          <w:lang w:val="en" w:eastAsia="en-GB"/>
        </w:rPr>
        <w:t xml:space="preserve">  </w:t>
      </w:r>
    </w:p>
    <w:p w14:paraId="1F4BD702" w14:textId="77777777" w:rsidR="0070606F" w:rsidRDefault="0070606F" w:rsidP="0070606F">
      <w:pPr>
        <w:ind w:left="720" w:hanging="720"/>
        <w:rPr>
          <w:lang w:val="en" w:eastAsia="en-GB"/>
        </w:rPr>
      </w:pPr>
    </w:p>
    <w:p w14:paraId="1B7AC3C7" w14:textId="320B003F" w:rsidR="0007352A" w:rsidRPr="0070606F" w:rsidRDefault="47F71F57" w:rsidP="0070606F">
      <w:pPr>
        <w:ind w:left="720" w:hanging="720"/>
        <w:rPr>
          <w:lang w:val="en" w:eastAsia="en-GB"/>
        </w:rPr>
      </w:pPr>
      <w:r>
        <w:rPr>
          <w:lang w:val="en" w:eastAsia="en-GB"/>
        </w:rPr>
        <w:t>6</w:t>
      </w:r>
      <w:r w:rsidR="632E492A">
        <w:rPr>
          <w:lang w:val="en" w:eastAsia="en-GB"/>
        </w:rPr>
        <w:t>.2</w:t>
      </w:r>
      <w:r w:rsidR="0070606F">
        <w:rPr>
          <w:lang w:val="en" w:eastAsia="en-GB"/>
        </w:rPr>
        <w:tab/>
      </w:r>
      <w:r w:rsidR="45999316">
        <w:rPr>
          <w:lang w:val="en" w:eastAsia="en-GB"/>
        </w:rPr>
        <w:t>T</w:t>
      </w:r>
      <w:r w:rsidR="626AFE1F" w:rsidRPr="0070606F">
        <w:rPr>
          <w:lang w:val="en" w:eastAsia="en-GB"/>
        </w:rPr>
        <w:t>he present Bill proposes that</w:t>
      </w:r>
      <w:r w:rsidR="0D88E1E4">
        <w:rPr>
          <w:lang w:val="en" w:eastAsia="en-GB"/>
        </w:rPr>
        <w:t>, from the commencement of the legislation,</w:t>
      </w:r>
      <w:r w:rsidR="626AFE1F" w:rsidRPr="0070606F">
        <w:rPr>
          <w:lang w:val="en" w:eastAsia="en-GB"/>
        </w:rPr>
        <w:t xml:space="preserve"> a court may ignore the requirement for a public authority “to comply with a positive obligation”.</w:t>
      </w:r>
      <w:r w:rsidR="007C40CA">
        <w:rPr>
          <w:rStyle w:val="FootnoteReference"/>
          <w:lang w:val="en" w:eastAsia="en-GB"/>
        </w:rPr>
        <w:footnoteReference w:id="48"/>
      </w:r>
      <w:r w:rsidR="626AFE1F" w:rsidRPr="0070606F">
        <w:rPr>
          <w:lang w:val="en" w:eastAsia="en-GB"/>
        </w:rPr>
        <w:t xml:space="preserve"> </w:t>
      </w:r>
      <w:r w:rsidR="45999316">
        <w:rPr>
          <w:lang w:val="en" w:eastAsia="en-GB"/>
        </w:rPr>
        <w:t>It also</w:t>
      </w:r>
      <w:r w:rsidR="626AFE1F" w:rsidRPr="0070606F">
        <w:rPr>
          <w:lang w:val="en" w:eastAsia="en-GB"/>
        </w:rPr>
        <w:t xml:space="preserve"> proposes that the court “must give great weight” to a variety of factors that are drafted in such a way as to imply human rights are nothing more than an annoyance that prevent public authorities from doing their job.</w:t>
      </w:r>
      <w:r w:rsidR="007C40CA">
        <w:rPr>
          <w:rStyle w:val="FootnoteReference"/>
          <w:lang w:val="en" w:eastAsia="en-GB"/>
        </w:rPr>
        <w:footnoteReference w:id="49"/>
      </w:r>
      <w:r w:rsidR="626AFE1F" w:rsidRPr="0070606F">
        <w:rPr>
          <w:lang w:val="en" w:eastAsia="en-GB"/>
        </w:rPr>
        <w:t xml:space="preserve"> Contrary to what is </w:t>
      </w:r>
      <w:r w:rsidR="009F4501">
        <w:rPr>
          <w:lang w:val="en" w:eastAsia="en-GB"/>
        </w:rPr>
        <w:t>suggested</w:t>
      </w:r>
      <w:r w:rsidR="009F4501" w:rsidRPr="0070606F">
        <w:rPr>
          <w:lang w:val="en" w:eastAsia="en-GB"/>
        </w:rPr>
        <w:t xml:space="preserve"> </w:t>
      </w:r>
      <w:r w:rsidR="626AFE1F" w:rsidRPr="0070606F">
        <w:rPr>
          <w:lang w:val="en" w:eastAsia="en-GB"/>
        </w:rPr>
        <w:t xml:space="preserve">within the present Bill, </w:t>
      </w:r>
      <w:r w:rsidR="009F4501">
        <w:rPr>
          <w:lang w:val="en" w:eastAsia="en-GB"/>
        </w:rPr>
        <w:t xml:space="preserve">it is not the </w:t>
      </w:r>
      <w:r w:rsidR="009D27AC">
        <w:rPr>
          <w:lang w:val="en" w:eastAsia="en-GB"/>
        </w:rPr>
        <w:t>NIHRC</w:t>
      </w:r>
      <w:r w:rsidR="009F4501">
        <w:rPr>
          <w:lang w:val="en" w:eastAsia="en-GB"/>
        </w:rPr>
        <w:t xml:space="preserve">’s view that </w:t>
      </w:r>
      <w:r w:rsidR="626AFE1F" w:rsidRPr="0070606F">
        <w:rPr>
          <w:lang w:val="en" w:eastAsia="en-GB"/>
        </w:rPr>
        <w:t xml:space="preserve">human rights standards act as an unreasonable constraint. </w:t>
      </w:r>
      <w:r w:rsidR="009F4501">
        <w:rPr>
          <w:lang w:val="en" w:eastAsia="en-GB"/>
        </w:rPr>
        <w:t>Relevant o</w:t>
      </w:r>
      <w:r w:rsidR="626AFE1F" w:rsidRPr="0070606F">
        <w:rPr>
          <w:lang w:val="en" w:eastAsia="en-GB"/>
        </w:rPr>
        <w:t xml:space="preserve">bligations </w:t>
      </w:r>
      <w:r w:rsidR="009F4501">
        <w:rPr>
          <w:lang w:val="en" w:eastAsia="en-GB"/>
        </w:rPr>
        <w:t>include things such as</w:t>
      </w:r>
      <w:r w:rsidR="009F4501" w:rsidRPr="0070606F">
        <w:rPr>
          <w:lang w:val="en" w:eastAsia="en-GB"/>
        </w:rPr>
        <w:t xml:space="preserve"> </w:t>
      </w:r>
      <w:r w:rsidR="626AFE1F" w:rsidRPr="0070606F">
        <w:rPr>
          <w:lang w:val="en" w:eastAsia="en-GB"/>
        </w:rPr>
        <w:t>specialis</w:t>
      </w:r>
      <w:r w:rsidR="009F4501">
        <w:rPr>
          <w:lang w:val="en" w:eastAsia="en-GB"/>
        </w:rPr>
        <w:t>t</w:t>
      </w:r>
      <w:r w:rsidR="626AFE1F" w:rsidRPr="0070606F">
        <w:rPr>
          <w:lang w:val="en" w:eastAsia="en-GB"/>
        </w:rPr>
        <w:t xml:space="preserve"> training, steps to </w:t>
      </w:r>
      <w:r w:rsidR="009F4501">
        <w:rPr>
          <w:lang w:val="en" w:eastAsia="en-GB"/>
        </w:rPr>
        <w:t>prevent</w:t>
      </w:r>
      <w:r w:rsidR="009F4501" w:rsidRPr="0070606F">
        <w:rPr>
          <w:lang w:val="en" w:eastAsia="en-GB"/>
        </w:rPr>
        <w:t xml:space="preserve"> </w:t>
      </w:r>
      <w:r w:rsidR="626AFE1F" w:rsidRPr="0070606F">
        <w:rPr>
          <w:lang w:val="en" w:eastAsia="en-GB"/>
        </w:rPr>
        <w:t xml:space="preserve">known real and immediate risks </w:t>
      </w:r>
      <w:r w:rsidR="009F4501">
        <w:rPr>
          <w:lang w:val="en" w:eastAsia="en-GB"/>
        </w:rPr>
        <w:t>and</w:t>
      </w:r>
      <w:r w:rsidR="009F4501" w:rsidRPr="0070606F">
        <w:rPr>
          <w:lang w:val="en" w:eastAsia="en-GB"/>
        </w:rPr>
        <w:t xml:space="preserve"> </w:t>
      </w:r>
      <w:r w:rsidR="626AFE1F" w:rsidRPr="0070606F">
        <w:rPr>
          <w:lang w:val="en" w:eastAsia="en-GB"/>
        </w:rPr>
        <w:t>conducting thorough investigations to establish accountability</w:t>
      </w:r>
      <w:r w:rsidR="009F4501">
        <w:rPr>
          <w:lang w:val="en" w:eastAsia="en-GB"/>
        </w:rPr>
        <w:t xml:space="preserve">. These are key </w:t>
      </w:r>
      <w:r w:rsidR="626AFE1F" w:rsidRPr="0070606F">
        <w:rPr>
          <w:lang w:val="en" w:eastAsia="en-GB"/>
        </w:rPr>
        <w:t xml:space="preserve">to pre-emptively protecting </w:t>
      </w:r>
      <w:r w:rsidR="009F4501">
        <w:rPr>
          <w:lang w:val="en" w:eastAsia="en-GB"/>
        </w:rPr>
        <w:t>individuals.</w:t>
      </w:r>
      <w:r w:rsidR="626AFE1F" w:rsidRPr="0070606F">
        <w:rPr>
          <w:lang w:val="en" w:eastAsia="en-GB"/>
        </w:rPr>
        <w:t xml:space="preserve"> </w:t>
      </w:r>
      <w:r w:rsidR="009F4501">
        <w:rPr>
          <w:lang w:val="en" w:eastAsia="en-GB"/>
        </w:rPr>
        <w:t>Already, t</w:t>
      </w:r>
      <w:r w:rsidR="626AFE1F" w:rsidRPr="0070606F">
        <w:rPr>
          <w:lang w:val="en" w:eastAsia="en-GB"/>
        </w:rPr>
        <w:t xml:space="preserve">he margin of appreciation and principles of universality, proportionality, reasonableness, necessity and subsidiarity </w:t>
      </w:r>
      <w:r w:rsidR="6AF67977">
        <w:rPr>
          <w:lang w:val="en" w:eastAsia="en-GB"/>
        </w:rPr>
        <w:t xml:space="preserve">afforded by the ECHR </w:t>
      </w:r>
      <w:r w:rsidR="009F4501">
        <w:rPr>
          <w:lang w:val="en" w:eastAsia="en-GB"/>
        </w:rPr>
        <w:t xml:space="preserve">together </w:t>
      </w:r>
      <w:r w:rsidR="626AFE1F" w:rsidRPr="0070606F">
        <w:rPr>
          <w:lang w:val="en" w:eastAsia="en-GB"/>
        </w:rPr>
        <w:t xml:space="preserve">ensure that a State has </w:t>
      </w:r>
      <w:r w:rsidR="009F4501">
        <w:rPr>
          <w:lang w:val="en" w:eastAsia="en-GB"/>
        </w:rPr>
        <w:t xml:space="preserve">broad </w:t>
      </w:r>
      <w:r w:rsidR="626AFE1F" w:rsidRPr="0070606F">
        <w:rPr>
          <w:lang w:val="en" w:eastAsia="en-GB"/>
        </w:rPr>
        <w:t>discretion to perform its functions</w:t>
      </w:r>
      <w:r w:rsidR="009F4501">
        <w:rPr>
          <w:lang w:val="en" w:eastAsia="en-GB"/>
        </w:rPr>
        <w:t xml:space="preserve"> so long as it does so </w:t>
      </w:r>
      <w:r w:rsidR="626AFE1F" w:rsidRPr="0070606F">
        <w:rPr>
          <w:lang w:val="en" w:eastAsia="en-GB"/>
        </w:rPr>
        <w:t xml:space="preserve">in a balanced and </w:t>
      </w:r>
      <w:r w:rsidR="6519078F">
        <w:rPr>
          <w:lang w:val="en" w:eastAsia="en-GB"/>
        </w:rPr>
        <w:t>effective</w:t>
      </w:r>
      <w:r w:rsidR="626AFE1F" w:rsidRPr="0070606F">
        <w:rPr>
          <w:lang w:val="en" w:eastAsia="en-GB"/>
        </w:rPr>
        <w:t xml:space="preserve"> way.</w:t>
      </w:r>
      <w:r w:rsidR="6C8A7F3D">
        <w:rPr>
          <w:lang w:val="en" w:eastAsia="en-GB"/>
        </w:rPr>
        <w:t xml:space="preserve"> </w:t>
      </w:r>
      <w:r w:rsidR="009F4501">
        <w:rPr>
          <w:lang w:val="en" w:eastAsia="en-GB"/>
        </w:rPr>
        <w:t>The present Bill will undermine that.</w:t>
      </w:r>
    </w:p>
    <w:p w14:paraId="09BB8FDB" w14:textId="68B8BA3F" w:rsidR="0007352A" w:rsidRDefault="0007352A" w:rsidP="0007352A">
      <w:pPr>
        <w:rPr>
          <w:lang w:val="en" w:eastAsia="en-GB"/>
        </w:rPr>
      </w:pPr>
    </w:p>
    <w:p w14:paraId="11CDF156" w14:textId="3135ACAC" w:rsidR="000D32A4" w:rsidRDefault="47F71F57" w:rsidP="000D32A4">
      <w:pPr>
        <w:ind w:left="720" w:hanging="720"/>
      </w:pPr>
      <w:r w:rsidRPr="0697744C">
        <w:rPr>
          <w:lang w:val="en" w:eastAsia="en-GB"/>
        </w:rPr>
        <w:lastRenderedPageBreak/>
        <w:t>6.3</w:t>
      </w:r>
      <w:r w:rsidR="00FC081F">
        <w:tab/>
      </w:r>
      <w:r w:rsidR="00C66B96">
        <w:t>To give a specific example, w</w:t>
      </w:r>
      <w:r w:rsidR="7E89B1A0">
        <w:t xml:space="preserve">hen read </w:t>
      </w:r>
      <w:r w:rsidR="1F6C659F">
        <w:t>alongside the proposed</w:t>
      </w:r>
      <w:r w:rsidR="7E89B1A0">
        <w:t xml:space="preserve"> restrictions within the NI Troubles (Legacy and Reconciliation) Bill</w:t>
      </w:r>
      <w:r w:rsidR="00C66B96">
        <w:t xml:space="preserve">, this </w:t>
      </w:r>
      <w:r w:rsidR="7E89B1A0">
        <w:t>raise</w:t>
      </w:r>
      <w:r w:rsidR="055FE6A3">
        <w:t>s</w:t>
      </w:r>
      <w:r w:rsidR="7E89B1A0">
        <w:t xml:space="preserve"> specific concerns</w:t>
      </w:r>
      <w:r w:rsidR="00C66B96">
        <w:t xml:space="preserve"> for </w:t>
      </w:r>
      <w:r w:rsidR="7E89B1A0" w:rsidDel="00C66B96">
        <w:t>NI.</w:t>
      </w:r>
    </w:p>
    <w:p w14:paraId="6C349384" w14:textId="380C2B7C" w:rsidR="00084FAB" w:rsidRDefault="00084FAB" w:rsidP="000D32A4">
      <w:pPr>
        <w:ind w:left="720" w:hanging="720"/>
      </w:pPr>
    </w:p>
    <w:p w14:paraId="45ED09B1" w14:textId="29655E97" w:rsidR="00084FAB" w:rsidRDefault="43346209" w:rsidP="000D32A4">
      <w:pPr>
        <w:ind w:left="720" w:hanging="720"/>
        <w:rPr>
          <w:b/>
          <w:bCs/>
          <w:lang w:val="en" w:eastAsia="en-GB"/>
        </w:rPr>
      </w:pPr>
      <w:r w:rsidRPr="0697744C">
        <w:rPr>
          <w:b/>
          <w:bCs/>
        </w:rPr>
        <w:t>6.4</w:t>
      </w:r>
      <w:r w:rsidR="00084FAB">
        <w:tab/>
      </w:r>
      <w:r w:rsidRPr="0697744C">
        <w:rPr>
          <w:b/>
          <w:bCs/>
        </w:rPr>
        <w:t xml:space="preserve">The NIHRC advises that </w:t>
      </w:r>
      <w:r w:rsidRPr="0697744C">
        <w:rPr>
          <w:b/>
          <w:bCs/>
          <w:lang w:val="en" w:eastAsia="en-GB"/>
        </w:rPr>
        <w:t xml:space="preserve">the present Bill’s proposals </w:t>
      </w:r>
      <w:r w:rsidR="23882960" w:rsidRPr="0697744C">
        <w:rPr>
          <w:b/>
          <w:bCs/>
          <w:lang w:val="en" w:eastAsia="en-GB"/>
        </w:rPr>
        <w:t xml:space="preserve">to </w:t>
      </w:r>
      <w:r w:rsidR="31DF49E3" w:rsidRPr="0697744C">
        <w:rPr>
          <w:b/>
          <w:bCs/>
          <w:lang w:val="en" w:eastAsia="en-GB"/>
        </w:rPr>
        <w:t>ignore the UK’s</w:t>
      </w:r>
      <w:r w:rsidR="23882960" w:rsidRPr="0697744C">
        <w:rPr>
          <w:b/>
          <w:bCs/>
          <w:lang w:val="en" w:eastAsia="en-GB"/>
        </w:rPr>
        <w:t xml:space="preserve"> positive obligations </w:t>
      </w:r>
      <w:r w:rsidR="7598A369" w:rsidRPr="0697744C">
        <w:rPr>
          <w:b/>
          <w:bCs/>
          <w:lang w:val="en" w:eastAsia="en-GB"/>
        </w:rPr>
        <w:t>will</w:t>
      </w:r>
      <w:r w:rsidRPr="0697744C">
        <w:rPr>
          <w:b/>
          <w:bCs/>
          <w:lang w:val="en" w:eastAsia="en-GB"/>
        </w:rPr>
        <w:t xml:space="preserve"> </w:t>
      </w:r>
      <w:r w:rsidR="00C66B96">
        <w:rPr>
          <w:b/>
          <w:bCs/>
          <w:lang w:val="en" w:eastAsia="en-GB"/>
        </w:rPr>
        <w:t>weaken</w:t>
      </w:r>
      <w:r w:rsidRPr="0697744C">
        <w:rPr>
          <w:b/>
          <w:bCs/>
          <w:lang w:val="en" w:eastAsia="en-GB"/>
        </w:rPr>
        <w:t xml:space="preserve"> </w:t>
      </w:r>
      <w:r w:rsidR="61976D7F" w:rsidRPr="0697744C">
        <w:rPr>
          <w:b/>
          <w:bCs/>
          <w:lang w:val="en" w:eastAsia="en-GB"/>
        </w:rPr>
        <w:t xml:space="preserve">the </w:t>
      </w:r>
      <w:r w:rsidRPr="0697744C">
        <w:rPr>
          <w:b/>
          <w:bCs/>
          <w:lang w:val="en" w:eastAsia="en-GB"/>
        </w:rPr>
        <w:t>protecti</w:t>
      </w:r>
      <w:r w:rsidR="74898F00" w:rsidRPr="0697744C">
        <w:rPr>
          <w:b/>
          <w:bCs/>
          <w:lang w:val="en" w:eastAsia="en-GB"/>
        </w:rPr>
        <w:t>on of</w:t>
      </w:r>
      <w:r w:rsidRPr="0697744C">
        <w:rPr>
          <w:b/>
          <w:bCs/>
          <w:lang w:val="en" w:eastAsia="en-GB"/>
        </w:rPr>
        <w:t xml:space="preserve"> victims</w:t>
      </w:r>
      <w:r w:rsidR="00284493">
        <w:rPr>
          <w:b/>
          <w:bCs/>
          <w:lang w:val="en" w:eastAsia="en-GB"/>
        </w:rPr>
        <w:t xml:space="preserve"> and</w:t>
      </w:r>
      <w:r w:rsidRPr="0697744C">
        <w:rPr>
          <w:b/>
          <w:bCs/>
          <w:lang w:val="en" w:eastAsia="en-GB"/>
        </w:rPr>
        <w:t xml:space="preserve"> increas</w:t>
      </w:r>
      <w:r w:rsidR="00284493">
        <w:rPr>
          <w:b/>
          <w:bCs/>
          <w:lang w:val="en" w:eastAsia="en-GB"/>
        </w:rPr>
        <w:t>e</w:t>
      </w:r>
      <w:r w:rsidRPr="0697744C">
        <w:rPr>
          <w:b/>
          <w:bCs/>
          <w:lang w:val="en" w:eastAsia="en-GB"/>
        </w:rPr>
        <w:t xml:space="preserve"> the </w:t>
      </w:r>
      <w:r w:rsidR="00284493">
        <w:rPr>
          <w:b/>
          <w:bCs/>
          <w:lang w:val="en" w:eastAsia="en-GB"/>
        </w:rPr>
        <w:t>likelihood</w:t>
      </w:r>
      <w:r w:rsidR="00284493" w:rsidRPr="0697744C">
        <w:rPr>
          <w:b/>
          <w:bCs/>
          <w:lang w:val="en" w:eastAsia="en-GB"/>
        </w:rPr>
        <w:t xml:space="preserve"> </w:t>
      </w:r>
      <w:r w:rsidRPr="0697744C">
        <w:rPr>
          <w:b/>
          <w:bCs/>
          <w:lang w:val="en" w:eastAsia="en-GB"/>
        </w:rPr>
        <w:t>of violations.</w:t>
      </w:r>
    </w:p>
    <w:p w14:paraId="30EA88DE" w14:textId="0600A884" w:rsidR="00822552" w:rsidRDefault="00822552" w:rsidP="000D32A4">
      <w:pPr>
        <w:ind w:left="720" w:hanging="720"/>
        <w:rPr>
          <w:b/>
          <w:bCs/>
          <w:lang w:val="en" w:eastAsia="en-GB"/>
        </w:rPr>
      </w:pPr>
    </w:p>
    <w:p w14:paraId="3138C281" w14:textId="3A81EED4" w:rsidR="00822552" w:rsidRPr="00F47DA7" w:rsidRDefault="00822552" w:rsidP="00822552">
      <w:pPr>
        <w:ind w:left="720" w:hanging="720"/>
      </w:pPr>
      <w:r w:rsidRPr="008173DC">
        <w:rPr>
          <w:lang w:val="en" w:eastAsia="en-GB"/>
        </w:rPr>
        <w:t>6.5</w:t>
      </w:r>
      <w:r w:rsidRPr="008173DC">
        <w:rPr>
          <w:lang w:val="en" w:eastAsia="en-GB"/>
        </w:rPr>
        <w:tab/>
        <w:t xml:space="preserve">Protocol Article 2 requires the UK Government to ensure there is no diminution </w:t>
      </w:r>
      <w:r w:rsidRPr="008173DC">
        <w:t xml:space="preserve">of the rights, safeguards and equality of opportunity protections in the relevant chapter of the Belfast (Good Friday) Agreement as a result of the UK’s withdrawal from the EU. </w:t>
      </w:r>
      <w:r w:rsidRPr="008173DC">
        <w:rPr>
          <w:lang w:val="en" w:eastAsia="en-GB"/>
        </w:rPr>
        <w:t>The NIHRC has already identified how positive obligations arising under Article 4 of the ECHR in respect of trafficking</w:t>
      </w:r>
      <w:r w:rsidRPr="008173DC">
        <w:t xml:space="preserve"> fall within scope of Protocol Article 2</w:t>
      </w:r>
      <w:r w:rsidR="0094562C" w:rsidRPr="008173DC">
        <w:t>,</w:t>
      </w:r>
      <w:r w:rsidRPr="008173DC">
        <w:t xml:space="preserve"> to the extent that those obligations are underpinned by the EU Trafficking Directive.</w:t>
      </w:r>
      <w:r w:rsidRPr="008173DC">
        <w:rPr>
          <w:rStyle w:val="FootnoteReference"/>
        </w:rPr>
        <w:footnoteReference w:id="50"/>
      </w:r>
      <w:r w:rsidRPr="008173DC">
        <w:t xml:space="preserve"> </w:t>
      </w:r>
      <w:r w:rsidR="0015428C" w:rsidRPr="00F47DA7">
        <w:t>As noted above, the EU Charter of Fundamental Rights is relevant to the interpretation and application of Protocol Article 2</w:t>
      </w:r>
      <w:r w:rsidR="00887F74" w:rsidRPr="00F47DA7">
        <w:t>.</w:t>
      </w:r>
      <w:r w:rsidR="0015428C" w:rsidRPr="00F47DA7">
        <w:t xml:space="preserve"> </w:t>
      </w:r>
      <w:r w:rsidR="00887F74" w:rsidRPr="00F47DA7">
        <w:t>W</w:t>
      </w:r>
      <w:r w:rsidR="0015428C" w:rsidRPr="00F47DA7">
        <w:t>here an EU Charter right</w:t>
      </w:r>
      <w:r w:rsidR="00887F74" w:rsidRPr="00F47DA7">
        <w:t>, which corresponds to a right in the ECHR,</w:t>
      </w:r>
      <w:r w:rsidR="0015428C" w:rsidRPr="00F47DA7">
        <w:t xml:space="preserve"> is engaged</w:t>
      </w:r>
      <w:r w:rsidR="00D327D2" w:rsidRPr="00F47DA7">
        <w:t>,</w:t>
      </w:r>
      <w:r w:rsidR="00887F74" w:rsidRPr="00F47DA7">
        <w:t xml:space="preserve"> </w:t>
      </w:r>
      <w:r w:rsidR="0015428C" w:rsidRPr="00F47DA7">
        <w:t xml:space="preserve">the CJEU </w:t>
      </w:r>
      <w:r w:rsidR="00D327D2" w:rsidRPr="00F47DA7">
        <w:t xml:space="preserve">confirms </w:t>
      </w:r>
      <w:r w:rsidR="0015428C" w:rsidRPr="00F47DA7">
        <w:t>that it should be interpreted in line with the relevant ECHR right</w:t>
      </w:r>
      <w:r w:rsidR="00887F74" w:rsidRPr="00F47DA7">
        <w:t xml:space="preserve"> and </w:t>
      </w:r>
      <w:r w:rsidR="00D327D2" w:rsidRPr="00F47DA7">
        <w:t xml:space="preserve">connected </w:t>
      </w:r>
      <w:r w:rsidR="00887F74" w:rsidRPr="00F47DA7">
        <w:t xml:space="preserve">ECtHR </w:t>
      </w:r>
      <w:r w:rsidR="0015428C" w:rsidRPr="00F47DA7">
        <w:t>case law</w:t>
      </w:r>
      <w:r w:rsidR="00887F74" w:rsidRPr="00F47DA7">
        <w:t>, including where that jurisprudence gives rise to a positive obligation</w:t>
      </w:r>
      <w:r w:rsidR="0015428C" w:rsidRPr="00F47DA7">
        <w:t>.</w:t>
      </w:r>
      <w:r w:rsidR="0015428C" w:rsidRPr="00F47DA7">
        <w:rPr>
          <w:rStyle w:val="FootnoteReference"/>
        </w:rPr>
        <w:footnoteReference w:id="51"/>
      </w:r>
      <w:r w:rsidR="00887F74" w:rsidRPr="00F47DA7">
        <w:t xml:space="preserve"> Therefore, w</w:t>
      </w:r>
      <w:r w:rsidRPr="00F47DA7">
        <w:t xml:space="preserve">here there is a link between Protocol Article 2 and an ECtHR interpretation of an ECHR right, the restrictions on positive obligations should not apply.  However, these restrictions on positive obligations create unhelpful confusion.  </w:t>
      </w:r>
      <w:r w:rsidRPr="00623CA1">
        <w:t xml:space="preserve">Moreover, there is a risk that the present Bill will create a culture shift where </w:t>
      </w:r>
      <w:r w:rsidR="00061AD0" w:rsidRPr="00623CA1">
        <w:t>reduced</w:t>
      </w:r>
      <w:r w:rsidRPr="00623CA1">
        <w:t xml:space="preserve"> human rights protect</w:t>
      </w:r>
      <w:r w:rsidR="00061AD0" w:rsidRPr="00623CA1">
        <w:t>ions</w:t>
      </w:r>
      <w:r w:rsidRPr="00623CA1">
        <w:t xml:space="preserve"> in NI in the future </w:t>
      </w:r>
      <w:r w:rsidR="00887F74" w:rsidRPr="00623CA1">
        <w:t xml:space="preserve">could have implications for </w:t>
      </w:r>
      <w:r w:rsidRPr="00623CA1">
        <w:t>how Protocol Article 2 is interpreted</w:t>
      </w:r>
      <w:r w:rsidRPr="00F47DA7">
        <w:t xml:space="preserve"> and applied. </w:t>
      </w:r>
    </w:p>
    <w:p w14:paraId="698AA734" w14:textId="77777777" w:rsidR="00822552" w:rsidRPr="00F47DA7" w:rsidRDefault="00822552" w:rsidP="00822552">
      <w:pPr>
        <w:ind w:left="720" w:hanging="720"/>
      </w:pPr>
    </w:p>
    <w:p w14:paraId="073D55A7" w14:textId="2C71B016" w:rsidR="00822552" w:rsidRPr="002723B8" w:rsidRDefault="00822552" w:rsidP="00822552">
      <w:pPr>
        <w:pStyle w:val="ListParagraph"/>
        <w:numPr>
          <w:ilvl w:val="0"/>
          <w:numId w:val="0"/>
        </w:numPr>
        <w:ind w:left="720" w:hanging="720"/>
        <w:rPr>
          <w:b/>
          <w:bCs/>
        </w:rPr>
      </w:pPr>
      <w:r w:rsidRPr="00F47DA7">
        <w:rPr>
          <w:b/>
          <w:bCs/>
        </w:rPr>
        <w:t xml:space="preserve">6.6 </w:t>
      </w:r>
      <w:r w:rsidRPr="00F47DA7">
        <w:rPr>
          <w:b/>
          <w:bCs/>
        </w:rPr>
        <w:tab/>
        <w:t>The NIHRC advises that while the protections of rights in Protocol Article 2 are not directly impacted by the weakening</w:t>
      </w:r>
      <w:r w:rsidR="002404D8" w:rsidRPr="00F47DA7">
        <w:rPr>
          <w:b/>
          <w:bCs/>
        </w:rPr>
        <w:t xml:space="preserve"> of</w:t>
      </w:r>
      <w:r w:rsidRPr="00F47DA7">
        <w:rPr>
          <w:b/>
          <w:bCs/>
        </w:rPr>
        <w:t xml:space="preserve"> positive obligations arising under </w:t>
      </w:r>
      <w:r w:rsidR="0094562C" w:rsidRPr="00F47DA7">
        <w:rPr>
          <w:b/>
          <w:bCs/>
        </w:rPr>
        <w:t xml:space="preserve">the </w:t>
      </w:r>
      <w:r w:rsidRPr="00F47DA7">
        <w:rPr>
          <w:b/>
          <w:bCs/>
        </w:rPr>
        <w:t>ECHR within the domestic legal framework, the present Bill creates unhelpful confusion.</w:t>
      </w:r>
    </w:p>
    <w:p w14:paraId="624D7C89" w14:textId="77777777" w:rsidR="00822552" w:rsidRPr="001F0F35" w:rsidRDefault="00822552" w:rsidP="000D32A4">
      <w:pPr>
        <w:ind w:left="720" w:hanging="720"/>
        <w:rPr>
          <w:b/>
          <w:bCs/>
        </w:rPr>
      </w:pPr>
    </w:p>
    <w:p w14:paraId="1FC77EE5" w14:textId="77777777" w:rsidR="000D32A4" w:rsidRPr="00487CE6" w:rsidRDefault="000D32A4" w:rsidP="000D32A4">
      <w:pPr>
        <w:ind w:left="720" w:hanging="720"/>
        <w:rPr>
          <w:lang w:val="en" w:eastAsia="en-GB"/>
        </w:rPr>
      </w:pPr>
    </w:p>
    <w:p w14:paraId="5C4D6306" w14:textId="3958C3A6" w:rsidR="002165F7" w:rsidRDefault="002165F7" w:rsidP="002165F7">
      <w:pPr>
        <w:pStyle w:val="Heading2"/>
      </w:pPr>
      <w:bookmarkStart w:id="14" w:name="_Toc113010916"/>
      <w:r>
        <w:lastRenderedPageBreak/>
        <w:t>Proportionality</w:t>
      </w:r>
      <w:bookmarkEnd w:id="14"/>
    </w:p>
    <w:p w14:paraId="2EFD15D8" w14:textId="62FF399A" w:rsidR="00BC58C7" w:rsidRDefault="47F71F57" w:rsidP="0070606F">
      <w:pPr>
        <w:ind w:left="720" w:hanging="720"/>
      </w:pPr>
      <w:r>
        <w:t>6.</w:t>
      </w:r>
      <w:r w:rsidR="00560DFC">
        <w:t>7</w:t>
      </w:r>
      <w:r w:rsidR="0070606F">
        <w:tab/>
      </w:r>
      <w:r w:rsidR="0D4A2BF3">
        <w:t>Domestic authorities are</w:t>
      </w:r>
      <w:r w:rsidR="636FB295">
        <w:t>, in most cases,</w:t>
      </w:r>
      <w:r w:rsidR="0D4A2BF3">
        <w:t xml:space="preserve"> afforded a margin of apprec</w:t>
      </w:r>
      <w:r w:rsidR="01027D37">
        <w:t xml:space="preserve">iation or discretion in how to ensure adherence to the ECHR. </w:t>
      </w:r>
      <w:r w:rsidR="476C8384">
        <w:t xml:space="preserve">The extent of the margin is determined by the type of right involved – a wide margin for qualified rights, narrower margin for limited rights and </w:t>
      </w:r>
      <w:r w:rsidR="070B4E1A">
        <w:t>narrow margin in very exceptional circumstances for absolute rights.</w:t>
      </w:r>
      <w:r w:rsidR="006E1CF9">
        <w:rPr>
          <w:rStyle w:val="FootnoteReference"/>
        </w:rPr>
        <w:footnoteReference w:id="52"/>
      </w:r>
      <w:r w:rsidR="070B4E1A">
        <w:t xml:space="preserve"> </w:t>
      </w:r>
      <w:r w:rsidR="2BBCD8A5">
        <w:t xml:space="preserve">Applying a margin of appreciation must be guided by </w:t>
      </w:r>
      <w:r w:rsidR="0AF10A69">
        <w:t xml:space="preserve">recognised </w:t>
      </w:r>
      <w:r w:rsidR="2BBCD8A5">
        <w:t>principles, such as the principle of proportionality.</w:t>
      </w:r>
    </w:p>
    <w:p w14:paraId="6CA303DA" w14:textId="77777777" w:rsidR="0070606F" w:rsidRDefault="0070606F" w:rsidP="0070606F">
      <w:pPr>
        <w:pStyle w:val="ListParagraph"/>
        <w:numPr>
          <w:ilvl w:val="0"/>
          <w:numId w:val="0"/>
        </w:numPr>
      </w:pPr>
    </w:p>
    <w:p w14:paraId="18A82586" w14:textId="52145856" w:rsidR="004F64C9" w:rsidRDefault="47F71F57" w:rsidP="0070606F">
      <w:pPr>
        <w:pStyle w:val="ListParagraph"/>
        <w:numPr>
          <w:ilvl w:val="1"/>
          <w:numId w:val="0"/>
        </w:numPr>
        <w:ind w:left="720" w:hanging="720"/>
      </w:pPr>
      <w:r>
        <w:t>6.</w:t>
      </w:r>
      <w:r w:rsidR="00560DFC">
        <w:t>8</w:t>
      </w:r>
      <w:r w:rsidR="0070606F">
        <w:tab/>
      </w:r>
      <w:r w:rsidR="343750A0">
        <w:t xml:space="preserve">Proportionately is the guiding principle </w:t>
      </w:r>
      <w:r w:rsidR="269EB51A">
        <w:t>for</w:t>
      </w:r>
      <w:r w:rsidR="343750A0">
        <w:t xml:space="preserve"> courts </w:t>
      </w:r>
      <w:r w:rsidR="5077D8BF">
        <w:t>seeking to</w:t>
      </w:r>
      <w:r w:rsidR="343750A0">
        <w:t xml:space="preserve"> achieve a fair balance between competing interests. This requires consideration of Parliamentary sovereignty, but this is not an exclusive consideration and must form part of </w:t>
      </w:r>
      <w:r w:rsidR="6526250C">
        <w:t>contemplating</w:t>
      </w:r>
      <w:r w:rsidR="343750A0">
        <w:t xml:space="preserve"> all surrounding circumstances.</w:t>
      </w:r>
      <w:r w:rsidR="004F64C9">
        <w:rPr>
          <w:rStyle w:val="FootnoteReference"/>
        </w:rPr>
        <w:footnoteReference w:id="53"/>
      </w:r>
      <w:r w:rsidR="343750A0">
        <w:t xml:space="preserve"> It also requires consideration of what is necessary within the specific context.</w:t>
      </w:r>
      <w:r w:rsidR="004F64C9">
        <w:rPr>
          <w:rStyle w:val="FootnoteReference"/>
        </w:rPr>
        <w:footnoteReference w:id="54"/>
      </w:r>
    </w:p>
    <w:p w14:paraId="3C205E00" w14:textId="77777777" w:rsidR="0058495E" w:rsidRDefault="0058495E" w:rsidP="0070606F">
      <w:pPr>
        <w:pStyle w:val="ListParagraph"/>
        <w:numPr>
          <w:ilvl w:val="0"/>
          <w:numId w:val="0"/>
        </w:numPr>
        <w:ind w:left="720" w:hanging="720"/>
      </w:pPr>
    </w:p>
    <w:p w14:paraId="10F463C5" w14:textId="38457EF3" w:rsidR="00A85CAB" w:rsidRDefault="47F71F57" w:rsidP="0070606F">
      <w:pPr>
        <w:pStyle w:val="ListParagraph"/>
        <w:numPr>
          <w:ilvl w:val="1"/>
          <w:numId w:val="0"/>
        </w:numPr>
        <w:ind w:left="720" w:hanging="720"/>
      </w:pPr>
      <w:r>
        <w:t>6.</w:t>
      </w:r>
      <w:r w:rsidR="00560DFC">
        <w:t>9</w:t>
      </w:r>
      <w:r w:rsidR="0070606F">
        <w:tab/>
      </w:r>
      <w:r w:rsidR="7685663A">
        <w:t xml:space="preserve">The </w:t>
      </w:r>
      <w:r w:rsidR="6E85FCE2">
        <w:t>present</w:t>
      </w:r>
      <w:r w:rsidR="7685663A">
        <w:t xml:space="preserve"> Bill premise</w:t>
      </w:r>
      <w:r w:rsidR="524D1A8E">
        <w:t>s</w:t>
      </w:r>
      <w:r w:rsidR="7685663A">
        <w:t xml:space="preserve"> that it is for Parliament to decide the appropriate balance of rights. </w:t>
      </w:r>
      <w:r w:rsidR="536762F2">
        <w:t xml:space="preserve">It proposes to achieve this by </w:t>
      </w:r>
      <w:r w:rsidR="00284493">
        <w:t xml:space="preserve">requiring that courts give </w:t>
      </w:r>
      <w:r w:rsidR="3C7DFE81">
        <w:t>the</w:t>
      </w:r>
      <w:r w:rsidR="536762F2">
        <w:t xml:space="preserve"> </w:t>
      </w:r>
      <w:r w:rsidR="745A103E">
        <w:t xml:space="preserve">‘greatest possible weight’ </w:t>
      </w:r>
      <w:r w:rsidR="70B667D0">
        <w:t xml:space="preserve">or ‘great weight’ </w:t>
      </w:r>
      <w:r w:rsidR="1E598FCC">
        <w:t>to decisions made by Parliament.</w:t>
      </w:r>
      <w:r w:rsidR="00975F9B">
        <w:rPr>
          <w:rStyle w:val="FootnoteReference"/>
        </w:rPr>
        <w:footnoteReference w:id="55"/>
      </w:r>
      <w:r w:rsidR="1E598FCC">
        <w:t xml:space="preserve"> These</w:t>
      </w:r>
      <w:r w:rsidR="21444B0F">
        <w:t xml:space="preserve"> </w:t>
      </w:r>
      <w:r w:rsidR="1E598FCC">
        <w:t xml:space="preserve">are </w:t>
      </w:r>
      <w:r w:rsidR="745A103E">
        <w:t>not recognis</w:t>
      </w:r>
      <w:r w:rsidR="00284493">
        <w:t>ed</w:t>
      </w:r>
      <w:r w:rsidR="745A103E">
        <w:t xml:space="preserve"> legal </w:t>
      </w:r>
      <w:r w:rsidR="615B6720">
        <w:t>concepts</w:t>
      </w:r>
      <w:r w:rsidR="745A103E">
        <w:t xml:space="preserve">. </w:t>
      </w:r>
      <w:r w:rsidR="681A6D1B">
        <w:t xml:space="preserve">By </w:t>
      </w:r>
      <w:r w:rsidR="57B3A121">
        <w:t>their</w:t>
      </w:r>
      <w:r w:rsidR="681A6D1B">
        <w:t xml:space="preserve"> nature, </w:t>
      </w:r>
      <w:r w:rsidR="57B3A121">
        <w:t>they</w:t>
      </w:r>
      <w:r w:rsidR="681A6D1B">
        <w:t xml:space="preserve"> disregard the principle of proportionality, which is to achieve a fair balance</w:t>
      </w:r>
      <w:r w:rsidR="4CEECED1">
        <w:t xml:space="preserve"> between the public interest and an individual’s rights</w:t>
      </w:r>
      <w:r w:rsidR="681A6D1B">
        <w:t>.</w:t>
      </w:r>
      <w:r w:rsidR="002D2D37">
        <w:rPr>
          <w:rStyle w:val="FootnoteReference"/>
        </w:rPr>
        <w:footnoteReference w:id="56"/>
      </w:r>
      <w:r w:rsidR="681A6D1B">
        <w:t xml:space="preserve"> </w:t>
      </w:r>
      <w:r w:rsidR="00284493">
        <w:t>They</w:t>
      </w:r>
      <w:r w:rsidR="280834AE">
        <w:t xml:space="preserve"> also risk </w:t>
      </w:r>
      <w:r w:rsidR="004B493D">
        <w:t>misinterpretation</w:t>
      </w:r>
      <w:r w:rsidR="00284493">
        <w:t xml:space="preserve"> of</w:t>
      </w:r>
      <w:r w:rsidR="280834AE">
        <w:t xml:space="preserve"> how the margin of appreciation doctrine</w:t>
      </w:r>
      <w:r w:rsidR="00284493">
        <w:t>.</w:t>
      </w:r>
      <w:r w:rsidR="111F368E" w:rsidDel="00284493">
        <w:t xml:space="preserve"> </w:t>
      </w:r>
      <w:r w:rsidR="1673A84B">
        <w:t xml:space="preserve">It also raises further questions regarding separation of powers and enabling the courts to </w:t>
      </w:r>
      <w:r w:rsidR="420E8DD3">
        <w:t>make independent judgments on the law.</w:t>
      </w:r>
    </w:p>
    <w:p w14:paraId="22A1B085" w14:textId="2FFDAC8B" w:rsidR="004B319B" w:rsidRDefault="004B319B" w:rsidP="0070606F">
      <w:pPr>
        <w:pStyle w:val="ListParagraph"/>
        <w:numPr>
          <w:ilvl w:val="0"/>
          <w:numId w:val="0"/>
        </w:numPr>
        <w:ind w:left="720" w:hanging="720"/>
      </w:pPr>
    </w:p>
    <w:p w14:paraId="08722C37" w14:textId="261A7573" w:rsidR="004B319B" w:rsidRPr="00E73F81" w:rsidRDefault="004B319B" w:rsidP="004B319B">
      <w:pPr>
        <w:pStyle w:val="ListParagraph"/>
        <w:numPr>
          <w:ilvl w:val="0"/>
          <w:numId w:val="0"/>
        </w:numPr>
        <w:ind w:left="720" w:hanging="720"/>
        <w:rPr>
          <w:b/>
          <w:bCs/>
        </w:rPr>
      </w:pPr>
      <w:r w:rsidRPr="00E73F81">
        <w:rPr>
          <w:b/>
          <w:bCs/>
        </w:rPr>
        <w:t>6.</w:t>
      </w:r>
      <w:r w:rsidR="00560DFC">
        <w:rPr>
          <w:b/>
          <w:bCs/>
        </w:rPr>
        <w:t>10</w:t>
      </w:r>
      <w:r w:rsidRPr="00E73F81">
        <w:rPr>
          <w:b/>
          <w:bCs/>
        </w:rPr>
        <w:tab/>
        <w:t xml:space="preserve">The NIHRC advises that the </w:t>
      </w:r>
      <w:r w:rsidRPr="00E73F81">
        <w:rPr>
          <w:rFonts w:cs="Arial"/>
          <w:b/>
          <w:bCs/>
        </w:rPr>
        <w:t xml:space="preserve">present Bill’s proposal to rely solely on </w:t>
      </w:r>
      <w:r w:rsidRPr="00E73F81">
        <w:rPr>
          <w:b/>
          <w:bCs/>
        </w:rPr>
        <w:t xml:space="preserve">Parliament </w:t>
      </w:r>
      <w:r w:rsidR="00B10E59" w:rsidRPr="00E73F81">
        <w:rPr>
          <w:b/>
          <w:bCs/>
        </w:rPr>
        <w:t>for deciding</w:t>
      </w:r>
      <w:r w:rsidRPr="00E73F81">
        <w:rPr>
          <w:b/>
          <w:bCs/>
        </w:rPr>
        <w:t xml:space="preserve"> the appropriate balance of rights</w:t>
      </w:r>
      <w:r w:rsidRPr="00E73F81">
        <w:rPr>
          <w:rFonts w:cs="Arial"/>
          <w:b/>
          <w:bCs/>
        </w:rPr>
        <w:t xml:space="preserve"> </w:t>
      </w:r>
      <w:r w:rsidRPr="00E73F81">
        <w:rPr>
          <w:b/>
          <w:bCs/>
        </w:rPr>
        <w:t>disregard</w:t>
      </w:r>
      <w:r w:rsidR="00E73F81" w:rsidRPr="00E73F81">
        <w:rPr>
          <w:b/>
          <w:bCs/>
        </w:rPr>
        <w:t>s</w:t>
      </w:r>
      <w:r w:rsidRPr="00E73F81">
        <w:rPr>
          <w:b/>
          <w:bCs/>
        </w:rPr>
        <w:t xml:space="preserve"> the principle of proportionality</w:t>
      </w:r>
      <w:r w:rsidR="005A55DF" w:rsidRPr="00E73F81">
        <w:rPr>
          <w:b/>
          <w:bCs/>
        </w:rPr>
        <w:t xml:space="preserve"> and</w:t>
      </w:r>
      <w:r w:rsidRPr="00E73F81">
        <w:rPr>
          <w:b/>
          <w:bCs/>
        </w:rPr>
        <w:t xml:space="preserve"> risk</w:t>
      </w:r>
      <w:r w:rsidR="00431487">
        <w:rPr>
          <w:b/>
          <w:bCs/>
        </w:rPr>
        <w:t>s</w:t>
      </w:r>
      <w:r w:rsidRPr="00E73F81">
        <w:rPr>
          <w:b/>
          <w:bCs/>
        </w:rPr>
        <w:t xml:space="preserve"> misinterpreting how the margin of appreciation doctrine should apply, </w:t>
      </w:r>
      <w:r w:rsidR="00E73F81" w:rsidRPr="00E73F81">
        <w:rPr>
          <w:b/>
          <w:bCs/>
        </w:rPr>
        <w:t>at the expense of ensuring</w:t>
      </w:r>
      <w:r w:rsidR="00DB519F" w:rsidRPr="00E73F81">
        <w:rPr>
          <w:b/>
          <w:bCs/>
        </w:rPr>
        <w:t xml:space="preserve"> a fair balance is achieved between the public interest and an individual’s rights</w:t>
      </w:r>
      <w:r w:rsidRPr="00E73F81">
        <w:rPr>
          <w:b/>
          <w:bCs/>
        </w:rPr>
        <w:t>.</w:t>
      </w:r>
    </w:p>
    <w:p w14:paraId="3456F542" w14:textId="070BBB39" w:rsidR="006F5D6D" w:rsidRDefault="006F5D6D" w:rsidP="0070606F">
      <w:pPr>
        <w:pStyle w:val="ListParagraph"/>
        <w:numPr>
          <w:ilvl w:val="0"/>
          <w:numId w:val="0"/>
        </w:numPr>
        <w:ind w:left="720" w:hanging="720"/>
      </w:pPr>
    </w:p>
    <w:p w14:paraId="4280C03E" w14:textId="43B804F6" w:rsidR="008E7811" w:rsidRDefault="47F71F57" w:rsidP="0070606F">
      <w:pPr>
        <w:pStyle w:val="ListParagraph"/>
        <w:numPr>
          <w:ilvl w:val="1"/>
          <w:numId w:val="0"/>
        </w:numPr>
        <w:ind w:left="720" w:hanging="720"/>
        <w:rPr>
          <w:rFonts w:cs="Arial"/>
        </w:rPr>
      </w:pPr>
      <w:r>
        <w:lastRenderedPageBreak/>
        <w:t>6.</w:t>
      </w:r>
      <w:r w:rsidR="00560DFC">
        <w:t>11</w:t>
      </w:r>
      <w:r w:rsidR="006F5D6D">
        <w:tab/>
      </w:r>
      <w:r w:rsidR="4AEA3ED4">
        <w:rPr>
          <w:rFonts w:cs="Arial"/>
        </w:rPr>
        <w:t>T</w:t>
      </w:r>
      <w:r w:rsidR="5996D53C">
        <w:rPr>
          <w:rFonts w:cs="Arial"/>
        </w:rPr>
        <w:t xml:space="preserve">he </w:t>
      </w:r>
      <w:r w:rsidR="4AEA3ED4">
        <w:rPr>
          <w:rFonts w:cs="Arial"/>
        </w:rPr>
        <w:t xml:space="preserve">present </w:t>
      </w:r>
      <w:r w:rsidR="5996D53C">
        <w:rPr>
          <w:rFonts w:cs="Arial"/>
        </w:rPr>
        <w:t xml:space="preserve">Bill </w:t>
      </w:r>
      <w:r w:rsidR="4AEA3ED4">
        <w:rPr>
          <w:rFonts w:cs="Arial"/>
        </w:rPr>
        <w:t>proposes that</w:t>
      </w:r>
      <w:r w:rsidR="3D177EAB" w:rsidRPr="00127A3D">
        <w:rPr>
          <w:rFonts w:cs="Arial"/>
        </w:rPr>
        <w:t xml:space="preserve"> the Secretary of State </w:t>
      </w:r>
      <w:r w:rsidR="4AEA3ED4">
        <w:rPr>
          <w:rFonts w:cs="Arial"/>
        </w:rPr>
        <w:t>can</w:t>
      </w:r>
      <w:r w:rsidR="3D177EAB" w:rsidRPr="00127A3D">
        <w:rPr>
          <w:rFonts w:cs="Arial"/>
        </w:rPr>
        <w:t xml:space="preserve"> make regulations to “preserve or restore” a judgment that was made in reliance on section 3</w:t>
      </w:r>
      <w:r w:rsidR="3D177EAB">
        <w:rPr>
          <w:rFonts w:cs="Arial"/>
        </w:rPr>
        <w:t xml:space="preserve"> of the Human Rights Act.</w:t>
      </w:r>
      <w:r w:rsidR="000C2583">
        <w:rPr>
          <w:rStyle w:val="FootnoteReference"/>
          <w:rFonts w:cs="Arial"/>
        </w:rPr>
        <w:footnoteReference w:id="57"/>
      </w:r>
      <w:r w:rsidR="3D177EAB">
        <w:rPr>
          <w:rFonts w:cs="Arial"/>
        </w:rPr>
        <w:t xml:space="preserve"> </w:t>
      </w:r>
      <w:r w:rsidR="5996D53C">
        <w:rPr>
          <w:rFonts w:cs="Arial"/>
        </w:rPr>
        <w:t xml:space="preserve">Additionally, </w:t>
      </w:r>
      <w:r w:rsidR="5996D53C" w:rsidRPr="00477BB6">
        <w:rPr>
          <w:rFonts w:cs="Arial"/>
        </w:rPr>
        <w:t xml:space="preserve">the </w:t>
      </w:r>
      <w:r w:rsidR="762FBD46">
        <w:rPr>
          <w:rFonts w:cs="Arial"/>
        </w:rPr>
        <w:t xml:space="preserve">present </w:t>
      </w:r>
      <w:r w:rsidR="5996D53C" w:rsidRPr="00477BB6">
        <w:rPr>
          <w:rFonts w:cs="Arial"/>
        </w:rPr>
        <w:t>Bill proposes replacing the current duty</w:t>
      </w:r>
      <w:r w:rsidR="75A58CA4">
        <w:rPr>
          <w:rFonts w:cs="Arial"/>
        </w:rPr>
        <w:t xml:space="preserve"> </w:t>
      </w:r>
      <w:r w:rsidR="5996D53C" w:rsidRPr="00477BB6">
        <w:rPr>
          <w:rFonts w:cs="Arial"/>
        </w:rPr>
        <w:t>on public authorities to act compatibly with human rights</w:t>
      </w:r>
      <w:r w:rsidR="75A58CA4">
        <w:rPr>
          <w:rFonts w:cs="Arial"/>
        </w:rPr>
        <w:t>,</w:t>
      </w:r>
      <w:r w:rsidR="5996D53C" w:rsidRPr="00477BB6">
        <w:rPr>
          <w:rFonts w:cs="Arial"/>
        </w:rPr>
        <w:t xml:space="preserve"> unless they are required to do otherwise </w:t>
      </w:r>
      <w:r w:rsidR="267B6445" w:rsidRPr="00477BB6">
        <w:rPr>
          <w:rFonts w:cs="Arial"/>
        </w:rPr>
        <w:t>because of</w:t>
      </w:r>
      <w:r w:rsidR="5996D53C" w:rsidRPr="00477BB6">
        <w:rPr>
          <w:rFonts w:cs="Arial"/>
        </w:rPr>
        <w:t xml:space="preserve"> legislation.</w:t>
      </w:r>
      <w:r w:rsidR="00E85F53">
        <w:rPr>
          <w:rStyle w:val="FootnoteReference"/>
          <w:rFonts w:cs="Arial"/>
        </w:rPr>
        <w:footnoteReference w:id="58"/>
      </w:r>
      <w:r w:rsidR="5939ABF4">
        <w:rPr>
          <w:rFonts w:cs="Arial"/>
        </w:rPr>
        <w:t xml:space="preserve"> </w:t>
      </w:r>
      <w:r w:rsidR="003EA963">
        <w:rPr>
          <w:rFonts w:cs="Arial"/>
        </w:rPr>
        <w:t>The certainty currently offered by the Human Rights Act will be significantly eroded by these alternative provisions.</w:t>
      </w:r>
      <w:r w:rsidR="17969029">
        <w:rPr>
          <w:rFonts w:cs="Arial"/>
        </w:rPr>
        <w:t xml:space="preserve"> It also relies on the political will of the UK Government to ensure that any gaps in human rights protection across domestic law and policy created by the proposed significant constitutional change are plugged, which seems unlikely from the tone of this present Bill.</w:t>
      </w:r>
    </w:p>
    <w:p w14:paraId="4287FC1C" w14:textId="77777777" w:rsidR="008E7811" w:rsidRDefault="008E7811" w:rsidP="0070606F">
      <w:pPr>
        <w:pStyle w:val="ListParagraph"/>
        <w:numPr>
          <w:ilvl w:val="0"/>
          <w:numId w:val="0"/>
        </w:numPr>
        <w:ind w:left="720" w:hanging="720"/>
        <w:rPr>
          <w:rFonts w:cs="Arial"/>
        </w:rPr>
      </w:pPr>
    </w:p>
    <w:p w14:paraId="681A2FCE" w14:textId="09CD280F" w:rsidR="006F5D6D" w:rsidRDefault="008E7811" w:rsidP="0070606F">
      <w:pPr>
        <w:pStyle w:val="ListParagraph"/>
        <w:numPr>
          <w:ilvl w:val="0"/>
          <w:numId w:val="0"/>
        </w:numPr>
        <w:ind w:left="720" w:hanging="720"/>
        <w:rPr>
          <w:rFonts w:cs="Arial"/>
          <w:b/>
          <w:bCs/>
        </w:rPr>
      </w:pPr>
      <w:r w:rsidRPr="002723B8">
        <w:rPr>
          <w:rFonts w:cs="Arial"/>
          <w:b/>
          <w:bCs/>
        </w:rPr>
        <w:t>6.</w:t>
      </w:r>
      <w:r w:rsidR="002D30B0">
        <w:rPr>
          <w:rFonts w:cs="Arial"/>
          <w:b/>
          <w:bCs/>
        </w:rPr>
        <w:t>1</w:t>
      </w:r>
      <w:r w:rsidR="00560DFC">
        <w:rPr>
          <w:rFonts w:cs="Arial"/>
          <w:b/>
          <w:bCs/>
        </w:rPr>
        <w:t>2</w:t>
      </w:r>
      <w:r w:rsidRPr="002723B8">
        <w:rPr>
          <w:rFonts w:cs="Arial"/>
          <w:b/>
          <w:bCs/>
        </w:rPr>
        <w:tab/>
        <w:t xml:space="preserve">The NIHRC advises that </w:t>
      </w:r>
      <w:r w:rsidR="00DE07A8" w:rsidRPr="002723B8">
        <w:rPr>
          <w:rFonts w:cs="Arial"/>
          <w:b/>
          <w:bCs/>
        </w:rPr>
        <w:t xml:space="preserve">the </w:t>
      </w:r>
      <w:r w:rsidR="002723B8" w:rsidRPr="002723B8">
        <w:rPr>
          <w:rFonts w:cs="Arial"/>
          <w:b/>
          <w:bCs/>
        </w:rPr>
        <w:t>proposals within clauses 12 and 40 of the present Bill are</w:t>
      </w:r>
      <w:r w:rsidR="00937505" w:rsidRPr="002723B8">
        <w:rPr>
          <w:rFonts w:cs="Arial"/>
          <w:b/>
          <w:bCs/>
        </w:rPr>
        <w:t xml:space="preserve"> impractical</w:t>
      </w:r>
      <w:r w:rsidR="00513634" w:rsidRPr="002723B8">
        <w:rPr>
          <w:rFonts w:cs="Arial"/>
          <w:b/>
          <w:bCs/>
        </w:rPr>
        <w:t>, confusing</w:t>
      </w:r>
      <w:r w:rsidR="00937505" w:rsidRPr="002723B8">
        <w:rPr>
          <w:rFonts w:cs="Arial"/>
          <w:b/>
          <w:bCs/>
        </w:rPr>
        <w:t xml:space="preserve"> and unnecessarily </w:t>
      </w:r>
      <w:r w:rsidR="00513634" w:rsidRPr="002723B8">
        <w:rPr>
          <w:rFonts w:cs="Arial"/>
          <w:b/>
          <w:bCs/>
        </w:rPr>
        <w:t>resource intensive</w:t>
      </w:r>
      <w:r w:rsidR="00530320" w:rsidRPr="002723B8">
        <w:rPr>
          <w:rFonts w:cs="Arial"/>
          <w:b/>
          <w:bCs/>
        </w:rPr>
        <w:t xml:space="preserve">. </w:t>
      </w:r>
      <w:r w:rsidR="00513634" w:rsidRPr="002723B8">
        <w:rPr>
          <w:rFonts w:cs="Arial"/>
          <w:b/>
          <w:bCs/>
        </w:rPr>
        <w:t xml:space="preserve">This will </w:t>
      </w:r>
      <w:r w:rsidR="00284493">
        <w:rPr>
          <w:rFonts w:cs="Arial"/>
          <w:b/>
          <w:bCs/>
        </w:rPr>
        <w:t xml:space="preserve">in our experience </w:t>
      </w:r>
      <w:r w:rsidR="00513634" w:rsidRPr="002723B8">
        <w:rPr>
          <w:rFonts w:cs="Arial"/>
          <w:b/>
          <w:bCs/>
        </w:rPr>
        <w:t xml:space="preserve">not only affect </w:t>
      </w:r>
      <w:r w:rsidR="00DE0966" w:rsidRPr="002723B8">
        <w:rPr>
          <w:rFonts w:cs="Arial"/>
          <w:b/>
          <w:bCs/>
        </w:rPr>
        <w:t xml:space="preserve">public authorities tasked with implementing the laws and policies, but </w:t>
      </w:r>
      <w:r w:rsidR="00566D42" w:rsidRPr="002723B8">
        <w:rPr>
          <w:rFonts w:cs="Arial"/>
          <w:b/>
          <w:bCs/>
        </w:rPr>
        <w:t>the ability for individuals to have their rights vindicated and, where a violation has occurred, remedied.</w:t>
      </w:r>
      <w:r w:rsidR="00DE0966" w:rsidRPr="002723B8">
        <w:rPr>
          <w:rFonts w:cs="Arial"/>
          <w:b/>
          <w:bCs/>
        </w:rPr>
        <w:t xml:space="preserve"> </w:t>
      </w:r>
    </w:p>
    <w:p w14:paraId="315C8380" w14:textId="77777777" w:rsidR="002B2571" w:rsidRPr="002723B8" w:rsidRDefault="002B2571" w:rsidP="0070606F">
      <w:pPr>
        <w:pStyle w:val="ListParagraph"/>
        <w:numPr>
          <w:ilvl w:val="0"/>
          <w:numId w:val="0"/>
        </w:numPr>
        <w:ind w:left="720" w:hanging="720"/>
        <w:rPr>
          <w:b/>
        </w:rPr>
      </w:pPr>
    </w:p>
    <w:p w14:paraId="6F2B6D1A" w14:textId="5FFCFF56" w:rsidR="00891286" w:rsidRDefault="00891286" w:rsidP="00B176BC"/>
    <w:p w14:paraId="07DC7849" w14:textId="04352A82" w:rsidR="00B176BC" w:rsidRDefault="00B176BC" w:rsidP="00B176BC">
      <w:pPr>
        <w:pStyle w:val="Heading2"/>
      </w:pPr>
      <w:bookmarkStart w:id="15" w:name="_Toc113010917"/>
      <w:r>
        <w:t>Meaningful consultation</w:t>
      </w:r>
      <w:bookmarkEnd w:id="15"/>
    </w:p>
    <w:p w14:paraId="347BC143" w14:textId="62EDD77A" w:rsidR="0024342E" w:rsidRDefault="47F71F57" w:rsidP="0024342E">
      <w:pPr>
        <w:pStyle w:val="ListParagraph"/>
        <w:numPr>
          <w:ilvl w:val="1"/>
          <w:numId w:val="0"/>
        </w:numPr>
        <w:ind w:left="720" w:hanging="720"/>
      </w:pPr>
      <w:r>
        <w:t>6.</w:t>
      </w:r>
      <w:r w:rsidR="004611F0">
        <w:t>1</w:t>
      </w:r>
      <w:r w:rsidR="002B2571">
        <w:t>3</w:t>
      </w:r>
      <w:r w:rsidR="0070606F">
        <w:tab/>
      </w:r>
      <w:r w:rsidR="624D634E">
        <w:t>Several</w:t>
      </w:r>
      <w:r w:rsidR="0FD8CFBD">
        <w:t xml:space="preserve"> international experts </w:t>
      </w:r>
      <w:r w:rsidR="00797F5D">
        <w:t xml:space="preserve">have </w:t>
      </w:r>
      <w:r w:rsidR="23F99262">
        <w:t xml:space="preserve">recommended </w:t>
      </w:r>
      <w:r w:rsidR="00797F5D">
        <w:t xml:space="preserve">over the years </w:t>
      </w:r>
      <w:r w:rsidR="23F99262">
        <w:t xml:space="preserve">that the UK Government </w:t>
      </w:r>
      <w:r w:rsidR="00797F5D">
        <w:t xml:space="preserve">conducts </w:t>
      </w:r>
      <w:r w:rsidR="23F99262">
        <w:t xml:space="preserve">a meaningful and broad consultation on </w:t>
      </w:r>
      <w:r w:rsidR="064FDBA5">
        <w:t>its plans to revise its human rights legislation.</w:t>
      </w:r>
      <w:r w:rsidR="00D85DCD">
        <w:rPr>
          <w:rStyle w:val="FootnoteReference"/>
        </w:rPr>
        <w:footnoteReference w:id="59"/>
      </w:r>
      <w:r w:rsidR="624D634E">
        <w:t xml:space="preserve"> </w:t>
      </w:r>
      <w:r w:rsidR="42959228">
        <w:rPr>
          <w:rFonts w:cs="Segoe UI"/>
          <w:lang w:val="en" w:eastAsia="en-GB"/>
        </w:rPr>
        <w:t xml:space="preserve">Engagement and consultation </w:t>
      </w:r>
      <w:r w:rsidR="127E23E0">
        <w:rPr>
          <w:rFonts w:cs="Segoe UI"/>
          <w:lang w:val="en" w:eastAsia="en-GB"/>
        </w:rPr>
        <w:t>were</w:t>
      </w:r>
      <w:r w:rsidR="42959228">
        <w:rPr>
          <w:rFonts w:cs="Segoe UI"/>
          <w:lang w:val="en" w:eastAsia="en-GB"/>
        </w:rPr>
        <w:t xml:space="preserve"> undertaken by t</w:t>
      </w:r>
      <w:r w:rsidR="048328C5">
        <w:rPr>
          <w:rFonts w:cs="Segoe UI"/>
          <w:lang w:val="en" w:eastAsia="en-GB"/>
        </w:rPr>
        <w:t>he</w:t>
      </w:r>
      <w:r w:rsidR="5D84CDDE" w:rsidRPr="00D67517">
        <w:rPr>
          <w:rFonts w:cs="Segoe UI"/>
          <w:lang w:val="en" w:eastAsia="en-GB"/>
        </w:rPr>
        <w:t xml:space="preserve"> Independent Human Rights Act Review Team</w:t>
      </w:r>
      <w:r w:rsidR="42959228">
        <w:rPr>
          <w:rFonts w:cs="Segoe UI"/>
          <w:lang w:val="en" w:eastAsia="en-GB"/>
        </w:rPr>
        <w:t xml:space="preserve">, which reported </w:t>
      </w:r>
      <w:r w:rsidR="5D84CDDE" w:rsidRPr="00D67517">
        <w:rPr>
          <w:rFonts w:cs="Segoe UI"/>
          <w:lang w:val="en" w:eastAsia="en-GB"/>
        </w:rPr>
        <w:t>“</w:t>
      </w:r>
      <w:r w:rsidR="5D84CDDE">
        <w:t>an overwhelming body of support for retaining the Human Rights Act”.</w:t>
      </w:r>
      <w:r w:rsidR="00C20C54">
        <w:rPr>
          <w:rStyle w:val="FootnoteReference"/>
        </w:rPr>
        <w:footnoteReference w:id="60"/>
      </w:r>
      <w:r w:rsidR="6BA695D5">
        <w:t xml:space="preserve"> </w:t>
      </w:r>
      <w:r w:rsidR="3782DE14">
        <w:t xml:space="preserve">The UK Government has not conducted any further meaningful engagement on this issue. </w:t>
      </w:r>
    </w:p>
    <w:p w14:paraId="65F600A5" w14:textId="77777777" w:rsidR="0024342E" w:rsidRDefault="0024342E" w:rsidP="0024342E">
      <w:pPr>
        <w:pStyle w:val="ListParagraph"/>
        <w:numPr>
          <w:ilvl w:val="0"/>
          <w:numId w:val="0"/>
        </w:numPr>
        <w:ind w:left="720" w:hanging="720"/>
      </w:pPr>
    </w:p>
    <w:p w14:paraId="198DF020" w14:textId="363ED06F" w:rsidR="00C20C54" w:rsidRPr="0024342E" w:rsidRDefault="0024342E" w:rsidP="0024342E">
      <w:pPr>
        <w:pStyle w:val="ListParagraph"/>
        <w:numPr>
          <w:ilvl w:val="0"/>
          <w:numId w:val="0"/>
        </w:numPr>
        <w:ind w:left="720" w:hanging="720"/>
        <w:rPr>
          <w:b/>
          <w:bCs/>
        </w:rPr>
      </w:pPr>
      <w:r w:rsidRPr="0024342E">
        <w:rPr>
          <w:b/>
          <w:bCs/>
        </w:rPr>
        <w:t>6.1</w:t>
      </w:r>
      <w:r w:rsidR="002B2571">
        <w:rPr>
          <w:b/>
          <w:bCs/>
        </w:rPr>
        <w:t>4</w:t>
      </w:r>
      <w:r w:rsidRPr="0024342E">
        <w:rPr>
          <w:b/>
          <w:bCs/>
        </w:rPr>
        <w:tab/>
        <w:t xml:space="preserve">The NIHRC advises that majority support for retaining the Human Rights Act has </w:t>
      </w:r>
      <w:r w:rsidR="00F47B7D" w:rsidRPr="0024342E">
        <w:rPr>
          <w:b/>
          <w:bCs/>
        </w:rPr>
        <w:t>been ignored within the present Bill</w:t>
      </w:r>
      <w:r w:rsidRPr="0024342E">
        <w:rPr>
          <w:b/>
          <w:bCs/>
        </w:rPr>
        <w:t xml:space="preserve">, </w:t>
      </w:r>
      <w:r w:rsidR="00F47B7D" w:rsidRPr="0024342E">
        <w:rPr>
          <w:b/>
          <w:bCs/>
        </w:rPr>
        <w:t xml:space="preserve">without justification. </w:t>
      </w:r>
    </w:p>
    <w:p w14:paraId="6DE09771" w14:textId="59AD2951" w:rsidR="00D67517" w:rsidRDefault="00D67517" w:rsidP="00F01F39">
      <w:pPr>
        <w:rPr>
          <w:rFonts w:cs="Segoe UI"/>
          <w:lang w:val="en" w:eastAsia="en-GB"/>
        </w:rPr>
      </w:pPr>
    </w:p>
    <w:p w14:paraId="574B69CC" w14:textId="6AA1E54A" w:rsidR="004A5A6B" w:rsidRDefault="00FC081F" w:rsidP="00172CF3">
      <w:pPr>
        <w:pStyle w:val="Heading1"/>
        <w:rPr>
          <w:lang w:val="en" w:eastAsia="en-GB"/>
        </w:rPr>
      </w:pPr>
      <w:bookmarkStart w:id="16" w:name="_Toc113010918"/>
      <w:r>
        <w:rPr>
          <w:lang w:val="en" w:eastAsia="en-GB"/>
        </w:rPr>
        <w:t>7</w:t>
      </w:r>
      <w:r w:rsidR="0070606F">
        <w:rPr>
          <w:lang w:val="en" w:eastAsia="en-GB"/>
        </w:rPr>
        <w:t>.0</w:t>
      </w:r>
      <w:r w:rsidR="0070606F">
        <w:tab/>
      </w:r>
      <w:r w:rsidR="004A5A6B">
        <w:rPr>
          <w:lang w:val="en" w:eastAsia="en-GB"/>
        </w:rPr>
        <w:t>Enforcement of Human Rights</w:t>
      </w:r>
      <w:bookmarkEnd w:id="16"/>
    </w:p>
    <w:p w14:paraId="587A2D04" w14:textId="0CB30EF6" w:rsidR="00E13468" w:rsidRDefault="47F71F57" w:rsidP="00190238">
      <w:pPr>
        <w:ind w:left="720" w:hanging="720"/>
        <w:rPr>
          <w:lang w:val="en" w:eastAsia="en-GB"/>
        </w:rPr>
      </w:pPr>
      <w:r>
        <w:rPr>
          <w:lang w:val="en" w:eastAsia="en-GB"/>
        </w:rPr>
        <w:t>7</w:t>
      </w:r>
      <w:r w:rsidR="00A573E2">
        <w:rPr>
          <w:lang w:val="en" w:eastAsia="en-GB"/>
        </w:rPr>
        <w:t>.1</w:t>
      </w:r>
      <w:r w:rsidR="00E13468">
        <w:rPr>
          <w:lang w:val="en" w:eastAsia="en-GB"/>
        </w:rPr>
        <w:tab/>
      </w:r>
      <w:r w:rsidR="3B887A1D">
        <w:rPr>
          <w:lang w:val="en" w:eastAsia="en-GB"/>
        </w:rPr>
        <w:t>Everyone</w:t>
      </w:r>
      <w:r w:rsidR="12093E2A">
        <w:rPr>
          <w:lang w:val="en" w:eastAsia="en-GB"/>
        </w:rPr>
        <w:t xml:space="preserve"> whose ECHR rights are violated</w:t>
      </w:r>
      <w:r w:rsidR="6ADB0003">
        <w:rPr>
          <w:lang w:val="en" w:eastAsia="en-GB"/>
        </w:rPr>
        <w:t xml:space="preserve"> </w:t>
      </w:r>
      <w:r w:rsidR="00A155C8">
        <w:rPr>
          <w:lang w:val="en" w:eastAsia="en-GB"/>
        </w:rPr>
        <w:t xml:space="preserve">must </w:t>
      </w:r>
      <w:r w:rsidR="6ADB0003">
        <w:rPr>
          <w:lang w:val="en" w:eastAsia="en-GB"/>
        </w:rPr>
        <w:t>“have an effective remedy before a national authority”.</w:t>
      </w:r>
      <w:r w:rsidR="00A11048">
        <w:rPr>
          <w:rStyle w:val="FootnoteReference"/>
          <w:lang w:val="en" w:eastAsia="en-GB"/>
        </w:rPr>
        <w:footnoteReference w:id="61"/>
      </w:r>
      <w:r w:rsidR="6ADB0003">
        <w:rPr>
          <w:lang w:val="en" w:eastAsia="en-GB"/>
        </w:rPr>
        <w:t xml:space="preserve"> </w:t>
      </w:r>
      <w:r w:rsidR="3E45E2BB" w:rsidRPr="002F2B00">
        <w:t>For a remedy to be effective it must be available, sufficient, and effective in theory and practice, having regard to the individual circumstances of the case.</w:t>
      </w:r>
      <w:r w:rsidR="002E5D5A" w:rsidRPr="002F2B00">
        <w:rPr>
          <w:rStyle w:val="FootnoteReference"/>
        </w:rPr>
        <w:footnoteReference w:id="62"/>
      </w:r>
      <w:r w:rsidR="327EDD65">
        <w:t xml:space="preserve"> </w:t>
      </w:r>
      <w:r w:rsidR="5DAF6419" w:rsidRPr="002F2B00">
        <w:t xml:space="preserve">The Belfast (Good Friday) Agreement </w:t>
      </w:r>
      <w:r w:rsidR="1AC24B9F">
        <w:t xml:space="preserve">also </w:t>
      </w:r>
      <w:r w:rsidR="5DAF6419" w:rsidRPr="002F2B00">
        <w:rPr>
          <w:rFonts w:eastAsia="Verdana"/>
        </w:rPr>
        <w:t>require</w:t>
      </w:r>
      <w:r w:rsidR="1AC24B9F">
        <w:rPr>
          <w:rFonts w:eastAsia="Verdana"/>
        </w:rPr>
        <w:t>s</w:t>
      </w:r>
      <w:r w:rsidR="5DAF6419" w:rsidRPr="002F2B00">
        <w:rPr>
          <w:rFonts w:eastAsia="Verdana"/>
        </w:rPr>
        <w:t xml:space="preserve"> the UK Government to incorporate the ECHR into NI law and to do so to provide people with “direct access to the courts, and remedies for breach of the Convention, including power for the courts to overrule Assembly legislation on grounds of inconsistency”.</w:t>
      </w:r>
      <w:r w:rsidR="00876A9F" w:rsidRPr="002F2B00">
        <w:rPr>
          <w:rStyle w:val="FootnoteReference"/>
          <w:rFonts w:eastAsia="Verdana"/>
        </w:rPr>
        <w:footnoteReference w:id="63"/>
      </w:r>
      <w:r w:rsidR="5DAF6419" w:rsidRPr="002F2B00">
        <w:rPr>
          <w:rFonts w:ascii="Times New Roman" w:hAnsi="Times New Roman" w:cs="Times New Roman"/>
          <w:lang w:eastAsia="en-GB"/>
        </w:rPr>
        <w:t xml:space="preserve"> </w:t>
      </w:r>
      <w:r w:rsidR="5DAF6419" w:rsidRPr="002F2B00">
        <w:rPr>
          <w:rFonts w:cs="Times New Roman"/>
          <w:lang w:eastAsia="en-GB"/>
        </w:rPr>
        <w:t>The Human Rights Act provides this access, which is undermined by this present Bill.</w:t>
      </w:r>
    </w:p>
    <w:p w14:paraId="2B7B0338" w14:textId="29373E68" w:rsidR="00F7729C" w:rsidRDefault="00F7729C" w:rsidP="00190238">
      <w:pPr>
        <w:ind w:left="720" w:hanging="720"/>
        <w:rPr>
          <w:lang w:val="en" w:eastAsia="en-GB"/>
        </w:rPr>
      </w:pPr>
    </w:p>
    <w:p w14:paraId="4761E510" w14:textId="2AC931DC" w:rsidR="00F7729C" w:rsidRDefault="47F71F57" w:rsidP="00190238">
      <w:pPr>
        <w:ind w:left="720" w:hanging="720"/>
        <w:rPr>
          <w:lang w:val="en" w:eastAsia="en-GB"/>
        </w:rPr>
      </w:pPr>
      <w:r>
        <w:rPr>
          <w:lang w:val="en" w:eastAsia="en-GB"/>
        </w:rPr>
        <w:t>7</w:t>
      </w:r>
      <w:r w:rsidR="79A171B5">
        <w:rPr>
          <w:lang w:val="en" w:eastAsia="en-GB"/>
        </w:rPr>
        <w:t>.2</w:t>
      </w:r>
      <w:r w:rsidR="00F7729C">
        <w:rPr>
          <w:lang w:val="en" w:eastAsia="en-GB"/>
        </w:rPr>
        <w:tab/>
      </w:r>
      <w:r w:rsidR="47456900">
        <w:rPr>
          <w:lang w:val="en" w:eastAsia="en-GB"/>
        </w:rPr>
        <w:t xml:space="preserve">The </w:t>
      </w:r>
      <w:r w:rsidR="48F33E1B">
        <w:rPr>
          <w:lang w:val="en" w:eastAsia="en-GB"/>
        </w:rPr>
        <w:t>present</w:t>
      </w:r>
      <w:r w:rsidR="47456900">
        <w:rPr>
          <w:lang w:val="en" w:eastAsia="en-GB"/>
        </w:rPr>
        <w:t xml:space="preserve"> Bill </w:t>
      </w:r>
      <w:r w:rsidR="48F33E1B">
        <w:rPr>
          <w:lang w:val="en" w:eastAsia="en-GB"/>
        </w:rPr>
        <w:t>proposes</w:t>
      </w:r>
      <w:r w:rsidR="69735CA2">
        <w:rPr>
          <w:lang w:val="en" w:eastAsia="en-GB"/>
        </w:rPr>
        <w:t xml:space="preserve"> that human rights proceedings </w:t>
      </w:r>
      <w:r w:rsidR="00263D48">
        <w:rPr>
          <w:lang w:val="en" w:eastAsia="en-GB"/>
        </w:rPr>
        <w:t xml:space="preserve">require permission </w:t>
      </w:r>
      <w:r w:rsidR="69735CA2">
        <w:rPr>
          <w:lang w:val="en" w:eastAsia="en-GB"/>
        </w:rPr>
        <w:t xml:space="preserve">from the court to proceed. </w:t>
      </w:r>
      <w:r w:rsidR="00263D48">
        <w:rPr>
          <w:lang w:val="en" w:eastAsia="en-GB"/>
        </w:rPr>
        <w:t xml:space="preserve">Furthermore, </w:t>
      </w:r>
      <w:r w:rsidR="752DB100">
        <w:rPr>
          <w:lang w:val="en" w:eastAsia="en-GB"/>
        </w:rPr>
        <w:t xml:space="preserve">the victim must have or </w:t>
      </w:r>
      <w:r w:rsidR="00263D48">
        <w:rPr>
          <w:lang w:val="en" w:eastAsia="en-GB"/>
        </w:rPr>
        <w:t xml:space="preserve">will </w:t>
      </w:r>
      <w:r w:rsidR="752DB100">
        <w:rPr>
          <w:lang w:val="en" w:eastAsia="en-GB"/>
        </w:rPr>
        <w:t>suffer “a significant disadvantage</w:t>
      </w:r>
      <w:r w:rsidR="00263D48">
        <w:rPr>
          <w:lang w:val="en" w:eastAsia="en-GB"/>
        </w:rPr>
        <w:t>.</w:t>
      </w:r>
      <w:r w:rsidR="752DB100">
        <w:rPr>
          <w:lang w:val="en" w:eastAsia="en-GB"/>
        </w:rPr>
        <w:t>”</w:t>
      </w:r>
      <w:r w:rsidR="000E1BB4">
        <w:rPr>
          <w:rStyle w:val="FootnoteReference"/>
          <w:lang w:val="en" w:eastAsia="en-GB"/>
        </w:rPr>
        <w:footnoteReference w:id="64"/>
      </w:r>
      <w:r w:rsidR="752DB100">
        <w:rPr>
          <w:lang w:val="en" w:eastAsia="en-GB"/>
        </w:rPr>
        <w:t xml:space="preserve"> </w:t>
      </w:r>
      <w:r w:rsidR="7B01F6B2">
        <w:rPr>
          <w:lang w:val="en" w:eastAsia="en-GB"/>
        </w:rPr>
        <w:t>Alternatively, the case can proceed where it is “of wholly exceptional public interest” to do so.</w:t>
      </w:r>
      <w:r w:rsidR="00F264F1">
        <w:rPr>
          <w:rStyle w:val="FootnoteReference"/>
          <w:lang w:val="en" w:eastAsia="en-GB"/>
        </w:rPr>
        <w:footnoteReference w:id="65"/>
      </w:r>
      <w:r w:rsidR="0C0CFF47">
        <w:rPr>
          <w:lang w:val="en" w:eastAsia="en-GB"/>
        </w:rPr>
        <w:t xml:space="preserve"> </w:t>
      </w:r>
      <w:r w:rsidR="1A76F13C">
        <w:rPr>
          <w:lang w:val="en" w:eastAsia="en-GB"/>
        </w:rPr>
        <w:t>NI judicial reviews are excluded from this requirement.</w:t>
      </w:r>
      <w:r w:rsidR="00FC081F" w:rsidRPr="0697744C">
        <w:rPr>
          <w:vertAlign w:val="superscript"/>
          <w:lang w:val="en" w:eastAsia="en-GB"/>
        </w:rPr>
        <w:footnoteReference w:id="66"/>
      </w:r>
      <w:r w:rsidR="1A76F13C">
        <w:rPr>
          <w:lang w:val="en" w:eastAsia="en-GB"/>
        </w:rPr>
        <w:t xml:space="preserve"> However, </w:t>
      </w:r>
      <w:r w:rsidR="420F4729">
        <w:rPr>
          <w:lang w:val="en" w:eastAsia="en-GB"/>
        </w:rPr>
        <w:t>where this restriction does apply,</w:t>
      </w:r>
      <w:r w:rsidR="1A76F13C">
        <w:rPr>
          <w:lang w:val="en" w:eastAsia="en-GB"/>
        </w:rPr>
        <w:t xml:space="preserve"> </w:t>
      </w:r>
      <w:r w:rsidR="7D7FA30F">
        <w:rPr>
          <w:lang w:val="en" w:eastAsia="en-GB"/>
        </w:rPr>
        <w:t>t</w:t>
      </w:r>
      <w:r w:rsidR="037C1EB4">
        <w:rPr>
          <w:lang w:val="en" w:eastAsia="en-GB"/>
        </w:rPr>
        <w:t>he</w:t>
      </w:r>
      <w:r w:rsidR="0C0CFF47">
        <w:rPr>
          <w:lang w:val="en" w:eastAsia="en-GB"/>
        </w:rPr>
        <w:t xml:space="preserve"> implication is that a claimant will not be refused permission if </w:t>
      </w:r>
      <w:r w:rsidR="69CB0DB4">
        <w:rPr>
          <w:lang w:val="en" w:eastAsia="en-GB"/>
        </w:rPr>
        <w:t xml:space="preserve">the ECtHR would likely accept the application. However, decoupling </w:t>
      </w:r>
      <w:r w:rsidR="1A47EEFD">
        <w:rPr>
          <w:lang w:val="en" w:eastAsia="en-GB"/>
        </w:rPr>
        <w:t xml:space="preserve">the domestic courts interpretation from the ECtHR’s interpretation </w:t>
      </w:r>
      <w:r w:rsidR="10FADC09">
        <w:rPr>
          <w:lang w:val="en" w:eastAsia="en-GB"/>
        </w:rPr>
        <w:t xml:space="preserve">removes useful guidance </w:t>
      </w:r>
      <w:r w:rsidR="5B78EA19">
        <w:rPr>
          <w:lang w:val="en" w:eastAsia="en-GB"/>
        </w:rPr>
        <w:t>for the domestic courts in reaching such decisions. It will also mean claimants exhausting their domestic remedies so</w:t>
      </w:r>
      <w:r w:rsidR="5FE43557">
        <w:rPr>
          <w:lang w:val="en" w:eastAsia="en-GB"/>
        </w:rPr>
        <w:t xml:space="preserve">oner, which may increase the number of applications </w:t>
      </w:r>
      <w:r w:rsidR="6313C80E">
        <w:rPr>
          <w:lang w:val="en" w:eastAsia="en-GB"/>
        </w:rPr>
        <w:t xml:space="preserve">(and successful ones at that) </w:t>
      </w:r>
      <w:r w:rsidR="5FE43557">
        <w:rPr>
          <w:lang w:val="en" w:eastAsia="en-GB"/>
        </w:rPr>
        <w:t>to the ECtHR</w:t>
      </w:r>
      <w:r w:rsidR="6313C80E">
        <w:rPr>
          <w:lang w:val="en" w:eastAsia="en-GB"/>
        </w:rPr>
        <w:t>.</w:t>
      </w:r>
    </w:p>
    <w:p w14:paraId="6F1D73A0" w14:textId="57E9B351" w:rsidR="00936F2C" w:rsidRDefault="00936F2C" w:rsidP="00190238">
      <w:pPr>
        <w:ind w:left="720" w:hanging="720"/>
        <w:rPr>
          <w:lang w:val="en" w:eastAsia="en-GB"/>
        </w:rPr>
      </w:pPr>
    </w:p>
    <w:p w14:paraId="4A256590" w14:textId="5F713990" w:rsidR="00FD3257" w:rsidRDefault="47F71F57" w:rsidP="00190238">
      <w:pPr>
        <w:ind w:left="720" w:hanging="720"/>
        <w:rPr>
          <w:lang w:val="en" w:eastAsia="en-GB"/>
        </w:rPr>
      </w:pPr>
      <w:r>
        <w:rPr>
          <w:lang w:val="en" w:eastAsia="en-GB"/>
        </w:rPr>
        <w:t>7</w:t>
      </w:r>
      <w:r w:rsidR="4205CC81">
        <w:rPr>
          <w:lang w:val="en" w:eastAsia="en-GB"/>
        </w:rPr>
        <w:t>.3</w:t>
      </w:r>
      <w:r w:rsidR="00936F2C">
        <w:rPr>
          <w:lang w:val="en" w:eastAsia="en-GB"/>
        </w:rPr>
        <w:tab/>
      </w:r>
      <w:r w:rsidR="6BE01AD0">
        <w:rPr>
          <w:lang w:val="en" w:eastAsia="en-GB"/>
        </w:rPr>
        <w:t xml:space="preserve">The </w:t>
      </w:r>
      <w:r w:rsidR="49DAA9D9">
        <w:rPr>
          <w:lang w:val="en" w:eastAsia="en-GB"/>
        </w:rPr>
        <w:t>present</w:t>
      </w:r>
      <w:r w:rsidR="6BE01AD0">
        <w:rPr>
          <w:lang w:val="en" w:eastAsia="en-GB"/>
        </w:rPr>
        <w:t xml:space="preserve"> Bill propose</w:t>
      </w:r>
      <w:r w:rsidR="7E04AD64">
        <w:rPr>
          <w:lang w:val="en" w:eastAsia="en-GB"/>
        </w:rPr>
        <w:t xml:space="preserve">s limiting the award of damages to situations where the claimant has </w:t>
      </w:r>
      <w:r w:rsidR="3B89B079">
        <w:rPr>
          <w:lang w:val="en" w:eastAsia="en-GB"/>
        </w:rPr>
        <w:t>“suffered loss or damage”.</w:t>
      </w:r>
      <w:r w:rsidR="007F79D0">
        <w:rPr>
          <w:rStyle w:val="FootnoteReference"/>
          <w:lang w:val="en" w:eastAsia="en-GB"/>
        </w:rPr>
        <w:footnoteReference w:id="67"/>
      </w:r>
      <w:r w:rsidR="61CE0EBB">
        <w:rPr>
          <w:lang w:val="en" w:eastAsia="en-GB"/>
        </w:rPr>
        <w:t xml:space="preserve"> It prevents damages being awarded </w:t>
      </w:r>
      <w:r w:rsidR="47E4E5A2">
        <w:rPr>
          <w:lang w:val="en" w:eastAsia="en-GB"/>
        </w:rPr>
        <w:t>simply where a violation is found, otherwise referred to as ‘vindicatory damages’</w:t>
      </w:r>
      <w:r w:rsidR="671F35E7">
        <w:rPr>
          <w:lang w:val="en" w:eastAsia="en-GB"/>
        </w:rPr>
        <w:t>, which</w:t>
      </w:r>
      <w:r w:rsidR="021145AB">
        <w:rPr>
          <w:lang w:val="en" w:eastAsia="en-GB"/>
        </w:rPr>
        <w:t xml:space="preserve"> can be useful in encouraging public authorities to comply with </w:t>
      </w:r>
      <w:r w:rsidR="671F35E7">
        <w:rPr>
          <w:lang w:val="en" w:eastAsia="en-GB"/>
        </w:rPr>
        <w:t xml:space="preserve">human rights. </w:t>
      </w:r>
      <w:r w:rsidR="0E92E268">
        <w:rPr>
          <w:lang w:val="en" w:eastAsia="en-GB"/>
        </w:rPr>
        <w:t xml:space="preserve">The </w:t>
      </w:r>
      <w:r w:rsidR="0E92E268">
        <w:rPr>
          <w:lang w:val="en" w:eastAsia="en-GB"/>
        </w:rPr>
        <w:lastRenderedPageBreak/>
        <w:t xml:space="preserve">present Bill proposes that </w:t>
      </w:r>
      <w:r w:rsidR="3F8EC398">
        <w:rPr>
          <w:lang w:val="en" w:eastAsia="en-GB"/>
        </w:rPr>
        <w:t xml:space="preserve">a </w:t>
      </w:r>
      <w:r w:rsidR="7F313E78">
        <w:rPr>
          <w:lang w:val="en" w:eastAsia="en-GB"/>
        </w:rPr>
        <w:t>victim</w:t>
      </w:r>
      <w:r w:rsidR="3F8EC398">
        <w:rPr>
          <w:lang w:val="en" w:eastAsia="en-GB"/>
        </w:rPr>
        <w:t xml:space="preserve">’s conduct </w:t>
      </w:r>
      <w:r w:rsidR="29DCCFA3">
        <w:rPr>
          <w:lang w:val="en" w:eastAsia="en-GB"/>
        </w:rPr>
        <w:t xml:space="preserve">(whether relevant to the claim or not) </w:t>
      </w:r>
      <w:r w:rsidR="3F8EC398">
        <w:rPr>
          <w:lang w:val="en" w:eastAsia="en-GB"/>
        </w:rPr>
        <w:t>is considered when deciding whether to award damages,</w:t>
      </w:r>
      <w:r w:rsidR="009E5420">
        <w:rPr>
          <w:rStyle w:val="FootnoteReference"/>
          <w:lang w:val="en" w:eastAsia="en-GB"/>
        </w:rPr>
        <w:footnoteReference w:id="68"/>
      </w:r>
      <w:r w:rsidR="3F8EC398">
        <w:rPr>
          <w:lang w:val="en" w:eastAsia="en-GB"/>
        </w:rPr>
        <w:t xml:space="preserve"> a further step away from the principle of universality. </w:t>
      </w:r>
      <w:r w:rsidR="21A112B5">
        <w:rPr>
          <w:lang w:val="en" w:eastAsia="en-GB"/>
        </w:rPr>
        <w:t>It also</w:t>
      </w:r>
      <w:r w:rsidR="04413C17">
        <w:rPr>
          <w:lang w:val="en" w:eastAsia="en-GB"/>
        </w:rPr>
        <w:t xml:space="preserve"> proposes that the impact on public authorities</w:t>
      </w:r>
      <w:r w:rsidR="29DCCFA3">
        <w:rPr>
          <w:lang w:val="en" w:eastAsia="en-GB"/>
        </w:rPr>
        <w:t>’</w:t>
      </w:r>
      <w:r w:rsidR="04413C17">
        <w:rPr>
          <w:lang w:val="en" w:eastAsia="en-GB"/>
        </w:rPr>
        <w:t xml:space="preserve"> resources </w:t>
      </w:r>
      <w:r w:rsidR="4E997A70">
        <w:rPr>
          <w:lang w:val="en" w:eastAsia="en-GB"/>
        </w:rPr>
        <w:t xml:space="preserve">in the current and future cases should be considered </w:t>
      </w:r>
      <w:r w:rsidR="77B815DF">
        <w:rPr>
          <w:lang w:val="en" w:eastAsia="en-GB"/>
        </w:rPr>
        <w:t xml:space="preserve">and that the damages awarded should not be more than the ECtHR would award. </w:t>
      </w:r>
    </w:p>
    <w:p w14:paraId="4370CED6" w14:textId="77777777" w:rsidR="00FD3257" w:rsidRDefault="00FD3257" w:rsidP="00190238">
      <w:pPr>
        <w:ind w:left="720" w:hanging="720"/>
        <w:rPr>
          <w:lang w:val="en" w:eastAsia="en-GB"/>
        </w:rPr>
      </w:pPr>
    </w:p>
    <w:p w14:paraId="7F7498F4" w14:textId="6FD5871D" w:rsidR="00CD3ED0" w:rsidRDefault="00FC081F" w:rsidP="00CD3ED0">
      <w:pPr>
        <w:ind w:left="720" w:hanging="720"/>
        <w:rPr>
          <w:b/>
          <w:bCs/>
          <w:lang w:val="en" w:eastAsia="en-GB"/>
        </w:rPr>
      </w:pPr>
      <w:r>
        <w:rPr>
          <w:lang w:val="en" w:eastAsia="en-GB"/>
        </w:rPr>
        <w:t>7</w:t>
      </w:r>
      <w:r w:rsidR="00FD3257">
        <w:rPr>
          <w:lang w:val="en" w:eastAsia="en-GB"/>
        </w:rPr>
        <w:t>.4</w:t>
      </w:r>
      <w:r w:rsidR="00FD3257">
        <w:rPr>
          <w:lang w:val="en" w:eastAsia="en-GB"/>
        </w:rPr>
        <w:tab/>
      </w:r>
      <w:r w:rsidR="00CD3ED0">
        <w:rPr>
          <w:lang w:val="en" w:eastAsia="en-GB"/>
        </w:rPr>
        <w:t>P</w:t>
      </w:r>
      <w:r w:rsidR="006410A1" w:rsidRPr="00CD3ED0">
        <w:rPr>
          <w:lang w:val="en" w:eastAsia="en-GB"/>
        </w:rPr>
        <w:t xml:space="preserve">roviding </w:t>
      </w:r>
      <w:r w:rsidR="00FD3257" w:rsidRPr="00CD3ED0">
        <w:rPr>
          <w:lang w:val="en" w:eastAsia="en-GB"/>
        </w:rPr>
        <w:t>a</w:t>
      </w:r>
      <w:r w:rsidR="006410A1" w:rsidRPr="00CD3ED0">
        <w:rPr>
          <w:lang w:val="en" w:eastAsia="en-GB"/>
        </w:rPr>
        <w:t xml:space="preserve"> remedy </w:t>
      </w:r>
      <w:r w:rsidR="00FD3257" w:rsidRPr="00CD3ED0">
        <w:rPr>
          <w:lang w:val="en" w:eastAsia="en-GB"/>
        </w:rPr>
        <w:t xml:space="preserve">that is effective </w:t>
      </w:r>
      <w:r w:rsidR="00263D48">
        <w:rPr>
          <w:lang w:val="en" w:eastAsia="en-GB"/>
        </w:rPr>
        <w:t xml:space="preserve">is the minimum required </w:t>
      </w:r>
      <w:r w:rsidR="00E93271" w:rsidRPr="00CD3ED0">
        <w:rPr>
          <w:lang w:val="en" w:eastAsia="en-GB"/>
        </w:rPr>
        <w:t xml:space="preserve">with the principles of proportionality and reasonableness </w:t>
      </w:r>
      <w:r w:rsidR="00FD3257" w:rsidRPr="00CD3ED0">
        <w:rPr>
          <w:lang w:val="en" w:eastAsia="en-GB"/>
        </w:rPr>
        <w:t>guiding how to achieve</w:t>
      </w:r>
      <w:r w:rsidR="00E93271" w:rsidRPr="00CD3ED0">
        <w:rPr>
          <w:lang w:val="en" w:eastAsia="en-GB"/>
        </w:rPr>
        <w:t xml:space="preserve"> the appropriate balance </w:t>
      </w:r>
      <w:r w:rsidR="00FD3257" w:rsidRPr="00CD3ED0">
        <w:rPr>
          <w:lang w:val="en" w:eastAsia="en-GB"/>
        </w:rPr>
        <w:t>with, for example,</w:t>
      </w:r>
      <w:r w:rsidR="002C1C23" w:rsidRPr="00CD3ED0">
        <w:rPr>
          <w:lang w:val="en" w:eastAsia="en-GB"/>
        </w:rPr>
        <w:t xml:space="preserve"> </w:t>
      </w:r>
      <w:r w:rsidR="00981B62" w:rsidRPr="00CD3ED0">
        <w:rPr>
          <w:lang w:val="en" w:eastAsia="en-GB"/>
        </w:rPr>
        <w:t xml:space="preserve">public interest in </w:t>
      </w:r>
      <w:r w:rsidR="0025425F" w:rsidRPr="00CD3ED0">
        <w:rPr>
          <w:lang w:val="en" w:eastAsia="en-GB"/>
        </w:rPr>
        <w:t>appropriate</w:t>
      </w:r>
      <w:r w:rsidR="008214B3" w:rsidRPr="00CD3ED0">
        <w:rPr>
          <w:lang w:val="en" w:eastAsia="en-GB"/>
        </w:rPr>
        <w:t>ly</w:t>
      </w:r>
      <w:r w:rsidR="0025425F" w:rsidRPr="00CD3ED0">
        <w:rPr>
          <w:lang w:val="en" w:eastAsia="en-GB"/>
        </w:rPr>
        <w:t xml:space="preserve"> spend</w:t>
      </w:r>
      <w:r w:rsidR="008214B3" w:rsidRPr="00CD3ED0">
        <w:rPr>
          <w:lang w:val="en" w:eastAsia="en-GB"/>
        </w:rPr>
        <w:t>ing</w:t>
      </w:r>
      <w:r w:rsidR="0025425F" w:rsidRPr="00CD3ED0">
        <w:rPr>
          <w:lang w:val="en" w:eastAsia="en-GB"/>
        </w:rPr>
        <w:t xml:space="preserve"> the public purse</w:t>
      </w:r>
      <w:r w:rsidR="002C1C23" w:rsidRPr="00CD3ED0">
        <w:rPr>
          <w:lang w:val="en" w:eastAsia="en-GB"/>
        </w:rPr>
        <w:t>.</w:t>
      </w:r>
      <w:r w:rsidR="004D1E17" w:rsidRPr="00CD3ED0">
        <w:rPr>
          <w:b/>
          <w:bCs/>
          <w:lang w:val="en" w:eastAsia="en-GB"/>
        </w:rPr>
        <w:t xml:space="preserve"> </w:t>
      </w:r>
    </w:p>
    <w:p w14:paraId="66BC335A" w14:textId="77777777" w:rsidR="00CD3ED0" w:rsidRDefault="00CD3ED0" w:rsidP="00CD3ED0">
      <w:pPr>
        <w:ind w:left="720" w:hanging="720"/>
        <w:rPr>
          <w:b/>
          <w:bCs/>
          <w:lang w:val="en" w:eastAsia="en-GB"/>
        </w:rPr>
      </w:pPr>
    </w:p>
    <w:p w14:paraId="379AA637" w14:textId="77777777" w:rsidR="00CD3ED0" w:rsidRDefault="00CD3ED0" w:rsidP="00CD3ED0">
      <w:pPr>
        <w:ind w:left="720" w:hanging="720"/>
        <w:rPr>
          <w:b/>
          <w:bCs/>
          <w:lang w:val="en" w:eastAsia="en-GB"/>
        </w:rPr>
      </w:pPr>
      <w:r>
        <w:rPr>
          <w:b/>
          <w:bCs/>
          <w:lang w:val="en" w:eastAsia="en-GB"/>
        </w:rPr>
        <w:t>7.5</w:t>
      </w:r>
      <w:r>
        <w:rPr>
          <w:b/>
          <w:bCs/>
          <w:lang w:val="en" w:eastAsia="en-GB"/>
        </w:rPr>
        <w:tab/>
      </w:r>
      <w:r w:rsidRPr="00CD3ED0">
        <w:rPr>
          <w:b/>
          <w:bCs/>
          <w:lang w:val="en" w:eastAsia="en-GB"/>
        </w:rPr>
        <w:t xml:space="preserve">The NIHRC is concerned that </w:t>
      </w:r>
      <w:r w:rsidR="004D1E17" w:rsidRPr="00CD3ED0">
        <w:rPr>
          <w:b/>
          <w:bCs/>
          <w:lang w:val="en" w:eastAsia="en-GB"/>
        </w:rPr>
        <w:t>the tone set by the present Bill</w:t>
      </w:r>
      <w:r w:rsidR="00FA59F1" w:rsidRPr="00CD3ED0">
        <w:rPr>
          <w:b/>
          <w:bCs/>
          <w:lang w:val="en" w:eastAsia="en-GB"/>
        </w:rPr>
        <w:t xml:space="preserve"> </w:t>
      </w:r>
      <w:r w:rsidR="00746EDB" w:rsidRPr="00CD3ED0">
        <w:rPr>
          <w:b/>
          <w:bCs/>
          <w:lang w:val="en" w:eastAsia="en-GB"/>
        </w:rPr>
        <w:t>appears to place</w:t>
      </w:r>
      <w:r w:rsidR="000A61DA" w:rsidRPr="00CD3ED0">
        <w:rPr>
          <w:b/>
          <w:bCs/>
          <w:lang w:val="en" w:eastAsia="en-GB"/>
        </w:rPr>
        <w:t xml:space="preserve"> its</w:t>
      </w:r>
      <w:r w:rsidR="00EE5878" w:rsidRPr="00CD3ED0">
        <w:rPr>
          <w:b/>
          <w:bCs/>
          <w:lang w:val="en" w:eastAsia="en-GB"/>
        </w:rPr>
        <w:t xml:space="preserve"> focus on avoiding</w:t>
      </w:r>
      <w:r w:rsidR="00CD203F" w:rsidRPr="00CD3ED0">
        <w:rPr>
          <w:b/>
          <w:bCs/>
          <w:lang w:val="en" w:eastAsia="en-GB"/>
        </w:rPr>
        <w:t xml:space="preserve"> (as opposed to facilitating) an effective remedy</w:t>
      </w:r>
      <w:r w:rsidR="00EE5878" w:rsidRPr="00CD3ED0">
        <w:rPr>
          <w:b/>
          <w:bCs/>
          <w:lang w:val="en" w:eastAsia="en-GB"/>
        </w:rPr>
        <w:t>.</w:t>
      </w:r>
      <w:r w:rsidR="004D1E17" w:rsidRPr="00575B9C">
        <w:rPr>
          <w:b/>
          <w:bCs/>
          <w:lang w:val="en" w:eastAsia="en-GB"/>
        </w:rPr>
        <w:t xml:space="preserve"> </w:t>
      </w:r>
    </w:p>
    <w:p w14:paraId="3B90FD5F" w14:textId="23636807" w:rsidR="00936F2C" w:rsidRPr="00CD3ED0" w:rsidRDefault="002C1C23" w:rsidP="00CD3ED0">
      <w:pPr>
        <w:ind w:left="720" w:hanging="720"/>
        <w:rPr>
          <w:lang w:val="en" w:eastAsia="en-GB"/>
        </w:rPr>
      </w:pPr>
      <w:r w:rsidRPr="00575B9C">
        <w:rPr>
          <w:b/>
          <w:bCs/>
          <w:lang w:val="en" w:eastAsia="en-GB"/>
        </w:rPr>
        <w:t xml:space="preserve"> </w:t>
      </w:r>
    </w:p>
    <w:p w14:paraId="6316FFEF" w14:textId="39F58109" w:rsidR="00F576D3" w:rsidRDefault="00FC081F" w:rsidP="00172CF3">
      <w:pPr>
        <w:pStyle w:val="Heading1"/>
        <w:rPr>
          <w:lang w:val="en" w:eastAsia="en-GB"/>
        </w:rPr>
      </w:pPr>
      <w:bookmarkStart w:id="17" w:name="_Toc113010919"/>
      <w:r>
        <w:rPr>
          <w:lang w:val="en" w:eastAsia="en-GB"/>
        </w:rPr>
        <w:t>8</w:t>
      </w:r>
      <w:r w:rsidR="0070606F">
        <w:rPr>
          <w:lang w:val="en" w:eastAsia="en-GB"/>
        </w:rPr>
        <w:t>.0</w:t>
      </w:r>
      <w:r w:rsidR="0070606F">
        <w:tab/>
      </w:r>
      <w:r w:rsidR="00F576D3">
        <w:rPr>
          <w:lang w:val="en" w:eastAsia="en-GB"/>
        </w:rPr>
        <w:t xml:space="preserve">Specific </w:t>
      </w:r>
      <w:r w:rsidR="00172CF3">
        <w:rPr>
          <w:lang w:val="en" w:eastAsia="en-GB"/>
        </w:rPr>
        <w:t>Issues</w:t>
      </w:r>
      <w:bookmarkEnd w:id="17"/>
    </w:p>
    <w:p w14:paraId="0FF2E041" w14:textId="3DE2E2CE" w:rsidR="00B267FE" w:rsidRPr="00B267FE" w:rsidRDefault="00B267FE" w:rsidP="00B267FE">
      <w:pPr>
        <w:pStyle w:val="Heading2"/>
        <w:rPr>
          <w:lang w:val="en" w:eastAsia="en-GB"/>
        </w:rPr>
      </w:pPr>
      <w:bookmarkStart w:id="18" w:name="_Toc113010920"/>
      <w:r>
        <w:rPr>
          <w:lang w:val="en" w:eastAsia="en-GB"/>
        </w:rPr>
        <w:t>Universality</w:t>
      </w:r>
      <w:bookmarkEnd w:id="18"/>
    </w:p>
    <w:p w14:paraId="1FD0F39A" w14:textId="74AA7943" w:rsidR="0070606F" w:rsidRPr="0070606F" w:rsidRDefault="47F71F57" w:rsidP="00ED073F">
      <w:pPr>
        <w:ind w:left="720" w:hanging="720"/>
      </w:pPr>
      <w:r>
        <w:t>8</w:t>
      </w:r>
      <w:r w:rsidR="632E492A">
        <w:t>.1</w:t>
      </w:r>
      <w:r w:rsidR="0070606F">
        <w:tab/>
      </w:r>
      <w:r w:rsidR="4D6A677E">
        <w:t xml:space="preserve">The principle of universality is </w:t>
      </w:r>
      <w:r w:rsidR="69509990">
        <w:t>the cornerstone of human rights</w:t>
      </w:r>
      <w:r w:rsidR="4D6A677E">
        <w:t xml:space="preserve">. </w:t>
      </w:r>
      <w:r w:rsidR="5D1FD6F0">
        <w:t xml:space="preserve">It means that all humans are entitled to the rights and freedoms contained within human rights law. </w:t>
      </w:r>
      <w:r w:rsidR="3E6CEB0E">
        <w:t>Except for</w:t>
      </w:r>
      <w:r w:rsidR="34EE5FA4">
        <w:t xml:space="preserve"> freedom from torture</w:t>
      </w:r>
      <w:r w:rsidR="02882555">
        <w:t xml:space="preserve">, </w:t>
      </w:r>
      <w:r w:rsidR="34EE5FA4">
        <w:t>freedom from slavery</w:t>
      </w:r>
      <w:r w:rsidR="02882555">
        <w:t xml:space="preserve"> and no punishment without law</w:t>
      </w:r>
      <w:r w:rsidR="34EE5FA4">
        <w:t xml:space="preserve">, </w:t>
      </w:r>
      <w:r w:rsidR="4E380AC6">
        <w:t>rights and freedoms can be interfered with.</w:t>
      </w:r>
      <w:r w:rsidR="00F35D8E">
        <w:rPr>
          <w:rStyle w:val="FootnoteReference"/>
        </w:rPr>
        <w:footnoteReference w:id="69"/>
      </w:r>
      <w:r w:rsidR="4E380AC6">
        <w:t xml:space="preserve"> The extent to which interference can occur is determined by the type of right involved</w:t>
      </w:r>
      <w:r w:rsidR="620340B5">
        <w:t>,</w:t>
      </w:r>
      <w:r w:rsidR="009366B8">
        <w:rPr>
          <w:rStyle w:val="FootnoteReference"/>
        </w:rPr>
        <w:footnoteReference w:id="70"/>
      </w:r>
      <w:r w:rsidR="0F61C4B7">
        <w:t xml:space="preserve"> </w:t>
      </w:r>
      <w:r w:rsidR="620340B5">
        <w:t>which</w:t>
      </w:r>
      <w:r w:rsidR="0F61C4B7">
        <w:t xml:space="preserve"> factors in scenarios where </w:t>
      </w:r>
      <w:r w:rsidR="478D9712">
        <w:t xml:space="preserve">the surrounding circumstances may determine that, in order to protect the rights of others, an individual’s rights </w:t>
      </w:r>
      <w:r w:rsidR="523C7EA7">
        <w:t>may need to be constrained. However, to ensure fairness it</w:t>
      </w:r>
      <w:r w:rsidR="620340B5">
        <w:t xml:space="preserve"> </w:t>
      </w:r>
      <w:r w:rsidR="523C7EA7">
        <w:t>is important that such interferences are guided by the principles of proportionality</w:t>
      </w:r>
      <w:r w:rsidR="5ED99FCC">
        <w:t>. The interference should be applied</w:t>
      </w:r>
      <w:r w:rsidR="43B0DFE1">
        <w:t xml:space="preserve"> </w:t>
      </w:r>
      <w:r w:rsidR="17F6288B">
        <w:t xml:space="preserve">only </w:t>
      </w:r>
      <w:r w:rsidR="43B0DFE1">
        <w:t>as long as is necessary</w:t>
      </w:r>
      <w:r w:rsidR="5ED99FCC">
        <w:t xml:space="preserve"> </w:t>
      </w:r>
      <w:r w:rsidR="43B0DFE1">
        <w:t xml:space="preserve">in pursuit of a legitimate aim, such as </w:t>
      </w:r>
      <w:r w:rsidR="0BB918A6">
        <w:t>public safety.</w:t>
      </w:r>
      <w:r w:rsidR="00C20C99">
        <w:rPr>
          <w:rStyle w:val="FootnoteReference"/>
        </w:rPr>
        <w:footnoteReference w:id="71"/>
      </w:r>
      <w:r w:rsidR="0BB918A6">
        <w:t xml:space="preserve"> </w:t>
      </w:r>
      <w:r w:rsidR="43B0DFE1">
        <w:t xml:space="preserve"> </w:t>
      </w:r>
    </w:p>
    <w:p w14:paraId="797C84AE" w14:textId="766EB155" w:rsidR="00172CF3" w:rsidRDefault="00172CF3" w:rsidP="00172CF3"/>
    <w:p w14:paraId="3CA82BA8" w14:textId="4AC79946" w:rsidR="00C31C1E" w:rsidRDefault="47F71F57" w:rsidP="00A25250">
      <w:pPr>
        <w:ind w:left="720" w:hanging="720"/>
      </w:pPr>
      <w:r>
        <w:t>8</w:t>
      </w:r>
      <w:r w:rsidR="145E8E92">
        <w:t>.2</w:t>
      </w:r>
      <w:r w:rsidR="00A25250">
        <w:tab/>
      </w:r>
      <w:r w:rsidR="4DBBE64F">
        <w:t>T</w:t>
      </w:r>
      <w:r w:rsidR="145E8E92" w:rsidRPr="00487CE6">
        <w:t>he UK Government continues to frame its human rights reform proposals, including within the present Bill</w:t>
      </w:r>
      <w:r w:rsidR="145E8E92">
        <w:t>,</w:t>
      </w:r>
      <w:r w:rsidR="145E8E92" w:rsidRPr="00487CE6">
        <w:t xml:space="preserve"> in divisive language that </w:t>
      </w:r>
      <w:r w:rsidR="145E8E92" w:rsidRPr="00487CE6">
        <w:lastRenderedPageBreak/>
        <w:t xml:space="preserve">frames certain groups of rights holders as less entitled to rights protection. </w:t>
      </w:r>
      <w:r w:rsidR="145E8E92">
        <w:t>For example, within the present Bill those involved in criminal activity</w:t>
      </w:r>
      <w:r w:rsidR="00A25250">
        <w:rPr>
          <w:rStyle w:val="FootnoteReference"/>
        </w:rPr>
        <w:footnoteReference w:id="72"/>
      </w:r>
      <w:r w:rsidR="145E8E92">
        <w:t xml:space="preserve"> and immigrants convicted of an offence</w:t>
      </w:r>
      <w:r w:rsidR="00A25250">
        <w:rPr>
          <w:rStyle w:val="FootnoteReference"/>
        </w:rPr>
        <w:footnoteReference w:id="73"/>
      </w:r>
      <w:r w:rsidR="145E8E92">
        <w:t xml:space="preserve"> are not deemed worthy of human rights protection.</w:t>
      </w:r>
      <w:r w:rsidR="6448B5E9">
        <w:t xml:space="preserve"> </w:t>
      </w:r>
      <w:r w:rsidR="51003E52">
        <w:t>Thus, creating a hierarchy of victim, which is contrary to the principle of universality.</w:t>
      </w:r>
    </w:p>
    <w:p w14:paraId="7B071509" w14:textId="77777777" w:rsidR="00C31C1E" w:rsidRDefault="00C31C1E" w:rsidP="00A25250">
      <w:pPr>
        <w:ind w:left="720" w:hanging="720"/>
      </w:pPr>
    </w:p>
    <w:p w14:paraId="0F9606A3" w14:textId="7F048666" w:rsidR="00A25250" w:rsidRPr="00C31C1E" w:rsidRDefault="00C31C1E" w:rsidP="00A25250">
      <w:pPr>
        <w:ind w:left="720" w:hanging="720"/>
        <w:rPr>
          <w:b/>
          <w:bCs/>
        </w:rPr>
      </w:pPr>
      <w:r w:rsidRPr="00C31C1E">
        <w:rPr>
          <w:b/>
          <w:bCs/>
        </w:rPr>
        <w:t>8.3</w:t>
      </w:r>
      <w:r w:rsidRPr="00C31C1E">
        <w:rPr>
          <w:b/>
          <w:bCs/>
        </w:rPr>
        <w:tab/>
        <w:t>The NIHRC advises that t</w:t>
      </w:r>
      <w:r w:rsidR="00A25250" w:rsidRPr="00C31C1E">
        <w:rPr>
          <w:b/>
          <w:bCs/>
        </w:rPr>
        <w:t>he present Bill should be revised to ensure the universality of human rights is reflected, and to prevent the demonisation of particular groups based on their ethnicity or circumstances.</w:t>
      </w:r>
    </w:p>
    <w:p w14:paraId="54820490" w14:textId="77777777" w:rsidR="00B267FE" w:rsidRDefault="00B267FE" w:rsidP="00A25250">
      <w:pPr>
        <w:ind w:left="720" w:hanging="720"/>
      </w:pPr>
    </w:p>
    <w:p w14:paraId="6844C911" w14:textId="46730292" w:rsidR="00B267FE" w:rsidRDefault="007444A2" w:rsidP="007444A2">
      <w:pPr>
        <w:pStyle w:val="Heading2"/>
      </w:pPr>
      <w:bookmarkStart w:id="19" w:name="_Toc113010921"/>
      <w:r>
        <w:t>Hierarchy of rights</w:t>
      </w:r>
      <w:bookmarkEnd w:id="19"/>
    </w:p>
    <w:p w14:paraId="3345FCAD" w14:textId="6DAD453D" w:rsidR="00C05686" w:rsidRDefault="47F71F57" w:rsidP="00A25250">
      <w:pPr>
        <w:ind w:left="720" w:hanging="720"/>
      </w:pPr>
      <w:r>
        <w:t>8</w:t>
      </w:r>
      <w:r w:rsidR="5594CA79">
        <w:t>.</w:t>
      </w:r>
      <w:r w:rsidR="422B83A6">
        <w:t>4</w:t>
      </w:r>
      <w:r w:rsidR="00B267FE">
        <w:tab/>
      </w:r>
      <w:r w:rsidR="422B83A6">
        <w:t>T</w:t>
      </w:r>
      <w:r w:rsidR="3E6AF602">
        <w:t xml:space="preserve">here is no hierarchy </w:t>
      </w:r>
      <w:r w:rsidR="00595C7D">
        <w:t xml:space="preserve">of rights </w:t>
      </w:r>
      <w:r w:rsidR="3E6AF602">
        <w:t xml:space="preserve">within </w:t>
      </w:r>
      <w:r w:rsidR="5B765C40">
        <w:t xml:space="preserve">the </w:t>
      </w:r>
      <w:r w:rsidR="00595C7D">
        <w:t>current</w:t>
      </w:r>
      <w:r w:rsidR="106CDE35">
        <w:t xml:space="preserve"> </w:t>
      </w:r>
      <w:r w:rsidR="5B765C40">
        <w:t>framework</w:t>
      </w:r>
      <w:r w:rsidR="75F0465C">
        <w:t>. A</w:t>
      </w:r>
      <w:r w:rsidR="5B765C40">
        <w:t xml:space="preserve">ll </w:t>
      </w:r>
      <w:r w:rsidR="1DF60A46">
        <w:t>human rights</w:t>
      </w:r>
      <w:r w:rsidR="106CDE35">
        <w:t xml:space="preserve"> are </w:t>
      </w:r>
      <w:r w:rsidR="6C75575C">
        <w:t>inalienable,</w:t>
      </w:r>
      <w:r w:rsidR="00090323">
        <w:rPr>
          <w:rStyle w:val="FootnoteReference"/>
        </w:rPr>
        <w:footnoteReference w:id="74"/>
      </w:r>
      <w:r w:rsidR="6C75575C">
        <w:t xml:space="preserve"> </w:t>
      </w:r>
      <w:r w:rsidR="106CDE35">
        <w:t>indivisible and interdependent.</w:t>
      </w:r>
      <w:r w:rsidR="007969D2">
        <w:rPr>
          <w:rStyle w:val="FootnoteReference"/>
        </w:rPr>
        <w:footnoteReference w:id="75"/>
      </w:r>
      <w:r w:rsidR="106CDE35">
        <w:t xml:space="preserve"> Carefully crafted human rights treaties, such as the ECHR, </w:t>
      </w:r>
      <w:r w:rsidR="0DA60E71">
        <w:t>provide guidance on wh</w:t>
      </w:r>
      <w:r w:rsidR="5F04612C">
        <w:t>en some</w:t>
      </w:r>
      <w:r w:rsidR="0DA60E71">
        <w:t xml:space="preserve"> rights have more discretion </w:t>
      </w:r>
      <w:r w:rsidR="37473E06">
        <w:t xml:space="preserve">built in </w:t>
      </w:r>
      <w:r w:rsidR="0DA60E71">
        <w:t>than others</w:t>
      </w:r>
      <w:r w:rsidR="436FC3B9">
        <w:t xml:space="preserve">. For example, </w:t>
      </w:r>
      <w:r w:rsidR="7322EA23">
        <w:t>torture</w:t>
      </w:r>
      <w:r w:rsidR="436FC3B9">
        <w:t xml:space="preserve"> should not occur under any circumstances, but freedom of </w:t>
      </w:r>
      <w:r w:rsidR="7322EA23">
        <w:t>assembly</w:t>
      </w:r>
      <w:r w:rsidR="436FC3B9">
        <w:t xml:space="preserve"> can be curtailed when it is proportionate</w:t>
      </w:r>
      <w:r w:rsidR="7322EA23">
        <w:t xml:space="preserve"> and necessary in pursuit of a legitimate aim (such as the protection of health or morals) to do so.</w:t>
      </w:r>
      <w:r w:rsidR="007A090C">
        <w:rPr>
          <w:rStyle w:val="FootnoteReference"/>
        </w:rPr>
        <w:footnoteReference w:id="76"/>
      </w:r>
    </w:p>
    <w:p w14:paraId="3FC3177B" w14:textId="3A689164" w:rsidR="003E406E" w:rsidRDefault="003E406E" w:rsidP="00A25250">
      <w:pPr>
        <w:ind w:left="720" w:hanging="720"/>
      </w:pPr>
    </w:p>
    <w:p w14:paraId="0198D8E4" w14:textId="0E514E43" w:rsidR="0061190D" w:rsidRDefault="00FC081F" w:rsidP="00A25250">
      <w:pPr>
        <w:ind w:left="720" w:hanging="720"/>
      </w:pPr>
      <w:r>
        <w:t>8</w:t>
      </w:r>
      <w:r w:rsidR="003E406E">
        <w:t>.</w:t>
      </w:r>
      <w:r w:rsidR="00214349">
        <w:t>5</w:t>
      </w:r>
      <w:r w:rsidR="003E406E">
        <w:tab/>
      </w:r>
      <w:r w:rsidR="0061190D">
        <w:t>Furthermore,</w:t>
      </w:r>
      <w:r w:rsidR="003E406E">
        <w:t xml:space="preserve"> Article 17 of the ECHR</w:t>
      </w:r>
      <w:r w:rsidR="0061190D">
        <w:t xml:space="preserve"> provides that</w:t>
      </w:r>
      <w:r w:rsidR="003E406E">
        <w:t xml:space="preserve"> righ</w:t>
      </w:r>
      <w:r w:rsidR="00FA6C26">
        <w:t>ts may not b</w:t>
      </w:r>
      <w:r w:rsidR="0061190D">
        <w:t>e:</w:t>
      </w:r>
    </w:p>
    <w:p w14:paraId="3195341D" w14:textId="77777777" w:rsidR="0061190D" w:rsidRDefault="0061190D" w:rsidP="00A25250">
      <w:pPr>
        <w:ind w:left="720" w:hanging="720"/>
      </w:pPr>
    </w:p>
    <w:p w14:paraId="589E7CA6" w14:textId="5FC55D32" w:rsidR="003E406E" w:rsidRDefault="00FA6C26" w:rsidP="0061190D">
      <w:pPr>
        <w:pStyle w:val="Quote"/>
      </w:pPr>
      <w:r>
        <w:t xml:space="preserve">interpreted as implying for any State, group or person any right to engage in any activity or perform any act aimed at the destruction of any of the rights and </w:t>
      </w:r>
      <w:r w:rsidR="00007884">
        <w:t>freedoms set forth herein or at their limitation to a greater extent than is provided for in the… [ECHR].</w:t>
      </w:r>
    </w:p>
    <w:p w14:paraId="12FC7531" w14:textId="7A288EE5" w:rsidR="008C1409" w:rsidRDefault="008C1409" w:rsidP="00A25250">
      <w:pPr>
        <w:ind w:left="720" w:hanging="720"/>
      </w:pPr>
    </w:p>
    <w:p w14:paraId="00FEECF1" w14:textId="765F2D51" w:rsidR="008C1409" w:rsidRDefault="47F71F57" w:rsidP="00A25250">
      <w:pPr>
        <w:ind w:left="720" w:hanging="720"/>
      </w:pPr>
      <w:r>
        <w:t>8.</w:t>
      </w:r>
      <w:r w:rsidR="75F0465C">
        <w:t>6</w:t>
      </w:r>
      <w:r w:rsidR="008C1409">
        <w:tab/>
      </w:r>
      <w:r w:rsidR="70DB7B3C">
        <w:t xml:space="preserve">The </w:t>
      </w:r>
      <w:r w:rsidR="492E43D4">
        <w:t>present</w:t>
      </w:r>
      <w:r w:rsidR="70DB7B3C">
        <w:t xml:space="preserve"> Bill proposes </w:t>
      </w:r>
      <w:r w:rsidR="008F8D29">
        <w:t>that freedom of speech</w:t>
      </w:r>
      <w:r w:rsidR="00531C07">
        <w:rPr>
          <w:rStyle w:val="FootnoteReference"/>
        </w:rPr>
        <w:footnoteReference w:id="77"/>
      </w:r>
      <w:r w:rsidR="008F8D29">
        <w:t xml:space="preserve"> and freedom of thought, conscience and religion</w:t>
      </w:r>
      <w:r w:rsidR="00531C07">
        <w:rPr>
          <w:rStyle w:val="FootnoteReference"/>
        </w:rPr>
        <w:footnoteReference w:id="78"/>
      </w:r>
      <w:r w:rsidR="008F8D29">
        <w:t xml:space="preserve"> are given </w:t>
      </w:r>
      <w:r w:rsidR="0D176CDD">
        <w:t>particular importance</w:t>
      </w:r>
      <w:r w:rsidR="6957F57B">
        <w:t xml:space="preserve">. As qualified rights, the UK already has a broad margin of appreciation </w:t>
      </w:r>
      <w:r w:rsidR="6957F57B">
        <w:lastRenderedPageBreak/>
        <w:t xml:space="preserve">in how it </w:t>
      </w:r>
      <w:r w:rsidR="7BA29F12">
        <w:t xml:space="preserve">deems </w:t>
      </w:r>
      <w:r w:rsidR="5EBA38D1">
        <w:t>freedom of expression and freedom of religion</w:t>
      </w:r>
      <w:r w:rsidR="7BA29F12">
        <w:t xml:space="preserve"> should be protected. However, it is important that any </w:t>
      </w:r>
      <w:r w:rsidR="5840C48D">
        <w:t>promotion</w:t>
      </w:r>
      <w:r w:rsidR="7BA29F12">
        <w:t xml:space="preserve"> or interference </w:t>
      </w:r>
      <w:r w:rsidR="5840C48D">
        <w:t>regarding</w:t>
      </w:r>
      <w:r w:rsidR="7BA29F12">
        <w:t xml:space="preserve"> these rights are </w:t>
      </w:r>
      <w:r w:rsidR="5840C48D">
        <w:t>proportionate</w:t>
      </w:r>
      <w:r w:rsidR="7BA29F12">
        <w:t xml:space="preserve"> and</w:t>
      </w:r>
      <w:r w:rsidR="5C556090">
        <w:t xml:space="preserve"> necessary in the pursuit of a legitimate aim, as </w:t>
      </w:r>
      <w:r w:rsidR="18F6EA27">
        <w:t>guided by</w:t>
      </w:r>
      <w:r w:rsidR="5C556090">
        <w:t xml:space="preserve"> the ECHR and its jurisprudence.</w:t>
      </w:r>
    </w:p>
    <w:p w14:paraId="759D9BCC" w14:textId="3A6ECC2F" w:rsidR="004273D2" w:rsidRDefault="004273D2" w:rsidP="00A25250">
      <w:pPr>
        <w:ind w:left="720" w:hanging="720"/>
      </w:pPr>
    </w:p>
    <w:p w14:paraId="479BF047" w14:textId="03593E9A" w:rsidR="004273D2" w:rsidRDefault="00FC081F" w:rsidP="00A25250">
      <w:pPr>
        <w:ind w:left="720" w:hanging="720"/>
      </w:pPr>
      <w:r>
        <w:t>8.</w:t>
      </w:r>
      <w:r w:rsidR="00016313">
        <w:t>7</w:t>
      </w:r>
      <w:r w:rsidR="004273D2">
        <w:tab/>
      </w:r>
      <w:r w:rsidR="00801267">
        <w:t xml:space="preserve">Balancing the approach in the proposed Bill with </w:t>
      </w:r>
      <w:r w:rsidR="0045616A">
        <w:t xml:space="preserve">other legislation </w:t>
      </w:r>
      <w:r w:rsidR="00595C7D">
        <w:t xml:space="preserve">should be </w:t>
      </w:r>
      <w:r w:rsidR="00444E07">
        <w:t>an additional consideration.</w:t>
      </w:r>
      <w:r w:rsidR="00B179C8">
        <w:t xml:space="preserve"> </w:t>
      </w:r>
      <w:r w:rsidR="00F20215">
        <w:t xml:space="preserve">The </w:t>
      </w:r>
      <w:r w:rsidR="0045616A">
        <w:t>Online Safety Bill</w:t>
      </w:r>
      <w:r w:rsidR="00F20215">
        <w:t xml:space="preserve"> seek</w:t>
      </w:r>
      <w:r w:rsidR="00FC4112">
        <w:t>s</w:t>
      </w:r>
      <w:r w:rsidR="00F20215">
        <w:t xml:space="preserve"> to enhance all forms of speech, potentially including harmful or hate speech. The </w:t>
      </w:r>
      <w:r w:rsidR="0045616A" w:rsidRPr="009279DB">
        <w:rPr>
          <w:rFonts w:cs="Poppins"/>
          <w:shd w:val="clear" w:color="auto" w:fill="FFFFFF"/>
        </w:rPr>
        <w:t>Police, Crime, Sentencing and Courts Act 2022</w:t>
      </w:r>
      <w:r w:rsidR="0045616A" w:rsidRPr="009279DB">
        <w:t xml:space="preserve"> </w:t>
      </w:r>
      <w:r w:rsidR="00F20215">
        <w:t xml:space="preserve">seeks to curtail </w:t>
      </w:r>
      <w:r w:rsidR="00B179C8">
        <w:t xml:space="preserve">such speech. </w:t>
      </w:r>
      <w:r w:rsidR="00444995">
        <w:t>The proposal to enhance protection of</w:t>
      </w:r>
      <w:r w:rsidR="00B179C8">
        <w:t xml:space="preserve"> speech, as opposed to broader expression</w:t>
      </w:r>
      <w:r w:rsidR="00FE5AE8">
        <w:t xml:space="preserve">, </w:t>
      </w:r>
      <w:r w:rsidR="007927DB">
        <w:t>without any clear justification or consideration of guiding human rights principles also creates difficulties</w:t>
      </w:r>
      <w:r w:rsidR="00444995">
        <w:t>.</w:t>
      </w:r>
    </w:p>
    <w:p w14:paraId="616A77EC" w14:textId="4C87769E" w:rsidR="00DF37CB" w:rsidRDefault="00DF37CB" w:rsidP="00A25250">
      <w:pPr>
        <w:ind w:left="720" w:hanging="720"/>
      </w:pPr>
    </w:p>
    <w:p w14:paraId="03DE7C18" w14:textId="5A06CF8A" w:rsidR="00DF37CB" w:rsidRPr="00B07DC2" w:rsidRDefault="00DF37CB" w:rsidP="00A25250">
      <w:pPr>
        <w:ind w:left="720" w:hanging="720"/>
        <w:rPr>
          <w:b/>
          <w:bCs/>
        </w:rPr>
      </w:pPr>
      <w:r w:rsidRPr="00B07DC2">
        <w:rPr>
          <w:b/>
          <w:bCs/>
        </w:rPr>
        <w:t>8.</w:t>
      </w:r>
      <w:r w:rsidR="00016313">
        <w:rPr>
          <w:b/>
          <w:bCs/>
        </w:rPr>
        <w:t>8</w:t>
      </w:r>
      <w:r w:rsidRPr="00B07DC2">
        <w:rPr>
          <w:b/>
          <w:bCs/>
        </w:rPr>
        <w:tab/>
        <w:t xml:space="preserve">The NIHRC advises that </w:t>
      </w:r>
      <w:r w:rsidR="00B07DC2" w:rsidRPr="00B07DC2">
        <w:rPr>
          <w:b/>
          <w:bCs/>
        </w:rPr>
        <w:t>the present Bill’s proposal to elevate freedom of speech and freedom of thought, conscience and religion</w:t>
      </w:r>
      <w:r w:rsidRPr="00B07DC2">
        <w:rPr>
          <w:b/>
          <w:bCs/>
        </w:rPr>
        <w:t xml:space="preserve"> creat</w:t>
      </w:r>
      <w:r w:rsidR="00B07DC2" w:rsidRPr="00B07DC2">
        <w:rPr>
          <w:b/>
          <w:bCs/>
        </w:rPr>
        <w:t>es</w:t>
      </w:r>
      <w:r w:rsidRPr="00B07DC2">
        <w:rPr>
          <w:b/>
          <w:bCs/>
        </w:rPr>
        <w:t xml:space="preserve"> a hierarchy of rights that </w:t>
      </w:r>
      <w:r w:rsidR="00B07DC2">
        <w:rPr>
          <w:b/>
          <w:bCs/>
        </w:rPr>
        <w:t>is</w:t>
      </w:r>
      <w:r w:rsidRPr="00B07DC2">
        <w:rPr>
          <w:b/>
          <w:bCs/>
        </w:rPr>
        <w:t xml:space="preserve"> contrary to human rights principles</w:t>
      </w:r>
      <w:r w:rsidR="00B07DC2" w:rsidRPr="00B07DC2">
        <w:rPr>
          <w:b/>
          <w:bCs/>
        </w:rPr>
        <w:t>.</w:t>
      </w:r>
    </w:p>
    <w:p w14:paraId="426E3514" w14:textId="0C7CF142" w:rsidR="00CC056F" w:rsidRDefault="00CC056F" w:rsidP="005940B8"/>
    <w:p w14:paraId="0093EF21" w14:textId="4CDEC0F0" w:rsidR="00412597" w:rsidRDefault="00412597" w:rsidP="00CC056F">
      <w:pPr>
        <w:pStyle w:val="Heading2"/>
        <w:rPr>
          <w:shd w:val="clear" w:color="auto" w:fill="FFFFFF"/>
        </w:rPr>
      </w:pPr>
      <w:bookmarkStart w:id="20" w:name="_Toc113010922"/>
      <w:r>
        <w:rPr>
          <w:shd w:val="clear" w:color="auto" w:fill="FFFFFF"/>
        </w:rPr>
        <w:t>Extra-territoriality</w:t>
      </w:r>
      <w:bookmarkEnd w:id="20"/>
    </w:p>
    <w:p w14:paraId="27DBE12E" w14:textId="22F92A5F" w:rsidR="009618B4" w:rsidRDefault="47F71F57" w:rsidP="009618B4">
      <w:pPr>
        <w:ind w:left="720" w:hanging="720"/>
      </w:pPr>
      <w:r>
        <w:t>8.</w:t>
      </w:r>
      <w:r w:rsidR="75F0465C">
        <w:t>9</w:t>
      </w:r>
      <w:r w:rsidR="001C59C7">
        <w:tab/>
      </w:r>
      <w:r w:rsidR="1F919ED5">
        <w:t>R</w:t>
      </w:r>
      <w:r w:rsidR="388320EB" w:rsidRPr="002F2B00">
        <w:t>atifying States, such as the UK, “shall secure to everyone within their jurisdiction the rights and freedoms defined” within the ECHR.</w:t>
      </w:r>
      <w:r w:rsidR="00B728B6">
        <w:rPr>
          <w:rStyle w:val="FootnoteReference"/>
        </w:rPr>
        <w:footnoteReference w:id="79"/>
      </w:r>
      <w:r w:rsidR="388320EB" w:rsidRPr="002F2B00">
        <w:t xml:space="preserve"> This means that the ECHR must be adhered to within the territory of each ratifying State. </w:t>
      </w:r>
      <w:r w:rsidR="1F919ED5">
        <w:t>There also must be an</w:t>
      </w:r>
      <w:r w:rsidR="2FD4C703">
        <w:t xml:space="preserve"> effective remedy for any violation that occurred.</w:t>
      </w:r>
      <w:r w:rsidR="00B728B6">
        <w:rPr>
          <w:rStyle w:val="FootnoteReference"/>
        </w:rPr>
        <w:footnoteReference w:id="80"/>
      </w:r>
    </w:p>
    <w:p w14:paraId="5AD0551B" w14:textId="77777777" w:rsidR="009618B4" w:rsidRDefault="009618B4" w:rsidP="009618B4">
      <w:pPr>
        <w:ind w:left="720" w:hanging="720"/>
      </w:pPr>
    </w:p>
    <w:p w14:paraId="25ADAB48" w14:textId="66403459" w:rsidR="00100267" w:rsidRDefault="47F71F57" w:rsidP="009618B4">
      <w:pPr>
        <w:ind w:left="720" w:hanging="720"/>
      </w:pPr>
      <w:r>
        <w:t>8.</w:t>
      </w:r>
      <w:r w:rsidR="75F0465C">
        <w:t>10</w:t>
      </w:r>
      <w:r w:rsidR="009618B4">
        <w:tab/>
      </w:r>
      <w:r w:rsidR="7BDDE3B6">
        <w:t>T</w:t>
      </w:r>
      <w:r w:rsidR="673B15ED">
        <w:t xml:space="preserve">he ECHR has extra-territorial application in certain exceptional circumstances. The </w:t>
      </w:r>
      <w:r w:rsidR="7B6AD94F">
        <w:t xml:space="preserve">jurisprudence </w:t>
      </w:r>
      <w:r w:rsidR="46212726">
        <w:t>suggests</w:t>
      </w:r>
      <w:r w:rsidR="673B15ED">
        <w:t xml:space="preserve"> that the ECHR has extra-territorial application where there is lawful or unlawful effective control.</w:t>
      </w:r>
      <w:r w:rsidR="00287CE2">
        <w:rPr>
          <w:rStyle w:val="FootnoteReference"/>
        </w:rPr>
        <w:footnoteReference w:id="81"/>
      </w:r>
      <w:r w:rsidR="1E23B6FD">
        <w:t xml:space="preserve"> </w:t>
      </w:r>
      <w:r w:rsidR="673B15ED">
        <w:t>This can be through military occupation,</w:t>
      </w:r>
      <w:r w:rsidR="00287CE2">
        <w:rPr>
          <w:rStyle w:val="FootnoteReference"/>
        </w:rPr>
        <w:footnoteReference w:id="82"/>
      </w:r>
      <w:r w:rsidR="673B15ED">
        <w:t xml:space="preserve"> military action,</w:t>
      </w:r>
      <w:r w:rsidR="00287CE2">
        <w:rPr>
          <w:rStyle w:val="FootnoteReference"/>
        </w:rPr>
        <w:footnoteReference w:id="83"/>
      </w:r>
      <w:r w:rsidR="673B15ED">
        <w:t xml:space="preserve"> control of policies and actions,</w:t>
      </w:r>
      <w:r w:rsidR="00287CE2">
        <w:rPr>
          <w:rStyle w:val="FootnoteReference"/>
        </w:rPr>
        <w:footnoteReference w:id="84"/>
      </w:r>
      <w:r w:rsidR="0A6D3342">
        <w:t xml:space="preserve"> </w:t>
      </w:r>
      <w:r w:rsidR="673B15ED">
        <w:t>and/or exercising control and authority over an individual within another State’s territory.</w:t>
      </w:r>
      <w:r w:rsidR="00287CE2">
        <w:rPr>
          <w:rStyle w:val="FootnoteReference"/>
        </w:rPr>
        <w:footnoteReference w:id="85"/>
      </w:r>
      <w:r w:rsidR="673B15ED">
        <w:t xml:space="preserve"> It can extend where an administration survives due to the military, political, </w:t>
      </w:r>
      <w:r w:rsidR="673B15ED">
        <w:lastRenderedPageBreak/>
        <w:t>financial or other support from another State.</w:t>
      </w:r>
      <w:r w:rsidR="00287CE2">
        <w:rPr>
          <w:rStyle w:val="FootnoteReference"/>
        </w:rPr>
        <w:footnoteReference w:id="86"/>
      </w:r>
      <w:r w:rsidR="673B15ED">
        <w:t xml:space="preserve"> It can also extend to preventing the extradition of foreign nationals and having a duty of care towards soldiers operating in a third State</w:t>
      </w:r>
      <w:r w:rsidR="1E23B6FD">
        <w:t>.</w:t>
      </w:r>
      <w:r w:rsidR="00287CE2">
        <w:rPr>
          <w:rStyle w:val="FootnoteReference"/>
        </w:rPr>
        <w:footnoteReference w:id="87"/>
      </w:r>
      <w:r w:rsidR="673B15ED">
        <w:t xml:space="preserve"> </w:t>
      </w:r>
      <w:r w:rsidR="7BDDE3B6">
        <w:t>E</w:t>
      </w:r>
      <w:r w:rsidR="673B15ED">
        <w:t>xtra-territorial application of the ECHR extends to positive obligations,</w:t>
      </w:r>
      <w:r w:rsidR="00287CE2">
        <w:rPr>
          <w:rStyle w:val="FootnoteReference"/>
        </w:rPr>
        <w:footnoteReference w:id="88"/>
      </w:r>
      <w:r w:rsidR="673B15ED">
        <w:t xml:space="preserve"> such as conducting an effective investigation.</w:t>
      </w:r>
      <w:r w:rsidR="6FE2AD84">
        <w:t xml:space="preserve"> </w:t>
      </w:r>
    </w:p>
    <w:p w14:paraId="2803BF51" w14:textId="32CF4870" w:rsidR="009618B4" w:rsidRDefault="009618B4" w:rsidP="009618B4">
      <w:pPr>
        <w:ind w:left="720" w:hanging="720"/>
      </w:pPr>
    </w:p>
    <w:p w14:paraId="3C04D274" w14:textId="79D28E05" w:rsidR="000240ED" w:rsidRDefault="47F71F57" w:rsidP="009618B4">
      <w:pPr>
        <w:ind w:left="720" w:hanging="720"/>
      </w:pPr>
      <w:r>
        <w:t>8.</w:t>
      </w:r>
      <w:r w:rsidR="75F0465C">
        <w:t>11</w:t>
      </w:r>
      <w:r w:rsidR="009618B4">
        <w:tab/>
      </w:r>
      <w:r w:rsidR="00DD9421">
        <w:t xml:space="preserve">The </w:t>
      </w:r>
      <w:r w:rsidR="0A6D3342">
        <w:t>present</w:t>
      </w:r>
      <w:r w:rsidR="00DD9421">
        <w:t xml:space="preserve"> Bill proposes to prevent </w:t>
      </w:r>
      <w:r w:rsidR="136F5FF6">
        <w:t xml:space="preserve">cases </w:t>
      </w:r>
      <w:r w:rsidR="77D59D04">
        <w:t>regarding</w:t>
      </w:r>
      <w:r w:rsidR="136F5FF6">
        <w:t xml:space="preserve"> overseas military operations </w:t>
      </w:r>
      <w:r w:rsidR="77D59D04">
        <w:t xml:space="preserve">from being taken </w:t>
      </w:r>
      <w:r w:rsidR="136F5FF6">
        <w:t>within or</w:t>
      </w:r>
      <w:r w:rsidR="272515EA">
        <w:t xml:space="preserve"> outside the </w:t>
      </w:r>
      <w:r w:rsidR="1844EDC1">
        <w:t>UK, including</w:t>
      </w:r>
      <w:r w:rsidR="1EB4E0EE">
        <w:t xml:space="preserve"> removing the ability to rely on </w:t>
      </w:r>
      <w:r w:rsidR="62F68ECD">
        <w:t>the positive obligation to investigate any potential extra-territorial violation</w:t>
      </w:r>
      <w:r w:rsidR="2481816F">
        <w:t xml:space="preserve"> resulting from a military operation</w:t>
      </w:r>
      <w:r w:rsidR="77976059">
        <w:t>, as required by Articles 2 and 3 of the ECHR</w:t>
      </w:r>
      <w:r w:rsidR="62F68ECD">
        <w:t>.</w:t>
      </w:r>
      <w:r w:rsidR="00EA7070">
        <w:rPr>
          <w:rStyle w:val="FootnoteReference"/>
        </w:rPr>
        <w:footnoteReference w:id="89"/>
      </w:r>
      <w:r w:rsidR="0C97DEF8">
        <w:t xml:space="preserve"> </w:t>
      </w:r>
    </w:p>
    <w:p w14:paraId="4F4CB9A6" w14:textId="77777777" w:rsidR="000240ED" w:rsidRDefault="000240ED" w:rsidP="009618B4">
      <w:pPr>
        <w:ind w:left="720" w:hanging="720"/>
      </w:pPr>
    </w:p>
    <w:p w14:paraId="551ACB80" w14:textId="34534172" w:rsidR="009618B4" w:rsidRPr="00E431F5" w:rsidRDefault="000240ED" w:rsidP="009618B4">
      <w:pPr>
        <w:ind w:left="720" w:hanging="720"/>
        <w:rPr>
          <w:b/>
          <w:bCs/>
        </w:rPr>
      </w:pPr>
      <w:r w:rsidRPr="00E431F5">
        <w:rPr>
          <w:b/>
          <w:bCs/>
        </w:rPr>
        <w:t>8.1</w:t>
      </w:r>
      <w:r w:rsidR="00016313">
        <w:rPr>
          <w:b/>
          <w:bCs/>
        </w:rPr>
        <w:t>2</w:t>
      </w:r>
      <w:r w:rsidRPr="00E431F5">
        <w:rPr>
          <w:b/>
          <w:bCs/>
        </w:rPr>
        <w:tab/>
        <w:t xml:space="preserve">The NIHRC is concerned that the present Bill’s proposals to </w:t>
      </w:r>
      <w:r w:rsidR="00E431F5">
        <w:rPr>
          <w:b/>
          <w:bCs/>
        </w:rPr>
        <w:t>prevent</w:t>
      </w:r>
      <w:r w:rsidR="00E431F5" w:rsidRPr="00E431F5">
        <w:rPr>
          <w:b/>
          <w:bCs/>
        </w:rPr>
        <w:t xml:space="preserve"> human rights obligations </w:t>
      </w:r>
      <w:r w:rsidR="00E431F5">
        <w:rPr>
          <w:b/>
          <w:bCs/>
        </w:rPr>
        <w:t xml:space="preserve">extending </w:t>
      </w:r>
      <w:r w:rsidR="00E431F5" w:rsidRPr="00E431F5">
        <w:rPr>
          <w:b/>
          <w:bCs/>
        </w:rPr>
        <w:t xml:space="preserve">to </w:t>
      </w:r>
      <w:r w:rsidR="00E431F5">
        <w:rPr>
          <w:b/>
          <w:bCs/>
        </w:rPr>
        <w:t xml:space="preserve">the UK Government’s </w:t>
      </w:r>
      <w:r w:rsidR="00E431F5" w:rsidRPr="00E431F5">
        <w:rPr>
          <w:b/>
          <w:bCs/>
        </w:rPr>
        <w:t xml:space="preserve">overseas military operations </w:t>
      </w:r>
      <w:r w:rsidR="001636F5" w:rsidRPr="00E431F5">
        <w:rPr>
          <w:b/>
          <w:bCs/>
        </w:rPr>
        <w:t>is not human rights compliant.</w:t>
      </w:r>
    </w:p>
    <w:p w14:paraId="68FBF024" w14:textId="77777777" w:rsidR="001C59C7" w:rsidRPr="00412597" w:rsidRDefault="001C59C7" w:rsidP="001C59C7">
      <w:pPr>
        <w:ind w:left="720" w:hanging="720"/>
      </w:pPr>
    </w:p>
    <w:p w14:paraId="5EBC47E9" w14:textId="19CDA086" w:rsidR="00604218" w:rsidRDefault="00CC056F" w:rsidP="00CC056F">
      <w:pPr>
        <w:pStyle w:val="Heading2"/>
        <w:rPr>
          <w:shd w:val="clear" w:color="auto" w:fill="FFFFFF"/>
        </w:rPr>
      </w:pPr>
      <w:bookmarkStart w:id="21" w:name="_Toc113010923"/>
      <w:r>
        <w:rPr>
          <w:shd w:val="clear" w:color="auto" w:fill="FFFFFF"/>
        </w:rPr>
        <w:t>Trial by jury</w:t>
      </w:r>
      <w:bookmarkEnd w:id="21"/>
    </w:p>
    <w:p w14:paraId="199DA9E7" w14:textId="76495B3D" w:rsidR="00076122" w:rsidRDefault="47F71F57" w:rsidP="00B44A39">
      <w:pPr>
        <w:ind w:left="720" w:hanging="720"/>
      </w:pPr>
      <w:r>
        <w:t>8.1</w:t>
      </w:r>
      <w:r w:rsidR="75F0465C">
        <w:t>3</w:t>
      </w:r>
      <w:r w:rsidR="00CC056F">
        <w:tab/>
      </w:r>
      <w:r w:rsidR="32D51D36">
        <w:t>T</w:t>
      </w:r>
      <w:r w:rsidR="545D3244">
        <w:t>he right to a fair trial</w:t>
      </w:r>
      <w:r w:rsidR="69D2C367">
        <w:t xml:space="preserve"> </w:t>
      </w:r>
      <w:r w:rsidR="006B4468">
        <w:t xml:space="preserve">under the ECHR </w:t>
      </w:r>
      <w:r w:rsidR="69D2C367">
        <w:t>neither inhibits nor requires trial by jury.</w:t>
      </w:r>
      <w:r w:rsidR="00665282">
        <w:rPr>
          <w:rStyle w:val="FootnoteReference"/>
        </w:rPr>
        <w:footnoteReference w:id="90"/>
      </w:r>
      <w:r w:rsidR="69D2C367">
        <w:t xml:space="preserve"> </w:t>
      </w:r>
      <w:r w:rsidR="581A86B0">
        <w:t>It makes it clear that a legal case must be tried by</w:t>
      </w:r>
      <w:r w:rsidR="041DD359">
        <w:t xml:space="preserve"> a legitimate body “established </w:t>
      </w:r>
      <w:r w:rsidR="5F199483">
        <w:t>by</w:t>
      </w:r>
      <w:r w:rsidR="041DD359">
        <w:t xml:space="preserve"> law”</w:t>
      </w:r>
      <w:r w:rsidR="00F75D6C">
        <w:rPr>
          <w:rStyle w:val="FootnoteReference"/>
        </w:rPr>
        <w:footnoteReference w:id="91"/>
      </w:r>
      <w:r w:rsidR="041DD359">
        <w:t xml:space="preserve"> </w:t>
      </w:r>
      <w:r w:rsidR="6DFE248F">
        <w:t xml:space="preserve">and that </w:t>
      </w:r>
      <w:r w:rsidR="7A829C0C">
        <w:t>a trial is heard by an “independent and impartial tribunal”</w:t>
      </w:r>
      <w:r w:rsidR="17669B62">
        <w:t>,</w:t>
      </w:r>
      <w:r w:rsidR="00215667">
        <w:rPr>
          <w:rStyle w:val="FootnoteReference"/>
        </w:rPr>
        <w:footnoteReference w:id="92"/>
      </w:r>
      <w:r w:rsidR="17669B62">
        <w:t xml:space="preserve"> which extends to jurors.</w:t>
      </w:r>
      <w:r w:rsidR="00215667">
        <w:rPr>
          <w:rStyle w:val="FootnoteReference"/>
        </w:rPr>
        <w:footnoteReference w:id="93"/>
      </w:r>
    </w:p>
    <w:p w14:paraId="1F7B9D58" w14:textId="77777777" w:rsidR="00076122" w:rsidRDefault="00076122" w:rsidP="00B44A39">
      <w:pPr>
        <w:ind w:left="720" w:hanging="720"/>
      </w:pPr>
    </w:p>
    <w:p w14:paraId="42F4EFFC" w14:textId="4180A893" w:rsidR="004613E8" w:rsidRDefault="47F71F57" w:rsidP="00591A3E">
      <w:pPr>
        <w:ind w:left="720" w:hanging="720"/>
      </w:pPr>
      <w:r>
        <w:t>8.1</w:t>
      </w:r>
      <w:r w:rsidR="75F0465C">
        <w:t>4</w:t>
      </w:r>
      <w:r w:rsidR="00076122">
        <w:tab/>
      </w:r>
      <w:r w:rsidR="2B069916">
        <w:t xml:space="preserve">The </w:t>
      </w:r>
      <w:r w:rsidR="5219473C">
        <w:t>present</w:t>
      </w:r>
      <w:r w:rsidR="2B069916">
        <w:t xml:space="preserve"> Bill proposes t</w:t>
      </w:r>
      <w:r w:rsidR="058E7D18">
        <w:t>o expressly protect the right to trial by jury, bar several stated exceptions.</w:t>
      </w:r>
      <w:r w:rsidR="00B44A39">
        <w:rPr>
          <w:rStyle w:val="FootnoteReference"/>
        </w:rPr>
        <w:footnoteReference w:id="94"/>
      </w:r>
      <w:r w:rsidR="7D5405EB">
        <w:t xml:space="preserve"> </w:t>
      </w:r>
    </w:p>
    <w:p w14:paraId="3608693A" w14:textId="77777777" w:rsidR="004613E8" w:rsidRDefault="004613E8" w:rsidP="00591A3E">
      <w:pPr>
        <w:ind w:left="720" w:hanging="720"/>
      </w:pPr>
    </w:p>
    <w:p w14:paraId="04ABAF59" w14:textId="2EDD671B" w:rsidR="00591A3E" w:rsidRDefault="2934997F" w:rsidP="00591A3E">
      <w:pPr>
        <w:ind w:left="720" w:hanging="720"/>
        <w:rPr>
          <w:color w:val="000000"/>
        </w:rPr>
      </w:pPr>
      <w:r>
        <w:t>8.1</w:t>
      </w:r>
      <w:r w:rsidR="75F0465C">
        <w:t>5</w:t>
      </w:r>
      <w:r w:rsidR="004613E8">
        <w:tab/>
      </w:r>
      <w:r>
        <w:t>I</w:t>
      </w:r>
      <w:r w:rsidR="05E7D517">
        <w:t>n NI</w:t>
      </w:r>
      <w:r w:rsidR="399E80E6">
        <w:t>,</w:t>
      </w:r>
      <w:r w:rsidR="05E7D517">
        <w:t xml:space="preserve"> non-jury trials have been temporarily permitted on a continuous rolling basis since 2007.</w:t>
      </w:r>
      <w:r w:rsidR="002458AA">
        <w:rPr>
          <w:rStyle w:val="FootnoteReference"/>
        </w:rPr>
        <w:footnoteReference w:id="95"/>
      </w:r>
      <w:r>
        <w:t xml:space="preserve"> </w:t>
      </w:r>
      <w:r w:rsidR="05E7D517">
        <w:rPr>
          <w:color w:val="000000"/>
        </w:rPr>
        <w:t xml:space="preserve">These decisions are based on the UK Government’s continued assessment that the threat level NI-related terrorism in NI was severe. However, there is a lack of clarity around the conditions whereby the use of non-jury trials will be </w:t>
      </w:r>
      <w:r w:rsidR="05E7D517">
        <w:rPr>
          <w:color w:val="000000"/>
        </w:rPr>
        <w:lastRenderedPageBreak/>
        <w:t>discontinued, leading to a danger that non-jury trials are becoming ‘normalised’ as a semi-permanent feature of NI’s criminal justice system.</w:t>
      </w:r>
      <w:r w:rsidR="002458AA">
        <w:rPr>
          <w:rStyle w:val="FootnoteReference"/>
        </w:rPr>
        <w:footnoteReference w:id="96"/>
      </w:r>
    </w:p>
    <w:p w14:paraId="325AC7AF" w14:textId="5FAB4E01" w:rsidR="004613E8" w:rsidRDefault="004613E8" w:rsidP="00591A3E">
      <w:pPr>
        <w:ind w:left="720" w:hanging="720"/>
        <w:rPr>
          <w:color w:val="000000"/>
        </w:rPr>
      </w:pPr>
    </w:p>
    <w:p w14:paraId="49DC5680" w14:textId="1D8BAC5B" w:rsidR="004613E8" w:rsidRPr="00236ADD" w:rsidRDefault="004613E8" w:rsidP="00591A3E">
      <w:pPr>
        <w:ind w:left="720" w:hanging="720"/>
        <w:rPr>
          <w:b/>
          <w:bCs/>
          <w:color w:val="000000"/>
        </w:rPr>
      </w:pPr>
      <w:r w:rsidRPr="00236ADD">
        <w:rPr>
          <w:b/>
          <w:bCs/>
          <w:color w:val="000000"/>
        </w:rPr>
        <w:t>8.1</w:t>
      </w:r>
      <w:r w:rsidR="00016313">
        <w:rPr>
          <w:b/>
          <w:bCs/>
          <w:color w:val="000000"/>
        </w:rPr>
        <w:t>6</w:t>
      </w:r>
      <w:r w:rsidRPr="00236ADD">
        <w:rPr>
          <w:b/>
          <w:bCs/>
          <w:color w:val="000000"/>
        </w:rPr>
        <w:tab/>
        <w:t xml:space="preserve">The NIHRC advises that </w:t>
      </w:r>
      <w:r w:rsidRPr="00236ADD">
        <w:rPr>
          <w:b/>
          <w:bCs/>
        </w:rPr>
        <w:t>the Bill should expressly state that a decision to enable a non-jury trial should be guided by the principles of proportionality and necessity.</w:t>
      </w:r>
    </w:p>
    <w:p w14:paraId="4EC54E0D" w14:textId="77777777" w:rsidR="00591A3E" w:rsidRPr="00236ADD" w:rsidRDefault="00591A3E" w:rsidP="00591A3E">
      <w:pPr>
        <w:ind w:left="720" w:hanging="720"/>
        <w:rPr>
          <w:b/>
          <w:bCs/>
          <w:color w:val="000000"/>
        </w:rPr>
      </w:pPr>
    </w:p>
    <w:p w14:paraId="0DF818FB" w14:textId="05DF6C9C" w:rsidR="005F7849" w:rsidRPr="00236ADD" w:rsidRDefault="00FC081F" w:rsidP="00591A3E">
      <w:pPr>
        <w:ind w:left="720" w:hanging="720"/>
        <w:rPr>
          <w:b/>
          <w:bCs/>
        </w:rPr>
      </w:pPr>
      <w:r w:rsidRPr="00236ADD">
        <w:rPr>
          <w:b/>
          <w:bCs/>
          <w:color w:val="000000"/>
        </w:rPr>
        <w:t>8.1</w:t>
      </w:r>
      <w:r w:rsidR="00016313">
        <w:rPr>
          <w:b/>
          <w:bCs/>
          <w:color w:val="000000"/>
        </w:rPr>
        <w:t>7</w:t>
      </w:r>
      <w:r w:rsidR="00591A3E" w:rsidRPr="00236ADD">
        <w:rPr>
          <w:b/>
          <w:bCs/>
          <w:color w:val="000000"/>
        </w:rPr>
        <w:tab/>
      </w:r>
      <w:r w:rsidR="004613E8" w:rsidRPr="00236ADD">
        <w:rPr>
          <w:b/>
          <w:bCs/>
          <w:color w:val="000000"/>
        </w:rPr>
        <w:t xml:space="preserve">The NIHRC advises that </w:t>
      </w:r>
      <w:r w:rsidR="008B1F06" w:rsidRPr="00236ADD">
        <w:rPr>
          <w:b/>
          <w:bCs/>
        </w:rPr>
        <w:t xml:space="preserve">the Bill </w:t>
      </w:r>
      <w:r w:rsidR="00236ADD" w:rsidRPr="00236ADD">
        <w:rPr>
          <w:b/>
          <w:bCs/>
        </w:rPr>
        <w:t>should provide</w:t>
      </w:r>
      <w:r w:rsidR="009A54C9" w:rsidRPr="00236ADD">
        <w:rPr>
          <w:b/>
          <w:bCs/>
        </w:rPr>
        <w:t xml:space="preserve"> clarity as to when trial by jury </w:t>
      </w:r>
      <w:r w:rsidR="002458AA" w:rsidRPr="00236ADD">
        <w:rPr>
          <w:b/>
          <w:bCs/>
        </w:rPr>
        <w:t>is</w:t>
      </w:r>
      <w:r w:rsidR="009A54C9" w:rsidRPr="00236ADD">
        <w:rPr>
          <w:b/>
          <w:bCs/>
        </w:rPr>
        <w:t xml:space="preserve"> required.</w:t>
      </w:r>
      <w:r w:rsidR="005F7849" w:rsidRPr="00236ADD">
        <w:rPr>
          <w:b/>
          <w:bCs/>
        </w:rPr>
        <w:t xml:space="preserve"> </w:t>
      </w:r>
    </w:p>
    <w:p w14:paraId="2EF53A0B" w14:textId="4EE0804C" w:rsidR="00F01F39" w:rsidRPr="00A25250" w:rsidRDefault="00F01F39" w:rsidP="00FC081F">
      <w:pPr>
        <w:pStyle w:val="Heading1"/>
        <w:numPr>
          <w:ilvl w:val="0"/>
          <w:numId w:val="19"/>
        </w:numPr>
        <w:rPr>
          <w:lang w:val="en" w:eastAsia="en-GB"/>
        </w:rPr>
      </w:pPr>
      <w:bookmarkStart w:id="22" w:name="_Toc113010924"/>
      <w:r w:rsidRPr="00A25250">
        <w:rPr>
          <w:lang w:val="en" w:eastAsia="en-GB"/>
        </w:rPr>
        <w:t>Devolution</w:t>
      </w:r>
      <w:bookmarkEnd w:id="22"/>
    </w:p>
    <w:p w14:paraId="4D1C2460" w14:textId="1D5467EA" w:rsidR="00BE0604" w:rsidRPr="00A72F3C" w:rsidRDefault="47F71F57" w:rsidP="004010F8">
      <w:pPr>
        <w:pStyle w:val="ListParagraph"/>
        <w:numPr>
          <w:ilvl w:val="1"/>
          <w:numId w:val="0"/>
        </w:numPr>
        <w:ind w:left="720" w:hanging="720"/>
      </w:pPr>
      <w:r>
        <w:rPr>
          <w:rFonts w:cs="Segoe UI"/>
          <w:lang w:val="en" w:eastAsia="en-GB"/>
        </w:rPr>
        <w:t>9.1</w:t>
      </w:r>
      <w:r w:rsidR="00FC081F">
        <w:rPr>
          <w:rFonts w:cs="Segoe UI"/>
          <w:lang w:val="en" w:eastAsia="en-GB"/>
        </w:rPr>
        <w:tab/>
      </w:r>
      <w:r w:rsidR="3BE4BD6B" w:rsidRPr="00473725">
        <w:t>The Belfast (Good Friday) Agreement created a duty on the UK Government to incorporate the ECHR into NI law “with direct access to the courts, and remedies for breach of the</w:t>
      </w:r>
      <w:r w:rsidR="60981731">
        <w:t>… [ECHR]</w:t>
      </w:r>
      <w:r w:rsidR="463703C1">
        <w:t>…</w:t>
      </w:r>
      <w:r w:rsidR="3BE4BD6B" w:rsidRPr="00473725">
        <w:t xml:space="preserve"> including power for the courts to overrule Assembly legislation on grounds of inconsistency”.</w:t>
      </w:r>
      <w:r w:rsidR="00BE0604">
        <w:rPr>
          <w:rStyle w:val="FootnoteReference"/>
        </w:rPr>
        <w:footnoteReference w:id="97"/>
      </w:r>
      <w:r w:rsidR="3BE4BD6B" w:rsidRPr="00473725">
        <w:t xml:space="preserve"> This incorporation was achieved through the H</w:t>
      </w:r>
      <w:r w:rsidR="2218268F">
        <w:t xml:space="preserve">uman </w:t>
      </w:r>
      <w:r w:rsidR="3BE4BD6B" w:rsidRPr="00473725">
        <w:t>R</w:t>
      </w:r>
      <w:r w:rsidR="2218268F">
        <w:t xml:space="preserve">ights </w:t>
      </w:r>
      <w:r w:rsidR="3BE4BD6B" w:rsidRPr="00473725">
        <w:t>A</w:t>
      </w:r>
      <w:r w:rsidR="2218268F">
        <w:t>ct</w:t>
      </w:r>
      <w:r w:rsidR="3BE4BD6B" w:rsidRPr="00473725">
        <w:t xml:space="preserve">. The Belfast (Good Friday) Agreement </w:t>
      </w:r>
      <w:r w:rsidR="3BE4BD6B">
        <w:t>notes compliance with the ECHR is a ‘safeguard’ for the peace process in NI</w:t>
      </w:r>
      <w:r w:rsidR="2218268F">
        <w:t>. It states that:</w:t>
      </w:r>
    </w:p>
    <w:p w14:paraId="4BAC5AFB" w14:textId="77777777" w:rsidR="00BE0604" w:rsidRDefault="00BE0604" w:rsidP="00675702">
      <w:pPr>
        <w:pStyle w:val="ListParagraph"/>
        <w:numPr>
          <w:ilvl w:val="0"/>
          <w:numId w:val="0"/>
        </w:numPr>
      </w:pPr>
    </w:p>
    <w:p w14:paraId="46EEB294" w14:textId="5B2AC774" w:rsidR="00BE0604" w:rsidRDefault="00473725" w:rsidP="004B493D">
      <w:pPr>
        <w:pStyle w:val="Quote"/>
      </w:pPr>
      <w:r>
        <w:t>t</w:t>
      </w:r>
      <w:r w:rsidR="00BE0604">
        <w:t xml:space="preserve">here will be safeguards to ensure that all sections of the community can participate and work together successfully in the operation of these institutions and that all sections of the community are protected, including… </w:t>
      </w:r>
    </w:p>
    <w:p w14:paraId="124D293D" w14:textId="77777777" w:rsidR="004010F8" w:rsidRPr="004010F8" w:rsidRDefault="004010F8" w:rsidP="004010F8"/>
    <w:p w14:paraId="4E45B2F4" w14:textId="66107B6A" w:rsidR="00BE0604" w:rsidRDefault="00BE0604" w:rsidP="004B493D">
      <w:pPr>
        <w:pStyle w:val="Quote"/>
      </w:pPr>
      <w:r>
        <w:t xml:space="preserve">b) the ECHR and any Bill of Rights for </w:t>
      </w:r>
      <w:r w:rsidR="00473725">
        <w:t>NI</w:t>
      </w:r>
      <w:r>
        <w:t xml:space="preserve"> supplementing it, which neither the Assembly nor public bodies can infringe, together with a Human Rights Commission; </w:t>
      </w:r>
    </w:p>
    <w:p w14:paraId="62EF16A7" w14:textId="77777777" w:rsidR="00BE0604" w:rsidRDefault="00BE0604" w:rsidP="00675702">
      <w:pPr>
        <w:pStyle w:val="Quote"/>
      </w:pPr>
    </w:p>
    <w:p w14:paraId="07967426" w14:textId="77777777" w:rsidR="00473725" w:rsidRDefault="3BE4BD6B" w:rsidP="00675702">
      <w:pPr>
        <w:pStyle w:val="Quote"/>
      </w:pPr>
      <w:r>
        <w:t xml:space="preserve">c) arrangements to provide that key decisions and legislation are proofed to ensure that they do not infringe the ECHR and any Bill of Rights for </w:t>
      </w:r>
      <w:r w:rsidR="2218268F">
        <w:t>NI.</w:t>
      </w:r>
      <w:r w:rsidR="00BE0604">
        <w:rPr>
          <w:rStyle w:val="FootnoteReference"/>
        </w:rPr>
        <w:footnoteReference w:id="98"/>
      </w:r>
    </w:p>
    <w:p w14:paraId="7B5F46FB" w14:textId="77777777" w:rsidR="00473725" w:rsidRDefault="00473725" w:rsidP="00473725">
      <w:pPr>
        <w:spacing w:after="186" w:line="276" w:lineRule="auto"/>
        <w:ind w:right="75"/>
        <w:rPr>
          <w:rFonts w:eastAsia="Verdana"/>
        </w:rPr>
      </w:pPr>
    </w:p>
    <w:p w14:paraId="3BAC2251" w14:textId="24EF8F05" w:rsidR="00AD6A79" w:rsidRDefault="00FC081F" w:rsidP="004010F8">
      <w:pPr>
        <w:ind w:left="720" w:right="74" w:hanging="720"/>
        <w:rPr>
          <w:rFonts w:eastAsia="Verdana"/>
        </w:rPr>
      </w:pPr>
      <w:r>
        <w:rPr>
          <w:rFonts w:eastAsia="Verdana"/>
        </w:rPr>
        <w:lastRenderedPageBreak/>
        <w:t>9</w:t>
      </w:r>
      <w:r w:rsidR="00675702">
        <w:rPr>
          <w:rFonts w:eastAsia="Verdana"/>
        </w:rPr>
        <w:t>.</w:t>
      </w:r>
      <w:r w:rsidR="00016313">
        <w:rPr>
          <w:rFonts w:eastAsia="Verdana"/>
        </w:rPr>
        <w:t>2</w:t>
      </w:r>
      <w:r w:rsidR="00675702">
        <w:rPr>
          <w:rFonts w:eastAsia="Verdana"/>
        </w:rPr>
        <w:tab/>
      </w:r>
      <w:r w:rsidR="00BE0604" w:rsidRPr="00473725">
        <w:rPr>
          <w:rFonts w:eastAsia="Verdana"/>
        </w:rPr>
        <w:t>The H</w:t>
      </w:r>
      <w:r w:rsidR="00675702">
        <w:rPr>
          <w:rFonts w:eastAsia="Verdana"/>
        </w:rPr>
        <w:t xml:space="preserve">uman </w:t>
      </w:r>
      <w:r w:rsidR="00BE0604" w:rsidRPr="00473725">
        <w:rPr>
          <w:rFonts w:eastAsia="Verdana"/>
        </w:rPr>
        <w:t>R</w:t>
      </w:r>
      <w:r w:rsidR="00675702">
        <w:rPr>
          <w:rFonts w:eastAsia="Verdana"/>
        </w:rPr>
        <w:t xml:space="preserve">ights </w:t>
      </w:r>
      <w:r w:rsidR="00BE0604" w:rsidRPr="00473725">
        <w:rPr>
          <w:rFonts w:eastAsia="Verdana"/>
        </w:rPr>
        <w:t>A</w:t>
      </w:r>
      <w:r w:rsidR="00675702">
        <w:rPr>
          <w:rFonts w:eastAsia="Verdana"/>
        </w:rPr>
        <w:t>ct</w:t>
      </w:r>
      <w:r w:rsidR="00BE0604" w:rsidRPr="00473725">
        <w:rPr>
          <w:rFonts w:eastAsia="Verdana"/>
        </w:rPr>
        <w:t xml:space="preserve"> therefore has an enhanced constitutional function and role unique to NI</w:t>
      </w:r>
      <w:r w:rsidR="00A20D2A">
        <w:rPr>
          <w:rFonts w:eastAsia="Verdana"/>
        </w:rPr>
        <w:t xml:space="preserve">. The present Bill does not </w:t>
      </w:r>
      <w:r w:rsidR="008A3D08">
        <w:rPr>
          <w:rFonts w:eastAsia="Verdana"/>
        </w:rPr>
        <w:t xml:space="preserve">respect the need to fill the gap that will be created by repealing the 1998 Act and </w:t>
      </w:r>
      <w:r w:rsidR="004B493D">
        <w:rPr>
          <w:rFonts w:eastAsia="Verdana"/>
        </w:rPr>
        <w:t xml:space="preserve">to do so </w:t>
      </w:r>
      <w:r w:rsidR="008A3D08">
        <w:rPr>
          <w:rFonts w:eastAsia="Verdana"/>
        </w:rPr>
        <w:t>in a way that enhances (</w:t>
      </w:r>
      <w:r w:rsidR="004B493D">
        <w:rPr>
          <w:rFonts w:eastAsia="Verdana"/>
        </w:rPr>
        <w:t xml:space="preserve">rather than </w:t>
      </w:r>
      <w:r w:rsidR="008A3D08">
        <w:rPr>
          <w:rFonts w:eastAsia="Verdana"/>
        </w:rPr>
        <w:t>weakens) human rights protections.</w:t>
      </w:r>
    </w:p>
    <w:p w14:paraId="688522F3" w14:textId="77777777" w:rsidR="00AD6A79" w:rsidRDefault="00AD6A79" w:rsidP="004010F8">
      <w:pPr>
        <w:ind w:left="720" w:right="74" w:hanging="720"/>
        <w:rPr>
          <w:rFonts w:eastAsia="Verdana"/>
        </w:rPr>
      </w:pPr>
    </w:p>
    <w:p w14:paraId="2F10BCBD" w14:textId="5572C9E1" w:rsidR="00BE0604" w:rsidRDefault="3BE4BD6B" w:rsidP="00016313">
      <w:pPr>
        <w:pStyle w:val="ListParagraph"/>
        <w:numPr>
          <w:ilvl w:val="1"/>
          <w:numId w:val="20"/>
        </w:numPr>
        <w:ind w:right="74"/>
      </w:pPr>
      <w:r w:rsidRPr="00FC081F">
        <w:t xml:space="preserve">The </w:t>
      </w:r>
      <w:r w:rsidR="463703C1">
        <w:t>NI</w:t>
      </w:r>
      <w:r w:rsidRPr="00FC081F">
        <w:t xml:space="preserve"> Act 1998 incorporates the commitments of the Belfast (Good Friday) Agreement into domestic law and legislates for devolution in NI. The ECHR is embedded into the NI</w:t>
      </w:r>
      <w:r w:rsidR="053A416F" w:rsidRPr="00FC081F">
        <w:t xml:space="preserve"> </w:t>
      </w:r>
      <w:r w:rsidRPr="00FC081F">
        <w:t>A</w:t>
      </w:r>
      <w:r w:rsidR="053A416F" w:rsidRPr="00FC081F">
        <w:t>ct</w:t>
      </w:r>
      <w:r w:rsidRPr="00FC081F">
        <w:t>,</w:t>
      </w:r>
      <w:r w:rsidR="007D34D9">
        <w:rPr>
          <w:rStyle w:val="FootnoteReference"/>
        </w:rPr>
        <w:footnoteReference w:id="99"/>
      </w:r>
      <w:r w:rsidRPr="00FC081F">
        <w:t xml:space="preserve"> </w:t>
      </w:r>
      <w:r w:rsidR="54972DEA">
        <w:t>reflecting</w:t>
      </w:r>
      <w:r w:rsidRPr="00FC081F">
        <w:t xml:space="preserve"> commitments made under the Belfast (Good Friday) Agreement.</w:t>
      </w:r>
      <w:r w:rsidR="00BE0604">
        <w:rPr>
          <w:rStyle w:val="FootnoteReference"/>
        </w:rPr>
        <w:footnoteReference w:id="100"/>
      </w:r>
      <w:r w:rsidRPr="00FC081F">
        <w:t xml:space="preserve"> </w:t>
      </w:r>
    </w:p>
    <w:p w14:paraId="7B5B0397" w14:textId="77777777" w:rsidR="00ED6831" w:rsidRDefault="00ED6831" w:rsidP="004010F8">
      <w:pPr>
        <w:pStyle w:val="ListParagraph"/>
        <w:numPr>
          <w:ilvl w:val="0"/>
          <w:numId w:val="0"/>
        </w:numPr>
        <w:ind w:left="720" w:right="74"/>
      </w:pPr>
    </w:p>
    <w:p w14:paraId="5CAF18BA" w14:textId="6A3F854E" w:rsidR="00ED6831" w:rsidRPr="00854DD7" w:rsidRDefault="47649081" w:rsidP="004010F8">
      <w:pPr>
        <w:pStyle w:val="ListParagraph"/>
        <w:numPr>
          <w:ilvl w:val="1"/>
          <w:numId w:val="20"/>
        </w:numPr>
        <w:ind w:right="74"/>
      </w:pPr>
      <w:r w:rsidRPr="00D112D9">
        <w:t>T</w:t>
      </w:r>
      <w:r w:rsidR="42922F98" w:rsidRPr="00D112D9">
        <w:t>he Belfast (Good Friday) Agreement</w:t>
      </w:r>
      <w:r w:rsidRPr="00D112D9">
        <w:t xml:space="preserve"> </w:t>
      </w:r>
      <w:r w:rsidR="5FB38A2D">
        <w:t xml:space="preserve">also </w:t>
      </w:r>
      <w:r w:rsidRPr="00D112D9">
        <w:t xml:space="preserve">commits the Government of Ireland to ensure </w:t>
      </w:r>
      <w:r w:rsidR="54972DEA">
        <w:rPr>
          <w:rFonts w:cs="Poppins"/>
          <w:shd w:val="clear" w:color="auto" w:fill="FFFFFF"/>
        </w:rPr>
        <w:t>“</w:t>
      </w:r>
      <w:r w:rsidRPr="00FC081F">
        <w:rPr>
          <w:rFonts w:cs="Poppins"/>
          <w:shd w:val="clear" w:color="auto" w:fill="FFFFFF"/>
        </w:rPr>
        <w:t>at least a comparable level of protection of human rights as will pertain in NI</w:t>
      </w:r>
      <w:r w:rsidR="54972DEA">
        <w:rPr>
          <w:rFonts w:cs="Poppins"/>
          <w:shd w:val="clear" w:color="auto" w:fill="FFFFFF"/>
        </w:rPr>
        <w:t>”</w:t>
      </w:r>
      <w:r w:rsidRPr="00D112D9">
        <w:t>.</w:t>
      </w:r>
      <w:r w:rsidR="00CA1958">
        <w:rPr>
          <w:rStyle w:val="FootnoteReference"/>
        </w:rPr>
        <w:footnoteReference w:id="101"/>
      </w:r>
      <w:r w:rsidR="42922F98" w:rsidRPr="00D112D9">
        <w:t xml:space="preserve"> </w:t>
      </w:r>
      <w:r w:rsidRPr="00D112D9">
        <w:t>This is</w:t>
      </w:r>
      <w:r w:rsidR="42922F98" w:rsidRPr="00FC081F">
        <w:t xml:space="preserve"> given effect through the </w:t>
      </w:r>
      <w:r w:rsidRPr="00D112D9">
        <w:t>Human Rights Act</w:t>
      </w:r>
      <w:r w:rsidR="22092DEA">
        <w:t xml:space="preserve"> </w:t>
      </w:r>
      <w:r w:rsidRPr="00D112D9">
        <w:t xml:space="preserve">and the </w:t>
      </w:r>
      <w:r w:rsidR="61DAAC3A" w:rsidRPr="00D112D9">
        <w:t xml:space="preserve">Government of Ireland’s </w:t>
      </w:r>
      <w:r w:rsidR="42922F98" w:rsidRPr="00FC081F">
        <w:t>ECHR Act 2003.</w:t>
      </w:r>
      <w:r w:rsidR="61DAAC3A">
        <w:t xml:space="preserve"> The </w:t>
      </w:r>
      <w:r w:rsidR="7905DE37">
        <w:t>present Bill</w:t>
      </w:r>
      <w:r w:rsidR="61DAAC3A" w:rsidRPr="00F74784">
        <w:t xml:space="preserve"> </w:t>
      </w:r>
      <w:r w:rsidR="61DAAC3A" w:rsidRPr="00FC081F">
        <w:rPr>
          <w:rFonts w:cs="Poppins"/>
          <w:shd w:val="clear" w:color="auto" w:fill="FFFFFF"/>
        </w:rPr>
        <w:t xml:space="preserve">will water down the protection of human rights in </w:t>
      </w:r>
      <w:r w:rsidR="795ED1C2" w:rsidRPr="00FC081F">
        <w:rPr>
          <w:rFonts w:cs="Poppins"/>
          <w:shd w:val="clear" w:color="auto" w:fill="FFFFFF"/>
        </w:rPr>
        <w:t>NI</w:t>
      </w:r>
      <w:r w:rsidR="61DAAC3A" w:rsidRPr="00FC081F">
        <w:rPr>
          <w:rFonts w:cs="Poppins"/>
          <w:shd w:val="clear" w:color="auto" w:fill="FFFFFF"/>
        </w:rPr>
        <w:t xml:space="preserve">, thus potentially bringing about discrepancies between the level of human rights protection </w:t>
      </w:r>
      <w:r w:rsidR="795ED1C2" w:rsidRPr="00FC081F">
        <w:rPr>
          <w:rFonts w:cs="Poppins"/>
          <w:shd w:val="clear" w:color="auto" w:fill="FFFFFF"/>
        </w:rPr>
        <w:t>with Ireland</w:t>
      </w:r>
      <w:r w:rsidR="61DAAC3A" w:rsidRPr="00FC081F">
        <w:rPr>
          <w:rFonts w:cs="Poppins"/>
          <w:shd w:val="clear" w:color="auto" w:fill="FFFFFF"/>
        </w:rPr>
        <w:t>.</w:t>
      </w:r>
      <w:r w:rsidR="61DAAC3A" w:rsidRPr="00FC081F">
        <w:rPr>
          <w:rFonts w:ascii="Poppins" w:hAnsi="Poppins" w:cs="Poppins"/>
          <w:sz w:val="21"/>
          <w:szCs w:val="21"/>
          <w:shd w:val="clear" w:color="auto" w:fill="FFFFFF"/>
        </w:rPr>
        <w:t xml:space="preserve"> </w:t>
      </w:r>
    </w:p>
    <w:p w14:paraId="3B7F4B75" w14:textId="77777777" w:rsidR="002F7B84" w:rsidRDefault="002F7B84" w:rsidP="00854DD7">
      <w:pPr>
        <w:pStyle w:val="ListParagraph"/>
        <w:numPr>
          <w:ilvl w:val="0"/>
          <w:numId w:val="0"/>
        </w:numPr>
      </w:pPr>
    </w:p>
    <w:p w14:paraId="62D25E7A" w14:textId="3F2AE7AD" w:rsidR="002F7B84" w:rsidRPr="00FC081F" w:rsidRDefault="002F7B84" w:rsidP="004010F8">
      <w:pPr>
        <w:pStyle w:val="ListParagraph"/>
        <w:numPr>
          <w:ilvl w:val="1"/>
          <w:numId w:val="20"/>
        </w:numPr>
        <w:ind w:right="74"/>
      </w:pPr>
      <w:r>
        <w:t xml:space="preserve">Protocol Article 2 reflects the recognition by both the UK and EU that special consideration of human rights and equality in the Belfast (Good Friday) Agreement was essential as the UK left the EU. As such the UK Government committed to ensuring there would be </w:t>
      </w:r>
      <w:r w:rsidRPr="00756F53">
        <w:t xml:space="preserve">no diminution of </w:t>
      </w:r>
      <w:r>
        <w:t xml:space="preserve">the </w:t>
      </w:r>
      <w:r w:rsidRPr="00756F53">
        <w:t>rights, safeguards and equality of opportunit</w:t>
      </w:r>
      <w:r>
        <w:t>y</w:t>
      </w:r>
      <w:r w:rsidRPr="00756F53">
        <w:t xml:space="preserve"> in the relevant part of the Agreement as a result of the UK’s withdrawal from the EU.</w:t>
      </w:r>
      <w:r>
        <w:t xml:space="preserve"> </w:t>
      </w:r>
    </w:p>
    <w:p w14:paraId="5AAAD0F5" w14:textId="77777777" w:rsidR="003C4748" w:rsidRPr="003C4748" w:rsidRDefault="003C4748" w:rsidP="00576F91">
      <w:pPr>
        <w:pStyle w:val="ListParagraph"/>
        <w:numPr>
          <w:ilvl w:val="0"/>
          <w:numId w:val="0"/>
        </w:numPr>
        <w:spacing w:before="0"/>
        <w:ind w:left="720" w:right="74"/>
      </w:pPr>
    </w:p>
    <w:p w14:paraId="1CD50547" w14:textId="24917DCD" w:rsidR="003C4748" w:rsidRPr="00A50076" w:rsidRDefault="00BE0604" w:rsidP="00576F91">
      <w:pPr>
        <w:pStyle w:val="ListParagraph"/>
        <w:numPr>
          <w:ilvl w:val="1"/>
          <w:numId w:val="20"/>
        </w:numPr>
        <w:spacing w:before="0" w:after="186"/>
        <w:jc w:val="left"/>
        <w:rPr>
          <w:b/>
          <w:bCs/>
        </w:rPr>
      </w:pPr>
      <w:r w:rsidRPr="00A50076">
        <w:rPr>
          <w:b/>
          <w:bCs/>
        </w:rPr>
        <w:t xml:space="preserve">The NIHRC </w:t>
      </w:r>
      <w:r w:rsidR="00A50076">
        <w:rPr>
          <w:b/>
          <w:bCs/>
        </w:rPr>
        <w:t>advises</w:t>
      </w:r>
      <w:r w:rsidR="00813869" w:rsidRPr="00A50076">
        <w:rPr>
          <w:b/>
          <w:bCs/>
        </w:rPr>
        <w:t xml:space="preserve"> that the present Bill </w:t>
      </w:r>
      <w:r w:rsidR="00527BB5" w:rsidRPr="00A50076">
        <w:rPr>
          <w:b/>
          <w:bCs/>
        </w:rPr>
        <w:t>does not adequately consider the Belfast (Good Friday) Agreement, and the integral role of both the Human Rights Act and ECHR in the complex fabric of the NI Peace Process</w:t>
      </w:r>
      <w:r w:rsidR="00002763" w:rsidRPr="00A50076">
        <w:rPr>
          <w:b/>
          <w:bCs/>
        </w:rPr>
        <w:t xml:space="preserve"> and devolution.</w:t>
      </w:r>
      <w:r w:rsidR="00A50076">
        <w:rPr>
          <w:b/>
          <w:bCs/>
        </w:rPr>
        <w:t xml:space="preserve"> The NIHRC is particularly concerned </w:t>
      </w:r>
      <w:r w:rsidR="005208E9">
        <w:rPr>
          <w:b/>
          <w:bCs/>
        </w:rPr>
        <w:t xml:space="preserve">that the present Bill </w:t>
      </w:r>
      <w:r w:rsidR="004B493D">
        <w:rPr>
          <w:b/>
          <w:bCs/>
        </w:rPr>
        <w:t>appears to be incompatible with</w:t>
      </w:r>
      <w:r w:rsidR="005208E9">
        <w:rPr>
          <w:b/>
          <w:bCs/>
        </w:rPr>
        <w:t xml:space="preserve"> obligations under the Belfast (Good Friday) Agreement to </w:t>
      </w:r>
      <w:r w:rsidR="00CB0D66">
        <w:rPr>
          <w:b/>
          <w:bCs/>
        </w:rPr>
        <w:t>incorporate the ECHR and provide direct access to the courts.</w:t>
      </w:r>
    </w:p>
    <w:p w14:paraId="2585CDC4" w14:textId="50E464C3" w:rsidR="6EF483D1" w:rsidRDefault="6EF483D1" w:rsidP="6EF483D1">
      <w:pPr>
        <w:spacing w:after="186"/>
        <w:jc w:val="left"/>
        <w:rPr>
          <w:rFonts w:eastAsia="Yu Mincho" w:cs="Times New Roman"/>
          <w:b/>
          <w:bCs/>
        </w:rPr>
      </w:pPr>
    </w:p>
    <w:p w14:paraId="4CC2220E" w14:textId="3861434C" w:rsidR="7CCB27CE" w:rsidRDefault="7CCB27CE" w:rsidP="6EF483D1">
      <w:pPr>
        <w:pStyle w:val="Heading1"/>
        <w:rPr>
          <w:rFonts w:eastAsia="Yu Gothic Light" w:cs="Times New Roman"/>
          <w:bCs/>
          <w:szCs w:val="30"/>
        </w:rPr>
      </w:pPr>
      <w:bookmarkStart w:id="23" w:name="_Toc113010925"/>
      <w:r>
        <w:lastRenderedPageBreak/>
        <w:t>10.0 NIHRC’s Powers</w:t>
      </w:r>
      <w:bookmarkEnd w:id="23"/>
    </w:p>
    <w:p w14:paraId="07AA1821" w14:textId="03A13014" w:rsidR="7CCB27CE" w:rsidRDefault="7CCB27CE" w:rsidP="00576F91">
      <w:pPr>
        <w:ind w:left="720" w:hanging="720"/>
        <w:rPr>
          <w:rFonts w:eastAsia="Verdana" w:cs="Verdana"/>
        </w:rPr>
      </w:pPr>
      <w:r w:rsidRPr="6EF483D1">
        <w:rPr>
          <w:rFonts w:eastAsia="Yu Mincho"/>
        </w:rPr>
        <w:t>10.1</w:t>
      </w:r>
      <w:r>
        <w:tab/>
      </w:r>
      <w:r w:rsidRPr="6EF483D1">
        <w:rPr>
          <w:rFonts w:eastAsia="Verdana" w:cs="Verdana"/>
        </w:rPr>
        <w:t xml:space="preserve">The </w:t>
      </w:r>
      <w:r w:rsidR="007A116F">
        <w:rPr>
          <w:rFonts w:eastAsia="Verdana" w:cs="Verdana"/>
        </w:rPr>
        <w:t>present Bill</w:t>
      </w:r>
      <w:r w:rsidRPr="6EF483D1">
        <w:rPr>
          <w:rFonts w:eastAsia="Verdana" w:cs="Verdana"/>
        </w:rPr>
        <w:t xml:space="preserve"> </w:t>
      </w:r>
      <w:r w:rsidR="009452A3">
        <w:rPr>
          <w:rFonts w:eastAsia="Verdana" w:cs="Verdana"/>
        </w:rPr>
        <w:t xml:space="preserve">proposes </w:t>
      </w:r>
      <w:r w:rsidRPr="6EF483D1">
        <w:rPr>
          <w:rFonts w:eastAsia="Verdana" w:cs="Verdana"/>
        </w:rPr>
        <w:t>strict limits on who can initiate a challenge</w:t>
      </w:r>
      <w:r w:rsidR="007A116F">
        <w:rPr>
          <w:rFonts w:eastAsia="Verdana" w:cs="Verdana"/>
        </w:rPr>
        <w:t>.</w:t>
      </w:r>
      <w:r w:rsidR="00B2299E">
        <w:rPr>
          <w:rStyle w:val="FootnoteReference"/>
          <w:rFonts w:eastAsia="Verdana" w:cs="Verdana"/>
        </w:rPr>
        <w:footnoteReference w:id="102"/>
      </w:r>
      <w:r w:rsidR="007A116F">
        <w:rPr>
          <w:rFonts w:eastAsia="Verdana" w:cs="Verdana"/>
        </w:rPr>
        <w:t xml:space="preserve"> It</w:t>
      </w:r>
      <w:r w:rsidRPr="6EF483D1">
        <w:rPr>
          <w:rFonts w:eastAsia="Verdana" w:cs="Verdana"/>
        </w:rPr>
        <w:t xml:space="preserve"> omits reference to the NIHRC's right to bring own motion cases without a victim</w:t>
      </w:r>
      <w:r w:rsidR="00B2299E">
        <w:rPr>
          <w:rFonts w:eastAsia="Verdana" w:cs="Verdana"/>
        </w:rPr>
        <w:t>.</w:t>
      </w:r>
      <w:r w:rsidR="00B2299E">
        <w:rPr>
          <w:rStyle w:val="FootnoteReference"/>
          <w:rFonts w:eastAsia="Verdana" w:cs="Verdana"/>
        </w:rPr>
        <w:footnoteReference w:id="103"/>
      </w:r>
      <w:r w:rsidR="007A116F">
        <w:rPr>
          <w:rFonts w:eastAsia="Verdana" w:cs="Verdana"/>
        </w:rPr>
        <w:t xml:space="preserve"> </w:t>
      </w:r>
      <w:r w:rsidRPr="6EF483D1">
        <w:rPr>
          <w:rFonts w:eastAsia="Verdana" w:cs="Verdana"/>
        </w:rPr>
        <w:t xml:space="preserve">This </w:t>
      </w:r>
      <w:r w:rsidR="00A85682">
        <w:rPr>
          <w:rFonts w:eastAsia="Verdana" w:cs="Verdana"/>
        </w:rPr>
        <w:t>affects the NIHRC’s right to bring own motion cases</w:t>
      </w:r>
      <w:r w:rsidR="00792711">
        <w:rPr>
          <w:rFonts w:eastAsia="Verdana" w:cs="Verdana"/>
        </w:rPr>
        <w:t>, further limiting the NIHRC’s powers to litigate</w:t>
      </w:r>
      <w:r w:rsidRPr="6EF483D1">
        <w:rPr>
          <w:rFonts w:eastAsia="Verdana" w:cs="Verdana"/>
        </w:rPr>
        <w:t>.</w:t>
      </w:r>
      <w:r w:rsidR="009E4E56">
        <w:rPr>
          <w:rFonts w:eastAsia="Verdana" w:cs="Verdana"/>
        </w:rPr>
        <w:t xml:space="preserve"> </w:t>
      </w:r>
      <w:r w:rsidR="00792711">
        <w:rPr>
          <w:rFonts w:eastAsia="Verdana" w:cs="Verdana"/>
        </w:rPr>
        <w:t>It is</w:t>
      </w:r>
      <w:r w:rsidR="009E4E56">
        <w:rPr>
          <w:rFonts w:eastAsia="Verdana" w:cs="Verdana"/>
        </w:rPr>
        <w:t xml:space="preserve"> underst</w:t>
      </w:r>
      <w:r w:rsidR="00792711">
        <w:rPr>
          <w:rFonts w:eastAsia="Verdana" w:cs="Verdana"/>
        </w:rPr>
        <w:t>ood</w:t>
      </w:r>
      <w:r w:rsidR="009E4E56">
        <w:rPr>
          <w:rFonts w:eastAsia="Verdana" w:cs="Verdana"/>
        </w:rPr>
        <w:t xml:space="preserve"> that </w:t>
      </w:r>
      <w:r w:rsidR="000A24BA">
        <w:rPr>
          <w:rFonts w:eastAsia="Verdana" w:cs="Verdana"/>
        </w:rPr>
        <w:t xml:space="preserve">the UK </w:t>
      </w:r>
      <w:r w:rsidR="000A24BA" w:rsidRPr="000A24BA">
        <w:rPr>
          <w:rFonts w:eastAsia="Verdana" w:cs="Verdana"/>
        </w:rPr>
        <w:t xml:space="preserve">Government </w:t>
      </w:r>
      <w:r w:rsidR="00792711">
        <w:rPr>
          <w:rFonts w:eastAsia="Verdana" w:cs="Verdana"/>
        </w:rPr>
        <w:t>intends</w:t>
      </w:r>
      <w:r w:rsidR="000A24BA" w:rsidRPr="000A24BA">
        <w:rPr>
          <w:rFonts w:eastAsia="Verdana" w:cs="Verdana"/>
        </w:rPr>
        <w:t xml:space="preserve"> to introduce an amendment to remedy</w:t>
      </w:r>
      <w:r w:rsidR="000A24BA">
        <w:rPr>
          <w:rFonts w:eastAsia="Verdana" w:cs="Verdana"/>
        </w:rPr>
        <w:t>,</w:t>
      </w:r>
      <w:r w:rsidR="000A24BA" w:rsidRPr="000A24BA">
        <w:rPr>
          <w:rFonts w:eastAsia="Verdana" w:cs="Verdana"/>
        </w:rPr>
        <w:t xml:space="preserve"> but </w:t>
      </w:r>
      <w:r w:rsidR="00792711">
        <w:rPr>
          <w:rFonts w:eastAsia="Verdana" w:cs="Verdana"/>
        </w:rPr>
        <w:t>the NIHRC has</w:t>
      </w:r>
      <w:r w:rsidR="000A24BA" w:rsidRPr="000A24BA">
        <w:rPr>
          <w:rFonts w:eastAsia="Verdana" w:cs="Verdana"/>
        </w:rPr>
        <w:t xml:space="preserve"> not yet had sight of this.</w:t>
      </w:r>
    </w:p>
    <w:p w14:paraId="2DE83EFF" w14:textId="0D5BB14D" w:rsidR="009E4E56" w:rsidRDefault="009E4E56" w:rsidP="00576F91">
      <w:pPr>
        <w:ind w:left="720" w:hanging="720"/>
        <w:rPr>
          <w:rFonts w:eastAsia="Verdana" w:cs="Verdana"/>
        </w:rPr>
      </w:pPr>
    </w:p>
    <w:p w14:paraId="11AD8C2D" w14:textId="443BE821" w:rsidR="000A24BA" w:rsidRPr="000B646E" w:rsidRDefault="000A24BA" w:rsidP="00576F91">
      <w:pPr>
        <w:ind w:left="720" w:hanging="720"/>
        <w:rPr>
          <w:rFonts w:eastAsia="Verdana" w:cs="Verdana"/>
          <w:b/>
          <w:bCs/>
        </w:rPr>
      </w:pPr>
      <w:r w:rsidRPr="000B646E">
        <w:rPr>
          <w:rFonts w:eastAsia="Verdana" w:cs="Verdana"/>
          <w:b/>
          <w:bCs/>
        </w:rPr>
        <w:t>10.2</w:t>
      </w:r>
      <w:r w:rsidRPr="000B646E">
        <w:rPr>
          <w:rFonts w:eastAsia="Verdana" w:cs="Verdana"/>
          <w:b/>
          <w:bCs/>
        </w:rPr>
        <w:tab/>
        <w:t xml:space="preserve">The NIHRC advises that </w:t>
      </w:r>
      <w:r w:rsidR="000B646E" w:rsidRPr="000B646E">
        <w:rPr>
          <w:rFonts w:eastAsia="Verdana" w:cs="Verdana"/>
          <w:b/>
          <w:bCs/>
        </w:rPr>
        <w:t>the present Bill should ensure that the NIHRC has the powers to bring own motion cases without a victim.</w:t>
      </w:r>
    </w:p>
    <w:p w14:paraId="633DBE29" w14:textId="5805E9EC" w:rsidR="6EF483D1" w:rsidRDefault="6EF483D1" w:rsidP="6EF483D1">
      <w:pPr>
        <w:rPr>
          <w:rFonts w:eastAsia="Yu Mincho"/>
        </w:rPr>
      </w:pPr>
    </w:p>
    <w:p w14:paraId="62602D72" w14:textId="41CE2A31" w:rsidR="00FC081F" w:rsidRDefault="00FC081F">
      <w:pPr>
        <w:spacing w:line="360" w:lineRule="auto"/>
        <w:rPr>
          <w:rFonts w:cs="Segoe UI"/>
          <w:lang w:val="en" w:eastAsia="en-GB"/>
        </w:rPr>
      </w:pPr>
      <w:r>
        <w:rPr>
          <w:rFonts w:cs="Segoe UI"/>
          <w:lang w:val="en" w:eastAsia="en-GB"/>
        </w:rPr>
        <w:br w:type="page"/>
      </w:r>
    </w:p>
    <w:p w14:paraId="67DD2741" w14:textId="77777777" w:rsidR="006B0D35" w:rsidRDefault="006B0D35" w:rsidP="006B0D35">
      <w:pPr>
        <w:ind w:left="720" w:hanging="720"/>
      </w:pPr>
    </w:p>
    <w:p w14:paraId="2A37E359" w14:textId="77777777" w:rsidR="006B0D35" w:rsidRDefault="006B0D35" w:rsidP="006B0D35">
      <w:pPr>
        <w:ind w:left="720" w:hanging="720"/>
      </w:pPr>
    </w:p>
    <w:p w14:paraId="3D19950A" w14:textId="77777777" w:rsidR="006B0D35" w:rsidRDefault="006B0D35" w:rsidP="006B0D35">
      <w:pPr>
        <w:ind w:left="720" w:hanging="720"/>
      </w:pPr>
    </w:p>
    <w:p w14:paraId="197773F5" w14:textId="77777777" w:rsidR="006B0D35" w:rsidRDefault="006B0D35" w:rsidP="006B0D35">
      <w:pPr>
        <w:ind w:left="720" w:hanging="720"/>
      </w:pPr>
    </w:p>
    <w:p w14:paraId="16A830E2" w14:textId="77777777" w:rsidR="006B0D35" w:rsidRDefault="006B0D35" w:rsidP="006B0D35">
      <w:pPr>
        <w:ind w:left="720" w:hanging="720"/>
      </w:pPr>
    </w:p>
    <w:p w14:paraId="4D680E64" w14:textId="77777777" w:rsidR="006B0D35" w:rsidRDefault="006B0D35" w:rsidP="006B0D35">
      <w:pPr>
        <w:ind w:left="720" w:hanging="720"/>
      </w:pPr>
    </w:p>
    <w:p w14:paraId="2BFCE653" w14:textId="77777777" w:rsidR="006B0D35" w:rsidRDefault="006B0D35" w:rsidP="006B0D35">
      <w:pPr>
        <w:ind w:left="720" w:hanging="720"/>
      </w:pPr>
    </w:p>
    <w:p w14:paraId="201CC962" w14:textId="77777777" w:rsidR="006B0D35" w:rsidRDefault="006B0D35" w:rsidP="006B0D35">
      <w:pPr>
        <w:ind w:left="720" w:hanging="720"/>
      </w:pPr>
    </w:p>
    <w:p w14:paraId="0B66762B" w14:textId="77777777" w:rsidR="006B0D35" w:rsidRDefault="006B0D35" w:rsidP="006B0D35">
      <w:pPr>
        <w:ind w:left="720" w:hanging="720"/>
      </w:pPr>
    </w:p>
    <w:p w14:paraId="74D0009F" w14:textId="77777777" w:rsidR="006B0D35" w:rsidRPr="00C0550B" w:rsidRDefault="006B0D35" w:rsidP="006B0D35">
      <w:pPr>
        <w:ind w:left="720" w:hanging="720"/>
        <w:jc w:val="center"/>
      </w:pPr>
      <w:r w:rsidRPr="00331C61">
        <w:rPr>
          <w:rFonts w:cs="Arial"/>
          <w:b/>
          <w:bCs/>
          <w:color w:val="77328A"/>
          <w:sz w:val="36"/>
          <w:szCs w:val="36"/>
        </w:rPr>
        <w:t>Co</w:t>
      </w:r>
      <w:r>
        <w:rPr>
          <w:rFonts w:cs="Arial"/>
          <w:b/>
          <w:bCs/>
          <w:color w:val="77328A"/>
          <w:sz w:val="36"/>
          <w:szCs w:val="36"/>
        </w:rPr>
        <w:t>ntact us</w:t>
      </w:r>
    </w:p>
    <w:p w14:paraId="6AB4CC05" w14:textId="77777777" w:rsidR="006B0D35" w:rsidRPr="00331C61" w:rsidRDefault="006B0D35" w:rsidP="006B0D35">
      <w:pPr>
        <w:pStyle w:val="BasicParagraph"/>
        <w:suppressAutoHyphens/>
        <w:jc w:val="center"/>
        <w:rPr>
          <w:rFonts w:ascii="Verdana" w:hAnsi="Verdana" w:cs="Arial"/>
          <w:b/>
          <w:color w:val="77328A"/>
          <w:sz w:val="36"/>
          <w:szCs w:val="36"/>
        </w:rPr>
      </w:pPr>
    </w:p>
    <w:p w14:paraId="3503CA30" w14:textId="77777777" w:rsidR="006B0D35" w:rsidRDefault="006B0D35" w:rsidP="006B0D35">
      <w:pPr>
        <w:jc w:val="center"/>
        <w:rPr>
          <w:rFonts w:cs="Arial"/>
          <w:b/>
          <w:color w:val="232120"/>
          <w:sz w:val="30"/>
          <w:szCs w:val="30"/>
        </w:rPr>
      </w:pPr>
      <w:r>
        <w:rPr>
          <w:rFonts w:cs="Arial"/>
          <w:b/>
          <w:color w:val="232120"/>
          <w:sz w:val="30"/>
          <w:szCs w:val="30"/>
        </w:rPr>
        <w:t xml:space="preserve">Please send any queries to </w:t>
      </w:r>
      <w:hyperlink r:id="rId12" w:history="1">
        <w:r w:rsidRPr="00BD5EAE">
          <w:rPr>
            <w:rStyle w:val="Hyperlink"/>
            <w:rFonts w:cs="Arial"/>
            <w:b/>
            <w:sz w:val="30"/>
            <w:szCs w:val="30"/>
          </w:rPr>
          <w:t>Rhyannon.Blythe@nihrc.org</w:t>
        </w:r>
      </w:hyperlink>
    </w:p>
    <w:p w14:paraId="6D705C44" w14:textId="77777777" w:rsidR="006B0D35" w:rsidRPr="00331C61" w:rsidRDefault="006B0D35" w:rsidP="006B0D35">
      <w:pPr>
        <w:rPr>
          <w:rFonts w:cs="Arial"/>
          <w:b/>
          <w:color w:val="232120"/>
          <w:sz w:val="30"/>
          <w:szCs w:val="30"/>
        </w:rPr>
      </w:pPr>
    </w:p>
    <w:p w14:paraId="0A908BD3" w14:textId="77777777" w:rsidR="006B0D35" w:rsidRPr="00331C61" w:rsidRDefault="006B0D35" w:rsidP="006B0D35">
      <w:pPr>
        <w:jc w:val="center"/>
        <w:rPr>
          <w:rFonts w:cs="Arial"/>
          <w:b/>
          <w:color w:val="232120"/>
          <w:sz w:val="30"/>
          <w:szCs w:val="30"/>
        </w:rPr>
      </w:pPr>
    </w:p>
    <w:p w14:paraId="6650DF83" w14:textId="77777777" w:rsidR="006B0D35" w:rsidRPr="00331C61" w:rsidRDefault="006B0D35" w:rsidP="006B0D35">
      <w:pPr>
        <w:jc w:val="center"/>
        <w:rPr>
          <w:rFonts w:cs="Arial"/>
          <w:b/>
          <w:color w:val="232120"/>
          <w:sz w:val="30"/>
          <w:szCs w:val="30"/>
        </w:rPr>
      </w:pPr>
    </w:p>
    <w:p w14:paraId="479B97D4" w14:textId="77777777" w:rsidR="006B0D35" w:rsidRPr="00331C61" w:rsidRDefault="00000000" w:rsidP="006B0D35">
      <w:pPr>
        <w:jc w:val="center"/>
        <w:rPr>
          <w:rFonts w:cs="Arial"/>
          <w:color w:val="232120"/>
          <w:sz w:val="28"/>
          <w:szCs w:val="28"/>
        </w:rPr>
      </w:pPr>
      <w:hyperlink r:id="rId13" w:history="1">
        <w:r w:rsidR="006B0D35" w:rsidRPr="00331C61">
          <w:rPr>
            <w:rStyle w:val="Hyperlink"/>
            <w:rFonts w:cs="Arial"/>
            <w:color w:val="232120"/>
            <w:sz w:val="28"/>
            <w:szCs w:val="28"/>
            <w:lang w:val="en-US"/>
          </w:rPr>
          <w:t>www.nihrc.org</w:t>
        </w:r>
      </w:hyperlink>
      <w:r w:rsidR="006B0D35" w:rsidRPr="00331C61">
        <w:rPr>
          <w:rFonts w:cs="Arial"/>
          <w:color w:val="232120"/>
          <w:sz w:val="28"/>
          <w:szCs w:val="28"/>
          <w:lang w:val="en-US"/>
        </w:rPr>
        <w:t xml:space="preserve">  |  </w:t>
      </w:r>
      <w:hyperlink r:id="rId14" w:history="1">
        <w:r w:rsidR="006B0D35" w:rsidRPr="00331C61">
          <w:rPr>
            <w:rStyle w:val="Hyperlink"/>
            <w:rFonts w:cs="Arial"/>
            <w:color w:val="232120"/>
            <w:sz w:val="28"/>
            <w:szCs w:val="28"/>
            <w:lang w:val="en-US"/>
          </w:rPr>
          <w:t>info@nihrc.org</w:t>
        </w:r>
      </w:hyperlink>
      <w:r w:rsidR="006B0D35" w:rsidRPr="00331C61">
        <w:rPr>
          <w:rFonts w:cs="Arial"/>
          <w:color w:val="232120"/>
          <w:sz w:val="28"/>
          <w:szCs w:val="28"/>
          <w:lang w:val="en-US"/>
        </w:rPr>
        <w:t xml:space="preserve">  |  +44 (0)28 9024 3987</w:t>
      </w:r>
    </w:p>
    <w:p w14:paraId="371C87CB" w14:textId="77777777" w:rsidR="006B0D35" w:rsidRPr="00331C61" w:rsidRDefault="006B0D35" w:rsidP="006B0D35">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C92402D" w14:textId="77777777" w:rsidR="006B0D35" w:rsidRPr="00331C61" w:rsidRDefault="006B0D35" w:rsidP="006B0D35">
      <w:pPr>
        <w:jc w:val="center"/>
        <w:rPr>
          <w:rFonts w:cs="Arial"/>
          <w:b/>
          <w:color w:val="232120"/>
          <w:sz w:val="28"/>
          <w:szCs w:val="28"/>
        </w:rPr>
      </w:pPr>
    </w:p>
    <w:p w14:paraId="71B4D87C" w14:textId="77777777" w:rsidR="006B0D35" w:rsidRPr="00331C61" w:rsidRDefault="006B0D35" w:rsidP="006B0D35">
      <w:pPr>
        <w:jc w:val="center"/>
        <w:rPr>
          <w:rFonts w:cs="Arial"/>
          <w:color w:val="232120"/>
          <w:sz w:val="20"/>
          <w:szCs w:val="20"/>
        </w:rPr>
      </w:pPr>
    </w:p>
    <w:p w14:paraId="41E1FA98" w14:textId="77777777" w:rsidR="006B0D35" w:rsidRPr="00331C61" w:rsidRDefault="006B0D35" w:rsidP="006B0D35">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5576247" wp14:editId="5461F517">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03AA032" w14:textId="77777777" w:rsidR="006B0D35" w:rsidRPr="00D67517" w:rsidRDefault="006B0D35" w:rsidP="00FC081F">
      <w:pPr>
        <w:pStyle w:val="ListParagraph"/>
        <w:numPr>
          <w:ilvl w:val="0"/>
          <w:numId w:val="0"/>
        </w:numPr>
        <w:spacing w:line="360" w:lineRule="auto"/>
        <w:ind w:left="720" w:hanging="720"/>
        <w:rPr>
          <w:rFonts w:cs="Segoe UI"/>
          <w:lang w:val="en" w:eastAsia="en-GB"/>
        </w:rPr>
      </w:pPr>
    </w:p>
    <w:sectPr w:rsidR="006B0D35" w:rsidRPr="00D6751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D142" w14:textId="77777777" w:rsidR="002D41BC" w:rsidRDefault="002D41BC" w:rsidP="00DB0F0C">
      <w:pPr>
        <w:spacing w:line="240" w:lineRule="auto"/>
      </w:pPr>
      <w:r>
        <w:separator/>
      </w:r>
    </w:p>
  </w:endnote>
  <w:endnote w:type="continuationSeparator" w:id="0">
    <w:p w14:paraId="10D2FC4E" w14:textId="77777777" w:rsidR="002D41BC" w:rsidRDefault="002D41BC" w:rsidP="00DB0F0C">
      <w:pPr>
        <w:spacing w:line="240" w:lineRule="auto"/>
      </w:pPr>
      <w:r>
        <w:continuationSeparator/>
      </w:r>
    </w:p>
  </w:endnote>
  <w:endnote w:type="continuationNotice" w:id="1">
    <w:p w14:paraId="11E353EA" w14:textId="77777777" w:rsidR="002D41BC" w:rsidRDefault="002D41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84771"/>
      <w:docPartObj>
        <w:docPartGallery w:val="Page Numbers (Bottom of Page)"/>
        <w:docPartUnique/>
      </w:docPartObj>
    </w:sdtPr>
    <w:sdtEndPr>
      <w:rPr>
        <w:noProof/>
        <w:color w:val="77328A"/>
      </w:rPr>
    </w:sdtEndPr>
    <w:sdtContent>
      <w:p w14:paraId="588FB89C" w14:textId="0C9AEFE0" w:rsidR="00A25250" w:rsidRPr="00A25250" w:rsidRDefault="00A25250">
        <w:pPr>
          <w:pStyle w:val="Footer"/>
          <w:jc w:val="right"/>
          <w:rPr>
            <w:color w:val="77328A"/>
          </w:rPr>
        </w:pPr>
        <w:r w:rsidRPr="00A25250">
          <w:rPr>
            <w:color w:val="77328A"/>
          </w:rPr>
          <w:fldChar w:fldCharType="begin"/>
        </w:r>
        <w:r w:rsidRPr="00A25250">
          <w:rPr>
            <w:color w:val="77328A"/>
          </w:rPr>
          <w:instrText xml:space="preserve"> PAGE   \* MERGEFORMAT </w:instrText>
        </w:r>
        <w:r w:rsidRPr="00A25250">
          <w:rPr>
            <w:color w:val="77328A"/>
          </w:rPr>
          <w:fldChar w:fldCharType="separate"/>
        </w:r>
        <w:r w:rsidRPr="00A25250">
          <w:rPr>
            <w:noProof/>
            <w:color w:val="77328A"/>
          </w:rPr>
          <w:t>2</w:t>
        </w:r>
        <w:r w:rsidRPr="00A25250">
          <w:rPr>
            <w:noProof/>
            <w:color w:val="77328A"/>
          </w:rPr>
          <w:fldChar w:fldCharType="end"/>
        </w:r>
      </w:p>
    </w:sdtContent>
  </w:sdt>
  <w:p w14:paraId="63C5DFD5" w14:textId="77777777" w:rsidR="00A25250" w:rsidRDefault="00A2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23E" w14:textId="77777777" w:rsidR="002D41BC" w:rsidRDefault="002D41BC" w:rsidP="00DB0F0C">
      <w:pPr>
        <w:spacing w:line="240" w:lineRule="auto"/>
      </w:pPr>
      <w:r>
        <w:separator/>
      </w:r>
    </w:p>
  </w:footnote>
  <w:footnote w:type="continuationSeparator" w:id="0">
    <w:p w14:paraId="336D3AB5" w14:textId="77777777" w:rsidR="002D41BC" w:rsidRDefault="002D41BC" w:rsidP="00DB0F0C">
      <w:pPr>
        <w:spacing w:line="240" w:lineRule="auto"/>
      </w:pPr>
      <w:r>
        <w:continuationSeparator/>
      </w:r>
    </w:p>
  </w:footnote>
  <w:footnote w:type="continuationNotice" w:id="1">
    <w:p w14:paraId="315361FB" w14:textId="77777777" w:rsidR="002D41BC" w:rsidRDefault="002D41BC">
      <w:pPr>
        <w:spacing w:line="240" w:lineRule="auto"/>
      </w:pPr>
    </w:p>
  </w:footnote>
  <w:footnote w:id="2">
    <w:p w14:paraId="3E52D7D7" w14:textId="77777777" w:rsidR="00160844" w:rsidRDefault="00160844" w:rsidP="000B646E">
      <w:pPr>
        <w:pStyle w:val="NIHRCFootnotes"/>
      </w:pPr>
      <w:r>
        <w:rPr>
          <w:rStyle w:val="FootnoteReference"/>
        </w:rPr>
        <w:footnoteRef/>
      </w:r>
      <w:r>
        <w:t xml:space="preserve"> </w:t>
      </w:r>
      <w:r w:rsidRPr="0034044B">
        <w:t>CCPR/C/GBR/CO/7, ‘UN Human Rights Committee Concluding Observations on the Seventh Periodic Report of the UK of Great Britain and NI’, 17 August 2015, at para 5(c)</w:t>
      </w:r>
      <w:r>
        <w:t xml:space="preserve">; </w:t>
      </w:r>
      <w:r w:rsidRPr="0034044B">
        <w:t>E/C.12/GBR/CO/6, ‘UN ICESCR Committee Concluding Observations on the Sixth Periodic Report of the UK of Great Britain and NI’, 14 July 2016, at para 10</w:t>
      </w:r>
      <w:r>
        <w:t xml:space="preserve">; </w:t>
      </w:r>
      <w:r w:rsidRPr="0034044B">
        <w:t>CERD/C/GBR/CO/21-23, ‘UN CERD Committee Concluding Observations on the Twenty First to Twenty Third Periodic Reports of UK of Great Britain and NI’, 26 August 2016, at para 10</w:t>
      </w:r>
      <w:r>
        <w:t xml:space="preserve">; </w:t>
      </w:r>
      <w:r w:rsidRPr="0034044B">
        <w:t>CAT/C/GBR/CO/6, ‘UN CAT Committee Concluding Observations on the Sixth Periodic Report of the UK of Great Britain and NI’, 7 June 2019, at para 11</w:t>
      </w:r>
      <w:r>
        <w:t xml:space="preserve">; </w:t>
      </w:r>
      <w:r w:rsidRPr="0034044B">
        <w:t>A/HRC/36/9, ‘UN Working Group on the Universal Periodic Review Report of the Working Group on the Universal Periodic Review - UK of Great Britain and NI’, 14 July 2017, at paras 134.67; 134.68; 134.69; 134.70; 134.71; 134.72; 134.73; 134.74; 134.75; 134.76; and 134.77.</w:t>
      </w:r>
    </w:p>
  </w:footnote>
  <w:footnote w:id="3">
    <w:p w14:paraId="0B2F24B5" w14:textId="77777777" w:rsidR="00160844" w:rsidRDefault="00160844" w:rsidP="000B646E">
      <w:pPr>
        <w:pStyle w:val="NIHRCFootnotes"/>
      </w:pPr>
      <w:r>
        <w:rPr>
          <w:rStyle w:val="FootnoteReference"/>
        </w:rPr>
        <w:footnoteRef/>
      </w:r>
      <w:r>
        <w:t xml:space="preserve"> </w:t>
      </w:r>
      <w:r w:rsidRPr="0034044B">
        <w:t>A/HRC/36/9, ‘UN Working Group on the Universal Periodic Review, Report of the Working Group on the Universal Periodic Review - UK of Great Britain and NI’, 14 July 2017, at para 134.67</w:t>
      </w:r>
      <w:r>
        <w:t>.</w:t>
      </w:r>
    </w:p>
  </w:footnote>
  <w:footnote w:id="4">
    <w:p w14:paraId="0B59D5B2" w14:textId="0B209BDD" w:rsidR="00D86686" w:rsidRPr="0034044B" w:rsidRDefault="00D86686" w:rsidP="000B646E">
      <w:pPr>
        <w:pStyle w:val="NIHRCFootnotes"/>
      </w:pPr>
      <w:r w:rsidRPr="0034044B">
        <w:rPr>
          <w:rStyle w:val="FootnoteReference"/>
        </w:rPr>
        <w:footnoteRef/>
      </w:r>
      <w:r w:rsidRPr="0034044B">
        <w:t xml:space="preserve"> </w:t>
      </w:r>
      <w:r w:rsidR="00502D24" w:rsidRPr="0034044B">
        <w:t>NI Human Rights Commission, ‘</w:t>
      </w:r>
      <w:r w:rsidR="00082D39" w:rsidRPr="0034044B">
        <w:t xml:space="preserve">Press Release: </w:t>
      </w:r>
      <w:r w:rsidR="002075BA" w:rsidRPr="0034044B">
        <w:t>Annual Human Rights Lecture 2022: Lady Hale’s Keynote Address in Full’, 25 July 2022</w:t>
      </w:r>
      <w:r w:rsidR="00082D39" w:rsidRPr="0034044B">
        <w:t>.</w:t>
      </w:r>
    </w:p>
  </w:footnote>
  <w:footnote w:id="5">
    <w:p w14:paraId="171AD78B" w14:textId="77777777"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Joint report from the Negotiators of the EU and UK Government progress during Phase 1 of Negotiations under Article 50 TEU on the UK’s Orderly Withdrawal from the EU, 8 December 2017, para 53.</w:t>
      </w:r>
    </w:p>
  </w:footnote>
  <w:footnote w:id="6">
    <w:p w14:paraId="7BCB9BA0" w14:textId="7948751D"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Article 4, UK-EU Withdrawal Agreement</w:t>
      </w:r>
      <w:r w:rsidR="00E25F2E" w:rsidRPr="00E25F2E">
        <w:rPr>
          <w:color w:val="77328A"/>
          <w:sz w:val="16"/>
          <w:szCs w:val="16"/>
        </w:rPr>
        <w:t>.</w:t>
      </w:r>
      <w:r w:rsidRPr="00E25F2E">
        <w:rPr>
          <w:color w:val="77328A"/>
          <w:sz w:val="16"/>
          <w:szCs w:val="16"/>
        </w:rPr>
        <w:t xml:space="preserve"> </w:t>
      </w:r>
    </w:p>
  </w:footnote>
  <w:footnote w:id="7">
    <w:p w14:paraId="4D1E48CD" w14:textId="77777777" w:rsidR="002F7B84" w:rsidRPr="00E25F2E" w:rsidRDefault="002F7B84" w:rsidP="002F7B84">
      <w:pPr>
        <w:pStyle w:val="FootnoteText"/>
        <w:rPr>
          <w:rFonts w:cstheme="minorHAnsi"/>
          <w:color w:val="77328A"/>
          <w:sz w:val="16"/>
          <w:szCs w:val="16"/>
        </w:rPr>
      </w:pPr>
      <w:r w:rsidRPr="00E25F2E">
        <w:rPr>
          <w:rStyle w:val="FootnoteReference"/>
          <w:rFonts w:cstheme="minorHAnsi"/>
          <w:color w:val="77328A"/>
          <w:sz w:val="16"/>
          <w:szCs w:val="16"/>
        </w:rPr>
        <w:footnoteRef/>
      </w:r>
      <w:r w:rsidRPr="00E25F2E">
        <w:rPr>
          <w:rFonts w:cstheme="minorHAnsi"/>
          <w:color w:val="77328A"/>
          <w:sz w:val="16"/>
          <w:szCs w:val="16"/>
        </w:rPr>
        <w:t xml:space="preserve"> </w:t>
      </w:r>
      <w:bookmarkStart w:id="3" w:name="_Hlk86855977"/>
      <w:r w:rsidRPr="00E25F2E">
        <w:rPr>
          <w:rFonts w:cstheme="minorHAnsi"/>
          <w:color w:val="77328A"/>
          <w:sz w:val="16"/>
          <w:szCs w:val="16"/>
        </w:rPr>
        <w:t>NI Office, ‘</w:t>
      </w:r>
      <w:hyperlink r:id="rId1" w:history="1">
        <w:r w:rsidRPr="00E25F2E">
          <w:rPr>
            <w:rStyle w:val="Hyperlink"/>
            <w:rFonts w:cstheme="minorHAnsi"/>
            <w:color w:val="77328A"/>
            <w:sz w:val="16"/>
            <w:szCs w:val="16"/>
          </w:rPr>
          <w:t>UK Government Commitment</w:t>
        </w:r>
      </w:hyperlink>
      <w:r w:rsidRPr="00E25F2E">
        <w:rPr>
          <w:rFonts w:cstheme="minorHAnsi"/>
          <w:color w:val="77328A"/>
          <w:sz w:val="16"/>
          <w:szCs w:val="16"/>
        </w:rPr>
        <w:t xml:space="preserve"> to “No Diminution of Rights, Safeguards and Equality of Opportunity” in Northern Ireland: What does it Mean and How will it be Implemented?’ (NIO, 2020), at para </w:t>
      </w:r>
      <w:bookmarkEnd w:id="3"/>
      <w:r w:rsidRPr="00E25F2E">
        <w:rPr>
          <w:rFonts w:cstheme="minorHAnsi"/>
          <w:color w:val="77328A"/>
          <w:sz w:val="16"/>
          <w:szCs w:val="16"/>
        </w:rPr>
        <w:t>6.</w:t>
      </w:r>
    </w:p>
  </w:footnote>
  <w:footnote w:id="8">
    <w:p w14:paraId="1DDBCE18" w14:textId="77777777" w:rsidR="002F7B84" w:rsidRPr="00196A7E" w:rsidRDefault="002F7B84" w:rsidP="002F7B84">
      <w:pPr>
        <w:pStyle w:val="FootnoteText"/>
        <w:rPr>
          <w:rFonts w:asciiTheme="minorHAnsi" w:hAnsiTheme="minorHAnsi" w:cstheme="minorHAnsi"/>
          <w:sz w:val="18"/>
          <w:szCs w:val="18"/>
        </w:rPr>
      </w:pPr>
      <w:r w:rsidRPr="00E25F2E">
        <w:rPr>
          <w:rStyle w:val="FootnoteReference"/>
          <w:rFonts w:cstheme="minorHAnsi"/>
          <w:color w:val="77328A"/>
          <w:sz w:val="16"/>
          <w:szCs w:val="16"/>
        </w:rPr>
        <w:footnoteRef/>
      </w:r>
      <w:r w:rsidRPr="00E25F2E">
        <w:rPr>
          <w:rFonts w:cstheme="minorHAnsi"/>
          <w:color w:val="77328A"/>
          <w:sz w:val="16"/>
          <w:szCs w:val="16"/>
        </w:rPr>
        <w:t xml:space="preserve"> </w:t>
      </w:r>
      <w:r w:rsidRPr="00E25F2E">
        <w:rPr>
          <w:rFonts w:cstheme="minorHAnsi"/>
          <w:i/>
          <w:iCs/>
          <w:color w:val="77328A"/>
          <w:sz w:val="16"/>
          <w:szCs w:val="16"/>
        </w:rPr>
        <w:t xml:space="preserve">Re SPUC Pro-Life Limited </w:t>
      </w:r>
      <w:r w:rsidRPr="00E25F2E">
        <w:rPr>
          <w:rFonts w:cstheme="minorHAnsi"/>
          <w:color w:val="77328A"/>
          <w:sz w:val="16"/>
          <w:szCs w:val="16"/>
        </w:rPr>
        <w:t>[2022] NIQB 9, at para 77.</w:t>
      </w:r>
    </w:p>
  </w:footnote>
  <w:footnote w:id="9">
    <w:p w14:paraId="52CF786B" w14:textId="59B34AA9" w:rsidR="000658AE" w:rsidRDefault="000658AE" w:rsidP="000B646E">
      <w:pPr>
        <w:pStyle w:val="NIHRCFootnotes"/>
      </w:pPr>
      <w:r>
        <w:rPr>
          <w:rStyle w:val="FootnoteReference"/>
        </w:rPr>
        <w:footnoteRef/>
      </w:r>
      <w:r>
        <w:t xml:space="preserve"> </w:t>
      </w:r>
      <w:r w:rsidR="001D55D0">
        <w:t>Clause 1(2), Bill of Rights Bill.</w:t>
      </w:r>
    </w:p>
  </w:footnote>
  <w:footnote w:id="10">
    <w:p w14:paraId="545296B5" w14:textId="11A4A7E7" w:rsidR="00861C60" w:rsidRPr="0034044B" w:rsidRDefault="00861C60" w:rsidP="000B646E">
      <w:pPr>
        <w:pStyle w:val="NIHRCFootnotes"/>
      </w:pPr>
      <w:r w:rsidRPr="0034044B">
        <w:rPr>
          <w:rStyle w:val="FootnoteReference"/>
        </w:rPr>
        <w:footnoteRef/>
      </w:r>
      <w:r w:rsidRPr="0034044B">
        <w:t xml:space="preserve"> </w:t>
      </w:r>
      <w:r w:rsidR="00713C6B">
        <w:t>Protocol No 15</w:t>
      </w:r>
      <w:r w:rsidR="00305443">
        <w:t xml:space="preserve"> Amending the ECHR, </w:t>
      </w:r>
      <w:r w:rsidR="00C130FE">
        <w:t>24 June 2013.</w:t>
      </w:r>
    </w:p>
  </w:footnote>
  <w:footnote w:id="11">
    <w:p w14:paraId="0183ECA2" w14:textId="12C4A737" w:rsidR="00861C60" w:rsidRPr="0034044B" w:rsidRDefault="00861C60" w:rsidP="000B646E">
      <w:pPr>
        <w:pStyle w:val="NIHRCFootnotes"/>
      </w:pPr>
      <w:r w:rsidRPr="0034044B">
        <w:rPr>
          <w:rStyle w:val="FootnoteReference"/>
        </w:rPr>
        <w:footnoteRef/>
      </w:r>
      <w:r w:rsidRPr="0034044B">
        <w:t xml:space="preserve"> </w:t>
      </w:r>
      <w:r w:rsidR="00C130FE">
        <w:t>Protocol No 15 Amending the ECHR, 24 June 2013.</w:t>
      </w:r>
    </w:p>
  </w:footnote>
  <w:footnote w:id="12">
    <w:p w14:paraId="2182C3A4" w14:textId="1A25E4CB" w:rsidR="00861C60" w:rsidRPr="0034044B" w:rsidRDefault="00861C60" w:rsidP="000B646E">
      <w:pPr>
        <w:pStyle w:val="NIHRCFootnotes"/>
      </w:pPr>
      <w:r w:rsidRPr="0034044B">
        <w:rPr>
          <w:rStyle w:val="FootnoteReference"/>
        </w:rPr>
        <w:footnoteRef/>
      </w:r>
      <w:r w:rsidRPr="0034044B">
        <w:t xml:space="preserve"> </w:t>
      </w:r>
      <w:r w:rsidR="005C63AB" w:rsidRPr="0034044B">
        <w:t>Section 4, Human Rights Act 1998.</w:t>
      </w:r>
    </w:p>
  </w:footnote>
  <w:footnote w:id="13">
    <w:p w14:paraId="10F04857" w14:textId="6FF20DBD" w:rsidR="00C631CB" w:rsidRPr="0034044B" w:rsidRDefault="00C631CB" w:rsidP="000B646E">
      <w:pPr>
        <w:pStyle w:val="NIHRCFootnotes"/>
      </w:pPr>
      <w:r w:rsidRPr="0034044B">
        <w:rPr>
          <w:rStyle w:val="FootnoteReference"/>
        </w:rPr>
        <w:footnoteRef/>
      </w:r>
      <w:r w:rsidRPr="0034044B">
        <w:t xml:space="preserve"> Article 46(1), European Convention on Human Rights 1950.</w:t>
      </w:r>
    </w:p>
  </w:footnote>
  <w:footnote w:id="14">
    <w:p w14:paraId="64E7269A" w14:textId="3A1A694A" w:rsidR="00C130FE" w:rsidRDefault="00C130FE" w:rsidP="000B646E">
      <w:pPr>
        <w:pStyle w:val="NIHRCFootnotes"/>
      </w:pPr>
      <w:r>
        <w:rPr>
          <w:rStyle w:val="FootnoteReference"/>
        </w:rPr>
        <w:footnoteRef/>
      </w:r>
      <w:r>
        <w:t xml:space="preserve"> Clause 3(2), Bill of Rights Bill.</w:t>
      </w:r>
    </w:p>
  </w:footnote>
  <w:footnote w:id="15">
    <w:p w14:paraId="0BC67710" w14:textId="5586EA2A" w:rsidR="00B229F4" w:rsidRPr="0034044B" w:rsidRDefault="00B229F4" w:rsidP="000B646E">
      <w:pPr>
        <w:pStyle w:val="NIHRCFootnotes"/>
      </w:pPr>
      <w:r w:rsidRPr="0034044B">
        <w:rPr>
          <w:rStyle w:val="FootnoteReference"/>
        </w:rPr>
        <w:footnoteRef/>
      </w:r>
      <w:r w:rsidRPr="0034044B">
        <w:t xml:space="preserve"> Section 2, Human Rights Act 1998.</w:t>
      </w:r>
    </w:p>
  </w:footnote>
  <w:footnote w:id="16">
    <w:p w14:paraId="454FA0DA" w14:textId="3302B2BB" w:rsidR="005249EB" w:rsidRDefault="005249EB" w:rsidP="000B646E">
      <w:pPr>
        <w:pStyle w:val="NIHRCFootnotes"/>
      </w:pPr>
      <w:r>
        <w:rPr>
          <w:rStyle w:val="FootnoteReference"/>
        </w:rPr>
        <w:footnoteRef/>
      </w:r>
      <w:r>
        <w:t xml:space="preserve"> Clause 3(1), Bill of Rights Bill.</w:t>
      </w:r>
    </w:p>
  </w:footnote>
  <w:footnote w:id="17">
    <w:p w14:paraId="232576B4" w14:textId="05FF7785" w:rsidR="005249EB" w:rsidRDefault="005249EB" w:rsidP="000B646E">
      <w:pPr>
        <w:pStyle w:val="NIHRCFootnotes"/>
      </w:pPr>
      <w:r>
        <w:rPr>
          <w:rStyle w:val="FootnoteReference"/>
        </w:rPr>
        <w:footnoteRef/>
      </w:r>
      <w:r>
        <w:t xml:space="preserve"> Clause 3(3), Bill of Rights Bill.</w:t>
      </w:r>
    </w:p>
  </w:footnote>
  <w:footnote w:id="18">
    <w:p w14:paraId="2E048159" w14:textId="27429FBE" w:rsidR="007733F8" w:rsidRPr="0034044B" w:rsidRDefault="007733F8" w:rsidP="000B646E">
      <w:pPr>
        <w:pStyle w:val="NIHRCFootnotes"/>
      </w:pPr>
      <w:r w:rsidRPr="0034044B">
        <w:rPr>
          <w:rStyle w:val="FootnoteReference"/>
        </w:rPr>
        <w:footnoteRef/>
      </w:r>
      <w:r w:rsidRPr="0034044B">
        <w:t xml:space="preserve"> </w:t>
      </w:r>
      <w:r w:rsidR="00AD4A77" w:rsidRPr="0034044B">
        <w:rPr>
          <w:i/>
          <w:iCs/>
        </w:rPr>
        <w:t>R v Special Adjudicator ex parte Ullah</w:t>
      </w:r>
      <w:r w:rsidR="00AD4A77" w:rsidRPr="0034044B">
        <w:t xml:space="preserve"> [2004] UKHL 26.</w:t>
      </w:r>
    </w:p>
  </w:footnote>
  <w:footnote w:id="19">
    <w:p w14:paraId="288EA787" w14:textId="71E82260" w:rsidR="0026143E" w:rsidRPr="0034044B" w:rsidRDefault="0026143E" w:rsidP="000B646E">
      <w:pPr>
        <w:pStyle w:val="NIHRCFootnotes"/>
      </w:pPr>
      <w:r w:rsidRPr="0034044B">
        <w:rPr>
          <w:rStyle w:val="FootnoteReference"/>
        </w:rPr>
        <w:footnoteRef/>
      </w:r>
      <w:r w:rsidRPr="0034044B">
        <w:t xml:space="preserve"> </w:t>
      </w:r>
      <w:r w:rsidR="00D60FA0" w:rsidRPr="0034044B">
        <w:rPr>
          <w:i/>
          <w:iCs/>
        </w:rPr>
        <w:t>Rabone and Another v Pennine Care NHS Trust</w:t>
      </w:r>
      <w:r w:rsidR="00D60FA0" w:rsidRPr="0034044B">
        <w:t xml:space="preserve"> [</w:t>
      </w:r>
      <w:r w:rsidRPr="0034044B">
        <w:t>2012] UKSC 2</w:t>
      </w:r>
      <w:r w:rsidR="00D60FA0" w:rsidRPr="0034044B">
        <w:t>.</w:t>
      </w:r>
    </w:p>
  </w:footnote>
  <w:footnote w:id="20">
    <w:p w14:paraId="1CC79B3F" w14:textId="319BB925" w:rsidR="00EB0A1D" w:rsidRPr="0034044B" w:rsidRDefault="00EB0A1D" w:rsidP="000B646E">
      <w:pPr>
        <w:pStyle w:val="NIHRCFootnotes"/>
      </w:pPr>
      <w:r w:rsidRPr="0034044B">
        <w:rPr>
          <w:rStyle w:val="FootnoteReference"/>
        </w:rPr>
        <w:footnoteRef/>
      </w:r>
      <w:r w:rsidRPr="0034044B">
        <w:t xml:space="preserve"> Section 6, Human Rights Act 1998; Clause </w:t>
      </w:r>
      <w:r w:rsidR="009D7E81" w:rsidRPr="0034044B">
        <w:t>12, Bill of Rights Bill.</w:t>
      </w:r>
    </w:p>
  </w:footnote>
  <w:footnote w:id="21">
    <w:p w14:paraId="0BC44420" w14:textId="45B7EF54" w:rsidR="00E61DCE" w:rsidRDefault="00E61DCE" w:rsidP="000B646E">
      <w:pPr>
        <w:pStyle w:val="NIHRCFootnotes"/>
      </w:pPr>
      <w:r>
        <w:rPr>
          <w:rStyle w:val="FootnoteReference"/>
        </w:rPr>
        <w:footnoteRef/>
      </w:r>
      <w:r>
        <w:t xml:space="preserve"> Section 3, Human Rights Act 1998.</w:t>
      </w:r>
    </w:p>
  </w:footnote>
  <w:footnote w:id="22">
    <w:p w14:paraId="11BC43EB" w14:textId="4E73D56C" w:rsidR="00E61DCE" w:rsidRDefault="00E61DCE" w:rsidP="000B646E">
      <w:pPr>
        <w:pStyle w:val="NIHRCFootnotes"/>
      </w:pPr>
      <w:r>
        <w:rPr>
          <w:rStyle w:val="FootnoteReference"/>
        </w:rPr>
        <w:footnoteRef/>
      </w:r>
      <w:r>
        <w:t xml:space="preserve"> Clause 3, Bill of Rights Bill.</w:t>
      </w:r>
    </w:p>
  </w:footnote>
  <w:footnote w:id="23">
    <w:p w14:paraId="5F2C28F4" w14:textId="4EA73DCC"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Belfast (Good Friday) Agreement, 10 April 1998, </w:t>
      </w:r>
      <w:r w:rsidR="003267EC">
        <w:rPr>
          <w:color w:val="77328A"/>
          <w:sz w:val="16"/>
          <w:szCs w:val="16"/>
        </w:rPr>
        <w:t xml:space="preserve">at </w:t>
      </w:r>
      <w:r w:rsidRPr="00E25F2E">
        <w:rPr>
          <w:color w:val="77328A"/>
          <w:sz w:val="16"/>
          <w:szCs w:val="16"/>
        </w:rPr>
        <w:t>Part 6 on Rights, Safeguards and Equality of Opportunity.</w:t>
      </w:r>
    </w:p>
  </w:footnote>
  <w:footnote w:id="24">
    <w:p w14:paraId="67091846" w14:textId="77777777" w:rsidR="00E25F2E" w:rsidRPr="00E25F2E" w:rsidRDefault="00E25F2E" w:rsidP="00E25F2E">
      <w:pPr>
        <w:pStyle w:val="FootnoteText"/>
        <w:rPr>
          <w:rFonts w:cstheme="minorHAnsi"/>
          <w:color w:val="77328A"/>
          <w:sz w:val="16"/>
          <w:szCs w:val="16"/>
        </w:rPr>
      </w:pPr>
      <w:r w:rsidRPr="00E25F2E">
        <w:rPr>
          <w:rStyle w:val="FootnoteReference"/>
          <w:rFonts w:cstheme="minorHAnsi"/>
          <w:color w:val="77328A"/>
          <w:sz w:val="16"/>
          <w:szCs w:val="16"/>
        </w:rPr>
        <w:footnoteRef/>
      </w:r>
      <w:r w:rsidRPr="00E25F2E">
        <w:rPr>
          <w:rFonts w:cstheme="minorHAnsi"/>
          <w:color w:val="77328A"/>
          <w:sz w:val="16"/>
          <w:szCs w:val="16"/>
        </w:rPr>
        <w:t xml:space="preserve"> NI Office, ‘UK Government Commitment to “No Diminution of Rights, Safeguards and Equality of Opportunity” in Northern Ireland: What does it Mean and How will it be Implemented?’ (NIO, 2020), at para 3.</w:t>
      </w:r>
    </w:p>
  </w:footnote>
  <w:footnote w:id="25">
    <w:p w14:paraId="62F51D0E" w14:textId="77777777" w:rsidR="00E25F2E" w:rsidRPr="00E25F2E" w:rsidRDefault="00E25F2E" w:rsidP="00E25F2E">
      <w:pPr>
        <w:pStyle w:val="FootnoteText"/>
        <w:rPr>
          <w:rFonts w:cstheme="minorHAnsi"/>
          <w:color w:val="77328A"/>
          <w:sz w:val="16"/>
          <w:szCs w:val="16"/>
        </w:rPr>
      </w:pPr>
      <w:r w:rsidRPr="00E25F2E">
        <w:rPr>
          <w:rStyle w:val="FootnoteReference"/>
          <w:rFonts w:cstheme="minorHAnsi"/>
          <w:color w:val="77328A"/>
          <w:sz w:val="16"/>
          <w:szCs w:val="16"/>
        </w:rPr>
        <w:footnoteRef/>
      </w:r>
      <w:r w:rsidRPr="00E25F2E">
        <w:rPr>
          <w:rFonts w:cstheme="minorHAnsi"/>
          <w:color w:val="77328A"/>
          <w:sz w:val="16"/>
          <w:szCs w:val="16"/>
        </w:rPr>
        <w:t xml:space="preserve"> This relates to the scope of issues and EU law relevant to Article 2, rather than the question of whether Article 2 requires the UK to remain committed to the ECHR as considered in Social Change Initiative, ‘Human Rights and Equality in Northern Ireland under the Protocol – A Practical Guide’ (SCI, 2021); Christopher McCrudden, ‘Parliamentary Scrutiny of the Joint Committee and the Application of the Northern Ireland Protocol – Evidence to the House of Commons European Scrutiny Committee’ (ESC, 2020); and Sylvia De Mars, Aoife O’Donoghue, Colin Murray and Ben Warwick, ‘</w:t>
      </w:r>
      <w:hyperlink r:id="rId2" w:history="1">
        <w:r w:rsidRPr="00E25F2E">
          <w:rPr>
            <w:rStyle w:val="Hyperlink"/>
            <w:rFonts w:cstheme="minorHAnsi"/>
            <w:color w:val="77328A"/>
            <w:sz w:val="16"/>
            <w:szCs w:val="16"/>
          </w:rPr>
          <w:t>Commentary on the Protocol on Ireland/Northern Ireland</w:t>
        </w:r>
      </w:hyperlink>
      <w:r w:rsidRPr="00E25F2E">
        <w:rPr>
          <w:rFonts w:cstheme="minorHAnsi"/>
          <w:color w:val="77328A"/>
          <w:sz w:val="16"/>
          <w:szCs w:val="16"/>
        </w:rPr>
        <w:t xml:space="preserve"> in the Draft Withdrawal Agreement’ (2018).</w:t>
      </w:r>
    </w:p>
  </w:footnote>
  <w:footnote w:id="26">
    <w:p w14:paraId="3C2BF494" w14:textId="04328897"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NI</w:t>
      </w:r>
      <w:r w:rsidR="00F206C2">
        <w:rPr>
          <w:color w:val="77328A"/>
          <w:sz w:val="16"/>
          <w:szCs w:val="16"/>
        </w:rPr>
        <w:t xml:space="preserve"> </w:t>
      </w:r>
      <w:r w:rsidRPr="00E25F2E">
        <w:rPr>
          <w:color w:val="77328A"/>
          <w:sz w:val="16"/>
          <w:szCs w:val="16"/>
        </w:rPr>
        <w:t>H</w:t>
      </w:r>
      <w:r w:rsidR="00F206C2">
        <w:rPr>
          <w:color w:val="77328A"/>
          <w:sz w:val="16"/>
          <w:szCs w:val="16"/>
        </w:rPr>
        <w:t xml:space="preserve">uman </w:t>
      </w:r>
      <w:r w:rsidRPr="00E25F2E">
        <w:rPr>
          <w:color w:val="77328A"/>
          <w:sz w:val="16"/>
          <w:szCs w:val="16"/>
        </w:rPr>
        <w:t>R</w:t>
      </w:r>
      <w:r w:rsidR="00F206C2">
        <w:rPr>
          <w:color w:val="77328A"/>
          <w:sz w:val="16"/>
          <w:szCs w:val="16"/>
        </w:rPr>
        <w:t xml:space="preserve">ights </w:t>
      </w:r>
      <w:r w:rsidRPr="00E25F2E">
        <w:rPr>
          <w:color w:val="77328A"/>
          <w:sz w:val="16"/>
          <w:szCs w:val="16"/>
        </w:rPr>
        <w:t>C</w:t>
      </w:r>
      <w:r w:rsidR="00F206C2">
        <w:rPr>
          <w:color w:val="77328A"/>
          <w:sz w:val="16"/>
          <w:szCs w:val="16"/>
        </w:rPr>
        <w:t>ommission</w:t>
      </w:r>
      <w:r w:rsidRPr="00E25F2E">
        <w:rPr>
          <w:color w:val="77328A"/>
          <w:sz w:val="16"/>
          <w:szCs w:val="16"/>
        </w:rPr>
        <w:t xml:space="preserve">, ‘Response to the consultation on Human Rights Act Reform: </w:t>
      </w:r>
      <w:r w:rsidR="00F206C2">
        <w:rPr>
          <w:color w:val="77328A"/>
          <w:sz w:val="16"/>
          <w:szCs w:val="16"/>
        </w:rPr>
        <w:t>A</w:t>
      </w:r>
      <w:r w:rsidRPr="00E25F2E">
        <w:rPr>
          <w:color w:val="77328A"/>
          <w:sz w:val="16"/>
          <w:szCs w:val="16"/>
        </w:rPr>
        <w:t xml:space="preserve"> Modern Bill of Rights’ (NIHRC, 2022). </w:t>
      </w:r>
    </w:p>
  </w:footnote>
  <w:footnote w:id="27">
    <w:p w14:paraId="7D52A6BB" w14:textId="77777777"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w:t>
      </w:r>
      <w:r w:rsidRPr="00E25F2E">
        <w:rPr>
          <w:rFonts w:cstheme="minorHAnsi"/>
          <w:color w:val="77328A"/>
          <w:sz w:val="16"/>
          <w:szCs w:val="16"/>
        </w:rPr>
        <w:t xml:space="preserve">NI Office, ‘UK Government Commitment to “No Diminution of Rights, Safeguards and Equality of Opportunity” in Northern Ireland: What does it Mean and How will it be Implemented?’ (NIO, 2020), at para 29; </w:t>
      </w:r>
      <w:r w:rsidRPr="00E25F2E">
        <w:rPr>
          <w:i/>
          <w:iCs/>
          <w:color w:val="77328A"/>
          <w:sz w:val="16"/>
          <w:szCs w:val="16"/>
        </w:rPr>
        <w:t xml:space="preserve">Re SPUC Pro-Life Limited </w:t>
      </w:r>
      <w:r w:rsidRPr="00E25F2E">
        <w:rPr>
          <w:color w:val="77328A"/>
          <w:sz w:val="16"/>
          <w:szCs w:val="16"/>
        </w:rPr>
        <w:t>[2022]  NIQB, at para 77</w:t>
      </w:r>
    </w:p>
  </w:footnote>
  <w:footnote w:id="28">
    <w:p w14:paraId="66D35362" w14:textId="23C31D26"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w:t>
      </w:r>
      <w:r w:rsidRPr="00E25F2E">
        <w:rPr>
          <w:rFonts w:cstheme="minorHAnsi"/>
          <w:color w:val="77328A"/>
          <w:sz w:val="16"/>
          <w:szCs w:val="16"/>
        </w:rPr>
        <w:t>Arti</w:t>
      </w:r>
      <w:bookmarkStart w:id="8" w:name="_Hlk94694605"/>
      <w:r w:rsidRPr="00E25F2E">
        <w:rPr>
          <w:rFonts w:cstheme="minorHAnsi"/>
          <w:color w:val="77328A"/>
          <w:sz w:val="16"/>
          <w:szCs w:val="16"/>
        </w:rPr>
        <w:t xml:space="preserve">cle 4(3) provides that where the Withdrawal agreement refers to EU law or concepts, it should be interpreted and applied in accordance with the methods and general principles of EU law.  As noted in Kellerbauer et al, “The obligation to apply these provisions in accordance with the general principles of [EU] law means for the UK that it is bound to observe the EU fundamental rights when implementing those provisions of the Agreement.  Hence in substance, Article 4(3) has the same effect as article 51(1) </w:t>
      </w:r>
      <w:r w:rsidR="00C80662">
        <w:rPr>
          <w:rFonts w:cstheme="minorHAnsi"/>
          <w:color w:val="77328A"/>
          <w:sz w:val="16"/>
          <w:szCs w:val="16"/>
        </w:rPr>
        <w:t>o</w:t>
      </w:r>
      <w:r w:rsidRPr="00E25F2E">
        <w:rPr>
          <w:rFonts w:cstheme="minorHAnsi"/>
          <w:color w:val="77328A"/>
          <w:sz w:val="16"/>
          <w:szCs w:val="16"/>
        </w:rPr>
        <w:t>f the EU Charter of Fundamental Rights.” Kellerbauer, Dumitriu-Segnana, Thomas Liefländer, ‘The UK-EU Withdrawal Agreement – A Commentary’ (OUP, 2021), at 39.</w:t>
      </w:r>
      <w:bookmarkEnd w:id="8"/>
    </w:p>
  </w:footnote>
  <w:footnote w:id="29">
    <w:p w14:paraId="5432D5C1" w14:textId="67799774" w:rsidR="002F7B84" w:rsidRPr="00E25F2E" w:rsidRDefault="002F7B84" w:rsidP="002F7B84">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w:t>
      </w:r>
      <w:r w:rsidRPr="00E25F2E">
        <w:rPr>
          <w:i/>
          <w:iCs/>
          <w:color w:val="77328A"/>
          <w:sz w:val="16"/>
          <w:szCs w:val="16"/>
        </w:rPr>
        <w:t>WebMindLicences kft v Nemzeti Adó</w:t>
      </w:r>
      <w:r w:rsidRPr="00E25F2E">
        <w:rPr>
          <w:color w:val="77328A"/>
          <w:sz w:val="16"/>
          <w:szCs w:val="16"/>
        </w:rPr>
        <w:t xml:space="preserve">, Case C-419/14, 17 December 2015, para 70; </w:t>
      </w:r>
      <w:r w:rsidRPr="00E25F2E">
        <w:rPr>
          <w:i/>
          <w:iCs/>
          <w:color w:val="77328A"/>
          <w:sz w:val="16"/>
          <w:szCs w:val="16"/>
        </w:rPr>
        <w:t>AK v Krajowa Rada Sądownictwa  v Sąd Najwyższy</w:t>
      </w:r>
      <w:r w:rsidRPr="00E25F2E">
        <w:rPr>
          <w:color w:val="77328A"/>
          <w:sz w:val="16"/>
          <w:szCs w:val="16"/>
        </w:rPr>
        <w:t xml:space="preserve">, Case C-585/18, C-624/18 C-625/18, 19 November 2019, para 116-118; </w:t>
      </w:r>
      <w:r w:rsidRPr="00E25F2E">
        <w:rPr>
          <w:i/>
          <w:iCs/>
          <w:color w:val="77328A"/>
          <w:sz w:val="16"/>
          <w:szCs w:val="16"/>
        </w:rPr>
        <w:t>Rayonna prokuratura Lom</w:t>
      </w:r>
      <w:r w:rsidRPr="00E25F2E">
        <w:rPr>
          <w:color w:val="77328A"/>
          <w:sz w:val="16"/>
          <w:szCs w:val="16"/>
        </w:rPr>
        <w:t xml:space="preserve">, Case C-467/18, 19 September 2019, para 42-45.  </w:t>
      </w:r>
    </w:p>
  </w:footnote>
  <w:footnote w:id="30">
    <w:p w14:paraId="23ED0C59" w14:textId="11A15645" w:rsidR="00683ADD" w:rsidRPr="00F47DA7" w:rsidRDefault="00683ADD">
      <w:pPr>
        <w:pStyle w:val="FootnoteText"/>
        <w:rPr>
          <w:sz w:val="16"/>
          <w:szCs w:val="16"/>
        </w:rPr>
      </w:pPr>
      <w:r w:rsidRPr="00F47DA7">
        <w:rPr>
          <w:rStyle w:val="FootnoteReference"/>
          <w:color w:val="77328A"/>
          <w:sz w:val="16"/>
          <w:szCs w:val="16"/>
        </w:rPr>
        <w:footnoteRef/>
      </w:r>
      <w:r w:rsidRPr="00F47DA7">
        <w:rPr>
          <w:color w:val="77328A"/>
          <w:sz w:val="16"/>
          <w:szCs w:val="16"/>
        </w:rPr>
        <w:t xml:space="preserve"> Ibid.</w:t>
      </w:r>
    </w:p>
  </w:footnote>
  <w:footnote w:id="31">
    <w:p w14:paraId="74C1B899" w14:textId="38439581" w:rsidR="0021584D" w:rsidRDefault="0021584D" w:rsidP="000B646E">
      <w:pPr>
        <w:pStyle w:val="NIHRCFootnotes"/>
      </w:pPr>
      <w:r>
        <w:rPr>
          <w:rStyle w:val="FootnoteReference"/>
        </w:rPr>
        <w:footnoteRef/>
      </w:r>
      <w:r>
        <w:t xml:space="preserve"> </w:t>
      </w:r>
      <w:r w:rsidR="00AE0AB0">
        <w:t>European Court of Human Rights, ‘</w:t>
      </w:r>
      <w:r w:rsidRPr="0070606F">
        <w:rPr>
          <w:rFonts w:cs="Segoe UI"/>
          <w:lang w:val="en" w:eastAsia="en-GB"/>
        </w:rPr>
        <w:t>Rules of Court</w:t>
      </w:r>
      <w:r w:rsidR="00AE0AB0">
        <w:rPr>
          <w:rFonts w:cs="Segoe UI"/>
          <w:lang w:val="en" w:eastAsia="en-GB"/>
        </w:rPr>
        <w:t>’</w:t>
      </w:r>
      <w:r w:rsidR="00035D01">
        <w:rPr>
          <w:rFonts w:cs="Segoe UI"/>
          <w:lang w:val="en" w:eastAsia="en-GB"/>
        </w:rPr>
        <w:t xml:space="preserve"> (CoE, 2022), at Rule 39.</w:t>
      </w:r>
    </w:p>
  </w:footnote>
  <w:footnote w:id="32">
    <w:p w14:paraId="4A3E3C24" w14:textId="77777777" w:rsidR="001D63B0" w:rsidRPr="0034044B" w:rsidRDefault="001D63B0" w:rsidP="000B646E">
      <w:pPr>
        <w:pStyle w:val="NIHRCFootnotes"/>
      </w:pPr>
      <w:r w:rsidRPr="0034044B">
        <w:rPr>
          <w:rStyle w:val="FootnoteReference"/>
        </w:rPr>
        <w:footnoteRef/>
      </w:r>
      <w:r w:rsidRPr="0034044B">
        <w:t xml:space="preserve"> </w:t>
      </w:r>
      <w:r w:rsidRPr="0034044B">
        <w:rPr>
          <w:i/>
          <w:iCs/>
        </w:rPr>
        <w:t>Mamatkulov and Askarov v Turkey</w:t>
      </w:r>
      <w:r w:rsidRPr="0034044B">
        <w:t xml:space="preserve"> (2005) ECHR 64, at para 104.</w:t>
      </w:r>
    </w:p>
  </w:footnote>
  <w:footnote w:id="33">
    <w:p w14:paraId="50960FF0" w14:textId="77777777" w:rsidR="001D63B0" w:rsidRPr="0034044B" w:rsidRDefault="001D63B0" w:rsidP="000B646E">
      <w:pPr>
        <w:pStyle w:val="NIHRCFootnotes"/>
      </w:pPr>
      <w:r w:rsidRPr="0034044B">
        <w:rPr>
          <w:rStyle w:val="FootnoteReference"/>
        </w:rPr>
        <w:footnoteRef/>
      </w:r>
      <w:r w:rsidRPr="0034044B">
        <w:t xml:space="preserve"> European Court of Human Rights, ‘Practice Direction: Requests of Interim Measures (Rule 39 of the Rules of Court’ (CoE, 2002), at 1.</w:t>
      </w:r>
    </w:p>
  </w:footnote>
  <w:footnote w:id="34">
    <w:p w14:paraId="27EE4261" w14:textId="2976540A" w:rsidR="001D63B0" w:rsidRPr="0034044B" w:rsidRDefault="001D63B0" w:rsidP="000B646E">
      <w:pPr>
        <w:pStyle w:val="NIHRCFootnotes"/>
      </w:pPr>
      <w:r w:rsidRPr="0034044B">
        <w:rPr>
          <w:rStyle w:val="FootnoteReference"/>
        </w:rPr>
        <w:footnoteRef/>
      </w:r>
      <w:r w:rsidRPr="0034044B">
        <w:t xml:space="preserve"> </w:t>
      </w:r>
      <w:r w:rsidR="00F206C2">
        <w:t>Ibid</w:t>
      </w:r>
      <w:r w:rsidRPr="0034044B">
        <w:t>.</w:t>
      </w:r>
    </w:p>
  </w:footnote>
  <w:footnote w:id="35">
    <w:p w14:paraId="7A75550F" w14:textId="50684317" w:rsidR="001D63B0" w:rsidRPr="0034044B" w:rsidRDefault="001D63B0" w:rsidP="000B646E">
      <w:pPr>
        <w:pStyle w:val="NIHRCFootnotes"/>
      </w:pPr>
      <w:r w:rsidRPr="0034044B">
        <w:rPr>
          <w:rStyle w:val="FootnoteReference"/>
        </w:rPr>
        <w:footnoteRef/>
      </w:r>
      <w:r w:rsidRPr="0034044B">
        <w:t xml:space="preserve"> </w:t>
      </w:r>
      <w:r w:rsidR="00147FE0">
        <w:t>European Court of Human Rights, ‘Press Release: The European Court grants urgent interim measure in case concerning asylum-seeker’s imminent removal from the UK to Rwanda’, 14 June 2022.</w:t>
      </w:r>
    </w:p>
  </w:footnote>
  <w:footnote w:id="36">
    <w:p w14:paraId="74DDDB0B" w14:textId="396DB368" w:rsidR="007F1E43" w:rsidRDefault="007F1E43" w:rsidP="000B646E">
      <w:pPr>
        <w:pStyle w:val="NIHRCFootnotes"/>
      </w:pPr>
      <w:r>
        <w:rPr>
          <w:rStyle w:val="FootnoteReference"/>
        </w:rPr>
        <w:footnoteRef/>
      </w:r>
      <w:r>
        <w:t xml:space="preserve"> Clause 24, Bill of Rights Bill.</w:t>
      </w:r>
    </w:p>
  </w:footnote>
  <w:footnote w:id="37">
    <w:p w14:paraId="7F88B8B5" w14:textId="724D4697" w:rsidR="0697744C" w:rsidRDefault="0697744C" w:rsidP="000B646E">
      <w:pPr>
        <w:pStyle w:val="NIHRCFootnotes"/>
      </w:pPr>
      <w:r>
        <w:footnoteRef/>
      </w:r>
      <w:r>
        <w:t xml:space="preserve"> Clause 1, Bill of Rights Bill.</w:t>
      </w:r>
    </w:p>
  </w:footnote>
  <w:footnote w:id="38">
    <w:p w14:paraId="67AA3A74" w14:textId="33D1F5B2" w:rsidR="0697744C" w:rsidRDefault="0697744C" w:rsidP="000B646E">
      <w:pPr>
        <w:pStyle w:val="NIHRCFootnotes"/>
      </w:pPr>
      <w:r>
        <w:footnoteRef/>
      </w:r>
      <w:r>
        <w:t xml:space="preserve"> Clause 5, Bill of Rights Bill.</w:t>
      </w:r>
    </w:p>
  </w:footnote>
  <w:footnote w:id="39">
    <w:p w14:paraId="03F5DE19" w14:textId="5F6E912D" w:rsidR="008151DC" w:rsidRDefault="008151DC" w:rsidP="000B646E">
      <w:pPr>
        <w:pStyle w:val="NIHRCFootnotes"/>
      </w:pPr>
      <w:r>
        <w:rPr>
          <w:rStyle w:val="FootnoteReference"/>
        </w:rPr>
        <w:footnoteRef/>
      </w:r>
      <w:r>
        <w:t xml:space="preserve"> </w:t>
      </w:r>
      <w:r w:rsidRPr="0034044B">
        <w:t xml:space="preserve">UK Parliament, ‘Parliamentary Sovereignty’. Available at: </w:t>
      </w:r>
      <w:hyperlink r:id="rId3" w:history="1">
        <w:r w:rsidRPr="0034044B">
          <w:rPr>
            <w:rStyle w:val="Hyperlink"/>
            <w:color w:val="77328A"/>
          </w:rPr>
          <w:t>https://www.parliament.uk/site-information/glossary/parliamentary-sovereignty</w:t>
        </w:r>
      </w:hyperlink>
    </w:p>
  </w:footnote>
  <w:footnote w:id="40">
    <w:p w14:paraId="6700B1CC" w14:textId="5B3EACB0" w:rsidR="0090011D" w:rsidRPr="0034044B" w:rsidRDefault="0090011D" w:rsidP="000B646E">
      <w:pPr>
        <w:pStyle w:val="NIHRCFootnotes"/>
      </w:pPr>
      <w:r w:rsidRPr="0034044B">
        <w:rPr>
          <w:rStyle w:val="FootnoteReference"/>
        </w:rPr>
        <w:footnoteRef/>
      </w:r>
      <w:r w:rsidRPr="0034044B">
        <w:t xml:space="preserve"> </w:t>
      </w:r>
      <w:r w:rsidR="00F206C2">
        <w:t>Ibid.</w:t>
      </w:r>
    </w:p>
  </w:footnote>
  <w:footnote w:id="41">
    <w:p w14:paraId="5C36E906" w14:textId="45A072D8" w:rsidR="00982A84" w:rsidRDefault="00982A84" w:rsidP="000B646E">
      <w:pPr>
        <w:pStyle w:val="NIHRCFootnotes"/>
      </w:pPr>
      <w:r>
        <w:rPr>
          <w:rStyle w:val="FootnoteReference"/>
        </w:rPr>
        <w:footnoteRef/>
      </w:r>
      <w:r>
        <w:t xml:space="preserve"> Richard Benwell and Oonagh Gray, ‘The Separation of Powers</w:t>
      </w:r>
      <w:r w:rsidR="004F6ABC">
        <w:t>’ (HoC, 2022).</w:t>
      </w:r>
    </w:p>
  </w:footnote>
  <w:footnote w:id="42">
    <w:p w14:paraId="6135D1EB" w14:textId="5767F130" w:rsidR="00515077" w:rsidRPr="0034044B" w:rsidRDefault="00515077" w:rsidP="000B646E">
      <w:pPr>
        <w:pStyle w:val="NIHRCFootnotes"/>
      </w:pPr>
      <w:r w:rsidRPr="0034044B">
        <w:rPr>
          <w:rStyle w:val="FootnoteReference"/>
        </w:rPr>
        <w:footnoteRef/>
      </w:r>
      <w:r w:rsidRPr="0034044B">
        <w:t xml:space="preserve"> Clause 1(2), Bill of Rights Bill.</w:t>
      </w:r>
    </w:p>
  </w:footnote>
  <w:footnote w:id="43">
    <w:p w14:paraId="3C61AC4C" w14:textId="6A2E6D01" w:rsidR="00B445B2" w:rsidRPr="0034044B" w:rsidRDefault="00B445B2" w:rsidP="000B646E">
      <w:pPr>
        <w:pStyle w:val="NIHRCFootnotes"/>
      </w:pPr>
      <w:r w:rsidRPr="0034044B">
        <w:rPr>
          <w:rStyle w:val="FootnoteReference"/>
        </w:rPr>
        <w:footnoteRef/>
      </w:r>
      <w:r w:rsidRPr="0034044B">
        <w:t xml:space="preserve"> Clause 19, Bill of Rights Bill.</w:t>
      </w:r>
    </w:p>
  </w:footnote>
  <w:footnote w:id="44">
    <w:p w14:paraId="7B8A861E" w14:textId="77777777" w:rsidR="0007352A" w:rsidRPr="0034044B" w:rsidRDefault="0007352A" w:rsidP="000B646E">
      <w:pPr>
        <w:pStyle w:val="NIHRCFootnotes"/>
      </w:pPr>
      <w:r w:rsidRPr="0034044B">
        <w:rPr>
          <w:rStyle w:val="FootnoteReference"/>
        </w:rPr>
        <w:footnoteRef/>
      </w:r>
      <w:r w:rsidRPr="0034044B">
        <w:t xml:space="preserve"> See for example, </w:t>
      </w:r>
      <w:r w:rsidRPr="0034044B">
        <w:rPr>
          <w:i/>
          <w:iCs/>
        </w:rPr>
        <w:t>Storck v Germany</w:t>
      </w:r>
      <w:r w:rsidRPr="0034044B">
        <w:t xml:space="preserve"> (2005) ECHR 406, at para 101; </w:t>
      </w:r>
      <w:r w:rsidRPr="0034044B">
        <w:rPr>
          <w:i/>
          <w:iCs/>
        </w:rPr>
        <w:t>El Masri v The Former Yugoslav Republic of Macedonia</w:t>
      </w:r>
      <w:r w:rsidRPr="0034044B">
        <w:t xml:space="preserve"> (2012) ECHR 70, at para 239.</w:t>
      </w:r>
    </w:p>
  </w:footnote>
  <w:footnote w:id="45">
    <w:p w14:paraId="0C482AA2" w14:textId="77777777" w:rsidR="0007352A" w:rsidRPr="0034044B" w:rsidRDefault="0007352A" w:rsidP="000B646E">
      <w:pPr>
        <w:pStyle w:val="NIHRCFootnotes"/>
      </w:pPr>
      <w:r w:rsidRPr="0034044B">
        <w:rPr>
          <w:rStyle w:val="FootnoteReference"/>
        </w:rPr>
        <w:footnoteRef/>
      </w:r>
      <w:r w:rsidRPr="0034044B">
        <w:t xml:space="preserve"> </w:t>
      </w:r>
      <w:r w:rsidRPr="0034044B">
        <w:rPr>
          <w:i/>
          <w:iCs/>
        </w:rPr>
        <w:t xml:space="preserve">Opuz v Turkey </w:t>
      </w:r>
      <w:r w:rsidRPr="0034044B">
        <w:t>(2009) ECHR 870.</w:t>
      </w:r>
    </w:p>
  </w:footnote>
  <w:footnote w:id="46">
    <w:p w14:paraId="3CE1A546" w14:textId="656B9CBA" w:rsidR="00FD1D5A" w:rsidRDefault="00FD1D5A" w:rsidP="000B646E">
      <w:pPr>
        <w:pStyle w:val="NIHRCFootnotes"/>
      </w:pPr>
      <w:r>
        <w:rPr>
          <w:rStyle w:val="FootnoteReference"/>
        </w:rPr>
        <w:footnoteRef/>
      </w:r>
      <w:r w:rsidR="004B446C">
        <w:t xml:space="preserve"> </w:t>
      </w:r>
      <w:r w:rsidR="00A34426" w:rsidRPr="004B446C">
        <w:rPr>
          <w:i/>
          <w:iCs/>
        </w:rPr>
        <w:t>Cotlet v Romania</w:t>
      </w:r>
      <w:r w:rsidR="00A34426">
        <w:t xml:space="preserve"> (</w:t>
      </w:r>
      <w:r w:rsidR="004B446C">
        <w:t xml:space="preserve">2003) ECHR 263; </w:t>
      </w:r>
      <w:r w:rsidR="004B446C" w:rsidRPr="000A3BDE">
        <w:rPr>
          <w:i/>
          <w:iCs/>
        </w:rPr>
        <w:t>Gagiu v Romania</w:t>
      </w:r>
      <w:r w:rsidR="004B446C">
        <w:t xml:space="preserve"> (</w:t>
      </w:r>
      <w:r w:rsidR="00BC282D">
        <w:t xml:space="preserve">2009), Application No </w:t>
      </w:r>
      <w:r w:rsidR="00A34260">
        <w:t xml:space="preserve">63258/00, Judgment of </w:t>
      </w:r>
      <w:r w:rsidR="00505147">
        <w:t xml:space="preserve">24 February 2009; </w:t>
      </w:r>
      <w:r w:rsidR="00505147" w:rsidRPr="000A3BDE">
        <w:rPr>
          <w:i/>
          <w:iCs/>
        </w:rPr>
        <w:t xml:space="preserve">Pentiacova and Others v Moldova </w:t>
      </w:r>
      <w:r w:rsidR="00505147">
        <w:t>(2005)</w:t>
      </w:r>
      <w:r w:rsidR="0014463E">
        <w:t xml:space="preserve"> </w:t>
      </w:r>
      <w:r w:rsidR="000A3BDE">
        <w:t>ECHR 947.</w:t>
      </w:r>
    </w:p>
  </w:footnote>
  <w:footnote w:id="47">
    <w:p w14:paraId="418D90C4" w14:textId="46DDA692" w:rsidR="00D54D4C" w:rsidRPr="0034044B" w:rsidRDefault="00D54D4C" w:rsidP="000B646E">
      <w:pPr>
        <w:pStyle w:val="NIHRCFootnotes"/>
      </w:pPr>
      <w:r w:rsidRPr="0034044B">
        <w:rPr>
          <w:rStyle w:val="FootnoteReference"/>
        </w:rPr>
        <w:footnoteRef/>
      </w:r>
      <w:r w:rsidRPr="0034044B">
        <w:t xml:space="preserve"> </w:t>
      </w:r>
      <w:r w:rsidR="00DA6310">
        <w:t xml:space="preserve">Article 13, ECHR; Article </w:t>
      </w:r>
      <w:r w:rsidR="00F7784F">
        <w:t>3</w:t>
      </w:r>
      <w:r w:rsidR="00DA6310">
        <w:t>(2)</w:t>
      </w:r>
      <w:r w:rsidR="00F7784F">
        <w:t>(a)</w:t>
      </w:r>
      <w:r w:rsidR="00DA6310">
        <w:t xml:space="preserve">, UN ICCPR; </w:t>
      </w:r>
      <w:r w:rsidRPr="0034044B">
        <w:rPr>
          <w:i/>
        </w:rPr>
        <w:t>Kaya v Turkey</w:t>
      </w:r>
      <w:r w:rsidRPr="0034044B">
        <w:t xml:space="preserve"> (1998) ECHR 10, at paras 106-107.</w:t>
      </w:r>
    </w:p>
  </w:footnote>
  <w:footnote w:id="48">
    <w:p w14:paraId="3999F059" w14:textId="7AB2705D" w:rsidR="007C40CA" w:rsidRDefault="007C40CA" w:rsidP="000B646E">
      <w:pPr>
        <w:pStyle w:val="NIHRCFootnotes"/>
      </w:pPr>
      <w:r>
        <w:rPr>
          <w:rStyle w:val="FootnoteReference"/>
        </w:rPr>
        <w:footnoteRef/>
      </w:r>
      <w:r>
        <w:t xml:space="preserve"> Clause 5(1), Bill of Rights Bill.</w:t>
      </w:r>
    </w:p>
  </w:footnote>
  <w:footnote w:id="49">
    <w:p w14:paraId="260F9E37" w14:textId="7E8E7C42" w:rsidR="007C40CA" w:rsidRDefault="007C40CA" w:rsidP="000B646E">
      <w:pPr>
        <w:pStyle w:val="NIHRCFootnotes"/>
      </w:pPr>
      <w:r>
        <w:rPr>
          <w:rStyle w:val="FootnoteReference"/>
        </w:rPr>
        <w:footnoteRef/>
      </w:r>
      <w:r>
        <w:t xml:space="preserve"> Clause 5(2), Bill of Rights Bill.</w:t>
      </w:r>
    </w:p>
  </w:footnote>
  <w:footnote w:id="50">
    <w:p w14:paraId="570BA063" w14:textId="1A9F8A00" w:rsidR="00822552" w:rsidRPr="00E25F2E" w:rsidRDefault="00822552" w:rsidP="00822552">
      <w:pPr>
        <w:pStyle w:val="FootnoteText"/>
        <w:rPr>
          <w:color w:val="77328A"/>
          <w:sz w:val="16"/>
          <w:szCs w:val="16"/>
        </w:rPr>
      </w:pPr>
      <w:r w:rsidRPr="00E25F2E">
        <w:rPr>
          <w:rStyle w:val="FootnoteReference"/>
          <w:color w:val="77328A"/>
          <w:sz w:val="16"/>
          <w:szCs w:val="16"/>
        </w:rPr>
        <w:footnoteRef/>
      </w:r>
      <w:r w:rsidRPr="00E25F2E">
        <w:rPr>
          <w:color w:val="77328A"/>
          <w:sz w:val="16"/>
          <w:szCs w:val="16"/>
        </w:rPr>
        <w:t xml:space="preserve"> NI</w:t>
      </w:r>
      <w:r w:rsidR="00DE69D3">
        <w:rPr>
          <w:color w:val="77328A"/>
          <w:sz w:val="16"/>
          <w:szCs w:val="16"/>
        </w:rPr>
        <w:t xml:space="preserve"> </w:t>
      </w:r>
      <w:r w:rsidRPr="00E25F2E">
        <w:rPr>
          <w:color w:val="77328A"/>
          <w:sz w:val="16"/>
          <w:szCs w:val="16"/>
        </w:rPr>
        <w:t>H</w:t>
      </w:r>
      <w:r w:rsidR="00DE69D3">
        <w:rPr>
          <w:color w:val="77328A"/>
          <w:sz w:val="16"/>
          <w:szCs w:val="16"/>
        </w:rPr>
        <w:t xml:space="preserve">uman </w:t>
      </w:r>
      <w:r w:rsidRPr="00E25F2E">
        <w:rPr>
          <w:color w:val="77328A"/>
          <w:sz w:val="16"/>
          <w:szCs w:val="16"/>
        </w:rPr>
        <w:t>R</w:t>
      </w:r>
      <w:r w:rsidR="00DE69D3">
        <w:rPr>
          <w:color w:val="77328A"/>
          <w:sz w:val="16"/>
          <w:szCs w:val="16"/>
        </w:rPr>
        <w:t xml:space="preserve">ights </w:t>
      </w:r>
      <w:r w:rsidRPr="00E25F2E">
        <w:rPr>
          <w:color w:val="77328A"/>
          <w:sz w:val="16"/>
          <w:szCs w:val="16"/>
        </w:rPr>
        <w:t>C</w:t>
      </w:r>
      <w:r w:rsidR="00DE69D3">
        <w:rPr>
          <w:color w:val="77328A"/>
          <w:sz w:val="16"/>
          <w:szCs w:val="16"/>
        </w:rPr>
        <w:t>ommission</w:t>
      </w:r>
      <w:r w:rsidRPr="00E25F2E">
        <w:rPr>
          <w:color w:val="77328A"/>
          <w:sz w:val="16"/>
          <w:szCs w:val="16"/>
        </w:rPr>
        <w:t>, ‘Submission to Department of Justice Consultation on Measures to Strengthen the Response to Modern Slavery and Human Trafficking’ (NIHRC, 2022).</w:t>
      </w:r>
    </w:p>
  </w:footnote>
  <w:footnote w:id="51">
    <w:p w14:paraId="74F85350" w14:textId="14773178" w:rsidR="0015428C" w:rsidRPr="00FE4C9F" w:rsidRDefault="0015428C" w:rsidP="0015428C">
      <w:pPr>
        <w:pStyle w:val="FootnoteText"/>
        <w:rPr>
          <w:sz w:val="16"/>
          <w:szCs w:val="16"/>
        </w:rPr>
      </w:pPr>
      <w:r w:rsidRPr="00FE4C9F">
        <w:rPr>
          <w:rStyle w:val="FootnoteReference"/>
          <w:color w:val="77328A"/>
          <w:sz w:val="16"/>
          <w:szCs w:val="16"/>
        </w:rPr>
        <w:footnoteRef/>
      </w:r>
      <w:r w:rsidRPr="00FE4C9F">
        <w:rPr>
          <w:color w:val="77328A"/>
          <w:sz w:val="16"/>
          <w:szCs w:val="16"/>
        </w:rPr>
        <w:t xml:space="preserve"> </w:t>
      </w:r>
      <w:r w:rsidR="00887F74" w:rsidRPr="00E25F2E">
        <w:rPr>
          <w:i/>
          <w:iCs/>
          <w:color w:val="77328A"/>
          <w:sz w:val="16"/>
          <w:szCs w:val="16"/>
        </w:rPr>
        <w:t>Rayonna prokuratura Lom</w:t>
      </w:r>
      <w:r w:rsidR="00887F74" w:rsidRPr="00E25F2E">
        <w:rPr>
          <w:color w:val="77328A"/>
          <w:sz w:val="16"/>
          <w:szCs w:val="16"/>
        </w:rPr>
        <w:t>, Case C-467/18, 19 September 2019, para 42-45</w:t>
      </w:r>
      <w:r w:rsidR="00887F74">
        <w:rPr>
          <w:color w:val="77328A"/>
          <w:sz w:val="16"/>
          <w:szCs w:val="16"/>
        </w:rPr>
        <w:t>.</w:t>
      </w:r>
    </w:p>
  </w:footnote>
  <w:footnote w:id="52">
    <w:p w14:paraId="4E700C83" w14:textId="4F1C064F" w:rsidR="006E1CF9" w:rsidRPr="0034044B" w:rsidRDefault="006E1CF9" w:rsidP="000B646E">
      <w:pPr>
        <w:pStyle w:val="NIHRCFootnotes"/>
      </w:pPr>
      <w:r w:rsidRPr="0034044B">
        <w:rPr>
          <w:rStyle w:val="FootnoteReference"/>
        </w:rPr>
        <w:footnoteRef/>
      </w:r>
      <w:r w:rsidRPr="0034044B">
        <w:t xml:space="preserve"> </w:t>
      </w:r>
      <w:r w:rsidR="00220177" w:rsidRPr="00C61AC0">
        <w:rPr>
          <w:i/>
          <w:iCs/>
        </w:rPr>
        <w:t>Sunday Times v UK</w:t>
      </w:r>
      <w:r w:rsidR="00220177">
        <w:t xml:space="preserve"> (1979) </w:t>
      </w:r>
      <w:r w:rsidR="00C61AC0">
        <w:t>ECHR 1.</w:t>
      </w:r>
    </w:p>
  </w:footnote>
  <w:footnote w:id="53">
    <w:p w14:paraId="05B448D2" w14:textId="45A62950" w:rsidR="004F64C9" w:rsidRPr="0034044B" w:rsidRDefault="004F64C9" w:rsidP="000B646E">
      <w:pPr>
        <w:pStyle w:val="NIHRCFootnotes"/>
      </w:pPr>
      <w:r w:rsidRPr="0034044B">
        <w:rPr>
          <w:rStyle w:val="FootnoteReference"/>
        </w:rPr>
        <w:footnoteRef/>
      </w:r>
      <w:r w:rsidRPr="0034044B">
        <w:t xml:space="preserve"> </w:t>
      </w:r>
      <w:r w:rsidR="00EF12E8" w:rsidRPr="008A2C80">
        <w:rPr>
          <w:i/>
          <w:iCs/>
        </w:rPr>
        <w:t>Rasmussen v Denmark</w:t>
      </w:r>
      <w:r w:rsidR="00EF12E8">
        <w:t xml:space="preserve"> (1984) </w:t>
      </w:r>
      <w:r w:rsidR="008A2C80">
        <w:t>ECHR 17.</w:t>
      </w:r>
    </w:p>
  </w:footnote>
  <w:footnote w:id="54">
    <w:p w14:paraId="705A4A2C" w14:textId="4714B9C1" w:rsidR="004F64C9" w:rsidRPr="0034044B" w:rsidRDefault="004F64C9" w:rsidP="000B646E">
      <w:pPr>
        <w:pStyle w:val="NIHRCFootnotes"/>
      </w:pPr>
      <w:r w:rsidRPr="0034044B">
        <w:rPr>
          <w:rStyle w:val="FootnoteReference"/>
        </w:rPr>
        <w:footnoteRef/>
      </w:r>
      <w:r w:rsidRPr="0034044B">
        <w:t xml:space="preserve"> </w:t>
      </w:r>
      <w:r w:rsidR="00123928" w:rsidRPr="00C61AC0">
        <w:rPr>
          <w:i/>
          <w:iCs/>
        </w:rPr>
        <w:t>Sunday Times v UK</w:t>
      </w:r>
      <w:r w:rsidR="00123928">
        <w:t xml:space="preserve"> (1979) ECHR 1; </w:t>
      </w:r>
      <w:r w:rsidR="00123928" w:rsidRPr="008A2C80">
        <w:rPr>
          <w:i/>
          <w:iCs/>
        </w:rPr>
        <w:t>Rasmussen v Denmark</w:t>
      </w:r>
      <w:r w:rsidR="00123928">
        <w:t xml:space="preserve"> (1984) ECHR 17.</w:t>
      </w:r>
    </w:p>
  </w:footnote>
  <w:footnote w:id="55">
    <w:p w14:paraId="194ECCFF" w14:textId="77777777" w:rsidR="00975F9B" w:rsidRPr="0034044B" w:rsidRDefault="00975F9B" w:rsidP="000B646E">
      <w:pPr>
        <w:pStyle w:val="NIHRCFootnotes"/>
      </w:pPr>
      <w:r w:rsidRPr="0034044B">
        <w:rPr>
          <w:rStyle w:val="FootnoteReference"/>
        </w:rPr>
        <w:footnoteRef/>
      </w:r>
      <w:r w:rsidRPr="0034044B">
        <w:t xml:space="preserve"> Clauses 1(2)(c), 4(1), 5(2), 6(2), 7(2)(b), 18(6), 21(2), Bill of Rights Bill.</w:t>
      </w:r>
    </w:p>
  </w:footnote>
  <w:footnote w:id="56">
    <w:p w14:paraId="2F8F2E4B" w14:textId="78691652" w:rsidR="002D2D37" w:rsidRPr="0034044B" w:rsidRDefault="002D2D37" w:rsidP="000B646E">
      <w:pPr>
        <w:pStyle w:val="NIHRCFootnotes"/>
      </w:pPr>
      <w:r w:rsidRPr="0034044B">
        <w:rPr>
          <w:rStyle w:val="FootnoteReference"/>
        </w:rPr>
        <w:footnoteRef/>
      </w:r>
      <w:r w:rsidRPr="0034044B">
        <w:t xml:space="preserve"> </w:t>
      </w:r>
      <w:r w:rsidR="00123928" w:rsidRPr="00C61AC0">
        <w:rPr>
          <w:i/>
          <w:iCs/>
        </w:rPr>
        <w:t>Sunday Times v UK</w:t>
      </w:r>
      <w:r w:rsidR="00123928">
        <w:t xml:space="preserve"> (1979) ECHR 1; </w:t>
      </w:r>
      <w:r w:rsidR="00123928" w:rsidRPr="00893EC9">
        <w:rPr>
          <w:i/>
          <w:iCs/>
        </w:rPr>
        <w:t>Handyside v UK</w:t>
      </w:r>
      <w:r w:rsidR="00123928">
        <w:t xml:space="preserve"> (1976) ECHR 5.</w:t>
      </w:r>
    </w:p>
  </w:footnote>
  <w:footnote w:id="57">
    <w:p w14:paraId="63D29DF5" w14:textId="53D19D0C" w:rsidR="000C2583" w:rsidRDefault="000C2583" w:rsidP="000B646E">
      <w:pPr>
        <w:pStyle w:val="NIHRCFootnotes"/>
      </w:pPr>
      <w:r>
        <w:rPr>
          <w:rStyle w:val="FootnoteReference"/>
        </w:rPr>
        <w:footnoteRef/>
      </w:r>
      <w:r>
        <w:t xml:space="preserve"> Clause 40, Bill of Rights Bill.</w:t>
      </w:r>
    </w:p>
  </w:footnote>
  <w:footnote w:id="58">
    <w:p w14:paraId="0F6E32BA" w14:textId="20852E4F" w:rsidR="00E85F53" w:rsidRDefault="00E85F53" w:rsidP="000B646E">
      <w:pPr>
        <w:pStyle w:val="NIHRCFootnotes"/>
      </w:pPr>
      <w:r>
        <w:rPr>
          <w:rStyle w:val="FootnoteReference"/>
        </w:rPr>
        <w:footnoteRef/>
      </w:r>
      <w:r>
        <w:t xml:space="preserve"> </w:t>
      </w:r>
      <w:r w:rsidR="00E61C90">
        <w:t xml:space="preserve">Section 6, Human Rights Act 1998; </w:t>
      </w:r>
      <w:r>
        <w:t>Clause 12, Bill of Rights Bill.</w:t>
      </w:r>
    </w:p>
  </w:footnote>
  <w:footnote w:id="59">
    <w:p w14:paraId="3DFDDC3C" w14:textId="5B6D8D76" w:rsidR="00D85DCD" w:rsidRDefault="00D85DCD" w:rsidP="000B646E">
      <w:pPr>
        <w:pStyle w:val="NIHRCFootnotes"/>
      </w:pPr>
      <w:r>
        <w:rPr>
          <w:rStyle w:val="FootnoteReference"/>
        </w:rPr>
        <w:footnoteRef/>
      </w:r>
      <w:r>
        <w:t xml:space="preserve"> </w:t>
      </w:r>
      <w:r w:rsidRPr="0034044B">
        <w:t>E/C.12/GBR/CO/6, ‘UN ICESCR Committee Concluding Observations on the Sixth Periodic Report of the UK of Great Britain and NI’, 14 July 2016, at para 10</w:t>
      </w:r>
      <w:r>
        <w:t xml:space="preserve">; </w:t>
      </w:r>
      <w:r w:rsidRPr="0034044B">
        <w:t>CERD/C/GBR/CO/21-23, ‘UN CERD Committee Concluding Observations on the Twenty First to Twenty Third Periodic Reports of UK of Great Britain and NI’, 26 August 2016, at para 10</w:t>
      </w:r>
      <w:r>
        <w:t xml:space="preserve">; </w:t>
      </w:r>
      <w:r w:rsidRPr="0034044B">
        <w:t>A/HRC/36/9, ‘UN Working Group on the Universal Periodic Review Report of the Working Group on the Universal Periodic Review - UK of Great Britain and NI’, 14 July 2017, at para 134.76.</w:t>
      </w:r>
    </w:p>
  </w:footnote>
  <w:footnote w:id="60">
    <w:p w14:paraId="7770C160" w14:textId="36698DE2" w:rsidR="00C20C54" w:rsidRPr="0034044B" w:rsidRDefault="00C20C54" w:rsidP="000B646E">
      <w:pPr>
        <w:pStyle w:val="NIHRCFootnotes"/>
      </w:pPr>
      <w:r w:rsidRPr="0034044B">
        <w:rPr>
          <w:vertAlign w:val="superscript"/>
        </w:rPr>
        <w:footnoteRef/>
      </w:r>
      <w:r w:rsidRPr="0034044B">
        <w:rPr>
          <w:vertAlign w:val="superscript"/>
        </w:rPr>
        <w:t xml:space="preserve"> </w:t>
      </w:r>
      <w:r w:rsidR="00480DCE">
        <w:t>UK Government, ‘T</w:t>
      </w:r>
      <w:r w:rsidRPr="0034044B">
        <w:t>he Independent Human Rights Act Review</w:t>
      </w:r>
      <w:r w:rsidR="00480DCE">
        <w:t>’ (UK</w:t>
      </w:r>
      <w:r w:rsidR="00A100D7">
        <w:t xml:space="preserve"> </w:t>
      </w:r>
      <w:r w:rsidR="00480DCE">
        <w:t>Go</w:t>
      </w:r>
      <w:r w:rsidR="00A100D7">
        <w:t>v,</w:t>
      </w:r>
      <w:r w:rsidRPr="0034044B">
        <w:t xml:space="preserve"> 2021</w:t>
      </w:r>
      <w:r w:rsidR="00A100D7">
        <w:t xml:space="preserve">), at </w:t>
      </w:r>
      <w:r w:rsidRPr="0034044B">
        <w:t xml:space="preserve">30. </w:t>
      </w:r>
    </w:p>
  </w:footnote>
  <w:footnote w:id="61">
    <w:p w14:paraId="171B2D6B" w14:textId="24C84A12" w:rsidR="00A11048" w:rsidRDefault="00A11048" w:rsidP="000B646E">
      <w:pPr>
        <w:pStyle w:val="NIHRCFootnotes"/>
      </w:pPr>
      <w:r>
        <w:rPr>
          <w:rStyle w:val="FootnoteReference"/>
        </w:rPr>
        <w:footnoteRef/>
      </w:r>
      <w:r>
        <w:t xml:space="preserve"> Article 13, ECHR.</w:t>
      </w:r>
    </w:p>
  </w:footnote>
  <w:footnote w:id="62">
    <w:p w14:paraId="1F0F5D75" w14:textId="77777777" w:rsidR="002E5D5A" w:rsidRPr="0034044B" w:rsidRDefault="002E5D5A" w:rsidP="000B646E">
      <w:pPr>
        <w:pStyle w:val="NIHRCFootnotes"/>
      </w:pPr>
      <w:r w:rsidRPr="0034044B">
        <w:rPr>
          <w:rStyle w:val="FootnoteReference"/>
        </w:rPr>
        <w:footnoteRef/>
      </w:r>
      <w:r w:rsidRPr="0034044B">
        <w:t xml:space="preserve"> </w:t>
      </w:r>
      <w:r w:rsidRPr="0034044B">
        <w:rPr>
          <w:i/>
        </w:rPr>
        <w:t>El-Masri v The Former Yugoslav Republic of Macedonia</w:t>
      </w:r>
      <w:r w:rsidRPr="0034044B">
        <w:t xml:space="preserve"> (2012), Application No 39630/09, Judgment of 13 December 2012, at para 255.</w:t>
      </w:r>
    </w:p>
  </w:footnote>
  <w:footnote w:id="63">
    <w:p w14:paraId="65A5BB75" w14:textId="77777777" w:rsidR="00876A9F" w:rsidRPr="0034044B" w:rsidRDefault="00876A9F" w:rsidP="000B646E">
      <w:pPr>
        <w:pStyle w:val="NIHRCFootnotes"/>
      </w:pPr>
      <w:r w:rsidRPr="0034044B">
        <w:rPr>
          <w:vertAlign w:val="superscript"/>
        </w:rPr>
        <w:footnoteRef/>
      </w:r>
      <w:r w:rsidRPr="0034044B">
        <w:rPr>
          <w:vertAlign w:val="superscript"/>
        </w:rPr>
        <w:t xml:space="preserve"> </w:t>
      </w:r>
      <w:r w:rsidRPr="0034044B">
        <w:t>The Good Friday Agreement 1998, Rights, Safeguards and Equality of Opportunity, at para 2.</w:t>
      </w:r>
    </w:p>
  </w:footnote>
  <w:footnote w:id="64">
    <w:p w14:paraId="06725A37" w14:textId="6A30EE32" w:rsidR="000E1BB4" w:rsidRPr="0034044B" w:rsidRDefault="000E1BB4" w:rsidP="000B646E">
      <w:pPr>
        <w:pStyle w:val="NIHRCFootnotes"/>
      </w:pPr>
      <w:r w:rsidRPr="0034044B">
        <w:rPr>
          <w:rStyle w:val="FootnoteReference"/>
        </w:rPr>
        <w:footnoteRef/>
      </w:r>
      <w:r w:rsidRPr="0034044B">
        <w:t xml:space="preserve"> </w:t>
      </w:r>
      <w:r w:rsidR="00F264F1" w:rsidRPr="0034044B">
        <w:t>Clause 15(1), Bill of Rights Bill.</w:t>
      </w:r>
    </w:p>
  </w:footnote>
  <w:footnote w:id="65">
    <w:p w14:paraId="0B876CAC" w14:textId="07F5FA56" w:rsidR="00F264F1" w:rsidRPr="0034044B" w:rsidRDefault="00F264F1" w:rsidP="000B646E">
      <w:pPr>
        <w:pStyle w:val="NIHRCFootnotes"/>
      </w:pPr>
      <w:r w:rsidRPr="0034044B">
        <w:rPr>
          <w:rStyle w:val="FootnoteReference"/>
        </w:rPr>
        <w:footnoteRef/>
      </w:r>
      <w:r w:rsidRPr="0034044B">
        <w:t xml:space="preserve"> Clause 15(3), Bill of Rights Bill.</w:t>
      </w:r>
    </w:p>
  </w:footnote>
  <w:footnote w:id="66">
    <w:p w14:paraId="10AC2B39" w14:textId="240F7DAA" w:rsidR="0697744C" w:rsidRDefault="0697744C" w:rsidP="000B646E">
      <w:pPr>
        <w:pStyle w:val="NIHRCFootnotes"/>
      </w:pPr>
      <w:r>
        <w:footnoteRef/>
      </w:r>
      <w:r>
        <w:t xml:space="preserve"> Clause 15(2)(a), Bill of Rights Bill.</w:t>
      </w:r>
    </w:p>
  </w:footnote>
  <w:footnote w:id="67">
    <w:p w14:paraId="59095F79" w14:textId="02891209" w:rsidR="007F79D0" w:rsidRPr="0034044B" w:rsidRDefault="007F79D0" w:rsidP="000B646E">
      <w:pPr>
        <w:pStyle w:val="NIHRCFootnotes"/>
      </w:pPr>
      <w:r w:rsidRPr="0034044B">
        <w:rPr>
          <w:rStyle w:val="FootnoteReference"/>
        </w:rPr>
        <w:footnoteRef/>
      </w:r>
      <w:r w:rsidRPr="0034044B">
        <w:t xml:space="preserve"> Clause 18(1), Bill of Rights Bill.</w:t>
      </w:r>
    </w:p>
  </w:footnote>
  <w:footnote w:id="68">
    <w:p w14:paraId="67C2DD47" w14:textId="449D241B" w:rsidR="009E5420" w:rsidRPr="0034044B" w:rsidRDefault="009E5420" w:rsidP="000B646E">
      <w:pPr>
        <w:pStyle w:val="NIHRCFootnotes"/>
      </w:pPr>
      <w:r w:rsidRPr="0034044B">
        <w:rPr>
          <w:rStyle w:val="FootnoteReference"/>
        </w:rPr>
        <w:footnoteRef/>
      </w:r>
      <w:r w:rsidRPr="0034044B">
        <w:t xml:space="preserve"> </w:t>
      </w:r>
      <w:r w:rsidR="00561B4A" w:rsidRPr="0034044B">
        <w:t>Clause 18(5)(a), Bill of Rights Bill.</w:t>
      </w:r>
    </w:p>
  </w:footnote>
  <w:footnote w:id="69">
    <w:p w14:paraId="3F25DE9A" w14:textId="1111A6E2" w:rsidR="00F35D8E" w:rsidRPr="0034044B" w:rsidRDefault="00F35D8E" w:rsidP="000B646E">
      <w:pPr>
        <w:pStyle w:val="NIHRCFootnotes"/>
      </w:pPr>
      <w:r w:rsidRPr="0034044B">
        <w:rPr>
          <w:rStyle w:val="FootnoteReference"/>
        </w:rPr>
        <w:footnoteRef/>
      </w:r>
      <w:r w:rsidRPr="0034044B">
        <w:t xml:space="preserve"> Article 15(2), ECHR; </w:t>
      </w:r>
      <w:r w:rsidR="00893EC9">
        <w:t>Article 4(2), UN ICCPR.</w:t>
      </w:r>
    </w:p>
  </w:footnote>
  <w:footnote w:id="70">
    <w:p w14:paraId="3C3264F1" w14:textId="5A875AC8" w:rsidR="009366B8" w:rsidRPr="0034044B" w:rsidRDefault="009366B8" w:rsidP="000B646E">
      <w:pPr>
        <w:pStyle w:val="NIHRCFootnotes"/>
      </w:pPr>
      <w:r w:rsidRPr="0034044B">
        <w:rPr>
          <w:rStyle w:val="FootnoteReference"/>
        </w:rPr>
        <w:footnoteRef/>
      </w:r>
      <w:r w:rsidRPr="0034044B">
        <w:t xml:space="preserve"> Limited rights, such as right to life, can only be interfered with in very specific circumstances as set out within </w:t>
      </w:r>
      <w:r w:rsidR="006B2898" w:rsidRPr="0034044B">
        <w:t>human rights law. Qualified rights, such as right to freedom of expression, can be interfered with in broader circumstances as set out within human rights law</w:t>
      </w:r>
      <w:r w:rsidR="00B26092" w:rsidRPr="0034044B">
        <w:t>. See for example, Articles 2(2) and 10(2) of the ECHR.</w:t>
      </w:r>
    </w:p>
  </w:footnote>
  <w:footnote w:id="71">
    <w:p w14:paraId="456A2B17" w14:textId="02656C46" w:rsidR="00C20C99" w:rsidRPr="0034044B" w:rsidRDefault="00C20C99" w:rsidP="000B646E">
      <w:pPr>
        <w:pStyle w:val="NIHRCFootnotes"/>
      </w:pPr>
      <w:r w:rsidRPr="0034044B">
        <w:rPr>
          <w:rStyle w:val="FootnoteReference"/>
        </w:rPr>
        <w:footnoteRef/>
      </w:r>
      <w:r w:rsidRPr="0034044B">
        <w:t xml:space="preserve"> </w:t>
      </w:r>
      <w:r w:rsidR="00514EB9" w:rsidRPr="00893EC9">
        <w:rPr>
          <w:i/>
          <w:iCs/>
        </w:rPr>
        <w:t>Handyside v UK</w:t>
      </w:r>
      <w:r w:rsidR="00514EB9">
        <w:t xml:space="preserve"> </w:t>
      </w:r>
      <w:r w:rsidR="00A6548F">
        <w:t>(1976) ECHR 5.</w:t>
      </w:r>
    </w:p>
  </w:footnote>
  <w:footnote w:id="72">
    <w:p w14:paraId="54815D6D" w14:textId="3831131E" w:rsidR="00A25250" w:rsidRPr="0034044B" w:rsidRDefault="00A25250" w:rsidP="000B646E">
      <w:pPr>
        <w:pStyle w:val="NIHRCFootnotes"/>
      </w:pPr>
      <w:r w:rsidRPr="0034044B">
        <w:rPr>
          <w:rStyle w:val="FootnoteReference"/>
        </w:rPr>
        <w:footnoteRef/>
      </w:r>
      <w:r w:rsidRPr="0034044B">
        <w:t xml:space="preserve"> Clauses 5(2)(c) and 6, Bill of Rights Bill.</w:t>
      </w:r>
    </w:p>
  </w:footnote>
  <w:footnote w:id="73">
    <w:p w14:paraId="01E9FB23" w14:textId="77777777" w:rsidR="00A25250" w:rsidRPr="0034044B" w:rsidRDefault="00A25250" w:rsidP="000B646E">
      <w:pPr>
        <w:pStyle w:val="NIHRCFootnotes"/>
      </w:pPr>
      <w:r w:rsidRPr="0034044B">
        <w:rPr>
          <w:rStyle w:val="FootnoteReference"/>
        </w:rPr>
        <w:footnoteRef/>
      </w:r>
      <w:r w:rsidRPr="0034044B">
        <w:t xml:space="preserve"> Clauses 8 and 20, Bill of Rights Bill.</w:t>
      </w:r>
    </w:p>
  </w:footnote>
  <w:footnote w:id="74">
    <w:p w14:paraId="3464BFFE" w14:textId="685CF5C7" w:rsidR="00090323" w:rsidRPr="005A7866" w:rsidRDefault="00090323" w:rsidP="000B646E">
      <w:pPr>
        <w:pStyle w:val="NIHRCFootnotes"/>
      </w:pPr>
      <w:r>
        <w:rPr>
          <w:rStyle w:val="FootnoteReference"/>
        </w:rPr>
        <w:footnoteRef/>
      </w:r>
      <w:r>
        <w:t xml:space="preserve"> </w:t>
      </w:r>
      <w:r w:rsidR="0072710E">
        <w:t>Rights should not be interfered with except in specific situations and according to due process.</w:t>
      </w:r>
      <w:r w:rsidR="005A7866">
        <w:t xml:space="preserve"> </w:t>
      </w:r>
      <w:r w:rsidR="005A7866">
        <w:rPr>
          <w:i/>
          <w:iCs/>
        </w:rPr>
        <w:t xml:space="preserve">See </w:t>
      </w:r>
      <w:r w:rsidR="005A7866">
        <w:t xml:space="preserve">Office of the High Commissioner of Human Rights, ‘What Are Human Rights?’. Available at: </w:t>
      </w:r>
      <w:r w:rsidR="005A7866" w:rsidRPr="005A7866">
        <w:t>https://www.ohchr.org/en/what-are-human-rights</w:t>
      </w:r>
    </w:p>
  </w:footnote>
  <w:footnote w:id="75">
    <w:p w14:paraId="152CEEFB" w14:textId="3EBCAE1F" w:rsidR="007969D2" w:rsidRPr="0034044B" w:rsidRDefault="007969D2" w:rsidP="000B646E">
      <w:pPr>
        <w:pStyle w:val="NIHRCFootnotes"/>
      </w:pPr>
      <w:r w:rsidRPr="0034044B">
        <w:rPr>
          <w:rStyle w:val="FootnoteReference"/>
        </w:rPr>
        <w:footnoteRef/>
      </w:r>
      <w:r w:rsidRPr="0034044B">
        <w:t xml:space="preserve"> </w:t>
      </w:r>
      <w:r w:rsidR="00176EEB">
        <w:t>That one right cannot be fully enjoyed without fulfilling other rights.</w:t>
      </w:r>
      <w:r w:rsidR="00E91395">
        <w:t xml:space="preserve"> </w:t>
      </w:r>
      <w:r w:rsidR="00E91395">
        <w:rPr>
          <w:i/>
          <w:iCs/>
        </w:rPr>
        <w:t xml:space="preserve">See </w:t>
      </w:r>
      <w:r w:rsidR="00E91395">
        <w:t xml:space="preserve">Office of the High Commissioner of Human Rights, ‘What Are Human Rights?’. Available at: </w:t>
      </w:r>
      <w:r w:rsidR="00E91395" w:rsidRPr="005A7866">
        <w:t>https://www.ohchr.org/en/what-are-human-rights</w:t>
      </w:r>
    </w:p>
  </w:footnote>
  <w:footnote w:id="76">
    <w:p w14:paraId="4BE4C0B3" w14:textId="13A6C3A6" w:rsidR="007A090C" w:rsidRPr="0034044B" w:rsidRDefault="007A090C" w:rsidP="000B646E">
      <w:pPr>
        <w:pStyle w:val="NIHRCFootnotes"/>
      </w:pPr>
      <w:r w:rsidRPr="0034044B">
        <w:rPr>
          <w:rStyle w:val="FootnoteReference"/>
        </w:rPr>
        <w:footnoteRef/>
      </w:r>
      <w:r w:rsidRPr="0034044B">
        <w:t xml:space="preserve"> Articles 3 and 11, European Convention on Human Rights 1950.</w:t>
      </w:r>
    </w:p>
  </w:footnote>
  <w:footnote w:id="77">
    <w:p w14:paraId="3DDE3705" w14:textId="06D93861" w:rsidR="00531C07" w:rsidRPr="0034044B" w:rsidRDefault="00531C07" w:rsidP="000B646E">
      <w:pPr>
        <w:pStyle w:val="NIHRCFootnotes"/>
      </w:pPr>
      <w:r w:rsidRPr="0034044B">
        <w:rPr>
          <w:rStyle w:val="FootnoteReference"/>
        </w:rPr>
        <w:footnoteRef/>
      </w:r>
      <w:r w:rsidRPr="0034044B">
        <w:t xml:space="preserve"> Clause 4, Bill of Rights Bill.</w:t>
      </w:r>
    </w:p>
  </w:footnote>
  <w:footnote w:id="78">
    <w:p w14:paraId="046732D7" w14:textId="68E0767A" w:rsidR="00531C07" w:rsidRPr="0034044B" w:rsidRDefault="00531C07" w:rsidP="000B646E">
      <w:pPr>
        <w:pStyle w:val="NIHRCFootnotes"/>
      </w:pPr>
      <w:r w:rsidRPr="0034044B">
        <w:rPr>
          <w:rStyle w:val="FootnoteReference"/>
        </w:rPr>
        <w:footnoteRef/>
      </w:r>
      <w:r w:rsidRPr="0034044B">
        <w:t xml:space="preserve"> Clause 23(2), Bill of Rights Bill.</w:t>
      </w:r>
    </w:p>
  </w:footnote>
  <w:footnote w:id="79">
    <w:p w14:paraId="307EADEF" w14:textId="5EDA4950" w:rsidR="00B728B6" w:rsidRDefault="00B728B6" w:rsidP="000B646E">
      <w:pPr>
        <w:pStyle w:val="NIHRCFootnotes"/>
      </w:pPr>
      <w:r>
        <w:rPr>
          <w:rStyle w:val="FootnoteReference"/>
        </w:rPr>
        <w:footnoteRef/>
      </w:r>
      <w:r>
        <w:t xml:space="preserve"> Article 1, ECHR.</w:t>
      </w:r>
    </w:p>
  </w:footnote>
  <w:footnote w:id="80">
    <w:p w14:paraId="05F3D0D6" w14:textId="6E50CB4E" w:rsidR="00B728B6" w:rsidRDefault="00B728B6" w:rsidP="000B646E">
      <w:pPr>
        <w:pStyle w:val="NIHRCFootnotes"/>
      </w:pPr>
      <w:r>
        <w:rPr>
          <w:rStyle w:val="FootnoteReference"/>
        </w:rPr>
        <w:footnoteRef/>
      </w:r>
      <w:r>
        <w:t xml:space="preserve"> Article 13, ECHR.</w:t>
      </w:r>
    </w:p>
  </w:footnote>
  <w:footnote w:id="81">
    <w:p w14:paraId="1824D1E2" w14:textId="39E9C6AB" w:rsidR="00287CE2" w:rsidRDefault="00287CE2" w:rsidP="000B646E">
      <w:pPr>
        <w:pStyle w:val="NIHRCFootnotes"/>
      </w:pPr>
      <w:r>
        <w:rPr>
          <w:rStyle w:val="FootnoteReference"/>
        </w:rPr>
        <w:footnoteRef/>
      </w:r>
      <w:r>
        <w:t xml:space="preserve"> </w:t>
      </w:r>
      <w:r w:rsidR="00A23B7C" w:rsidRPr="00017E59">
        <w:rPr>
          <w:i/>
          <w:iCs/>
        </w:rPr>
        <w:t>Bankovic v Belgium</w:t>
      </w:r>
      <w:r w:rsidR="00A23B7C">
        <w:t xml:space="preserve"> (2001)</w:t>
      </w:r>
      <w:r w:rsidR="00ED5E75">
        <w:t xml:space="preserve"> ECHR 890</w:t>
      </w:r>
      <w:r w:rsidR="000C1727">
        <w:t xml:space="preserve">; </w:t>
      </w:r>
      <w:r w:rsidR="000C1727" w:rsidRPr="000C1727">
        <w:rPr>
          <w:i/>
          <w:iCs/>
        </w:rPr>
        <w:t>Issa v Turkey</w:t>
      </w:r>
      <w:r w:rsidR="000C1727">
        <w:t xml:space="preserve"> (2004)</w:t>
      </w:r>
      <w:r w:rsidR="000E663C">
        <w:t xml:space="preserve"> ECHR 629.</w:t>
      </w:r>
    </w:p>
  </w:footnote>
  <w:footnote w:id="82">
    <w:p w14:paraId="0249DA1F" w14:textId="4959A9CB" w:rsidR="00287CE2" w:rsidRDefault="00287CE2" w:rsidP="000B646E">
      <w:pPr>
        <w:pStyle w:val="NIHRCFootnotes"/>
      </w:pPr>
      <w:r>
        <w:rPr>
          <w:rStyle w:val="FootnoteReference"/>
        </w:rPr>
        <w:footnoteRef/>
      </w:r>
      <w:r>
        <w:t xml:space="preserve"> </w:t>
      </w:r>
      <w:r w:rsidR="00017E59" w:rsidRPr="00017E59">
        <w:rPr>
          <w:i/>
          <w:iCs/>
        </w:rPr>
        <w:t>Bankovic v Belgium</w:t>
      </w:r>
      <w:r w:rsidR="00017E59">
        <w:t xml:space="preserve"> (2001)</w:t>
      </w:r>
      <w:r w:rsidR="00ED5E75">
        <w:t xml:space="preserve"> ECHR 890.</w:t>
      </w:r>
    </w:p>
  </w:footnote>
  <w:footnote w:id="83">
    <w:p w14:paraId="5AA3FCAB" w14:textId="7A0637DB" w:rsidR="00287CE2" w:rsidRDefault="00287CE2" w:rsidP="000B646E">
      <w:pPr>
        <w:pStyle w:val="NIHRCFootnotes"/>
      </w:pPr>
      <w:r>
        <w:rPr>
          <w:rStyle w:val="FootnoteReference"/>
        </w:rPr>
        <w:footnoteRef/>
      </w:r>
      <w:r>
        <w:t xml:space="preserve"> </w:t>
      </w:r>
      <w:r w:rsidR="00F015AE" w:rsidRPr="00F015AE">
        <w:rPr>
          <w:i/>
          <w:iCs/>
        </w:rPr>
        <w:t>Al-Skeini v UK</w:t>
      </w:r>
      <w:r w:rsidR="00F015AE">
        <w:t xml:space="preserve"> (2011)</w:t>
      </w:r>
      <w:r w:rsidR="00ED5E75">
        <w:t xml:space="preserve"> </w:t>
      </w:r>
      <w:r w:rsidR="00C17A2C">
        <w:t>ECHR 1093.</w:t>
      </w:r>
    </w:p>
  </w:footnote>
  <w:footnote w:id="84">
    <w:p w14:paraId="063D2ECB" w14:textId="05F7F0B7" w:rsidR="00287CE2" w:rsidRDefault="00287CE2" w:rsidP="000B646E">
      <w:pPr>
        <w:pStyle w:val="NIHRCFootnotes"/>
      </w:pPr>
      <w:r>
        <w:rPr>
          <w:rStyle w:val="FootnoteReference"/>
        </w:rPr>
        <w:footnoteRef/>
      </w:r>
      <w:r>
        <w:t xml:space="preserve"> </w:t>
      </w:r>
      <w:r w:rsidR="002A6A44" w:rsidRPr="000C1727">
        <w:rPr>
          <w:i/>
          <w:iCs/>
        </w:rPr>
        <w:t>Issa v Turkey</w:t>
      </w:r>
      <w:r w:rsidR="002A6A44">
        <w:t xml:space="preserve"> (2004)</w:t>
      </w:r>
      <w:r w:rsidR="000E663C">
        <w:t xml:space="preserve"> ECHR 629. </w:t>
      </w:r>
    </w:p>
  </w:footnote>
  <w:footnote w:id="85">
    <w:p w14:paraId="1A88C34E" w14:textId="07C0B7F6" w:rsidR="00287CE2" w:rsidRDefault="00287CE2" w:rsidP="000B646E">
      <w:pPr>
        <w:pStyle w:val="NIHRCFootnotes"/>
      </w:pPr>
      <w:r>
        <w:rPr>
          <w:rStyle w:val="FootnoteReference"/>
        </w:rPr>
        <w:footnoteRef/>
      </w:r>
      <w:r>
        <w:t xml:space="preserve"> </w:t>
      </w:r>
      <w:r w:rsidR="00A75E8B" w:rsidRPr="00A75E8B">
        <w:rPr>
          <w:i/>
          <w:iCs/>
        </w:rPr>
        <w:t>Öcalan v Turkey</w:t>
      </w:r>
      <w:r w:rsidR="00A75E8B">
        <w:t xml:space="preserve"> (2003)</w:t>
      </w:r>
      <w:r w:rsidR="00C17A2C">
        <w:t xml:space="preserve"> ECHR 125.</w:t>
      </w:r>
    </w:p>
  </w:footnote>
  <w:footnote w:id="86">
    <w:p w14:paraId="4E944C89" w14:textId="24D5DF44" w:rsidR="00287CE2" w:rsidRDefault="00287CE2" w:rsidP="000B646E">
      <w:pPr>
        <w:pStyle w:val="NIHRCFootnotes"/>
      </w:pPr>
      <w:r>
        <w:rPr>
          <w:rStyle w:val="FootnoteReference"/>
        </w:rPr>
        <w:footnoteRef/>
      </w:r>
      <w:r>
        <w:t xml:space="preserve"> </w:t>
      </w:r>
      <w:r w:rsidR="00A21DE5" w:rsidRPr="00A21DE5">
        <w:rPr>
          <w:i/>
          <w:iCs/>
        </w:rPr>
        <w:t>Chiragov and Others v Armenia</w:t>
      </w:r>
      <w:r w:rsidR="00A21DE5">
        <w:t xml:space="preserve"> (2015)</w:t>
      </w:r>
      <w:r w:rsidR="00C17A2C">
        <w:t xml:space="preserve"> ECHR 647.</w:t>
      </w:r>
    </w:p>
  </w:footnote>
  <w:footnote w:id="87">
    <w:p w14:paraId="404D7BCD" w14:textId="090CCA83" w:rsidR="00287CE2" w:rsidRDefault="00287CE2" w:rsidP="000B646E">
      <w:pPr>
        <w:pStyle w:val="NIHRCFootnotes"/>
      </w:pPr>
      <w:r>
        <w:rPr>
          <w:rStyle w:val="FootnoteReference"/>
        </w:rPr>
        <w:footnoteRef/>
      </w:r>
      <w:r>
        <w:t xml:space="preserve"> </w:t>
      </w:r>
      <w:r w:rsidR="00580441" w:rsidRPr="00580441">
        <w:rPr>
          <w:i/>
          <w:iCs/>
        </w:rPr>
        <w:t>Al-Saadoon and Mufdhi v UK</w:t>
      </w:r>
      <w:r w:rsidR="00580441">
        <w:t xml:space="preserve"> (2010)</w:t>
      </w:r>
      <w:r w:rsidR="00ED5E75">
        <w:t xml:space="preserve"> ECHR 282.</w:t>
      </w:r>
    </w:p>
  </w:footnote>
  <w:footnote w:id="88">
    <w:p w14:paraId="36456A86" w14:textId="3E950D61" w:rsidR="00287CE2" w:rsidRDefault="00287CE2" w:rsidP="000B646E">
      <w:pPr>
        <w:pStyle w:val="NIHRCFootnotes"/>
      </w:pPr>
      <w:r>
        <w:rPr>
          <w:rStyle w:val="FootnoteReference"/>
        </w:rPr>
        <w:footnoteRef/>
      </w:r>
      <w:r>
        <w:t xml:space="preserve"> </w:t>
      </w:r>
      <w:r w:rsidR="0025065A" w:rsidRPr="0025065A">
        <w:rPr>
          <w:i/>
          <w:iCs/>
        </w:rPr>
        <w:t>Pisari v Republic of Moldova and Russia</w:t>
      </w:r>
      <w:r w:rsidR="0025065A">
        <w:t xml:space="preserve"> (2015)</w:t>
      </w:r>
      <w:r w:rsidR="00064444">
        <w:t xml:space="preserve"> ECHR 403</w:t>
      </w:r>
      <w:r w:rsidR="0025065A">
        <w:t xml:space="preserve">; </w:t>
      </w:r>
      <w:r w:rsidR="0025065A" w:rsidRPr="0025065A">
        <w:rPr>
          <w:i/>
          <w:iCs/>
        </w:rPr>
        <w:t>Mozer v Republic of Moldova and Russia</w:t>
      </w:r>
      <w:r w:rsidR="0025065A">
        <w:t xml:space="preserve"> (2016)</w:t>
      </w:r>
      <w:r w:rsidR="00064444">
        <w:t xml:space="preserve"> ECHR 213.</w:t>
      </w:r>
    </w:p>
  </w:footnote>
  <w:footnote w:id="89">
    <w:p w14:paraId="3403EB41" w14:textId="3092B309" w:rsidR="00EA7070" w:rsidRDefault="00EA7070" w:rsidP="000B646E">
      <w:pPr>
        <w:pStyle w:val="NIHRCFootnotes"/>
      </w:pPr>
      <w:r>
        <w:rPr>
          <w:rStyle w:val="FootnoteReference"/>
        </w:rPr>
        <w:footnoteRef/>
      </w:r>
      <w:r>
        <w:t xml:space="preserve"> Clause 14, Bill of Rights Bill.</w:t>
      </w:r>
    </w:p>
  </w:footnote>
  <w:footnote w:id="90">
    <w:p w14:paraId="04655E02" w14:textId="63708220" w:rsidR="00665282" w:rsidRDefault="00665282" w:rsidP="000B646E">
      <w:pPr>
        <w:pStyle w:val="NIHRCFootnotes"/>
      </w:pPr>
      <w:r>
        <w:rPr>
          <w:rStyle w:val="FootnoteReference"/>
        </w:rPr>
        <w:footnoteRef/>
      </w:r>
      <w:r>
        <w:t xml:space="preserve"> Article 6, ECHR; </w:t>
      </w:r>
      <w:r w:rsidR="00A44306">
        <w:t>Article 14, UN ICCPR.</w:t>
      </w:r>
    </w:p>
  </w:footnote>
  <w:footnote w:id="91">
    <w:p w14:paraId="00B9EDD2" w14:textId="119F2CF4" w:rsidR="00F75D6C" w:rsidRPr="0034044B" w:rsidRDefault="00F75D6C" w:rsidP="000B646E">
      <w:pPr>
        <w:pStyle w:val="NIHRCFootnotes"/>
      </w:pPr>
      <w:r w:rsidRPr="0034044B">
        <w:rPr>
          <w:rStyle w:val="FootnoteReference"/>
        </w:rPr>
        <w:footnoteRef/>
      </w:r>
      <w:r w:rsidRPr="0034044B">
        <w:t xml:space="preserve"> Article 6(1), European Convention on Human Rights 1950; </w:t>
      </w:r>
      <w:r w:rsidR="003D2494" w:rsidRPr="0034044B">
        <w:rPr>
          <w:i/>
          <w:iCs/>
        </w:rPr>
        <w:t>Jorgic v Germany</w:t>
      </w:r>
      <w:r w:rsidR="003D2494" w:rsidRPr="0034044B">
        <w:t xml:space="preserve"> </w:t>
      </w:r>
      <w:r w:rsidR="00022FB4" w:rsidRPr="0034044B">
        <w:t>(2007) ECHR 583</w:t>
      </w:r>
      <w:r w:rsidR="003D2494" w:rsidRPr="0034044B">
        <w:t>, at para 64.</w:t>
      </w:r>
    </w:p>
  </w:footnote>
  <w:footnote w:id="92">
    <w:p w14:paraId="6AC76ABA" w14:textId="2E2716D5" w:rsidR="00215667" w:rsidRPr="0034044B" w:rsidRDefault="00215667" w:rsidP="000B646E">
      <w:pPr>
        <w:pStyle w:val="NIHRCFootnotes"/>
      </w:pPr>
      <w:r w:rsidRPr="0034044B">
        <w:rPr>
          <w:rStyle w:val="FootnoteReference"/>
        </w:rPr>
        <w:footnoteRef/>
      </w:r>
      <w:r w:rsidRPr="0034044B">
        <w:t xml:space="preserve"> </w:t>
      </w:r>
      <w:r w:rsidR="00105CFB" w:rsidRPr="0034044B">
        <w:t>Article 6(1), European Convention on Human Rights 1950.</w:t>
      </w:r>
    </w:p>
  </w:footnote>
  <w:footnote w:id="93">
    <w:p w14:paraId="2DE1A8F4" w14:textId="77777777" w:rsidR="00215667" w:rsidRPr="0034044B" w:rsidRDefault="00215667" w:rsidP="000B646E">
      <w:pPr>
        <w:pStyle w:val="NIHRCFootnotes"/>
      </w:pPr>
      <w:r w:rsidRPr="0034044B">
        <w:rPr>
          <w:rStyle w:val="FootnoteReference"/>
        </w:rPr>
        <w:footnoteRef/>
      </w:r>
      <w:r w:rsidRPr="0034044B">
        <w:t xml:space="preserve"> </w:t>
      </w:r>
      <w:r w:rsidRPr="0034044B">
        <w:rPr>
          <w:i/>
          <w:iCs/>
        </w:rPr>
        <w:t>Holm v Sweden</w:t>
      </w:r>
      <w:r w:rsidRPr="0034044B">
        <w:t xml:space="preserve"> (1993) ECHR 58, at para 30.</w:t>
      </w:r>
    </w:p>
  </w:footnote>
  <w:footnote w:id="94">
    <w:p w14:paraId="4EBC83A5" w14:textId="64930AB4" w:rsidR="00B44A39" w:rsidRPr="0034044B" w:rsidRDefault="00B44A39" w:rsidP="000B646E">
      <w:pPr>
        <w:pStyle w:val="NIHRCFootnotes"/>
      </w:pPr>
      <w:r w:rsidRPr="0034044B">
        <w:rPr>
          <w:rStyle w:val="FootnoteReference"/>
        </w:rPr>
        <w:footnoteRef/>
      </w:r>
      <w:r w:rsidRPr="0034044B">
        <w:t xml:space="preserve"> Clause 9, Bill of Rights Bill.</w:t>
      </w:r>
    </w:p>
  </w:footnote>
  <w:footnote w:id="95">
    <w:p w14:paraId="566C5B71" w14:textId="77777777" w:rsidR="002458AA" w:rsidRPr="0034044B" w:rsidRDefault="002458AA" w:rsidP="000B646E">
      <w:pPr>
        <w:pStyle w:val="NIHRCFootnotes"/>
      </w:pPr>
      <w:r w:rsidRPr="0034044B">
        <w:rPr>
          <w:rStyle w:val="FootnoteReference"/>
        </w:rPr>
        <w:footnoteRef/>
      </w:r>
      <w:r w:rsidRPr="0034044B">
        <w:t xml:space="preserve"> In 2021, the former Secretary of State for NI, Brandon Lewis MP, once again extended the provisions until 31st July 2023.</w:t>
      </w:r>
      <w:r w:rsidRPr="00516BAD">
        <w:rPr>
          <w:i/>
          <w:iCs/>
        </w:rPr>
        <w:t xml:space="preserve"> See </w:t>
      </w:r>
      <w:r w:rsidRPr="0034044B">
        <w:t>Justice and Security (NI) Act 2007; Justice and Security (NI) Act 2007 (Extension of Duration of Non-jury Trial Provisions) Order 2021.</w:t>
      </w:r>
    </w:p>
  </w:footnote>
  <w:footnote w:id="96">
    <w:p w14:paraId="15FCE3BB" w14:textId="6770AC42" w:rsidR="002458AA" w:rsidRPr="0034044B" w:rsidRDefault="002458AA" w:rsidP="000B646E">
      <w:pPr>
        <w:pStyle w:val="NIHRCFootnotes"/>
      </w:pPr>
      <w:r w:rsidRPr="0034044B">
        <w:rPr>
          <w:rStyle w:val="FootnoteReference"/>
        </w:rPr>
        <w:footnoteRef/>
      </w:r>
      <w:r w:rsidRPr="0034044B">
        <w:t xml:space="preserve"> Correspondence from the NI Human Rights Commission to the Secretary of State for NI, 11 February 2021</w:t>
      </w:r>
      <w:r w:rsidR="00516BAD">
        <w:t>.</w:t>
      </w:r>
    </w:p>
  </w:footnote>
  <w:footnote w:id="97">
    <w:p w14:paraId="5DE5B054" w14:textId="77777777" w:rsidR="00BE0604" w:rsidRPr="000A56CD" w:rsidRDefault="00BE0604" w:rsidP="000B646E">
      <w:pPr>
        <w:pStyle w:val="NIHRCFootnotes"/>
      </w:pPr>
      <w:r w:rsidRPr="000A56CD">
        <w:rPr>
          <w:vertAlign w:val="superscript"/>
        </w:rPr>
        <w:footnoteRef/>
      </w:r>
      <w:r w:rsidRPr="000A56CD">
        <w:rPr>
          <w:vertAlign w:val="superscript"/>
        </w:rPr>
        <w:t xml:space="preserve"> </w:t>
      </w:r>
      <w:r w:rsidRPr="000A56CD">
        <w:t>The Good Friday Agreement 1998, Rights, Safeguards and Equality of Opportunity, at para 2.</w:t>
      </w:r>
    </w:p>
  </w:footnote>
  <w:footnote w:id="98">
    <w:p w14:paraId="4FAA6706" w14:textId="77777777" w:rsidR="00BE0604" w:rsidRPr="00A94910" w:rsidRDefault="00BE0604" w:rsidP="000B646E">
      <w:pPr>
        <w:pStyle w:val="NIHRCFootnotes"/>
      </w:pPr>
      <w:r w:rsidRPr="00A94910">
        <w:rPr>
          <w:vertAlign w:val="superscript"/>
        </w:rPr>
        <w:footnoteRef/>
      </w:r>
      <w:r w:rsidRPr="00A94910">
        <w:t xml:space="preserve"> </w:t>
      </w:r>
      <w:r w:rsidRPr="000A56CD">
        <w:t xml:space="preserve">The Good Friday Agreement 1998, </w:t>
      </w:r>
      <w:r>
        <w:t>Strand One: Democratic Institutions in Northern Ireland</w:t>
      </w:r>
      <w:r w:rsidRPr="000A56CD">
        <w:t xml:space="preserve">, at para </w:t>
      </w:r>
      <w:r>
        <w:t>5</w:t>
      </w:r>
      <w:r w:rsidRPr="000A56CD">
        <w:t>.</w:t>
      </w:r>
    </w:p>
  </w:footnote>
  <w:footnote w:id="99">
    <w:p w14:paraId="04775725" w14:textId="77334EED" w:rsidR="007D34D9" w:rsidRDefault="007D34D9" w:rsidP="000B646E">
      <w:pPr>
        <w:pStyle w:val="NIHRCFootnotes"/>
      </w:pPr>
      <w:r>
        <w:rPr>
          <w:rStyle w:val="FootnoteReference"/>
        </w:rPr>
        <w:footnoteRef/>
      </w:r>
      <w:r>
        <w:t xml:space="preserve"> </w:t>
      </w:r>
      <w:r w:rsidRPr="00FC081F">
        <w:t xml:space="preserve">For example, sections 6 and 24 of the NI Act require compatibility with </w:t>
      </w:r>
      <w:r>
        <w:t>ECHR</w:t>
      </w:r>
      <w:r w:rsidRPr="00FC081F">
        <w:t xml:space="preserve"> rights.</w:t>
      </w:r>
    </w:p>
  </w:footnote>
  <w:footnote w:id="100">
    <w:p w14:paraId="573F2938" w14:textId="486D8E53" w:rsidR="00BE0604" w:rsidRPr="00952A89" w:rsidRDefault="00BE0604" w:rsidP="000B646E">
      <w:pPr>
        <w:pStyle w:val="NIHRCFootnotes"/>
      </w:pPr>
      <w:r w:rsidRPr="00952A89">
        <w:rPr>
          <w:vertAlign w:val="superscript"/>
        </w:rPr>
        <w:footnoteRef/>
      </w:r>
      <w:r w:rsidRPr="00952A89">
        <w:rPr>
          <w:vertAlign w:val="superscript"/>
        </w:rPr>
        <w:t xml:space="preserve"> </w:t>
      </w:r>
      <w:r w:rsidR="007D34D9" w:rsidRPr="006A5738">
        <w:t>Th</w:t>
      </w:r>
      <w:r w:rsidRPr="000A56CD">
        <w:t>e Good Friday Agreement 1998, Rights, Safeguards and Equality of Opportunity, at para 2</w:t>
      </w:r>
      <w:r>
        <w:t>.</w:t>
      </w:r>
    </w:p>
  </w:footnote>
  <w:footnote w:id="101">
    <w:p w14:paraId="080FFE60" w14:textId="7E6FE0CD" w:rsidR="00CA1958" w:rsidRDefault="00CA1958" w:rsidP="000B646E">
      <w:pPr>
        <w:pStyle w:val="NIHRCFootnotes"/>
      </w:pPr>
      <w:r>
        <w:rPr>
          <w:rStyle w:val="FootnoteReference"/>
        </w:rPr>
        <w:footnoteRef/>
      </w:r>
      <w:r>
        <w:t xml:space="preserve"> </w:t>
      </w:r>
      <w:r w:rsidR="00DD65E6" w:rsidRPr="006A5738">
        <w:t>Th</w:t>
      </w:r>
      <w:r w:rsidR="00DD65E6" w:rsidRPr="000A56CD">
        <w:t xml:space="preserve">e Good Friday Agreement 1998, </w:t>
      </w:r>
      <w:r w:rsidR="0080256F" w:rsidRPr="000A56CD">
        <w:t>Rights, Safeguards and Equality of Opportunity</w:t>
      </w:r>
      <w:r w:rsidR="0080256F">
        <w:t xml:space="preserve">, at para </w:t>
      </w:r>
      <w:r w:rsidR="007A364A">
        <w:t>9.</w:t>
      </w:r>
    </w:p>
  </w:footnote>
  <w:footnote w:id="102">
    <w:p w14:paraId="231BB9A0" w14:textId="6AC8A207" w:rsidR="00B2299E" w:rsidRDefault="00B2299E" w:rsidP="000B646E">
      <w:pPr>
        <w:pStyle w:val="NIHRCFootnotes"/>
      </w:pPr>
      <w:r>
        <w:rPr>
          <w:rStyle w:val="FootnoteReference"/>
        </w:rPr>
        <w:footnoteRef/>
      </w:r>
      <w:r>
        <w:t xml:space="preserve"> Clauses 7-10, Schedule 5, Bill of Rights Bill.</w:t>
      </w:r>
    </w:p>
  </w:footnote>
  <w:footnote w:id="103">
    <w:p w14:paraId="6BB5F3F7" w14:textId="10E8D040" w:rsidR="00B2299E" w:rsidRDefault="00B2299E" w:rsidP="000B646E">
      <w:pPr>
        <w:pStyle w:val="NIHRCFootnotes"/>
      </w:pPr>
      <w:r>
        <w:rPr>
          <w:rStyle w:val="FootnoteReference"/>
        </w:rPr>
        <w:footnoteRef/>
      </w:r>
      <w:r>
        <w:t xml:space="preserve"> Section 71(2B), NI Act 1998.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9D9"/>
    <w:multiLevelType w:val="multilevel"/>
    <w:tmpl w:val="4FA4DCE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11BB5ABF"/>
    <w:multiLevelType w:val="multilevel"/>
    <w:tmpl w:val="2FC4C1B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C10F1D"/>
    <w:multiLevelType w:val="multilevel"/>
    <w:tmpl w:val="A79EF8C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D641DC2"/>
    <w:multiLevelType w:val="multilevel"/>
    <w:tmpl w:val="945037C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33A04BCE"/>
    <w:multiLevelType w:val="hybridMultilevel"/>
    <w:tmpl w:val="D7F46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72A007B"/>
    <w:multiLevelType w:val="hybridMultilevel"/>
    <w:tmpl w:val="C108EFC6"/>
    <w:lvl w:ilvl="0" w:tplc="83EEA9D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 w15:restartNumberingAfterBreak="0">
    <w:nsid w:val="3A307F3E"/>
    <w:multiLevelType w:val="multilevel"/>
    <w:tmpl w:val="47028E3A"/>
    <w:styleLink w:val="CurrentList1"/>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1AD593F"/>
    <w:multiLevelType w:val="hybridMultilevel"/>
    <w:tmpl w:val="9C3C1BDC"/>
    <w:lvl w:ilvl="0" w:tplc="BDC0E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9F70E2"/>
    <w:multiLevelType w:val="multilevel"/>
    <w:tmpl w:val="398629F2"/>
    <w:lvl w:ilvl="0">
      <w:start w:val="8"/>
      <w:numFmt w:val="decimal"/>
      <w:lvlText w:val="%1"/>
      <w:lvlJc w:val="left"/>
      <w:pPr>
        <w:ind w:left="430" w:hanging="4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E167219"/>
    <w:multiLevelType w:val="multilevel"/>
    <w:tmpl w:val="F244D7D0"/>
    <w:lvl w:ilvl="0">
      <w:start w:val="8"/>
      <w:numFmt w:val="decimal"/>
      <w:lvlText w:val="%1"/>
      <w:lvlJc w:val="left"/>
      <w:pPr>
        <w:ind w:left="530" w:hanging="530"/>
      </w:pPr>
      <w:rPr>
        <w:rFonts w:eastAsia="Verdana" w:cs="Segoe UI" w:hint="default"/>
        <w:b w:val="0"/>
        <w:color w:val="auto"/>
        <w:sz w:val="24"/>
      </w:rPr>
    </w:lvl>
    <w:lvl w:ilvl="1">
      <w:start w:val="1"/>
      <w:numFmt w:val="decimal"/>
      <w:lvlText w:val="%1.%2"/>
      <w:lvlJc w:val="left"/>
      <w:pPr>
        <w:ind w:left="720" w:hanging="720"/>
      </w:pPr>
      <w:rPr>
        <w:rFonts w:eastAsia="Verdana" w:cs="Segoe UI" w:hint="default"/>
        <w:b w:val="0"/>
        <w:color w:val="auto"/>
        <w:sz w:val="24"/>
      </w:rPr>
    </w:lvl>
    <w:lvl w:ilvl="2">
      <w:start w:val="1"/>
      <w:numFmt w:val="decimal"/>
      <w:lvlText w:val="%1.%2.%3"/>
      <w:lvlJc w:val="left"/>
      <w:pPr>
        <w:ind w:left="1080" w:hanging="1080"/>
      </w:pPr>
      <w:rPr>
        <w:rFonts w:eastAsia="Verdana" w:cs="Segoe UI" w:hint="default"/>
        <w:b w:val="0"/>
        <w:color w:val="auto"/>
        <w:sz w:val="24"/>
      </w:rPr>
    </w:lvl>
    <w:lvl w:ilvl="3">
      <w:start w:val="1"/>
      <w:numFmt w:val="decimal"/>
      <w:lvlText w:val="%1.%2.%3.%4"/>
      <w:lvlJc w:val="left"/>
      <w:pPr>
        <w:ind w:left="1080" w:hanging="1080"/>
      </w:pPr>
      <w:rPr>
        <w:rFonts w:eastAsia="Verdana" w:cs="Segoe UI" w:hint="default"/>
        <w:b w:val="0"/>
        <w:color w:val="auto"/>
        <w:sz w:val="24"/>
      </w:rPr>
    </w:lvl>
    <w:lvl w:ilvl="4">
      <w:start w:val="1"/>
      <w:numFmt w:val="decimal"/>
      <w:lvlText w:val="%1.%2.%3.%4.%5"/>
      <w:lvlJc w:val="left"/>
      <w:pPr>
        <w:ind w:left="1440" w:hanging="1440"/>
      </w:pPr>
      <w:rPr>
        <w:rFonts w:eastAsia="Verdana" w:cs="Segoe UI" w:hint="default"/>
        <w:b w:val="0"/>
        <w:color w:val="auto"/>
        <w:sz w:val="24"/>
      </w:rPr>
    </w:lvl>
    <w:lvl w:ilvl="5">
      <w:start w:val="1"/>
      <w:numFmt w:val="decimal"/>
      <w:lvlText w:val="%1.%2.%3.%4.%5.%6"/>
      <w:lvlJc w:val="left"/>
      <w:pPr>
        <w:ind w:left="1800" w:hanging="1800"/>
      </w:pPr>
      <w:rPr>
        <w:rFonts w:eastAsia="Verdana" w:cs="Segoe UI" w:hint="default"/>
        <w:b w:val="0"/>
        <w:color w:val="auto"/>
        <w:sz w:val="24"/>
      </w:rPr>
    </w:lvl>
    <w:lvl w:ilvl="6">
      <w:start w:val="1"/>
      <w:numFmt w:val="decimal"/>
      <w:lvlText w:val="%1.%2.%3.%4.%5.%6.%7"/>
      <w:lvlJc w:val="left"/>
      <w:pPr>
        <w:ind w:left="2160" w:hanging="2160"/>
      </w:pPr>
      <w:rPr>
        <w:rFonts w:eastAsia="Verdana" w:cs="Segoe UI" w:hint="default"/>
        <w:b w:val="0"/>
        <w:color w:val="auto"/>
        <w:sz w:val="24"/>
      </w:rPr>
    </w:lvl>
    <w:lvl w:ilvl="7">
      <w:start w:val="1"/>
      <w:numFmt w:val="decimal"/>
      <w:lvlText w:val="%1.%2.%3.%4.%5.%6.%7.%8"/>
      <w:lvlJc w:val="left"/>
      <w:pPr>
        <w:ind w:left="2520" w:hanging="2520"/>
      </w:pPr>
      <w:rPr>
        <w:rFonts w:eastAsia="Verdana" w:cs="Segoe UI" w:hint="default"/>
        <w:b w:val="0"/>
        <w:color w:val="auto"/>
        <w:sz w:val="24"/>
      </w:rPr>
    </w:lvl>
    <w:lvl w:ilvl="8">
      <w:start w:val="1"/>
      <w:numFmt w:val="decimal"/>
      <w:lvlText w:val="%1.%2.%3.%4.%5.%6.%7.%8.%9"/>
      <w:lvlJc w:val="left"/>
      <w:pPr>
        <w:ind w:left="2520" w:hanging="2520"/>
      </w:pPr>
      <w:rPr>
        <w:rFonts w:eastAsia="Verdana" w:cs="Segoe UI" w:hint="default"/>
        <w:b w:val="0"/>
        <w:color w:val="auto"/>
        <w:sz w:val="24"/>
      </w:rPr>
    </w:lvl>
  </w:abstractNum>
  <w:abstractNum w:abstractNumId="12" w15:restartNumberingAfterBreak="0">
    <w:nsid w:val="4EF840A3"/>
    <w:multiLevelType w:val="multilevel"/>
    <w:tmpl w:val="C504BCEC"/>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50604A42"/>
    <w:multiLevelType w:val="multilevel"/>
    <w:tmpl w:val="F63E3A0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56A83556"/>
    <w:multiLevelType w:val="multilevel"/>
    <w:tmpl w:val="D728A482"/>
    <w:lvl w:ilvl="0">
      <w:start w:val="9"/>
      <w:numFmt w:val="decimal"/>
      <w:lvlText w:val="%1"/>
      <w:lvlJc w:val="left"/>
      <w:pPr>
        <w:ind w:left="390" w:hanging="390"/>
      </w:pPr>
      <w:rPr>
        <w:rFonts w:eastAsia="Verdana" w:hint="default"/>
      </w:rPr>
    </w:lvl>
    <w:lvl w:ilvl="1">
      <w:start w:val="3"/>
      <w:numFmt w:val="decimal"/>
      <w:lvlText w:val="%1.%2"/>
      <w:lvlJc w:val="left"/>
      <w:pPr>
        <w:ind w:left="720" w:hanging="720"/>
      </w:pPr>
      <w:rPr>
        <w:rFonts w:eastAsia="Verdana" w:hint="default"/>
      </w:rPr>
    </w:lvl>
    <w:lvl w:ilvl="2">
      <w:start w:val="1"/>
      <w:numFmt w:val="decimal"/>
      <w:lvlText w:val="%1.%2.%3"/>
      <w:lvlJc w:val="left"/>
      <w:pPr>
        <w:ind w:left="1080" w:hanging="1080"/>
      </w:pPr>
      <w:rPr>
        <w:rFonts w:eastAsia="Verdana" w:hint="default"/>
      </w:rPr>
    </w:lvl>
    <w:lvl w:ilvl="3">
      <w:start w:val="1"/>
      <w:numFmt w:val="decimal"/>
      <w:lvlText w:val="%1.%2.%3.%4"/>
      <w:lvlJc w:val="left"/>
      <w:pPr>
        <w:ind w:left="1080" w:hanging="1080"/>
      </w:pPr>
      <w:rPr>
        <w:rFonts w:eastAsia="Verdana" w:hint="default"/>
      </w:rPr>
    </w:lvl>
    <w:lvl w:ilvl="4">
      <w:start w:val="1"/>
      <w:numFmt w:val="decimal"/>
      <w:lvlText w:val="%1.%2.%3.%4.%5"/>
      <w:lvlJc w:val="left"/>
      <w:pPr>
        <w:ind w:left="1440" w:hanging="1440"/>
      </w:pPr>
      <w:rPr>
        <w:rFonts w:eastAsia="Verdana" w:hint="default"/>
      </w:rPr>
    </w:lvl>
    <w:lvl w:ilvl="5">
      <w:start w:val="1"/>
      <w:numFmt w:val="decimal"/>
      <w:lvlText w:val="%1.%2.%3.%4.%5.%6"/>
      <w:lvlJc w:val="left"/>
      <w:pPr>
        <w:ind w:left="1800" w:hanging="1800"/>
      </w:pPr>
      <w:rPr>
        <w:rFonts w:eastAsia="Verdana" w:hint="default"/>
      </w:rPr>
    </w:lvl>
    <w:lvl w:ilvl="6">
      <w:start w:val="1"/>
      <w:numFmt w:val="decimal"/>
      <w:lvlText w:val="%1.%2.%3.%4.%5.%6.%7"/>
      <w:lvlJc w:val="left"/>
      <w:pPr>
        <w:ind w:left="2160" w:hanging="2160"/>
      </w:pPr>
      <w:rPr>
        <w:rFonts w:eastAsia="Verdana" w:hint="default"/>
      </w:rPr>
    </w:lvl>
    <w:lvl w:ilvl="7">
      <w:start w:val="1"/>
      <w:numFmt w:val="decimal"/>
      <w:lvlText w:val="%1.%2.%3.%4.%5.%6.%7.%8"/>
      <w:lvlJc w:val="left"/>
      <w:pPr>
        <w:ind w:left="2520" w:hanging="2520"/>
      </w:pPr>
      <w:rPr>
        <w:rFonts w:eastAsia="Verdana" w:hint="default"/>
      </w:rPr>
    </w:lvl>
    <w:lvl w:ilvl="8">
      <w:start w:val="1"/>
      <w:numFmt w:val="decimal"/>
      <w:lvlText w:val="%1.%2.%3.%4.%5.%6.%7.%8.%9"/>
      <w:lvlJc w:val="left"/>
      <w:pPr>
        <w:ind w:left="2520" w:hanging="2520"/>
      </w:pPr>
      <w:rPr>
        <w:rFonts w:eastAsia="Verdana" w:hint="default"/>
      </w:rPr>
    </w:lvl>
  </w:abstractNum>
  <w:abstractNum w:abstractNumId="15" w15:restartNumberingAfterBreak="0">
    <w:nsid w:val="5B9C391E"/>
    <w:multiLevelType w:val="hybridMultilevel"/>
    <w:tmpl w:val="76C01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3801BD"/>
    <w:multiLevelType w:val="multilevel"/>
    <w:tmpl w:val="0ABAC1B6"/>
    <w:lvl w:ilvl="0">
      <w:start w:val="1"/>
      <w:numFmt w:val="decimal"/>
      <w:lvlText w:val="%1"/>
      <w:lvlJc w:val="left"/>
      <w:pPr>
        <w:ind w:left="548" w:hanging="548"/>
      </w:pPr>
      <w:rPr>
        <w:rFonts w:hint="default"/>
      </w:rPr>
    </w:lvl>
    <w:lvl w:ilvl="1">
      <w:start w:val="1"/>
      <w:numFmt w:val="decimal"/>
      <w:lvlText w:val="%1.%2"/>
      <w:lvlJc w:val="left"/>
      <w:pPr>
        <w:ind w:left="1004" w:hanging="720"/>
      </w:pPr>
      <w:rPr>
        <w:rFonts w:ascii="Verdana" w:hAnsi="Verdana" w:hint="default"/>
        <w:b w:val="0"/>
        <w:color w:val="auto"/>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84394C"/>
    <w:multiLevelType w:val="hybridMultilevel"/>
    <w:tmpl w:val="5748EED0"/>
    <w:lvl w:ilvl="0" w:tplc="535A23EC">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71B467B5"/>
    <w:multiLevelType w:val="multilevel"/>
    <w:tmpl w:val="D34C87A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1BC7688"/>
    <w:multiLevelType w:val="multilevel"/>
    <w:tmpl w:val="6D805512"/>
    <w:lvl w:ilvl="0">
      <w:start w:val="5"/>
      <w:numFmt w:val="decimal"/>
      <w:lvlText w:val="%1.0"/>
      <w:lvlJc w:val="left"/>
      <w:pPr>
        <w:ind w:left="720" w:hanging="720"/>
      </w:pPr>
      <w:rPr>
        <w:rFonts w:hint="default"/>
      </w:rPr>
    </w:lvl>
    <w:lvl w:ilvl="1">
      <w:start w:val="5"/>
      <w:numFmt w:val="decimal"/>
      <w:pStyle w:val="ListParagraph"/>
      <w:lvlText w:val="%1.%2"/>
      <w:lvlJc w:val="left"/>
      <w:pPr>
        <w:ind w:left="0" w:firstLine="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935628073">
    <w:abstractNumId w:val="2"/>
  </w:num>
  <w:num w:numId="2" w16cid:durableId="1051156181">
    <w:abstractNumId w:val="19"/>
  </w:num>
  <w:num w:numId="3" w16cid:durableId="319701950">
    <w:abstractNumId w:val="8"/>
  </w:num>
  <w:num w:numId="4" w16cid:durableId="875847277">
    <w:abstractNumId w:val="5"/>
  </w:num>
  <w:num w:numId="5" w16cid:durableId="1370254760">
    <w:abstractNumId w:val="15"/>
  </w:num>
  <w:num w:numId="6" w16cid:durableId="1328240489">
    <w:abstractNumId w:val="16"/>
  </w:num>
  <w:num w:numId="7" w16cid:durableId="1898544075">
    <w:abstractNumId w:val="9"/>
  </w:num>
  <w:num w:numId="8" w16cid:durableId="1112046094">
    <w:abstractNumId w:val="6"/>
  </w:num>
  <w:num w:numId="9" w16cid:durableId="1250774098">
    <w:abstractNumId w:val="19"/>
    <w:lvlOverride w:ilvl="0">
      <w:startOverride w:val="5"/>
    </w:lvlOverride>
    <w:lvlOverride w:ilvl="1">
      <w:startOverride w:val="5"/>
    </w:lvlOverride>
  </w:num>
  <w:num w:numId="10" w16cid:durableId="1077173050">
    <w:abstractNumId w:val="7"/>
  </w:num>
  <w:num w:numId="11" w16cid:durableId="15467067">
    <w:abstractNumId w:val="19"/>
    <w:lvlOverride w:ilvl="0">
      <w:startOverride w:val="8"/>
    </w:lvlOverride>
    <w:lvlOverride w:ilvl="1"/>
  </w:num>
  <w:num w:numId="12" w16cid:durableId="1627857365">
    <w:abstractNumId w:val="0"/>
  </w:num>
  <w:num w:numId="13" w16cid:durableId="1484279118">
    <w:abstractNumId w:val="1"/>
  </w:num>
  <w:num w:numId="14" w16cid:durableId="1430783427">
    <w:abstractNumId w:val="13"/>
  </w:num>
  <w:num w:numId="15" w16cid:durableId="2075470497">
    <w:abstractNumId w:val="3"/>
  </w:num>
  <w:num w:numId="16" w16cid:durableId="1622884328">
    <w:abstractNumId w:val="11"/>
  </w:num>
  <w:num w:numId="17" w16cid:durableId="565798534">
    <w:abstractNumId w:val="12"/>
  </w:num>
  <w:num w:numId="18" w16cid:durableId="1497958002">
    <w:abstractNumId w:val="10"/>
  </w:num>
  <w:num w:numId="19" w16cid:durableId="1634017285">
    <w:abstractNumId w:val="4"/>
  </w:num>
  <w:num w:numId="20" w16cid:durableId="1009723176">
    <w:abstractNumId w:val="14"/>
  </w:num>
  <w:num w:numId="21" w16cid:durableId="158690268">
    <w:abstractNumId w:val="18"/>
  </w:num>
  <w:num w:numId="22" w16cid:durableId="111097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0C"/>
    <w:rsid w:val="00002763"/>
    <w:rsid w:val="00002D66"/>
    <w:rsid w:val="000030FF"/>
    <w:rsid w:val="00003317"/>
    <w:rsid w:val="00007884"/>
    <w:rsid w:val="00010787"/>
    <w:rsid w:val="000115F6"/>
    <w:rsid w:val="0001392C"/>
    <w:rsid w:val="00016313"/>
    <w:rsid w:val="00017E59"/>
    <w:rsid w:val="00022FB4"/>
    <w:rsid w:val="000240ED"/>
    <w:rsid w:val="00031E40"/>
    <w:rsid w:val="000344D3"/>
    <w:rsid w:val="00034DC4"/>
    <w:rsid w:val="00035D01"/>
    <w:rsid w:val="00042234"/>
    <w:rsid w:val="000435A6"/>
    <w:rsid w:val="00046E21"/>
    <w:rsid w:val="00051790"/>
    <w:rsid w:val="0005443E"/>
    <w:rsid w:val="00055699"/>
    <w:rsid w:val="00056AE3"/>
    <w:rsid w:val="000572FF"/>
    <w:rsid w:val="0006023E"/>
    <w:rsid w:val="00060681"/>
    <w:rsid w:val="00061AD0"/>
    <w:rsid w:val="00064444"/>
    <w:rsid w:val="000658AE"/>
    <w:rsid w:val="0007063A"/>
    <w:rsid w:val="00070CAB"/>
    <w:rsid w:val="00071445"/>
    <w:rsid w:val="0007352A"/>
    <w:rsid w:val="00075291"/>
    <w:rsid w:val="00075B1F"/>
    <w:rsid w:val="00076122"/>
    <w:rsid w:val="00082C30"/>
    <w:rsid w:val="00082D39"/>
    <w:rsid w:val="00084E30"/>
    <w:rsid w:val="00084FAB"/>
    <w:rsid w:val="00086BC5"/>
    <w:rsid w:val="00090323"/>
    <w:rsid w:val="000A24BA"/>
    <w:rsid w:val="000A3BDE"/>
    <w:rsid w:val="000A3EF6"/>
    <w:rsid w:val="000A61DA"/>
    <w:rsid w:val="000B205F"/>
    <w:rsid w:val="000B25E5"/>
    <w:rsid w:val="000B421C"/>
    <w:rsid w:val="000B646E"/>
    <w:rsid w:val="000B660E"/>
    <w:rsid w:val="000B76E4"/>
    <w:rsid w:val="000C10BB"/>
    <w:rsid w:val="000C1727"/>
    <w:rsid w:val="000C1BF3"/>
    <w:rsid w:val="000C1E86"/>
    <w:rsid w:val="000C2583"/>
    <w:rsid w:val="000C260F"/>
    <w:rsid w:val="000C6667"/>
    <w:rsid w:val="000D0E1C"/>
    <w:rsid w:val="000D150B"/>
    <w:rsid w:val="000D32A4"/>
    <w:rsid w:val="000D453B"/>
    <w:rsid w:val="000D57BF"/>
    <w:rsid w:val="000E1683"/>
    <w:rsid w:val="000E1B24"/>
    <w:rsid w:val="000E1BB4"/>
    <w:rsid w:val="000E663C"/>
    <w:rsid w:val="000F44EE"/>
    <w:rsid w:val="000F65E6"/>
    <w:rsid w:val="000F79FC"/>
    <w:rsid w:val="00100267"/>
    <w:rsid w:val="00100B20"/>
    <w:rsid w:val="00102CCA"/>
    <w:rsid w:val="0010339D"/>
    <w:rsid w:val="00105CFB"/>
    <w:rsid w:val="0010604B"/>
    <w:rsid w:val="00111BC6"/>
    <w:rsid w:val="00112101"/>
    <w:rsid w:val="00120E99"/>
    <w:rsid w:val="00123928"/>
    <w:rsid w:val="00124B4D"/>
    <w:rsid w:val="00126341"/>
    <w:rsid w:val="00127A3D"/>
    <w:rsid w:val="00130C3A"/>
    <w:rsid w:val="00133488"/>
    <w:rsid w:val="001340DF"/>
    <w:rsid w:val="001425B0"/>
    <w:rsid w:val="001432C6"/>
    <w:rsid w:val="001438B3"/>
    <w:rsid w:val="001445FF"/>
    <w:rsid w:val="0014463E"/>
    <w:rsid w:val="00144B42"/>
    <w:rsid w:val="00145102"/>
    <w:rsid w:val="00146CA0"/>
    <w:rsid w:val="00147FE0"/>
    <w:rsid w:val="0015428C"/>
    <w:rsid w:val="001606C0"/>
    <w:rsid w:val="00160844"/>
    <w:rsid w:val="0016149A"/>
    <w:rsid w:val="001636F5"/>
    <w:rsid w:val="00164B47"/>
    <w:rsid w:val="00165532"/>
    <w:rsid w:val="001706BB"/>
    <w:rsid w:val="0017187C"/>
    <w:rsid w:val="00172CF3"/>
    <w:rsid w:val="00173340"/>
    <w:rsid w:val="00173F2D"/>
    <w:rsid w:val="00176EEB"/>
    <w:rsid w:val="001805BA"/>
    <w:rsid w:val="00182ECE"/>
    <w:rsid w:val="00184962"/>
    <w:rsid w:val="0018545E"/>
    <w:rsid w:val="00186CE1"/>
    <w:rsid w:val="00190238"/>
    <w:rsid w:val="00190895"/>
    <w:rsid w:val="00191447"/>
    <w:rsid w:val="0019538B"/>
    <w:rsid w:val="001A2821"/>
    <w:rsid w:val="001A456D"/>
    <w:rsid w:val="001A7949"/>
    <w:rsid w:val="001A7985"/>
    <w:rsid w:val="001B1C39"/>
    <w:rsid w:val="001B74BA"/>
    <w:rsid w:val="001C59C7"/>
    <w:rsid w:val="001D0DA0"/>
    <w:rsid w:val="001D1140"/>
    <w:rsid w:val="001D55D0"/>
    <w:rsid w:val="001D63B0"/>
    <w:rsid w:val="001E1BF5"/>
    <w:rsid w:val="001F04E6"/>
    <w:rsid w:val="001F0F35"/>
    <w:rsid w:val="001F4A3F"/>
    <w:rsid w:val="001F4A8A"/>
    <w:rsid w:val="002026DB"/>
    <w:rsid w:val="00206F3C"/>
    <w:rsid w:val="002075BA"/>
    <w:rsid w:val="00210EAD"/>
    <w:rsid w:val="002124A5"/>
    <w:rsid w:val="0021354E"/>
    <w:rsid w:val="00214349"/>
    <w:rsid w:val="002154C7"/>
    <w:rsid w:val="00215667"/>
    <w:rsid w:val="0021584D"/>
    <w:rsid w:val="002165F7"/>
    <w:rsid w:val="00216C9E"/>
    <w:rsid w:val="00220177"/>
    <w:rsid w:val="002220A9"/>
    <w:rsid w:val="00222203"/>
    <w:rsid w:val="00232145"/>
    <w:rsid w:val="002356F4"/>
    <w:rsid w:val="00236ADD"/>
    <w:rsid w:val="002404D8"/>
    <w:rsid w:val="00240B58"/>
    <w:rsid w:val="00242831"/>
    <w:rsid w:val="0024342E"/>
    <w:rsid w:val="002458AA"/>
    <w:rsid w:val="00246D8C"/>
    <w:rsid w:val="00247800"/>
    <w:rsid w:val="0024784A"/>
    <w:rsid w:val="0025065A"/>
    <w:rsid w:val="00250968"/>
    <w:rsid w:val="00252BC0"/>
    <w:rsid w:val="00253A0A"/>
    <w:rsid w:val="00253EF5"/>
    <w:rsid w:val="0025425F"/>
    <w:rsid w:val="0026143E"/>
    <w:rsid w:val="00263D48"/>
    <w:rsid w:val="002710C6"/>
    <w:rsid w:val="002723B8"/>
    <w:rsid w:val="0027375D"/>
    <w:rsid w:val="00277724"/>
    <w:rsid w:val="002817A0"/>
    <w:rsid w:val="00282B3C"/>
    <w:rsid w:val="00284493"/>
    <w:rsid w:val="0028574D"/>
    <w:rsid w:val="00287CE2"/>
    <w:rsid w:val="00291B8B"/>
    <w:rsid w:val="00291E91"/>
    <w:rsid w:val="00293BB8"/>
    <w:rsid w:val="00294EE9"/>
    <w:rsid w:val="002968AE"/>
    <w:rsid w:val="00297708"/>
    <w:rsid w:val="002977BD"/>
    <w:rsid w:val="002A20FA"/>
    <w:rsid w:val="002A44DE"/>
    <w:rsid w:val="002A6A44"/>
    <w:rsid w:val="002A779A"/>
    <w:rsid w:val="002B20BA"/>
    <w:rsid w:val="002B2571"/>
    <w:rsid w:val="002C14F4"/>
    <w:rsid w:val="002C1C23"/>
    <w:rsid w:val="002C47B9"/>
    <w:rsid w:val="002D0576"/>
    <w:rsid w:val="002D2D37"/>
    <w:rsid w:val="002D30B0"/>
    <w:rsid w:val="002D41BC"/>
    <w:rsid w:val="002D5D31"/>
    <w:rsid w:val="002E1D4E"/>
    <w:rsid w:val="002E5D5A"/>
    <w:rsid w:val="002E7F5E"/>
    <w:rsid w:val="002F14FC"/>
    <w:rsid w:val="002F36F2"/>
    <w:rsid w:val="002F5644"/>
    <w:rsid w:val="002F59F4"/>
    <w:rsid w:val="002F680D"/>
    <w:rsid w:val="002F7B84"/>
    <w:rsid w:val="00303A4F"/>
    <w:rsid w:val="00305443"/>
    <w:rsid w:val="003055C9"/>
    <w:rsid w:val="003115E3"/>
    <w:rsid w:val="00317A2D"/>
    <w:rsid w:val="003227A7"/>
    <w:rsid w:val="003267EC"/>
    <w:rsid w:val="00333E6E"/>
    <w:rsid w:val="00335AFB"/>
    <w:rsid w:val="00336CB9"/>
    <w:rsid w:val="0034044B"/>
    <w:rsid w:val="0034143C"/>
    <w:rsid w:val="0034161E"/>
    <w:rsid w:val="00345DCF"/>
    <w:rsid w:val="00347790"/>
    <w:rsid w:val="00350110"/>
    <w:rsid w:val="00351C35"/>
    <w:rsid w:val="00354244"/>
    <w:rsid w:val="00354ADC"/>
    <w:rsid w:val="003552B8"/>
    <w:rsid w:val="003569DF"/>
    <w:rsid w:val="003619CD"/>
    <w:rsid w:val="0036568C"/>
    <w:rsid w:val="00374DE0"/>
    <w:rsid w:val="00382208"/>
    <w:rsid w:val="00382509"/>
    <w:rsid w:val="0038597B"/>
    <w:rsid w:val="003911A5"/>
    <w:rsid w:val="00391715"/>
    <w:rsid w:val="00393791"/>
    <w:rsid w:val="00393CA7"/>
    <w:rsid w:val="003A111A"/>
    <w:rsid w:val="003A1556"/>
    <w:rsid w:val="003A73E2"/>
    <w:rsid w:val="003B1C6A"/>
    <w:rsid w:val="003B45F4"/>
    <w:rsid w:val="003C005E"/>
    <w:rsid w:val="003C0FD0"/>
    <w:rsid w:val="003C3299"/>
    <w:rsid w:val="003C4748"/>
    <w:rsid w:val="003C55B3"/>
    <w:rsid w:val="003C6A4D"/>
    <w:rsid w:val="003C6D59"/>
    <w:rsid w:val="003D2078"/>
    <w:rsid w:val="003D2494"/>
    <w:rsid w:val="003D2805"/>
    <w:rsid w:val="003D57DF"/>
    <w:rsid w:val="003E0DA3"/>
    <w:rsid w:val="003E406E"/>
    <w:rsid w:val="003EA963"/>
    <w:rsid w:val="003F015F"/>
    <w:rsid w:val="003F2979"/>
    <w:rsid w:val="003F5534"/>
    <w:rsid w:val="004010F8"/>
    <w:rsid w:val="004028F0"/>
    <w:rsid w:val="00407D62"/>
    <w:rsid w:val="00412597"/>
    <w:rsid w:val="00414DE5"/>
    <w:rsid w:val="0041539D"/>
    <w:rsid w:val="00415F17"/>
    <w:rsid w:val="0041620B"/>
    <w:rsid w:val="004222F0"/>
    <w:rsid w:val="004249FA"/>
    <w:rsid w:val="00426C88"/>
    <w:rsid w:val="004273D2"/>
    <w:rsid w:val="00430DBF"/>
    <w:rsid w:val="00431487"/>
    <w:rsid w:val="00432E3D"/>
    <w:rsid w:val="00433913"/>
    <w:rsid w:val="00434EF6"/>
    <w:rsid w:val="00435F73"/>
    <w:rsid w:val="00436EB0"/>
    <w:rsid w:val="00444995"/>
    <w:rsid w:val="00444E07"/>
    <w:rsid w:val="00446FD0"/>
    <w:rsid w:val="00447D6C"/>
    <w:rsid w:val="00451173"/>
    <w:rsid w:val="0045616A"/>
    <w:rsid w:val="004564BD"/>
    <w:rsid w:val="00457184"/>
    <w:rsid w:val="004611F0"/>
    <w:rsid w:val="004613E8"/>
    <w:rsid w:val="00464F5F"/>
    <w:rsid w:val="004651EE"/>
    <w:rsid w:val="00466B04"/>
    <w:rsid w:val="00472D93"/>
    <w:rsid w:val="00473725"/>
    <w:rsid w:val="00475B18"/>
    <w:rsid w:val="0047668E"/>
    <w:rsid w:val="00477BB6"/>
    <w:rsid w:val="00480DCE"/>
    <w:rsid w:val="0048394E"/>
    <w:rsid w:val="00484D30"/>
    <w:rsid w:val="004850FE"/>
    <w:rsid w:val="00487CE6"/>
    <w:rsid w:val="00496F81"/>
    <w:rsid w:val="004A069A"/>
    <w:rsid w:val="004A0C19"/>
    <w:rsid w:val="004A20AC"/>
    <w:rsid w:val="004A3F42"/>
    <w:rsid w:val="004A3F80"/>
    <w:rsid w:val="004A5A6B"/>
    <w:rsid w:val="004A5ADF"/>
    <w:rsid w:val="004B1FB3"/>
    <w:rsid w:val="004B319B"/>
    <w:rsid w:val="004B446C"/>
    <w:rsid w:val="004B493D"/>
    <w:rsid w:val="004B5F84"/>
    <w:rsid w:val="004B6DEC"/>
    <w:rsid w:val="004B74E7"/>
    <w:rsid w:val="004B77C4"/>
    <w:rsid w:val="004C14D6"/>
    <w:rsid w:val="004C1FE6"/>
    <w:rsid w:val="004C2930"/>
    <w:rsid w:val="004C386B"/>
    <w:rsid w:val="004D1E17"/>
    <w:rsid w:val="004D7D9A"/>
    <w:rsid w:val="004E1D74"/>
    <w:rsid w:val="004E28D1"/>
    <w:rsid w:val="004E361D"/>
    <w:rsid w:val="004E4525"/>
    <w:rsid w:val="004E5255"/>
    <w:rsid w:val="004F03D8"/>
    <w:rsid w:val="004F0B1B"/>
    <w:rsid w:val="004F2F91"/>
    <w:rsid w:val="004F4176"/>
    <w:rsid w:val="004F64C9"/>
    <w:rsid w:val="004F6ABC"/>
    <w:rsid w:val="00500708"/>
    <w:rsid w:val="00500AB3"/>
    <w:rsid w:val="00502D24"/>
    <w:rsid w:val="00504BC3"/>
    <w:rsid w:val="00505147"/>
    <w:rsid w:val="00513634"/>
    <w:rsid w:val="00514EB9"/>
    <w:rsid w:val="00515077"/>
    <w:rsid w:val="005168C4"/>
    <w:rsid w:val="00516BAD"/>
    <w:rsid w:val="00517441"/>
    <w:rsid w:val="005208E9"/>
    <w:rsid w:val="00521F14"/>
    <w:rsid w:val="00524928"/>
    <w:rsid w:val="005249EB"/>
    <w:rsid w:val="0052553C"/>
    <w:rsid w:val="0052574E"/>
    <w:rsid w:val="00525FB4"/>
    <w:rsid w:val="00527BB5"/>
    <w:rsid w:val="00530320"/>
    <w:rsid w:val="00530692"/>
    <w:rsid w:val="00531C07"/>
    <w:rsid w:val="005332B2"/>
    <w:rsid w:val="005350C9"/>
    <w:rsid w:val="005373DF"/>
    <w:rsid w:val="005419F4"/>
    <w:rsid w:val="00542190"/>
    <w:rsid w:val="00550CCF"/>
    <w:rsid w:val="0055342D"/>
    <w:rsid w:val="0055736B"/>
    <w:rsid w:val="00560898"/>
    <w:rsid w:val="00560DFC"/>
    <w:rsid w:val="00561944"/>
    <w:rsid w:val="00561B4A"/>
    <w:rsid w:val="0056450A"/>
    <w:rsid w:val="005657F3"/>
    <w:rsid w:val="00566D42"/>
    <w:rsid w:val="00571F6F"/>
    <w:rsid w:val="00575B9C"/>
    <w:rsid w:val="00576F91"/>
    <w:rsid w:val="00577B6E"/>
    <w:rsid w:val="00580441"/>
    <w:rsid w:val="0058495E"/>
    <w:rsid w:val="00586F23"/>
    <w:rsid w:val="00587F6D"/>
    <w:rsid w:val="00590D57"/>
    <w:rsid w:val="00591798"/>
    <w:rsid w:val="00591A3E"/>
    <w:rsid w:val="00593224"/>
    <w:rsid w:val="005940B8"/>
    <w:rsid w:val="005956A5"/>
    <w:rsid w:val="005957FF"/>
    <w:rsid w:val="00595C7D"/>
    <w:rsid w:val="005A13E1"/>
    <w:rsid w:val="005A169D"/>
    <w:rsid w:val="005A3E17"/>
    <w:rsid w:val="005A4F96"/>
    <w:rsid w:val="005A55DF"/>
    <w:rsid w:val="005A7866"/>
    <w:rsid w:val="005B267E"/>
    <w:rsid w:val="005B2DD5"/>
    <w:rsid w:val="005B6153"/>
    <w:rsid w:val="005C5F96"/>
    <w:rsid w:val="005C63AB"/>
    <w:rsid w:val="005D0400"/>
    <w:rsid w:val="005D05AE"/>
    <w:rsid w:val="005E0448"/>
    <w:rsid w:val="005E1198"/>
    <w:rsid w:val="005E6EF5"/>
    <w:rsid w:val="005F7849"/>
    <w:rsid w:val="00602366"/>
    <w:rsid w:val="00604218"/>
    <w:rsid w:val="0061190D"/>
    <w:rsid w:val="0061226C"/>
    <w:rsid w:val="00622FD4"/>
    <w:rsid w:val="00623CA1"/>
    <w:rsid w:val="00631D52"/>
    <w:rsid w:val="00632BB5"/>
    <w:rsid w:val="00635E52"/>
    <w:rsid w:val="006410A1"/>
    <w:rsid w:val="0064230E"/>
    <w:rsid w:val="00645331"/>
    <w:rsid w:val="0064672C"/>
    <w:rsid w:val="00650B62"/>
    <w:rsid w:val="00655038"/>
    <w:rsid w:val="0065674E"/>
    <w:rsid w:val="00656A4E"/>
    <w:rsid w:val="006635AA"/>
    <w:rsid w:val="00665128"/>
    <w:rsid w:val="00665282"/>
    <w:rsid w:val="00670E9C"/>
    <w:rsid w:val="00671EC2"/>
    <w:rsid w:val="00673386"/>
    <w:rsid w:val="00675702"/>
    <w:rsid w:val="00677930"/>
    <w:rsid w:val="00680695"/>
    <w:rsid w:val="006818C1"/>
    <w:rsid w:val="00682D3C"/>
    <w:rsid w:val="00683ADD"/>
    <w:rsid w:val="00685020"/>
    <w:rsid w:val="006921AE"/>
    <w:rsid w:val="00692B2C"/>
    <w:rsid w:val="0069595A"/>
    <w:rsid w:val="0069702A"/>
    <w:rsid w:val="006A5738"/>
    <w:rsid w:val="006A59CE"/>
    <w:rsid w:val="006A5D8B"/>
    <w:rsid w:val="006A6C21"/>
    <w:rsid w:val="006B0D35"/>
    <w:rsid w:val="006B2898"/>
    <w:rsid w:val="006B4468"/>
    <w:rsid w:val="006B4B29"/>
    <w:rsid w:val="006B5604"/>
    <w:rsid w:val="006C300E"/>
    <w:rsid w:val="006C4348"/>
    <w:rsid w:val="006C4CA0"/>
    <w:rsid w:val="006C4EA0"/>
    <w:rsid w:val="006D7479"/>
    <w:rsid w:val="006E0F5B"/>
    <w:rsid w:val="006E1CF9"/>
    <w:rsid w:val="006F21C9"/>
    <w:rsid w:val="006F358D"/>
    <w:rsid w:val="006F39BF"/>
    <w:rsid w:val="006F43C1"/>
    <w:rsid w:val="006F5D6D"/>
    <w:rsid w:val="007003C0"/>
    <w:rsid w:val="00703F86"/>
    <w:rsid w:val="00704869"/>
    <w:rsid w:val="00704EF2"/>
    <w:rsid w:val="0070606F"/>
    <w:rsid w:val="007075C8"/>
    <w:rsid w:val="00710857"/>
    <w:rsid w:val="00713C6B"/>
    <w:rsid w:val="00715C66"/>
    <w:rsid w:val="00716546"/>
    <w:rsid w:val="00717784"/>
    <w:rsid w:val="00722478"/>
    <w:rsid w:val="00725409"/>
    <w:rsid w:val="0072710E"/>
    <w:rsid w:val="00732B8C"/>
    <w:rsid w:val="00736A15"/>
    <w:rsid w:val="00736CB7"/>
    <w:rsid w:val="007444A2"/>
    <w:rsid w:val="00744736"/>
    <w:rsid w:val="0074512C"/>
    <w:rsid w:val="0074567C"/>
    <w:rsid w:val="00746EDB"/>
    <w:rsid w:val="00747331"/>
    <w:rsid w:val="0074766D"/>
    <w:rsid w:val="00753029"/>
    <w:rsid w:val="00763073"/>
    <w:rsid w:val="00764820"/>
    <w:rsid w:val="007671F3"/>
    <w:rsid w:val="00767253"/>
    <w:rsid w:val="007724E6"/>
    <w:rsid w:val="007733F8"/>
    <w:rsid w:val="0077448C"/>
    <w:rsid w:val="00774CDB"/>
    <w:rsid w:val="00780F39"/>
    <w:rsid w:val="007810DA"/>
    <w:rsid w:val="00781182"/>
    <w:rsid w:val="00781E2C"/>
    <w:rsid w:val="00783060"/>
    <w:rsid w:val="00784F01"/>
    <w:rsid w:val="00786966"/>
    <w:rsid w:val="00787CDF"/>
    <w:rsid w:val="007915E8"/>
    <w:rsid w:val="00792711"/>
    <w:rsid w:val="007927DB"/>
    <w:rsid w:val="007947C0"/>
    <w:rsid w:val="00795A00"/>
    <w:rsid w:val="007969D2"/>
    <w:rsid w:val="007979D1"/>
    <w:rsid w:val="00797F5D"/>
    <w:rsid w:val="007A090C"/>
    <w:rsid w:val="007A116F"/>
    <w:rsid w:val="007A364A"/>
    <w:rsid w:val="007A3A87"/>
    <w:rsid w:val="007A5A49"/>
    <w:rsid w:val="007B0096"/>
    <w:rsid w:val="007B0677"/>
    <w:rsid w:val="007B4BD4"/>
    <w:rsid w:val="007C29D9"/>
    <w:rsid w:val="007C3B33"/>
    <w:rsid w:val="007C40CA"/>
    <w:rsid w:val="007C4F86"/>
    <w:rsid w:val="007C70F6"/>
    <w:rsid w:val="007D34D9"/>
    <w:rsid w:val="007D4DC9"/>
    <w:rsid w:val="007D61B2"/>
    <w:rsid w:val="007D72C9"/>
    <w:rsid w:val="007E5197"/>
    <w:rsid w:val="007E67CD"/>
    <w:rsid w:val="007F1E43"/>
    <w:rsid w:val="007F2FAC"/>
    <w:rsid w:val="007F457F"/>
    <w:rsid w:val="007F79D0"/>
    <w:rsid w:val="00800AF0"/>
    <w:rsid w:val="00801267"/>
    <w:rsid w:val="00801CC8"/>
    <w:rsid w:val="0080256F"/>
    <w:rsid w:val="008044D1"/>
    <w:rsid w:val="00807B97"/>
    <w:rsid w:val="008114AE"/>
    <w:rsid w:val="00813869"/>
    <w:rsid w:val="008151DC"/>
    <w:rsid w:val="008173DC"/>
    <w:rsid w:val="008203ED"/>
    <w:rsid w:val="008214B3"/>
    <w:rsid w:val="00822552"/>
    <w:rsid w:val="008259B0"/>
    <w:rsid w:val="00830736"/>
    <w:rsid w:val="00830F01"/>
    <w:rsid w:val="00833D10"/>
    <w:rsid w:val="00841F5D"/>
    <w:rsid w:val="008452BD"/>
    <w:rsid w:val="00854DD7"/>
    <w:rsid w:val="00855757"/>
    <w:rsid w:val="0085669F"/>
    <w:rsid w:val="00861C60"/>
    <w:rsid w:val="008659DD"/>
    <w:rsid w:val="0087071C"/>
    <w:rsid w:val="00871438"/>
    <w:rsid w:val="008722C4"/>
    <w:rsid w:val="0087418A"/>
    <w:rsid w:val="00875747"/>
    <w:rsid w:val="00876A9F"/>
    <w:rsid w:val="008771E1"/>
    <w:rsid w:val="008818FE"/>
    <w:rsid w:val="00885D59"/>
    <w:rsid w:val="00885EB4"/>
    <w:rsid w:val="00886C25"/>
    <w:rsid w:val="00887F74"/>
    <w:rsid w:val="00891286"/>
    <w:rsid w:val="00892938"/>
    <w:rsid w:val="00893959"/>
    <w:rsid w:val="00893EC9"/>
    <w:rsid w:val="008A089D"/>
    <w:rsid w:val="008A2C80"/>
    <w:rsid w:val="008A2E86"/>
    <w:rsid w:val="008A3D08"/>
    <w:rsid w:val="008A6D67"/>
    <w:rsid w:val="008B1F06"/>
    <w:rsid w:val="008B3F25"/>
    <w:rsid w:val="008B4B98"/>
    <w:rsid w:val="008B58BD"/>
    <w:rsid w:val="008B70F5"/>
    <w:rsid w:val="008C1057"/>
    <w:rsid w:val="008C1409"/>
    <w:rsid w:val="008C2436"/>
    <w:rsid w:val="008D1EC3"/>
    <w:rsid w:val="008D22C6"/>
    <w:rsid w:val="008E20D0"/>
    <w:rsid w:val="008E6920"/>
    <w:rsid w:val="008E7811"/>
    <w:rsid w:val="008F3569"/>
    <w:rsid w:val="008F4D6B"/>
    <w:rsid w:val="008F61FB"/>
    <w:rsid w:val="008F8D29"/>
    <w:rsid w:val="0090011D"/>
    <w:rsid w:val="00902F3A"/>
    <w:rsid w:val="00904892"/>
    <w:rsid w:val="009057D4"/>
    <w:rsid w:val="00913547"/>
    <w:rsid w:val="0092523B"/>
    <w:rsid w:val="00925E45"/>
    <w:rsid w:val="009279DB"/>
    <w:rsid w:val="00927D26"/>
    <w:rsid w:val="00932475"/>
    <w:rsid w:val="009366B8"/>
    <w:rsid w:val="00936EBA"/>
    <w:rsid w:val="00936F2C"/>
    <w:rsid w:val="00937505"/>
    <w:rsid w:val="00937D2D"/>
    <w:rsid w:val="009452A3"/>
    <w:rsid w:val="00945616"/>
    <w:rsid w:val="0094562C"/>
    <w:rsid w:val="00945C38"/>
    <w:rsid w:val="00952970"/>
    <w:rsid w:val="0095330D"/>
    <w:rsid w:val="00953E85"/>
    <w:rsid w:val="0095440A"/>
    <w:rsid w:val="00960F0B"/>
    <w:rsid w:val="00961838"/>
    <w:rsid w:val="009618B4"/>
    <w:rsid w:val="00963449"/>
    <w:rsid w:val="0097275B"/>
    <w:rsid w:val="00975F9B"/>
    <w:rsid w:val="0097780C"/>
    <w:rsid w:val="00981B62"/>
    <w:rsid w:val="00982654"/>
    <w:rsid w:val="00982A84"/>
    <w:rsid w:val="009842FF"/>
    <w:rsid w:val="00993BE3"/>
    <w:rsid w:val="009944AB"/>
    <w:rsid w:val="009960D8"/>
    <w:rsid w:val="009979E9"/>
    <w:rsid w:val="009A3ABA"/>
    <w:rsid w:val="009A54C9"/>
    <w:rsid w:val="009A7A47"/>
    <w:rsid w:val="009B14B1"/>
    <w:rsid w:val="009B209E"/>
    <w:rsid w:val="009B6B88"/>
    <w:rsid w:val="009B7D9F"/>
    <w:rsid w:val="009C69DA"/>
    <w:rsid w:val="009D1A36"/>
    <w:rsid w:val="009D27AC"/>
    <w:rsid w:val="009D2F1A"/>
    <w:rsid w:val="009D326D"/>
    <w:rsid w:val="009D3C07"/>
    <w:rsid w:val="009D41F1"/>
    <w:rsid w:val="009D7E81"/>
    <w:rsid w:val="009E26F0"/>
    <w:rsid w:val="009E3CB1"/>
    <w:rsid w:val="009E4E56"/>
    <w:rsid w:val="009E5420"/>
    <w:rsid w:val="009E5DE3"/>
    <w:rsid w:val="009E5E3F"/>
    <w:rsid w:val="009F1BB1"/>
    <w:rsid w:val="009F4501"/>
    <w:rsid w:val="009F475D"/>
    <w:rsid w:val="009F5125"/>
    <w:rsid w:val="009F63DB"/>
    <w:rsid w:val="00A0141E"/>
    <w:rsid w:val="00A04C06"/>
    <w:rsid w:val="00A100D7"/>
    <w:rsid w:val="00A102F6"/>
    <w:rsid w:val="00A107D9"/>
    <w:rsid w:val="00A11048"/>
    <w:rsid w:val="00A11BB7"/>
    <w:rsid w:val="00A155C8"/>
    <w:rsid w:val="00A16902"/>
    <w:rsid w:val="00A209E0"/>
    <w:rsid w:val="00A20D2A"/>
    <w:rsid w:val="00A20DB9"/>
    <w:rsid w:val="00A21DE5"/>
    <w:rsid w:val="00A22843"/>
    <w:rsid w:val="00A23B7C"/>
    <w:rsid w:val="00A25250"/>
    <w:rsid w:val="00A26363"/>
    <w:rsid w:val="00A32E26"/>
    <w:rsid w:val="00A340C1"/>
    <w:rsid w:val="00A34260"/>
    <w:rsid w:val="00A34426"/>
    <w:rsid w:val="00A345B6"/>
    <w:rsid w:val="00A37E29"/>
    <w:rsid w:val="00A4149A"/>
    <w:rsid w:val="00A44306"/>
    <w:rsid w:val="00A45CE7"/>
    <w:rsid w:val="00A46D1A"/>
    <w:rsid w:val="00A4792B"/>
    <w:rsid w:val="00A50076"/>
    <w:rsid w:val="00A519CA"/>
    <w:rsid w:val="00A573E2"/>
    <w:rsid w:val="00A60B31"/>
    <w:rsid w:val="00A62488"/>
    <w:rsid w:val="00A6548F"/>
    <w:rsid w:val="00A72F3C"/>
    <w:rsid w:val="00A73A2F"/>
    <w:rsid w:val="00A7463F"/>
    <w:rsid w:val="00A74AAA"/>
    <w:rsid w:val="00A75E8B"/>
    <w:rsid w:val="00A773BD"/>
    <w:rsid w:val="00A80D26"/>
    <w:rsid w:val="00A85682"/>
    <w:rsid w:val="00A85CAB"/>
    <w:rsid w:val="00A91D3E"/>
    <w:rsid w:val="00A94E36"/>
    <w:rsid w:val="00A978B6"/>
    <w:rsid w:val="00AA03F2"/>
    <w:rsid w:val="00AA2817"/>
    <w:rsid w:val="00AA2A1D"/>
    <w:rsid w:val="00AA6AC1"/>
    <w:rsid w:val="00AB25EB"/>
    <w:rsid w:val="00AB3636"/>
    <w:rsid w:val="00AB5816"/>
    <w:rsid w:val="00AB723E"/>
    <w:rsid w:val="00AC044C"/>
    <w:rsid w:val="00AC331F"/>
    <w:rsid w:val="00AC54C3"/>
    <w:rsid w:val="00AD19D1"/>
    <w:rsid w:val="00AD3803"/>
    <w:rsid w:val="00AD4A77"/>
    <w:rsid w:val="00AD6545"/>
    <w:rsid w:val="00AD6A79"/>
    <w:rsid w:val="00AD701A"/>
    <w:rsid w:val="00AE043C"/>
    <w:rsid w:val="00AE0AB0"/>
    <w:rsid w:val="00AE0CB5"/>
    <w:rsid w:val="00AE58B9"/>
    <w:rsid w:val="00AF631A"/>
    <w:rsid w:val="00B03805"/>
    <w:rsid w:val="00B0466E"/>
    <w:rsid w:val="00B056A3"/>
    <w:rsid w:val="00B07DC2"/>
    <w:rsid w:val="00B10284"/>
    <w:rsid w:val="00B107BE"/>
    <w:rsid w:val="00B10E59"/>
    <w:rsid w:val="00B130EA"/>
    <w:rsid w:val="00B138CB"/>
    <w:rsid w:val="00B174F3"/>
    <w:rsid w:val="00B176BC"/>
    <w:rsid w:val="00B179C8"/>
    <w:rsid w:val="00B20335"/>
    <w:rsid w:val="00B2299E"/>
    <w:rsid w:val="00B229F4"/>
    <w:rsid w:val="00B23DD1"/>
    <w:rsid w:val="00B25C1C"/>
    <w:rsid w:val="00B26092"/>
    <w:rsid w:val="00B267D4"/>
    <w:rsid w:val="00B267FE"/>
    <w:rsid w:val="00B27A16"/>
    <w:rsid w:val="00B300A3"/>
    <w:rsid w:val="00B3014D"/>
    <w:rsid w:val="00B303D4"/>
    <w:rsid w:val="00B30A36"/>
    <w:rsid w:val="00B318D4"/>
    <w:rsid w:val="00B355A3"/>
    <w:rsid w:val="00B35AC8"/>
    <w:rsid w:val="00B42131"/>
    <w:rsid w:val="00B445B2"/>
    <w:rsid w:val="00B44A39"/>
    <w:rsid w:val="00B45062"/>
    <w:rsid w:val="00B51B3D"/>
    <w:rsid w:val="00B53A99"/>
    <w:rsid w:val="00B53E66"/>
    <w:rsid w:val="00B57141"/>
    <w:rsid w:val="00B60045"/>
    <w:rsid w:val="00B635C0"/>
    <w:rsid w:val="00B63D03"/>
    <w:rsid w:val="00B6639A"/>
    <w:rsid w:val="00B664D9"/>
    <w:rsid w:val="00B728B6"/>
    <w:rsid w:val="00B73BA7"/>
    <w:rsid w:val="00B74D49"/>
    <w:rsid w:val="00B76C23"/>
    <w:rsid w:val="00B81FAE"/>
    <w:rsid w:val="00B9380C"/>
    <w:rsid w:val="00BB50DC"/>
    <w:rsid w:val="00BC282D"/>
    <w:rsid w:val="00BC2B49"/>
    <w:rsid w:val="00BC3122"/>
    <w:rsid w:val="00BC3594"/>
    <w:rsid w:val="00BC35A8"/>
    <w:rsid w:val="00BC58C7"/>
    <w:rsid w:val="00BD0758"/>
    <w:rsid w:val="00BD0CE6"/>
    <w:rsid w:val="00BD388E"/>
    <w:rsid w:val="00BD4D83"/>
    <w:rsid w:val="00BD6D5B"/>
    <w:rsid w:val="00BE0604"/>
    <w:rsid w:val="00BE0D71"/>
    <w:rsid w:val="00BF411A"/>
    <w:rsid w:val="00BF4A4E"/>
    <w:rsid w:val="00BF5E07"/>
    <w:rsid w:val="00C0087F"/>
    <w:rsid w:val="00C00D80"/>
    <w:rsid w:val="00C047AA"/>
    <w:rsid w:val="00C05686"/>
    <w:rsid w:val="00C058EB"/>
    <w:rsid w:val="00C12361"/>
    <w:rsid w:val="00C130FE"/>
    <w:rsid w:val="00C13262"/>
    <w:rsid w:val="00C16C18"/>
    <w:rsid w:val="00C17A2C"/>
    <w:rsid w:val="00C20C54"/>
    <w:rsid w:val="00C20C99"/>
    <w:rsid w:val="00C21F5A"/>
    <w:rsid w:val="00C2292B"/>
    <w:rsid w:val="00C25942"/>
    <w:rsid w:val="00C3124C"/>
    <w:rsid w:val="00C312EB"/>
    <w:rsid w:val="00C31C1E"/>
    <w:rsid w:val="00C3238D"/>
    <w:rsid w:val="00C4084D"/>
    <w:rsid w:val="00C521FF"/>
    <w:rsid w:val="00C52319"/>
    <w:rsid w:val="00C566BE"/>
    <w:rsid w:val="00C57D8F"/>
    <w:rsid w:val="00C61AC0"/>
    <w:rsid w:val="00C631CB"/>
    <w:rsid w:val="00C66A7D"/>
    <w:rsid w:val="00C66B96"/>
    <w:rsid w:val="00C66FF9"/>
    <w:rsid w:val="00C70E2E"/>
    <w:rsid w:val="00C75A57"/>
    <w:rsid w:val="00C80662"/>
    <w:rsid w:val="00C8068D"/>
    <w:rsid w:val="00C820B5"/>
    <w:rsid w:val="00C83513"/>
    <w:rsid w:val="00C85B6D"/>
    <w:rsid w:val="00C86270"/>
    <w:rsid w:val="00C8721F"/>
    <w:rsid w:val="00C87D7B"/>
    <w:rsid w:val="00C927B2"/>
    <w:rsid w:val="00C931AE"/>
    <w:rsid w:val="00C947A3"/>
    <w:rsid w:val="00C95DD2"/>
    <w:rsid w:val="00C96598"/>
    <w:rsid w:val="00CA0992"/>
    <w:rsid w:val="00CA1958"/>
    <w:rsid w:val="00CA4364"/>
    <w:rsid w:val="00CA586E"/>
    <w:rsid w:val="00CA78F3"/>
    <w:rsid w:val="00CB0D66"/>
    <w:rsid w:val="00CB2DDE"/>
    <w:rsid w:val="00CB324A"/>
    <w:rsid w:val="00CB407E"/>
    <w:rsid w:val="00CB63D8"/>
    <w:rsid w:val="00CB6AB4"/>
    <w:rsid w:val="00CC056F"/>
    <w:rsid w:val="00CC1EF9"/>
    <w:rsid w:val="00CC2AD2"/>
    <w:rsid w:val="00CC5FF9"/>
    <w:rsid w:val="00CC6422"/>
    <w:rsid w:val="00CD18BC"/>
    <w:rsid w:val="00CD203F"/>
    <w:rsid w:val="00CD3ED0"/>
    <w:rsid w:val="00CE6EF0"/>
    <w:rsid w:val="00CE721B"/>
    <w:rsid w:val="00CF0BF8"/>
    <w:rsid w:val="00CF3303"/>
    <w:rsid w:val="00D031E1"/>
    <w:rsid w:val="00D06C90"/>
    <w:rsid w:val="00D112D9"/>
    <w:rsid w:val="00D15BD9"/>
    <w:rsid w:val="00D24FD3"/>
    <w:rsid w:val="00D327D2"/>
    <w:rsid w:val="00D34A26"/>
    <w:rsid w:val="00D34DEB"/>
    <w:rsid w:val="00D3617B"/>
    <w:rsid w:val="00D37E32"/>
    <w:rsid w:val="00D41F8C"/>
    <w:rsid w:val="00D42246"/>
    <w:rsid w:val="00D42477"/>
    <w:rsid w:val="00D477CC"/>
    <w:rsid w:val="00D47E79"/>
    <w:rsid w:val="00D507AE"/>
    <w:rsid w:val="00D51B5B"/>
    <w:rsid w:val="00D52279"/>
    <w:rsid w:val="00D54D4C"/>
    <w:rsid w:val="00D54EBA"/>
    <w:rsid w:val="00D55C13"/>
    <w:rsid w:val="00D56F43"/>
    <w:rsid w:val="00D60FA0"/>
    <w:rsid w:val="00D63191"/>
    <w:rsid w:val="00D63B29"/>
    <w:rsid w:val="00D647D8"/>
    <w:rsid w:val="00D64C33"/>
    <w:rsid w:val="00D67517"/>
    <w:rsid w:val="00D70132"/>
    <w:rsid w:val="00D71B73"/>
    <w:rsid w:val="00D761BC"/>
    <w:rsid w:val="00D76408"/>
    <w:rsid w:val="00D83BD1"/>
    <w:rsid w:val="00D85DCD"/>
    <w:rsid w:val="00D86686"/>
    <w:rsid w:val="00D86B49"/>
    <w:rsid w:val="00D86B76"/>
    <w:rsid w:val="00D87727"/>
    <w:rsid w:val="00D9013A"/>
    <w:rsid w:val="00D95E8C"/>
    <w:rsid w:val="00DA0B8C"/>
    <w:rsid w:val="00DA0BE6"/>
    <w:rsid w:val="00DA5B5B"/>
    <w:rsid w:val="00DA6310"/>
    <w:rsid w:val="00DB0A98"/>
    <w:rsid w:val="00DB0F0C"/>
    <w:rsid w:val="00DB29CF"/>
    <w:rsid w:val="00DB401E"/>
    <w:rsid w:val="00DB519F"/>
    <w:rsid w:val="00DC2721"/>
    <w:rsid w:val="00DC349C"/>
    <w:rsid w:val="00DC62DE"/>
    <w:rsid w:val="00DC7ACF"/>
    <w:rsid w:val="00DD5D00"/>
    <w:rsid w:val="00DD65E6"/>
    <w:rsid w:val="00DD6D0C"/>
    <w:rsid w:val="00DD7482"/>
    <w:rsid w:val="00DD9421"/>
    <w:rsid w:val="00DE07A8"/>
    <w:rsid w:val="00DE0966"/>
    <w:rsid w:val="00DE2DEB"/>
    <w:rsid w:val="00DE5121"/>
    <w:rsid w:val="00DE688D"/>
    <w:rsid w:val="00DE69D3"/>
    <w:rsid w:val="00DF0ABF"/>
    <w:rsid w:val="00DF12F2"/>
    <w:rsid w:val="00DF2900"/>
    <w:rsid w:val="00DF37CB"/>
    <w:rsid w:val="00E03B18"/>
    <w:rsid w:val="00E06328"/>
    <w:rsid w:val="00E06F0F"/>
    <w:rsid w:val="00E12A43"/>
    <w:rsid w:val="00E13468"/>
    <w:rsid w:val="00E135CB"/>
    <w:rsid w:val="00E14EAF"/>
    <w:rsid w:val="00E16549"/>
    <w:rsid w:val="00E20353"/>
    <w:rsid w:val="00E21194"/>
    <w:rsid w:val="00E22CFE"/>
    <w:rsid w:val="00E239ED"/>
    <w:rsid w:val="00E25C43"/>
    <w:rsid w:val="00E25F2E"/>
    <w:rsid w:val="00E262E7"/>
    <w:rsid w:val="00E268CE"/>
    <w:rsid w:val="00E26C88"/>
    <w:rsid w:val="00E314C8"/>
    <w:rsid w:val="00E31B05"/>
    <w:rsid w:val="00E34E87"/>
    <w:rsid w:val="00E36499"/>
    <w:rsid w:val="00E41728"/>
    <w:rsid w:val="00E4196C"/>
    <w:rsid w:val="00E431F5"/>
    <w:rsid w:val="00E504FB"/>
    <w:rsid w:val="00E50E53"/>
    <w:rsid w:val="00E51E7D"/>
    <w:rsid w:val="00E603EA"/>
    <w:rsid w:val="00E60F3E"/>
    <w:rsid w:val="00E61C90"/>
    <w:rsid w:val="00E61DCE"/>
    <w:rsid w:val="00E62EF6"/>
    <w:rsid w:val="00E735FF"/>
    <w:rsid w:val="00E73F81"/>
    <w:rsid w:val="00E7529C"/>
    <w:rsid w:val="00E76535"/>
    <w:rsid w:val="00E80730"/>
    <w:rsid w:val="00E8329B"/>
    <w:rsid w:val="00E835E7"/>
    <w:rsid w:val="00E849DB"/>
    <w:rsid w:val="00E85A7A"/>
    <w:rsid w:val="00E85F53"/>
    <w:rsid w:val="00E86C5D"/>
    <w:rsid w:val="00E904AD"/>
    <w:rsid w:val="00E91395"/>
    <w:rsid w:val="00E91C6A"/>
    <w:rsid w:val="00E93271"/>
    <w:rsid w:val="00E93AAC"/>
    <w:rsid w:val="00EA56BB"/>
    <w:rsid w:val="00EA6912"/>
    <w:rsid w:val="00EA7070"/>
    <w:rsid w:val="00EB0A1D"/>
    <w:rsid w:val="00EB4667"/>
    <w:rsid w:val="00EB74C4"/>
    <w:rsid w:val="00EC4A53"/>
    <w:rsid w:val="00ED073F"/>
    <w:rsid w:val="00ED3FB1"/>
    <w:rsid w:val="00ED4990"/>
    <w:rsid w:val="00ED589F"/>
    <w:rsid w:val="00ED59BC"/>
    <w:rsid w:val="00ED5E75"/>
    <w:rsid w:val="00ED6831"/>
    <w:rsid w:val="00EE0AA2"/>
    <w:rsid w:val="00EE15C6"/>
    <w:rsid w:val="00EE18AE"/>
    <w:rsid w:val="00EE1E6A"/>
    <w:rsid w:val="00EE5878"/>
    <w:rsid w:val="00EF0710"/>
    <w:rsid w:val="00EF12E8"/>
    <w:rsid w:val="00EF3A63"/>
    <w:rsid w:val="00EF59C7"/>
    <w:rsid w:val="00EF63C1"/>
    <w:rsid w:val="00F015AE"/>
    <w:rsid w:val="00F01F39"/>
    <w:rsid w:val="00F031B4"/>
    <w:rsid w:val="00F03F10"/>
    <w:rsid w:val="00F04309"/>
    <w:rsid w:val="00F05968"/>
    <w:rsid w:val="00F10737"/>
    <w:rsid w:val="00F10AD2"/>
    <w:rsid w:val="00F11383"/>
    <w:rsid w:val="00F11EC7"/>
    <w:rsid w:val="00F126A5"/>
    <w:rsid w:val="00F20215"/>
    <w:rsid w:val="00F206C2"/>
    <w:rsid w:val="00F21AC7"/>
    <w:rsid w:val="00F23F1F"/>
    <w:rsid w:val="00F264F1"/>
    <w:rsid w:val="00F270D1"/>
    <w:rsid w:val="00F300A3"/>
    <w:rsid w:val="00F31C9A"/>
    <w:rsid w:val="00F35D8E"/>
    <w:rsid w:val="00F37DF9"/>
    <w:rsid w:val="00F4579E"/>
    <w:rsid w:val="00F457FD"/>
    <w:rsid w:val="00F47B7D"/>
    <w:rsid w:val="00F47CBC"/>
    <w:rsid w:val="00F47DA7"/>
    <w:rsid w:val="00F47F38"/>
    <w:rsid w:val="00F51DB9"/>
    <w:rsid w:val="00F53B31"/>
    <w:rsid w:val="00F53D39"/>
    <w:rsid w:val="00F54792"/>
    <w:rsid w:val="00F576D3"/>
    <w:rsid w:val="00F608B3"/>
    <w:rsid w:val="00F667C8"/>
    <w:rsid w:val="00F74784"/>
    <w:rsid w:val="00F74A07"/>
    <w:rsid w:val="00F75D6C"/>
    <w:rsid w:val="00F75F41"/>
    <w:rsid w:val="00F7729C"/>
    <w:rsid w:val="00F7784F"/>
    <w:rsid w:val="00F8288C"/>
    <w:rsid w:val="00F8346A"/>
    <w:rsid w:val="00F85555"/>
    <w:rsid w:val="00F86F6B"/>
    <w:rsid w:val="00F8799D"/>
    <w:rsid w:val="00F87FAB"/>
    <w:rsid w:val="00F9250D"/>
    <w:rsid w:val="00F94739"/>
    <w:rsid w:val="00FA46B9"/>
    <w:rsid w:val="00FA59F1"/>
    <w:rsid w:val="00FA6421"/>
    <w:rsid w:val="00FA6BFB"/>
    <w:rsid w:val="00FA6C26"/>
    <w:rsid w:val="00FA6FE3"/>
    <w:rsid w:val="00FB6843"/>
    <w:rsid w:val="00FB713D"/>
    <w:rsid w:val="00FC081F"/>
    <w:rsid w:val="00FC1E65"/>
    <w:rsid w:val="00FC2FCB"/>
    <w:rsid w:val="00FC30C5"/>
    <w:rsid w:val="00FC4112"/>
    <w:rsid w:val="00FC4342"/>
    <w:rsid w:val="00FC5097"/>
    <w:rsid w:val="00FC52BD"/>
    <w:rsid w:val="00FD1D5A"/>
    <w:rsid w:val="00FD3257"/>
    <w:rsid w:val="00FD5C65"/>
    <w:rsid w:val="00FE3B53"/>
    <w:rsid w:val="00FE55D8"/>
    <w:rsid w:val="00FE5AE8"/>
    <w:rsid w:val="00FF2529"/>
    <w:rsid w:val="00FF2C35"/>
    <w:rsid w:val="00FF6043"/>
    <w:rsid w:val="0102485C"/>
    <w:rsid w:val="01027D37"/>
    <w:rsid w:val="01268412"/>
    <w:rsid w:val="01A15E99"/>
    <w:rsid w:val="01BA4C6C"/>
    <w:rsid w:val="021145AB"/>
    <w:rsid w:val="0238BE3E"/>
    <w:rsid w:val="02882555"/>
    <w:rsid w:val="02A6C0BF"/>
    <w:rsid w:val="02CB5123"/>
    <w:rsid w:val="030BAAE2"/>
    <w:rsid w:val="037C1EB4"/>
    <w:rsid w:val="038D1E25"/>
    <w:rsid w:val="0395CC10"/>
    <w:rsid w:val="0399EEE0"/>
    <w:rsid w:val="03CA8388"/>
    <w:rsid w:val="041DD359"/>
    <w:rsid w:val="04413C17"/>
    <w:rsid w:val="045BC276"/>
    <w:rsid w:val="046A4892"/>
    <w:rsid w:val="047FE57A"/>
    <w:rsid w:val="048328C5"/>
    <w:rsid w:val="04B141B0"/>
    <w:rsid w:val="04B44200"/>
    <w:rsid w:val="04FBA3EB"/>
    <w:rsid w:val="053A416F"/>
    <w:rsid w:val="055FE6A3"/>
    <w:rsid w:val="058E7D18"/>
    <w:rsid w:val="05E7D517"/>
    <w:rsid w:val="064FDBA5"/>
    <w:rsid w:val="0697744C"/>
    <w:rsid w:val="069D4AAB"/>
    <w:rsid w:val="06E175AE"/>
    <w:rsid w:val="070B4E1A"/>
    <w:rsid w:val="077D3DDE"/>
    <w:rsid w:val="07E3844A"/>
    <w:rsid w:val="08017AD2"/>
    <w:rsid w:val="08892501"/>
    <w:rsid w:val="08F6B01F"/>
    <w:rsid w:val="0948AFD4"/>
    <w:rsid w:val="0A095E28"/>
    <w:rsid w:val="0A0DAB93"/>
    <w:rsid w:val="0A10F2BB"/>
    <w:rsid w:val="0A1C7296"/>
    <w:rsid w:val="0A6D3342"/>
    <w:rsid w:val="0AF10A69"/>
    <w:rsid w:val="0B1FB2AF"/>
    <w:rsid w:val="0B4FD118"/>
    <w:rsid w:val="0BB918A6"/>
    <w:rsid w:val="0C0CFF47"/>
    <w:rsid w:val="0C553F24"/>
    <w:rsid w:val="0C89B560"/>
    <w:rsid w:val="0C9701A5"/>
    <w:rsid w:val="0C97DEF8"/>
    <w:rsid w:val="0CAB34DC"/>
    <w:rsid w:val="0D176CDD"/>
    <w:rsid w:val="0D4758B0"/>
    <w:rsid w:val="0D4A2BF3"/>
    <w:rsid w:val="0D63FC45"/>
    <w:rsid w:val="0D88E1E4"/>
    <w:rsid w:val="0DA60E71"/>
    <w:rsid w:val="0DAD9DB7"/>
    <w:rsid w:val="0DCA2142"/>
    <w:rsid w:val="0DDEEE67"/>
    <w:rsid w:val="0E6F33D8"/>
    <w:rsid w:val="0E92E268"/>
    <w:rsid w:val="0F4CA0D9"/>
    <w:rsid w:val="0F4F35D8"/>
    <w:rsid w:val="0F61C4B7"/>
    <w:rsid w:val="0F63D644"/>
    <w:rsid w:val="0F65F1A3"/>
    <w:rsid w:val="0F691366"/>
    <w:rsid w:val="0FD8CFBD"/>
    <w:rsid w:val="0FDA2B7C"/>
    <w:rsid w:val="10283741"/>
    <w:rsid w:val="102DFAA7"/>
    <w:rsid w:val="106CDE35"/>
    <w:rsid w:val="10FADC09"/>
    <w:rsid w:val="111F368E"/>
    <w:rsid w:val="11A6D49A"/>
    <w:rsid w:val="11B5475E"/>
    <w:rsid w:val="11CD6E67"/>
    <w:rsid w:val="11FE1133"/>
    <w:rsid w:val="12093E2A"/>
    <w:rsid w:val="1218BD78"/>
    <w:rsid w:val="127E23E0"/>
    <w:rsid w:val="13297C9E"/>
    <w:rsid w:val="136F5FF6"/>
    <w:rsid w:val="142C4184"/>
    <w:rsid w:val="14355983"/>
    <w:rsid w:val="144DED85"/>
    <w:rsid w:val="1455D155"/>
    <w:rsid w:val="145E8E92"/>
    <w:rsid w:val="146709A0"/>
    <w:rsid w:val="147FA758"/>
    <w:rsid w:val="148B7008"/>
    <w:rsid w:val="15505E3A"/>
    <w:rsid w:val="156E5A2E"/>
    <w:rsid w:val="15B998D0"/>
    <w:rsid w:val="1639751F"/>
    <w:rsid w:val="163DC62B"/>
    <w:rsid w:val="164B6110"/>
    <w:rsid w:val="1673A84B"/>
    <w:rsid w:val="16FBB17A"/>
    <w:rsid w:val="16FCA06C"/>
    <w:rsid w:val="1733DF73"/>
    <w:rsid w:val="17669B62"/>
    <w:rsid w:val="17710388"/>
    <w:rsid w:val="17969029"/>
    <w:rsid w:val="17F6288B"/>
    <w:rsid w:val="1840853A"/>
    <w:rsid w:val="1844EDC1"/>
    <w:rsid w:val="18F6EA27"/>
    <w:rsid w:val="1905B3A4"/>
    <w:rsid w:val="1911A463"/>
    <w:rsid w:val="19861ECA"/>
    <w:rsid w:val="19F47239"/>
    <w:rsid w:val="19FD23F3"/>
    <w:rsid w:val="1A3DC266"/>
    <w:rsid w:val="1A47EEFD"/>
    <w:rsid w:val="1A76F13C"/>
    <w:rsid w:val="1ABFD36E"/>
    <w:rsid w:val="1AC24B9F"/>
    <w:rsid w:val="1B0EB98F"/>
    <w:rsid w:val="1B7F8641"/>
    <w:rsid w:val="1C4574C9"/>
    <w:rsid w:val="1C633109"/>
    <w:rsid w:val="1C6EB329"/>
    <w:rsid w:val="1CFC9CFA"/>
    <w:rsid w:val="1D16E4BA"/>
    <w:rsid w:val="1D1F8288"/>
    <w:rsid w:val="1D7D768E"/>
    <w:rsid w:val="1DA1B65E"/>
    <w:rsid w:val="1DF60A46"/>
    <w:rsid w:val="1E23B6FD"/>
    <w:rsid w:val="1E598FCC"/>
    <w:rsid w:val="1E809E0C"/>
    <w:rsid w:val="1EAB5013"/>
    <w:rsid w:val="1EB4E0EE"/>
    <w:rsid w:val="1F4A7493"/>
    <w:rsid w:val="1F52B6E5"/>
    <w:rsid w:val="1F6C659F"/>
    <w:rsid w:val="1F919ED5"/>
    <w:rsid w:val="2019E667"/>
    <w:rsid w:val="2054C8E9"/>
    <w:rsid w:val="2075FAA7"/>
    <w:rsid w:val="20DE99A1"/>
    <w:rsid w:val="211455DA"/>
    <w:rsid w:val="211C6713"/>
    <w:rsid w:val="212F5323"/>
    <w:rsid w:val="21444B0F"/>
    <w:rsid w:val="21571145"/>
    <w:rsid w:val="21A112B5"/>
    <w:rsid w:val="22092DEA"/>
    <w:rsid w:val="2218268F"/>
    <w:rsid w:val="227A2E92"/>
    <w:rsid w:val="23190DE8"/>
    <w:rsid w:val="23384946"/>
    <w:rsid w:val="23882960"/>
    <w:rsid w:val="23F99262"/>
    <w:rsid w:val="241D6F4E"/>
    <w:rsid w:val="24318BAF"/>
    <w:rsid w:val="24609CB1"/>
    <w:rsid w:val="2481816F"/>
    <w:rsid w:val="25477768"/>
    <w:rsid w:val="267B6445"/>
    <w:rsid w:val="267F2EB0"/>
    <w:rsid w:val="26807CCB"/>
    <w:rsid w:val="269EB51A"/>
    <w:rsid w:val="26DF342C"/>
    <w:rsid w:val="26F64908"/>
    <w:rsid w:val="272515EA"/>
    <w:rsid w:val="278F148D"/>
    <w:rsid w:val="27DE2021"/>
    <w:rsid w:val="280834AE"/>
    <w:rsid w:val="2837E0FB"/>
    <w:rsid w:val="292F69EB"/>
    <w:rsid w:val="2934997F"/>
    <w:rsid w:val="29C1E8AC"/>
    <w:rsid w:val="29DCCFA3"/>
    <w:rsid w:val="2A1AE88B"/>
    <w:rsid w:val="2A1CCC41"/>
    <w:rsid w:val="2A765500"/>
    <w:rsid w:val="2A7A03F6"/>
    <w:rsid w:val="2ADDE4BE"/>
    <w:rsid w:val="2B069916"/>
    <w:rsid w:val="2B1AF244"/>
    <w:rsid w:val="2B435053"/>
    <w:rsid w:val="2BB264F0"/>
    <w:rsid w:val="2BBCD8A5"/>
    <w:rsid w:val="2CDCE53F"/>
    <w:rsid w:val="2CEE7034"/>
    <w:rsid w:val="2D605912"/>
    <w:rsid w:val="2DAE2DB1"/>
    <w:rsid w:val="2E005AB5"/>
    <w:rsid w:val="2E1DE926"/>
    <w:rsid w:val="2E464C40"/>
    <w:rsid w:val="2E50C908"/>
    <w:rsid w:val="2E70624E"/>
    <w:rsid w:val="2EA92A6E"/>
    <w:rsid w:val="2EEB77C4"/>
    <w:rsid w:val="2EFC2973"/>
    <w:rsid w:val="2F2BBA8B"/>
    <w:rsid w:val="2F39B6CF"/>
    <w:rsid w:val="2F63B815"/>
    <w:rsid w:val="2FB484C4"/>
    <w:rsid w:val="2FB9429B"/>
    <w:rsid w:val="2FD4C703"/>
    <w:rsid w:val="2FE21CA1"/>
    <w:rsid w:val="30420080"/>
    <w:rsid w:val="30887947"/>
    <w:rsid w:val="31383779"/>
    <w:rsid w:val="314F31E9"/>
    <w:rsid w:val="31811B8B"/>
    <w:rsid w:val="31CDC5D4"/>
    <w:rsid w:val="31DF49E3"/>
    <w:rsid w:val="32163610"/>
    <w:rsid w:val="327EDD65"/>
    <w:rsid w:val="32D51D36"/>
    <w:rsid w:val="330A9880"/>
    <w:rsid w:val="3395C199"/>
    <w:rsid w:val="33E878FA"/>
    <w:rsid w:val="342F5ED9"/>
    <w:rsid w:val="343750A0"/>
    <w:rsid w:val="3460FFAA"/>
    <w:rsid w:val="3479A89B"/>
    <w:rsid w:val="34C26FEF"/>
    <w:rsid w:val="34EE5FA4"/>
    <w:rsid w:val="3514A92F"/>
    <w:rsid w:val="357DE44B"/>
    <w:rsid w:val="35BE80DF"/>
    <w:rsid w:val="370DA1D3"/>
    <w:rsid w:val="373CC424"/>
    <w:rsid w:val="37473E06"/>
    <w:rsid w:val="3758DB00"/>
    <w:rsid w:val="375F2701"/>
    <w:rsid w:val="3782DE14"/>
    <w:rsid w:val="37E9D546"/>
    <w:rsid w:val="3843FB01"/>
    <w:rsid w:val="387FD338"/>
    <w:rsid w:val="388320EB"/>
    <w:rsid w:val="38902D1D"/>
    <w:rsid w:val="390AE7FD"/>
    <w:rsid w:val="399E80E6"/>
    <w:rsid w:val="3A34FE43"/>
    <w:rsid w:val="3A440543"/>
    <w:rsid w:val="3A450382"/>
    <w:rsid w:val="3A790DCC"/>
    <w:rsid w:val="3AAF841F"/>
    <w:rsid w:val="3AC686A1"/>
    <w:rsid w:val="3AD1216E"/>
    <w:rsid w:val="3B887A1D"/>
    <w:rsid w:val="3B89B079"/>
    <w:rsid w:val="3BA03EC8"/>
    <w:rsid w:val="3BA150EA"/>
    <w:rsid w:val="3BE4BD6B"/>
    <w:rsid w:val="3C435E33"/>
    <w:rsid w:val="3C725D0E"/>
    <w:rsid w:val="3C7DFE81"/>
    <w:rsid w:val="3C88F055"/>
    <w:rsid w:val="3CE15624"/>
    <w:rsid w:val="3D177EAB"/>
    <w:rsid w:val="3D4B67A7"/>
    <w:rsid w:val="3D640002"/>
    <w:rsid w:val="3D925CF5"/>
    <w:rsid w:val="3DAA4881"/>
    <w:rsid w:val="3E1926FA"/>
    <w:rsid w:val="3E3FED24"/>
    <w:rsid w:val="3E45E2BB"/>
    <w:rsid w:val="3E68E1C8"/>
    <w:rsid w:val="3E6A3FCF"/>
    <w:rsid w:val="3E6AF602"/>
    <w:rsid w:val="3E6CEB0E"/>
    <w:rsid w:val="3E968A99"/>
    <w:rsid w:val="3EB0B1E7"/>
    <w:rsid w:val="3EF6A841"/>
    <w:rsid w:val="3F28C456"/>
    <w:rsid w:val="3F3453AC"/>
    <w:rsid w:val="3F8EC398"/>
    <w:rsid w:val="3F97A764"/>
    <w:rsid w:val="3FFA495C"/>
    <w:rsid w:val="40202919"/>
    <w:rsid w:val="4021263F"/>
    <w:rsid w:val="40803E59"/>
    <w:rsid w:val="409E67C1"/>
    <w:rsid w:val="40B60B24"/>
    <w:rsid w:val="4205CC81"/>
    <w:rsid w:val="420E8DD3"/>
    <w:rsid w:val="420F4729"/>
    <w:rsid w:val="4212A94D"/>
    <w:rsid w:val="422B83A6"/>
    <w:rsid w:val="428FC04A"/>
    <w:rsid w:val="42922F98"/>
    <w:rsid w:val="42959228"/>
    <w:rsid w:val="42BC8A03"/>
    <w:rsid w:val="42D1DC5D"/>
    <w:rsid w:val="43346209"/>
    <w:rsid w:val="436FC3B9"/>
    <w:rsid w:val="43A1BD15"/>
    <w:rsid w:val="43A46602"/>
    <w:rsid w:val="43B0DFE1"/>
    <w:rsid w:val="43C285DF"/>
    <w:rsid w:val="444E7018"/>
    <w:rsid w:val="44684093"/>
    <w:rsid w:val="44F15447"/>
    <w:rsid w:val="45058A4F"/>
    <w:rsid w:val="45999316"/>
    <w:rsid w:val="45F24AEF"/>
    <w:rsid w:val="45F7542B"/>
    <w:rsid w:val="46212726"/>
    <w:rsid w:val="463703C1"/>
    <w:rsid w:val="46E4309E"/>
    <w:rsid w:val="4729DBF2"/>
    <w:rsid w:val="47456900"/>
    <w:rsid w:val="47649081"/>
    <w:rsid w:val="476C8384"/>
    <w:rsid w:val="478D9712"/>
    <w:rsid w:val="47E4E5A2"/>
    <w:rsid w:val="47F71F57"/>
    <w:rsid w:val="48067FAC"/>
    <w:rsid w:val="48D72494"/>
    <w:rsid w:val="48F33E1B"/>
    <w:rsid w:val="492E43D4"/>
    <w:rsid w:val="497A8611"/>
    <w:rsid w:val="497C9876"/>
    <w:rsid w:val="49DAA9D9"/>
    <w:rsid w:val="49EF2CB8"/>
    <w:rsid w:val="4A38D0F4"/>
    <w:rsid w:val="4A536B95"/>
    <w:rsid w:val="4AC8BCBF"/>
    <w:rsid w:val="4AEA3ED4"/>
    <w:rsid w:val="4B41B80F"/>
    <w:rsid w:val="4B7293E8"/>
    <w:rsid w:val="4BB1748F"/>
    <w:rsid w:val="4BB25408"/>
    <w:rsid w:val="4BF1C110"/>
    <w:rsid w:val="4CC78446"/>
    <w:rsid w:val="4CCA8352"/>
    <w:rsid w:val="4CEECED1"/>
    <w:rsid w:val="4D1D9F91"/>
    <w:rsid w:val="4D6A677E"/>
    <w:rsid w:val="4DBBE64F"/>
    <w:rsid w:val="4DDEB37A"/>
    <w:rsid w:val="4E11211B"/>
    <w:rsid w:val="4E380AC6"/>
    <w:rsid w:val="4E997A70"/>
    <w:rsid w:val="4F8A45FF"/>
    <w:rsid w:val="4F9BAC8B"/>
    <w:rsid w:val="4FB5AB80"/>
    <w:rsid w:val="505833E8"/>
    <w:rsid w:val="5077D8BF"/>
    <w:rsid w:val="509F0FAE"/>
    <w:rsid w:val="50C98D2A"/>
    <w:rsid w:val="50D4DE4C"/>
    <w:rsid w:val="51003E52"/>
    <w:rsid w:val="51766F8C"/>
    <w:rsid w:val="5219473C"/>
    <w:rsid w:val="523C7EA7"/>
    <w:rsid w:val="5247CE86"/>
    <w:rsid w:val="524D1A8E"/>
    <w:rsid w:val="536762F2"/>
    <w:rsid w:val="53D1F412"/>
    <w:rsid w:val="53D29CD3"/>
    <w:rsid w:val="545D3244"/>
    <w:rsid w:val="54774DA5"/>
    <w:rsid w:val="54855DFB"/>
    <w:rsid w:val="54972DEA"/>
    <w:rsid w:val="556036D9"/>
    <w:rsid w:val="557280D1"/>
    <w:rsid w:val="5594CA79"/>
    <w:rsid w:val="55B069AD"/>
    <w:rsid w:val="56122875"/>
    <w:rsid w:val="566C6AE2"/>
    <w:rsid w:val="56AD7243"/>
    <w:rsid w:val="56DB2969"/>
    <w:rsid w:val="57B3A121"/>
    <w:rsid w:val="581A86B0"/>
    <w:rsid w:val="5840C48D"/>
    <w:rsid w:val="58B59772"/>
    <w:rsid w:val="58B83637"/>
    <w:rsid w:val="58EE744D"/>
    <w:rsid w:val="58FC26C3"/>
    <w:rsid w:val="5939ABF4"/>
    <w:rsid w:val="5986B562"/>
    <w:rsid w:val="5996D53C"/>
    <w:rsid w:val="5A05792E"/>
    <w:rsid w:val="5B086BEE"/>
    <w:rsid w:val="5B22601D"/>
    <w:rsid w:val="5B2285C3"/>
    <w:rsid w:val="5B38ADC3"/>
    <w:rsid w:val="5B765C40"/>
    <w:rsid w:val="5B78EA19"/>
    <w:rsid w:val="5C1790F3"/>
    <w:rsid w:val="5C4050F3"/>
    <w:rsid w:val="5C556090"/>
    <w:rsid w:val="5D1FD6F0"/>
    <w:rsid w:val="5D43373B"/>
    <w:rsid w:val="5D6B8E91"/>
    <w:rsid w:val="5D84CDDE"/>
    <w:rsid w:val="5DAF6419"/>
    <w:rsid w:val="5DB5BB17"/>
    <w:rsid w:val="5E66A4A2"/>
    <w:rsid w:val="5EBA38D1"/>
    <w:rsid w:val="5ED99FCC"/>
    <w:rsid w:val="5F04612C"/>
    <w:rsid w:val="5F199483"/>
    <w:rsid w:val="5F978964"/>
    <w:rsid w:val="5FB38A2D"/>
    <w:rsid w:val="5FE43557"/>
    <w:rsid w:val="5FFA24CB"/>
    <w:rsid w:val="603B081D"/>
    <w:rsid w:val="607EFDD5"/>
    <w:rsid w:val="607F6794"/>
    <w:rsid w:val="60981731"/>
    <w:rsid w:val="60E9B9D9"/>
    <w:rsid w:val="614282E2"/>
    <w:rsid w:val="614D7EAB"/>
    <w:rsid w:val="615B6720"/>
    <w:rsid w:val="61635866"/>
    <w:rsid w:val="617F2DD9"/>
    <w:rsid w:val="61976D7F"/>
    <w:rsid w:val="61A8A860"/>
    <w:rsid w:val="61CE0EBB"/>
    <w:rsid w:val="61DAAC3A"/>
    <w:rsid w:val="620340B5"/>
    <w:rsid w:val="6219256F"/>
    <w:rsid w:val="624D634E"/>
    <w:rsid w:val="626AFE1F"/>
    <w:rsid w:val="62817635"/>
    <w:rsid w:val="62F68ECD"/>
    <w:rsid w:val="6313C80E"/>
    <w:rsid w:val="632E492A"/>
    <w:rsid w:val="63541C86"/>
    <w:rsid w:val="636FB295"/>
    <w:rsid w:val="63DB495C"/>
    <w:rsid w:val="6448B5E9"/>
    <w:rsid w:val="6519078F"/>
    <w:rsid w:val="6526250C"/>
    <w:rsid w:val="6585DC23"/>
    <w:rsid w:val="660FC566"/>
    <w:rsid w:val="6623C86D"/>
    <w:rsid w:val="66300A99"/>
    <w:rsid w:val="6649F4AE"/>
    <w:rsid w:val="66538295"/>
    <w:rsid w:val="665F2B94"/>
    <w:rsid w:val="6673272A"/>
    <w:rsid w:val="66A88339"/>
    <w:rsid w:val="66DA639A"/>
    <w:rsid w:val="671F35E7"/>
    <w:rsid w:val="673B15ED"/>
    <w:rsid w:val="679BAFA9"/>
    <w:rsid w:val="681A6D1B"/>
    <w:rsid w:val="68BCA6DA"/>
    <w:rsid w:val="69509990"/>
    <w:rsid w:val="6957F57B"/>
    <w:rsid w:val="69735CA2"/>
    <w:rsid w:val="698C6B10"/>
    <w:rsid w:val="69CB0DB4"/>
    <w:rsid w:val="69D2C367"/>
    <w:rsid w:val="6A29E3A5"/>
    <w:rsid w:val="6A301105"/>
    <w:rsid w:val="6ADB0003"/>
    <w:rsid w:val="6AE970CD"/>
    <w:rsid w:val="6AF67977"/>
    <w:rsid w:val="6BA695D5"/>
    <w:rsid w:val="6BE01AD0"/>
    <w:rsid w:val="6C213EC4"/>
    <w:rsid w:val="6C498397"/>
    <w:rsid w:val="6C75575C"/>
    <w:rsid w:val="6C8A7F3D"/>
    <w:rsid w:val="6CE67798"/>
    <w:rsid w:val="6CFA4F06"/>
    <w:rsid w:val="6DAEE347"/>
    <w:rsid w:val="6DFE248F"/>
    <w:rsid w:val="6E85FCE2"/>
    <w:rsid w:val="6EF483D1"/>
    <w:rsid w:val="6F558414"/>
    <w:rsid w:val="6F825773"/>
    <w:rsid w:val="6FBFEB1F"/>
    <w:rsid w:val="6FDBC63C"/>
    <w:rsid w:val="6FE2AD84"/>
    <w:rsid w:val="702B375A"/>
    <w:rsid w:val="7089B869"/>
    <w:rsid w:val="70B667D0"/>
    <w:rsid w:val="70D93795"/>
    <w:rsid w:val="70DB7B3C"/>
    <w:rsid w:val="71281E8E"/>
    <w:rsid w:val="714CD0E2"/>
    <w:rsid w:val="7193437E"/>
    <w:rsid w:val="71C97C40"/>
    <w:rsid w:val="71FC9B25"/>
    <w:rsid w:val="72075D43"/>
    <w:rsid w:val="72342A78"/>
    <w:rsid w:val="7322EA23"/>
    <w:rsid w:val="7430DB79"/>
    <w:rsid w:val="745A103E"/>
    <w:rsid w:val="746394F8"/>
    <w:rsid w:val="7486FEA2"/>
    <w:rsid w:val="74898F00"/>
    <w:rsid w:val="74D6CB1D"/>
    <w:rsid w:val="752DB100"/>
    <w:rsid w:val="7553A87F"/>
    <w:rsid w:val="7563F79C"/>
    <w:rsid w:val="7598A369"/>
    <w:rsid w:val="75A58CA4"/>
    <w:rsid w:val="75E2A8E5"/>
    <w:rsid w:val="75F0465C"/>
    <w:rsid w:val="762FBD46"/>
    <w:rsid w:val="763DC1C8"/>
    <w:rsid w:val="764D7009"/>
    <w:rsid w:val="7658E2CA"/>
    <w:rsid w:val="765E72D0"/>
    <w:rsid w:val="7685663A"/>
    <w:rsid w:val="76A382B5"/>
    <w:rsid w:val="77976059"/>
    <w:rsid w:val="779B35BA"/>
    <w:rsid w:val="77B815DF"/>
    <w:rsid w:val="77D59D04"/>
    <w:rsid w:val="7834BBD2"/>
    <w:rsid w:val="7905DE37"/>
    <w:rsid w:val="79190F01"/>
    <w:rsid w:val="792F9E46"/>
    <w:rsid w:val="795ED1C2"/>
    <w:rsid w:val="79A171B5"/>
    <w:rsid w:val="7A02D611"/>
    <w:rsid w:val="7A46D4B5"/>
    <w:rsid w:val="7A829C0C"/>
    <w:rsid w:val="7ADABEA9"/>
    <w:rsid w:val="7B01F6B2"/>
    <w:rsid w:val="7B2F0C9B"/>
    <w:rsid w:val="7B370AD8"/>
    <w:rsid w:val="7B6AD94F"/>
    <w:rsid w:val="7BA29F12"/>
    <w:rsid w:val="7BDDE3B6"/>
    <w:rsid w:val="7CCB27CE"/>
    <w:rsid w:val="7D1A6AB3"/>
    <w:rsid w:val="7D5405EB"/>
    <w:rsid w:val="7D7FA30F"/>
    <w:rsid w:val="7D83DD8E"/>
    <w:rsid w:val="7E04AD64"/>
    <w:rsid w:val="7E72A8B3"/>
    <w:rsid w:val="7E73B4F8"/>
    <w:rsid w:val="7E89B1A0"/>
    <w:rsid w:val="7E911826"/>
    <w:rsid w:val="7E9652C2"/>
    <w:rsid w:val="7F240A8A"/>
    <w:rsid w:val="7F313E78"/>
    <w:rsid w:val="7F5B2A8D"/>
    <w:rsid w:val="7F750A5B"/>
    <w:rsid w:val="7FD12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96AE7"/>
  <w15:chartTrackingRefBased/>
  <w15:docId w15:val="{9D02F8B8-BF4E-4F9D-B5BE-F12FC0A4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FF"/>
    <w:pPr>
      <w:spacing w:line="288"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DB0F0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CC056F"/>
    <w:pPr>
      <w:keepNext/>
      <w:keepLines/>
      <w:spacing w:before="40" w:line="48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56F"/>
    <w:rPr>
      <w:rFonts w:ascii="Verdana" w:eastAsiaTheme="majorEastAsia" w:hAnsi="Verdana" w:cstheme="majorBidi"/>
      <w:b/>
      <w:sz w:val="24"/>
      <w:szCs w:val="26"/>
    </w:rPr>
  </w:style>
  <w:style w:type="paragraph" w:customStyle="1" w:styleId="BasicParagraph">
    <w:name w:val="[Basic Paragraph]"/>
    <w:basedOn w:val="Normal"/>
    <w:uiPriority w:val="99"/>
    <w:rsid w:val="00DB0F0C"/>
    <w:pPr>
      <w:widowControl w:val="0"/>
      <w:autoSpaceDE w:val="0"/>
      <w:autoSpaceDN w:val="0"/>
      <w:adjustRightInd w:val="0"/>
      <w:textAlignment w:val="center"/>
    </w:pPr>
    <w:rPr>
      <w:rFonts w:ascii="MinionPro-Regular" w:hAnsi="MinionPro-Regular" w:cs="MinionPro-Regular"/>
      <w:color w:val="000000"/>
    </w:rPr>
  </w:style>
  <w:style w:type="paragraph" w:customStyle="1" w:styleId="Default">
    <w:name w:val="Default"/>
    <w:rsid w:val="00DB0F0C"/>
    <w:pPr>
      <w:widowControl w:val="0"/>
      <w:autoSpaceDE w:val="0"/>
      <w:autoSpaceDN w:val="0"/>
      <w:adjustRightInd w:val="0"/>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DB0F0C"/>
    <w:rPr>
      <w:rFonts w:ascii="Verdana" w:eastAsiaTheme="majorEastAsia" w:hAnsi="Verdana" w:cstheme="majorBidi"/>
      <w:b/>
      <w:color w:val="77328A"/>
      <w:sz w:val="30"/>
      <w:szCs w:val="3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B0F0C"/>
    <w:rPr>
      <w:vertAlign w:val="superscript"/>
    </w:rPr>
  </w:style>
  <w:style w:type="paragraph" w:customStyle="1" w:styleId="NIHRCFootnotes">
    <w:name w:val="NIHRC Footnotes"/>
    <w:basedOn w:val="Normal"/>
    <w:qFormat/>
    <w:rsid w:val="00DB0F0C"/>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DB0F0C"/>
    <w:pPr>
      <w:numPr>
        <w:ilvl w:val="1"/>
        <w:numId w:val="11"/>
      </w:numPr>
      <w:spacing w:before="24" w:after="24"/>
      <w:contextualSpacing/>
    </w:pPr>
    <w:rPr>
      <w:rFonts w:eastAsia="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B0F0C"/>
    <w:pPr>
      <w:spacing w:after="160" w:line="240" w:lineRule="exact"/>
    </w:pPr>
    <w:rPr>
      <w:rFonts w:asciiTheme="minorHAnsi" w:eastAsiaTheme="minorHAnsi" w:hAnsiTheme="minorHAnsi"/>
      <w:sz w:val="22"/>
      <w:szCs w:val="22"/>
      <w:vertAlign w:val="superscript"/>
    </w:rPr>
  </w:style>
  <w:style w:type="paragraph" w:styleId="Quote">
    <w:name w:val="Quote"/>
    <w:basedOn w:val="Normal"/>
    <w:next w:val="Normal"/>
    <w:link w:val="QuoteChar"/>
    <w:uiPriority w:val="29"/>
    <w:qFormat/>
    <w:rsid w:val="00945C38"/>
    <w:pPr>
      <w:ind w:left="862" w:right="862"/>
    </w:pPr>
    <w:rPr>
      <w:iCs/>
    </w:rPr>
  </w:style>
  <w:style w:type="character" w:customStyle="1" w:styleId="QuoteChar">
    <w:name w:val="Quote Char"/>
    <w:basedOn w:val="DefaultParagraphFont"/>
    <w:link w:val="Quote"/>
    <w:uiPriority w:val="29"/>
    <w:rsid w:val="00945C38"/>
    <w:rPr>
      <w:rFonts w:ascii="Verdana" w:eastAsiaTheme="minorEastAsia" w:hAnsi="Verdana"/>
      <w:iCs/>
      <w:sz w:val="24"/>
      <w:szCs w:val="24"/>
    </w:rPr>
  </w:style>
  <w:style w:type="character" w:styleId="Hyperlink">
    <w:name w:val="Hyperlink"/>
    <w:basedOn w:val="DefaultParagraphFont"/>
    <w:uiPriority w:val="99"/>
    <w:unhideWhenUsed/>
    <w:rsid w:val="00D67517"/>
    <w:rPr>
      <w:color w:val="0563C1" w:themeColor="hyperlink"/>
      <w:u w:val="single"/>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D67517"/>
    <w:pPr>
      <w:spacing w:line="240" w:lineRule="auto"/>
      <w:jc w:val="left"/>
    </w:p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D67517"/>
    <w:rPr>
      <w:rFonts w:ascii="Verdana" w:eastAsiaTheme="minorEastAsia" w:hAnsi="Verdana"/>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D67517"/>
    <w:rPr>
      <w:rFonts w:ascii="Verdana" w:eastAsia="Verdana" w:hAnsi="Verdana" w:cs="Times New Roman"/>
      <w:sz w:val="24"/>
      <w:szCs w:val="24"/>
    </w:rPr>
  </w:style>
  <w:style w:type="character" w:styleId="Strong">
    <w:name w:val="Strong"/>
    <w:basedOn w:val="DefaultParagraphFont"/>
    <w:uiPriority w:val="22"/>
    <w:qFormat/>
    <w:rsid w:val="008F61FB"/>
    <w:rPr>
      <w:b/>
      <w:bCs/>
    </w:rPr>
  </w:style>
  <w:style w:type="character" w:styleId="CommentReference">
    <w:name w:val="annotation reference"/>
    <w:basedOn w:val="DefaultParagraphFont"/>
    <w:uiPriority w:val="99"/>
    <w:semiHidden/>
    <w:unhideWhenUsed/>
    <w:rsid w:val="00A94E36"/>
    <w:rPr>
      <w:sz w:val="16"/>
      <w:szCs w:val="16"/>
    </w:rPr>
  </w:style>
  <w:style w:type="paragraph" w:styleId="CommentText">
    <w:name w:val="annotation text"/>
    <w:basedOn w:val="Normal"/>
    <w:link w:val="CommentTextChar"/>
    <w:uiPriority w:val="99"/>
    <w:semiHidden/>
    <w:unhideWhenUsed/>
    <w:rsid w:val="00A94E36"/>
    <w:pPr>
      <w:spacing w:line="240" w:lineRule="auto"/>
    </w:pPr>
    <w:rPr>
      <w:sz w:val="20"/>
      <w:szCs w:val="20"/>
    </w:rPr>
  </w:style>
  <w:style w:type="character" w:customStyle="1" w:styleId="CommentTextChar">
    <w:name w:val="Comment Text Char"/>
    <w:basedOn w:val="DefaultParagraphFont"/>
    <w:link w:val="CommentText"/>
    <w:uiPriority w:val="99"/>
    <w:semiHidden/>
    <w:rsid w:val="00A94E36"/>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A94E36"/>
    <w:rPr>
      <w:b/>
      <w:bCs/>
    </w:rPr>
  </w:style>
  <w:style w:type="character" w:customStyle="1" w:styleId="CommentSubjectChar">
    <w:name w:val="Comment Subject Char"/>
    <w:basedOn w:val="CommentTextChar"/>
    <w:link w:val="CommentSubject"/>
    <w:uiPriority w:val="99"/>
    <w:semiHidden/>
    <w:rsid w:val="00A94E36"/>
    <w:rPr>
      <w:rFonts w:ascii="Verdana" w:eastAsiaTheme="minorEastAsia" w:hAnsi="Verdana"/>
      <w:b/>
      <w:bCs/>
      <w:sz w:val="20"/>
      <w:szCs w:val="20"/>
    </w:rPr>
  </w:style>
  <w:style w:type="character" w:styleId="UnresolvedMention">
    <w:name w:val="Unresolved Mention"/>
    <w:basedOn w:val="DefaultParagraphFont"/>
    <w:uiPriority w:val="99"/>
    <w:semiHidden/>
    <w:unhideWhenUsed/>
    <w:rsid w:val="001E1BF5"/>
    <w:rPr>
      <w:color w:val="605E5C"/>
      <w:shd w:val="clear" w:color="auto" w:fill="E1DFDD"/>
    </w:rPr>
  </w:style>
  <w:style w:type="numbering" w:customStyle="1" w:styleId="CurrentList1">
    <w:name w:val="Current List1"/>
    <w:uiPriority w:val="99"/>
    <w:rsid w:val="0070606F"/>
    <w:pPr>
      <w:numPr>
        <w:numId w:val="10"/>
      </w:numPr>
    </w:pPr>
  </w:style>
  <w:style w:type="paragraph" w:styleId="Header">
    <w:name w:val="header"/>
    <w:basedOn w:val="Normal"/>
    <w:link w:val="HeaderChar"/>
    <w:uiPriority w:val="99"/>
    <w:unhideWhenUsed/>
    <w:rsid w:val="00A25250"/>
    <w:pPr>
      <w:tabs>
        <w:tab w:val="center" w:pos="4513"/>
        <w:tab w:val="right" w:pos="9026"/>
      </w:tabs>
      <w:spacing w:line="240" w:lineRule="auto"/>
    </w:pPr>
  </w:style>
  <w:style w:type="character" w:customStyle="1" w:styleId="HeaderChar">
    <w:name w:val="Header Char"/>
    <w:basedOn w:val="DefaultParagraphFont"/>
    <w:link w:val="Header"/>
    <w:uiPriority w:val="99"/>
    <w:rsid w:val="00A25250"/>
    <w:rPr>
      <w:rFonts w:ascii="Verdana" w:eastAsiaTheme="minorEastAsia" w:hAnsi="Verdana"/>
      <w:sz w:val="24"/>
      <w:szCs w:val="24"/>
    </w:rPr>
  </w:style>
  <w:style w:type="paragraph" w:styleId="Footer">
    <w:name w:val="footer"/>
    <w:basedOn w:val="Normal"/>
    <w:link w:val="FooterChar"/>
    <w:uiPriority w:val="99"/>
    <w:unhideWhenUsed/>
    <w:rsid w:val="00A25250"/>
    <w:pPr>
      <w:tabs>
        <w:tab w:val="center" w:pos="4513"/>
        <w:tab w:val="right" w:pos="9026"/>
      </w:tabs>
      <w:spacing w:line="240" w:lineRule="auto"/>
    </w:pPr>
  </w:style>
  <w:style w:type="character" w:customStyle="1" w:styleId="FooterChar">
    <w:name w:val="Footer Char"/>
    <w:basedOn w:val="DefaultParagraphFont"/>
    <w:link w:val="Footer"/>
    <w:uiPriority w:val="99"/>
    <w:rsid w:val="00A25250"/>
    <w:rPr>
      <w:rFonts w:ascii="Verdana" w:eastAsiaTheme="minorEastAsia" w:hAnsi="Verdana"/>
      <w:sz w:val="24"/>
      <w:szCs w:val="24"/>
    </w:rPr>
  </w:style>
  <w:style w:type="character" w:styleId="Emphasis">
    <w:name w:val="Emphasis"/>
    <w:basedOn w:val="DefaultParagraphFont"/>
    <w:uiPriority w:val="20"/>
    <w:qFormat/>
    <w:rsid w:val="00AB25EB"/>
    <w:rPr>
      <w:i/>
      <w:iCs/>
    </w:rPr>
  </w:style>
  <w:style w:type="paragraph" w:styleId="TOCHeading">
    <w:name w:val="TOC Heading"/>
    <w:basedOn w:val="Heading1"/>
    <w:next w:val="Normal"/>
    <w:uiPriority w:val="39"/>
    <w:unhideWhenUsed/>
    <w:qFormat/>
    <w:rsid w:val="006B0D35"/>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7A364A"/>
    <w:pPr>
      <w:tabs>
        <w:tab w:val="left" w:pos="660"/>
        <w:tab w:val="right" w:leader="dot" w:pos="9016"/>
      </w:tabs>
      <w:spacing w:after="100"/>
    </w:pPr>
    <w:rPr>
      <w:b/>
      <w:bCs/>
      <w:noProof/>
      <w:lang w:val="en" w:eastAsia="en-GB"/>
    </w:rPr>
  </w:style>
  <w:style w:type="paragraph" w:styleId="TOC2">
    <w:name w:val="toc 2"/>
    <w:basedOn w:val="Normal"/>
    <w:next w:val="Normal"/>
    <w:autoRedefine/>
    <w:uiPriority w:val="39"/>
    <w:unhideWhenUsed/>
    <w:rsid w:val="006B0D35"/>
    <w:pPr>
      <w:spacing w:after="100"/>
      <w:ind w:left="240"/>
    </w:pPr>
  </w:style>
  <w:style w:type="paragraph" w:styleId="Revision">
    <w:name w:val="Revision"/>
    <w:hidden/>
    <w:uiPriority w:val="99"/>
    <w:semiHidden/>
    <w:rsid w:val="00A340C1"/>
    <w:pPr>
      <w:spacing w:line="240" w:lineRule="auto"/>
      <w:jc w:val="left"/>
    </w:pPr>
    <w:rPr>
      <w:rFonts w:ascii="Verdana" w:eastAsiaTheme="minorEastAsi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51702">
      <w:bodyDiv w:val="1"/>
      <w:marLeft w:val="0"/>
      <w:marRight w:val="0"/>
      <w:marTop w:val="0"/>
      <w:marBottom w:val="0"/>
      <w:divBdr>
        <w:top w:val="none" w:sz="0" w:space="0" w:color="auto"/>
        <w:left w:val="none" w:sz="0" w:space="0" w:color="auto"/>
        <w:bottom w:val="none" w:sz="0" w:space="0" w:color="auto"/>
        <w:right w:val="none" w:sz="0" w:space="0" w:color="auto"/>
      </w:divBdr>
    </w:div>
    <w:div w:id="16164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uk/site-information/glossary/parliamentary-sovereignty" TargetMode="External"/><Relationship Id="rId2" Type="http://schemas.openxmlformats.org/officeDocument/2006/relationships/hyperlink" Target="https://btcwarwick.files.wordpress.com/2018/03/draft-withdrawal-agreement-commentary-final.pdf" TargetMode="External"/><Relationship Id="rId1" Type="http://schemas.openxmlformats.org/officeDocument/2006/relationships/hyperlink" Target="https://www.gov.uk/government/publications/protocol-on-irelandnorthern-ireland-artic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B0FFC-7C86-4698-9B25-82245969A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5ECEB0-A0CB-4D5D-93CF-51A914C1C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51466-F388-4CBA-9716-0D3555260178}">
  <ds:schemaRefs>
    <ds:schemaRef ds:uri="http://schemas.openxmlformats.org/officeDocument/2006/bibliography"/>
  </ds:schemaRefs>
</ds:datastoreItem>
</file>

<file path=customXml/itemProps4.xml><?xml version="1.0" encoding="utf-8"?>
<ds:datastoreItem xmlns:ds="http://schemas.openxmlformats.org/officeDocument/2006/customXml" ds:itemID="{4BDB1131-8817-43AE-82D8-A91BDC1AA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5270</Words>
  <Characters>30041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35241</CharactersWithSpaces>
  <SharedDoc>false</SharedDoc>
  <HLinks>
    <vt:vector size="144" baseType="variant">
      <vt:variant>
        <vt:i4>6946881</vt:i4>
      </vt:variant>
      <vt:variant>
        <vt:i4>111</vt:i4>
      </vt:variant>
      <vt:variant>
        <vt:i4>0</vt:i4>
      </vt:variant>
      <vt:variant>
        <vt:i4>5</vt:i4>
      </vt:variant>
      <vt:variant>
        <vt:lpwstr>mailto:info@nihrc.org</vt:lpwstr>
      </vt:variant>
      <vt:variant>
        <vt:lpwstr/>
      </vt:variant>
      <vt:variant>
        <vt:i4>4587543</vt:i4>
      </vt:variant>
      <vt:variant>
        <vt:i4>108</vt:i4>
      </vt:variant>
      <vt:variant>
        <vt:i4>0</vt:i4>
      </vt:variant>
      <vt:variant>
        <vt:i4>5</vt:i4>
      </vt:variant>
      <vt:variant>
        <vt:lpwstr>http://www.nihrc.org/</vt:lpwstr>
      </vt:variant>
      <vt:variant>
        <vt:lpwstr/>
      </vt:variant>
      <vt:variant>
        <vt:i4>5636151</vt:i4>
      </vt:variant>
      <vt:variant>
        <vt:i4>105</vt:i4>
      </vt:variant>
      <vt:variant>
        <vt:i4>0</vt:i4>
      </vt:variant>
      <vt:variant>
        <vt:i4>5</vt:i4>
      </vt:variant>
      <vt:variant>
        <vt:lpwstr>mailto:Rhyannon.Blythe@nihrc.org</vt:lpwstr>
      </vt:variant>
      <vt:variant>
        <vt:lpwstr/>
      </vt:variant>
      <vt:variant>
        <vt:i4>1835063</vt:i4>
      </vt:variant>
      <vt:variant>
        <vt:i4>98</vt:i4>
      </vt:variant>
      <vt:variant>
        <vt:i4>0</vt:i4>
      </vt:variant>
      <vt:variant>
        <vt:i4>5</vt:i4>
      </vt:variant>
      <vt:variant>
        <vt:lpwstr/>
      </vt:variant>
      <vt:variant>
        <vt:lpwstr>_Toc112162299</vt:lpwstr>
      </vt:variant>
      <vt:variant>
        <vt:i4>1835063</vt:i4>
      </vt:variant>
      <vt:variant>
        <vt:i4>92</vt:i4>
      </vt:variant>
      <vt:variant>
        <vt:i4>0</vt:i4>
      </vt:variant>
      <vt:variant>
        <vt:i4>5</vt:i4>
      </vt:variant>
      <vt:variant>
        <vt:lpwstr/>
      </vt:variant>
      <vt:variant>
        <vt:lpwstr>_Toc112162298</vt:lpwstr>
      </vt:variant>
      <vt:variant>
        <vt:i4>1835063</vt:i4>
      </vt:variant>
      <vt:variant>
        <vt:i4>86</vt:i4>
      </vt:variant>
      <vt:variant>
        <vt:i4>0</vt:i4>
      </vt:variant>
      <vt:variant>
        <vt:i4>5</vt:i4>
      </vt:variant>
      <vt:variant>
        <vt:lpwstr/>
      </vt:variant>
      <vt:variant>
        <vt:lpwstr>_Toc112162297</vt:lpwstr>
      </vt:variant>
      <vt:variant>
        <vt:i4>1835063</vt:i4>
      </vt:variant>
      <vt:variant>
        <vt:i4>80</vt:i4>
      </vt:variant>
      <vt:variant>
        <vt:i4>0</vt:i4>
      </vt:variant>
      <vt:variant>
        <vt:i4>5</vt:i4>
      </vt:variant>
      <vt:variant>
        <vt:lpwstr/>
      </vt:variant>
      <vt:variant>
        <vt:lpwstr>_Toc112162296</vt:lpwstr>
      </vt:variant>
      <vt:variant>
        <vt:i4>1835063</vt:i4>
      </vt:variant>
      <vt:variant>
        <vt:i4>74</vt:i4>
      </vt:variant>
      <vt:variant>
        <vt:i4>0</vt:i4>
      </vt:variant>
      <vt:variant>
        <vt:i4>5</vt:i4>
      </vt:variant>
      <vt:variant>
        <vt:lpwstr/>
      </vt:variant>
      <vt:variant>
        <vt:lpwstr>_Toc112162295</vt:lpwstr>
      </vt:variant>
      <vt:variant>
        <vt:i4>1835063</vt:i4>
      </vt:variant>
      <vt:variant>
        <vt:i4>68</vt:i4>
      </vt:variant>
      <vt:variant>
        <vt:i4>0</vt:i4>
      </vt:variant>
      <vt:variant>
        <vt:i4>5</vt:i4>
      </vt:variant>
      <vt:variant>
        <vt:lpwstr/>
      </vt:variant>
      <vt:variant>
        <vt:lpwstr>_Toc112162294</vt:lpwstr>
      </vt:variant>
      <vt:variant>
        <vt:i4>1835063</vt:i4>
      </vt:variant>
      <vt:variant>
        <vt:i4>62</vt:i4>
      </vt:variant>
      <vt:variant>
        <vt:i4>0</vt:i4>
      </vt:variant>
      <vt:variant>
        <vt:i4>5</vt:i4>
      </vt:variant>
      <vt:variant>
        <vt:lpwstr/>
      </vt:variant>
      <vt:variant>
        <vt:lpwstr>_Toc112162293</vt:lpwstr>
      </vt:variant>
      <vt:variant>
        <vt:i4>1835063</vt:i4>
      </vt:variant>
      <vt:variant>
        <vt:i4>56</vt:i4>
      </vt:variant>
      <vt:variant>
        <vt:i4>0</vt:i4>
      </vt:variant>
      <vt:variant>
        <vt:i4>5</vt:i4>
      </vt:variant>
      <vt:variant>
        <vt:lpwstr/>
      </vt:variant>
      <vt:variant>
        <vt:lpwstr>_Toc112162292</vt:lpwstr>
      </vt:variant>
      <vt:variant>
        <vt:i4>1835063</vt:i4>
      </vt:variant>
      <vt:variant>
        <vt:i4>50</vt:i4>
      </vt:variant>
      <vt:variant>
        <vt:i4>0</vt:i4>
      </vt:variant>
      <vt:variant>
        <vt:i4>5</vt:i4>
      </vt:variant>
      <vt:variant>
        <vt:lpwstr/>
      </vt:variant>
      <vt:variant>
        <vt:lpwstr>_Toc112162291</vt:lpwstr>
      </vt:variant>
      <vt:variant>
        <vt:i4>1835063</vt:i4>
      </vt:variant>
      <vt:variant>
        <vt:i4>44</vt:i4>
      </vt:variant>
      <vt:variant>
        <vt:i4>0</vt:i4>
      </vt:variant>
      <vt:variant>
        <vt:i4>5</vt:i4>
      </vt:variant>
      <vt:variant>
        <vt:lpwstr/>
      </vt:variant>
      <vt:variant>
        <vt:lpwstr>_Toc112162290</vt:lpwstr>
      </vt:variant>
      <vt:variant>
        <vt:i4>1900599</vt:i4>
      </vt:variant>
      <vt:variant>
        <vt:i4>38</vt:i4>
      </vt:variant>
      <vt:variant>
        <vt:i4>0</vt:i4>
      </vt:variant>
      <vt:variant>
        <vt:i4>5</vt:i4>
      </vt:variant>
      <vt:variant>
        <vt:lpwstr/>
      </vt:variant>
      <vt:variant>
        <vt:lpwstr>_Toc112162289</vt:lpwstr>
      </vt:variant>
      <vt:variant>
        <vt:i4>1900599</vt:i4>
      </vt:variant>
      <vt:variant>
        <vt:i4>32</vt:i4>
      </vt:variant>
      <vt:variant>
        <vt:i4>0</vt:i4>
      </vt:variant>
      <vt:variant>
        <vt:i4>5</vt:i4>
      </vt:variant>
      <vt:variant>
        <vt:lpwstr/>
      </vt:variant>
      <vt:variant>
        <vt:lpwstr>_Toc112162288</vt:lpwstr>
      </vt:variant>
      <vt:variant>
        <vt:i4>1900599</vt:i4>
      </vt:variant>
      <vt:variant>
        <vt:i4>26</vt:i4>
      </vt:variant>
      <vt:variant>
        <vt:i4>0</vt:i4>
      </vt:variant>
      <vt:variant>
        <vt:i4>5</vt:i4>
      </vt:variant>
      <vt:variant>
        <vt:lpwstr/>
      </vt:variant>
      <vt:variant>
        <vt:lpwstr>_Toc112162287</vt:lpwstr>
      </vt:variant>
      <vt:variant>
        <vt:i4>1900599</vt:i4>
      </vt:variant>
      <vt:variant>
        <vt:i4>20</vt:i4>
      </vt:variant>
      <vt:variant>
        <vt:i4>0</vt:i4>
      </vt:variant>
      <vt:variant>
        <vt:i4>5</vt:i4>
      </vt:variant>
      <vt:variant>
        <vt:lpwstr/>
      </vt:variant>
      <vt:variant>
        <vt:lpwstr>_Toc112162286</vt:lpwstr>
      </vt:variant>
      <vt:variant>
        <vt:i4>1900599</vt:i4>
      </vt:variant>
      <vt:variant>
        <vt:i4>14</vt:i4>
      </vt:variant>
      <vt:variant>
        <vt:i4>0</vt:i4>
      </vt:variant>
      <vt:variant>
        <vt:i4>5</vt:i4>
      </vt:variant>
      <vt:variant>
        <vt:lpwstr/>
      </vt:variant>
      <vt:variant>
        <vt:lpwstr>_Toc112162285</vt:lpwstr>
      </vt:variant>
      <vt:variant>
        <vt:i4>1900599</vt:i4>
      </vt:variant>
      <vt:variant>
        <vt:i4>8</vt:i4>
      </vt:variant>
      <vt:variant>
        <vt:i4>0</vt:i4>
      </vt:variant>
      <vt:variant>
        <vt:i4>5</vt:i4>
      </vt:variant>
      <vt:variant>
        <vt:lpwstr/>
      </vt:variant>
      <vt:variant>
        <vt:lpwstr>_Toc112162284</vt:lpwstr>
      </vt:variant>
      <vt:variant>
        <vt:i4>1900599</vt:i4>
      </vt:variant>
      <vt:variant>
        <vt:i4>2</vt:i4>
      </vt:variant>
      <vt:variant>
        <vt:i4>0</vt:i4>
      </vt:variant>
      <vt:variant>
        <vt:i4>5</vt:i4>
      </vt:variant>
      <vt:variant>
        <vt:lpwstr/>
      </vt:variant>
      <vt:variant>
        <vt:lpwstr>_Toc112162283</vt:lpwstr>
      </vt:variant>
      <vt:variant>
        <vt:i4>24</vt:i4>
      </vt:variant>
      <vt:variant>
        <vt:i4>9</vt:i4>
      </vt:variant>
      <vt:variant>
        <vt:i4>0</vt:i4>
      </vt:variant>
      <vt:variant>
        <vt:i4>5</vt:i4>
      </vt:variant>
      <vt:variant>
        <vt:lpwstr>https://www.parliament.uk/site-information/glossary/parliamentary-sovereignty</vt:lpwstr>
      </vt:variant>
      <vt:variant>
        <vt:lpwstr/>
      </vt:variant>
      <vt:variant>
        <vt:i4>24</vt:i4>
      </vt:variant>
      <vt:variant>
        <vt:i4>6</vt:i4>
      </vt:variant>
      <vt:variant>
        <vt:i4>0</vt:i4>
      </vt:variant>
      <vt:variant>
        <vt:i4>5</vt:i4>
      </vt:variant>
      <vt:variant>
        <vt:lpwstr>https://www.parliament.uk/site-information/glossary/parliamentary-sovereignty</vt:lpwstr>
      </vt:variant>
      <vt:variant>
        <vt:lpwstr/>
      </vt:variant>
      <vt:variant>
        <vt:i4>7864447</vt:i4>
      </vt:variant>
      <vt:variant>
        <vt:i4>3</vt:i4>
      </vt:variant>
      <vt:variant>
        <vt:i4>0</vt:i4>
      </vt:variant>
      <vt:variant>
        <vt:i4>5</vt:i4>
      </vt:variant>
      <vt:variant>
        <vt:lpwstr>https://btcwarwick.files.wordpress.com/2018/03/draft-withdrawal-agreement-commentary-final.pdf</vt:lpwstr>
      </vt:variant>
      <vt:variant>
        <vt:lpwstr/>
      </vt:variant>
      <vt:variant>
        <vt:i4>5374043</vt:i4>
      </vt:variant>
      <vt:variant>
        <vt:i4>0</vt:i4>
      </vt:variant>
      <vt:variant>
        <vt:i4>0</vt:i4>
      </vt:variant>
      <vt:variant>
        <vt:i4>5</vt:i4>
      </vt:variant>
      <vt:variant>
        <vt:lpwstr>https://www.gov.uk/government/publications/protocol-on-irelandnorthern-ireland-article-2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15</cp:revision>
  <cp:lastPrinted>2022-09-02T10:44:00Z</cp:lastPrinted>
  <dcterms:created xsi:type="dcterms:W3CDTF">2022-08-25T08:12:00Z</dcterms:created>
  <dcterms:modified xsi:type="dcterms:W3CDTF">2022-09-02T10:44:00Z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