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40055" w14:textId="77777777" w:rsidR="00257A79" w:rsidRDefault="00257A79">
      <w:pPr>
        <w:pStyle w:val="BodyText"/>
        <w:rPr>
          <w:rFonts w:ascii="Times New Roman"/>
          <w:sz w:val="20"/>
        </w:rPr>
      </w:pPr>
    </w:p>
    <w:p w14:paraId="6EAD98AA" w14:textId="77777777" w:rsidR="00257A79" w:rsidRDefault="00257A79">
      <w:pPr>
        <w:pStyle w:val="BodyText"/>
        <w:spacing w:before="1"/>
        <w:rPr>
          <w:rFonts w:ascii="Times New Roman"/>
          <w:sz w:val="22"/>
        </w:rPr>
      </w:pPr>
    </w:p>
    <w:p w14:paraId="14C69F28" w14:textId="77777777" w:rsidR="00257A79" w:rsidRDefault="00B472E1">
      <w:pPr>
        <w:tabs>
          <w:tab w:val="left" w:pos="4158"/>
        </w:tabs>
        <w:ind w:left="457"/>
        <w:rPr>
          <w:rFonts w:ascii="Times New Roman"/>
          <w:sz w:val="20"/>
        </w:rPr>
      </w:pPr>
      <w:r>
        <w:rPr>
          <w:rFonts w:ascii="Times New Roman"/>
          <w:noProof/>
          <w:position w:val="1"/>
          <w:sz w:val="20"/>
        </w:rPr>
        <w:drawing>
          <wp:inline distT="0" distB="0" distL="0" distR="0" wp14:anchorId="5FB7683B" wp14:editId="1A2681AB">
            <wp:extent cx="2133383" cy="790955"/>
            <wp:effectExtent l="0" t="0" r="0" b="0"/>
            <wp:docPr id="1" name="image1.jpeg" descr="Graphical user interface, websit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33383" cy="790955"/>
                    </a:xfrm>
                    <a:prstGeom prst="rect">
                      <a:avLst/>
                    </a:prstGeom>
                  </pic:spPr>
                </pic:pic>
              </a:graphicData>
            </a:graphic>
          </wp:inline>
        </w:drawing>
      </w:r>
      <w:r>
        <w:rPr>
          <w:rFonts w:ascii="Times New Roman"/>
          <w:position w:val="1"/>
          <w:sz w:val="20"/>
        </w:rPr>
        <w:tab/>
      </w:r>
      <w:r>
        <w:rPr>
          <w:rFonts w:ascii="Times New Roman"/>
          <w:noProof/>
          <w:sz w:val="20"/>
        </w:rPr>
        <w:drawing>
          <wp:inline distT="0" distB="0" distL="0" distR="0" wp14:anchorId="5249359E" wp14:editId="5D9AC696">
            <wp:extent cx="3039900" cy="781050"/>
            <wp:effectExtent l="0" t="0" r="0" b="0"/>
            <wp:docPr id="3" name="image2.png" descr="A picture containing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3039900" cy="781050"/>
                    </a:xfrm>
                    <a:prstGeom prst="rect">
                      <a:avLst/>
                    </a:prstGeom>
                  </pic:spPr>
                </pic:pic>
              </a:graphicData>
            </a:graphic>
          </wp:inline>
        </w:drawing>
      </w:r>
    </w:p>
    <w:p w14:paraId="22D47C80" w14:textId="77777777" w:rsidR="00257A79" w:rsidRDefault="00257A79">
      <w:pPr>
        <w:pStyle w:val="BodyText"/>
        <w:rPr>
          <w:rFonts w:ascii="Times New Roman"/>
          <w:sz w:val="20"/>
        </w:rPr>
      </w:pPr>
    </w:p>
    <w:p w14:paraId="4CB91277" w14:textId="77777777" w:rsidR="00257A79" w:rsidRDefault="00257A79">
      <w:pPr>
        <w:pStyle w:val="BodyText"/>
        <w:rPr>
          <w:rFonts w:ascii="Times New Roman"/>
          <w:sz w:val="20"/>
        </w:rPr>
      </w:pPr>
    </w:p>
    <w:p w14:paraId="73064282" w14:textId="77777777" w:rsidR="00257A79" w:rsidRDefault="00257A79">
      <w:pPr>
        <w:pStyle w:val="BodyText"/>
        <w:rPr>
          <w:rFonts w:ascii="Times New Roman"/>
          <w:sz w:val="20"/>
        </w:rPr>
      </w:pPr>
    </w:p>
    <w:p w14:paraId="523268EA" w14:textId="77777777" w:rsidR="00257A79" w:rsidRDefault="00257A79">
      <w:pPr>
        <w:pStyle w:val="BodyText"/>
        <w:rPr>
          <w:rFonts w:ascii="Times New Roman"/>
          <w:sz w:val="20"/>
        </w:rPr>
      </w:pPr>
    </w:p>
    <w:p w14:paraId="72EFC43A" w14:textId="77777777" w:rsidR="00257A79" w:rsidRDefault="00257A79">
      <w:pPr>
        <w:pStyle w:val="BodyText"/>
        <w:rPr>
          <w:rFonts w:ascii="Times New Roman"/>
          <w:sz w:val="20"/>
        </w:rPr>
      </w:pPr>
    </w:p>
    <w:p w14:paraId="7347E27F" w14:textId="77777777" w:rsidR="00257A79" w:rsidRDefault="00257A79">
      <w:pPr>
        <w:pStyle w:val="BodyText"/>
        <w:rPr>
          <w:rFonts w:ascii="Times New Roman"/>
          <w:sz w:val="20"/>
        </w:rPr>
      </w:pPr>
    </w:p>
    <w:p w14:paraId="27C9250A" w14:textId="77777777" w:rsidR="00257A79" w:rsidRDefault="00257A79">
      <w:pPr>
        <w:pStyle w:val="BodyText"/>
        <w:rPr>
          <w:rFonts w:ascii="Times New Roman"/>
          <w:sz w:val="20"/>
        </w:rPr>
      </w:pPr>
    </w:p>
    <w:p w14:paraId="6A9EB0B2" w14:textId="77777777" w:rsidR="00257A79" w:rsidRDefault="00257A79">
      <w:pPr>
        <w:pStyle w:val="BodyText"/>
        <w:rPr>
          <w:rFonts w:ascii="Times New Roman"/>
          <w:sz w:val="20"/>
        </w:rPr>
      </w:pPr>
    </w:p>
    <w:p w14:paraId="64ED821D" w14:textId="77777777" w:rsidR="00257A79" w:rsidRDefault="00257A79">
      <w:pPr>
        <w:pStyle w:val="BodyText"/>
        <w:rPr>
          <w:rFonts w:ascii="Times New Roman"/>
          <w:sz w:val="20"/>
        </w:rPr>
      </w:pPr>
    </w:p>
    <w:p w14:paraId="06A5907E" w14:textId="77777777" w:rsidR="00257A79" w:rsidRDefault="00257A79">
      <w:pPr>
        <w:pStyle w:val="BodyText"/>
        <w:rPr>
          <w:rFonts w:ascii="Times New Roman"/>
          <w:sz w:val="20"/>
        </w:rPr>
      </w:pPr>
    </w:p>
    <w:p w14:paraId="18A4F237" w14:textId="77777777" w:rsidR="00257A79" w:rsidRDefault="00257A79">
      <w:pPr>
        <w:pStyle w:val="BodyText"/>
        <w:rPr>
          <w:rFonts w:ascii="Times New Roman"/>
          <w:sz w:val="20"/>
        </w:rPr>
      </w:pPr>
    </w:p>
    <w:p w14:paraId="0AECE38D" w14:textId="77777777" w:rsidR="00257A79" w:rsidRDefault="00257A79">
      <w:pPr>
        <w:pStyle w:val="BodyText"/>
        <w:rPr>
          <w:rFonts w:ascii="Times New Roman"/>
          <w:sz w:val="20"/>
        </w:rPr>
      </w:pPr>
    </w:p>
    <w:p w14:paraId="3CE25B36" w14:textId="77777777" w:rsidR="00257A79" w:rsidRDefault="00257A79">
      <w:pPr>
        <w:pStyle w:val="BodyText"/>
        <w:rPr>
          <w:rFonts w:ascii="Times New Roman"/>
          <w:sz w:val="20"/>
        </w:rPr>
      </w:pPr>
    </w:p>
    <w:p w14:paraId="52D1E8EE" w14:textId="77777777" w:rsidR="00257A79" w:rsidRDefault="00B472E1">
      <w:pPr>
        <w:pStyle w:val="Title"/>
        <w:spacing w:before="147"/>
      </w:pPr>
      <w:r>
        <w:t>Joint ECNI / NIHRC Briefing on the provisions on Voting/Candidacy Rights of EU citizens in Northern Ireland in the Elections Bill</w:t>
      </w:r>
    </w:p>
    <w:p w14:paraId="59E1C2C8" w14:textId="77777777" w:rsidR="00257A79" w:rsidRDefault="00257A79">
      <w:pPr>
        <w:pStyle w:val="BodyText"/>
        <w:spacing w:before="4"/>
        <w:rPr>
          <w:b/>
          <w:sz w:val="56"/>
        </w:rPr>
      </w:pPr>
    </w:p>
    <w:p w14:paraId="44FA6812" w14:textId="77777777" w:rsidR="00257A79" w:rsidRDefault="00B472E1">
      <w:pPr>
        <w:pStyle w:val="Title"/>
        <w:ind w:left="2837" w:right="2787" w:firstLine="0"/>
      </w:pPr>
      <w:r>
        <w:t>04 March 2022</w:t>
      </w:r>
    </w:p>
    <w:p w14:paraId="55774637" w14:textId="77777777" w:rsidR="00257A79" w:rsidRDefault="00257A79">
      <w:pPr>
        <w:sectPr w:rsidR="00257A79">
          <w:headerReference w:type="even" r:id="rId9"/>
          <w:headerReference w:type="default" r:id="rId10"/>
          <w:footerReference w:type="even" r:id="rId11"/>
          <w:footerReference w:type="default" r:id="rId12"/>
          <w:headerReference w:type="first" r:id="rId13"/>
          <w:footerReference w:type="first" r:id="rId14"/>
          <w:type w:val="continuous"/>
          <w:pgSz w:w="11910" w:h="16840"/>
          <w:pgMar w:top="1600" w:right="1320" w:bottom="280" w:left="1260" w:header="720" w:footer="720" w:gutter="0"/>
          <w:cols w:space="720"/>
        </w:sectPr>
      </w:pPr>
    </w:p>
    <w:p w14:paraId="5BCD975A" w14:textId="77777777" w:rsidR="00257A79" w:rsidRDefault="00B472E1">
      <w:pPr>
        <w:spacing w:before="80"/>
        <w:ind w:left="180"/>
        <w:rPr>
          <w:b/>
          <w:sz w:val="40"/>
        </w:rPr>
      </w:pPr>
      <w:r>
        <w:rPr>
          <w:b/>
          <w:sz w:val="40"/>
        </w:rPr>
        <w:lastRenderedPageBreak/>
        <w:t>Contents</w:t>
      </w:r>
    </w:p>
    <w:sdt>
      <w:sdtPr>
        <w:rPr>
          <w:b w:val="0"/>
          <w:bCs w:val="0"/>
          <w:sz w:val="22"/>
          <w:szCs w:val="22"/>
        </w:rPr>
        <w:id w:val="-2092153444"/>
        <w:docPartObj>
          <w:docPartGallery w:val="Table of Contents"/>
          <w:docPartUnique/>
        </w:docPartObj>
      </w:sdtPr>
      <w:sdtEndPr/>
      <w:sdtContent>
        <w:p w14:paraId="79343CB2" w14:textId="77777777" w:rsidR="00257A79" w:rsidRDefault="00B472E1">
          <w:pPr>
            <w:pStyle w:val="TOC1"/>
            <w:tabs>
              <w:tab w:val="right" w:leader="dot" w:pos="9210"/>
            </w:tabs>
            <w:spacing w:before="38"/>
            <w:ind w:left="180" w:firstLine="0"/>
          </w:pPr>
          <w:r>
            <w:fldChar w:fldCharType="begin"/>
          </w:r>
          <w:r>
            <w:instrText xml:space="preserve">TOC \o "1-2" \h \z \u </w:instrText>
          </w:r>
          <w:r>
            <w:fldChar w:fldCharType="separate"/>
          </w:r>
          <w:hyperlink w:anchor="_bookmark0" w:history="1">
            <w:r>
              <w:t>Recommendations</w:t>
            </w:r>
            <w:r>
              <w:tab/>
              <w:t>1</w:t>
            </w:r>
          </w:hyperlink>
        </w:p>
        <w:p w14:paraId="6409732C" w14:textId="77777777" w:rsidR="00257A79" w:rsidRDefault="00B472E1">
          <w:pPr>
            <w:pStyle w:val="TOC1"/>
            <w:numPr>
              <w:ilvl w:val="0"/>
              <w:numId w:val="3"/>
            </w:numPr>
            <w:tabs>
              <w:tab w:val="left" w:pos="622"/>
              <w:tab w:val="right" w:leader="dot" w:pos="9210"/>
            </w:tabs>
            <w:ind w:hanging="442"/>
          </w:pPr>
          <w:hyperlink w:anchor="_bookmark1" w:history="1">
            <w:r>
              <w:t>Introduction</w:t>
            </w:r>
            <w:r>
              <w:tab/>
              <w:t>2</w:t>
            </w:r>
          </w:hyperlink>
        </w:p>
        <w:p w14:paraId="59943839" w14:textId="77777777" w:rsidR="00257A79" w:rsidRDefault="00B472E1">
          <w:pPr>
            <w:pStyle w:val="TOC1"/>
            <w:numPr>
              <w:ilvl w:val="0"/>
              <w:numId w:val="3"/>
            </w:numPr>
            <w:tabs>
              <w:tab w:val="left" w:pos="622"/>
              <w:tab w:val="right" w:leader="dot" w:pos="9210"/>
            </w:tabs>
            <w:spacing w:before="99"/>
            <w:ind w:hanging="442"/>
          </w:pPr>
          <w:hyperlink w:anchor="_bookmark2" w:history="1">
            <w:r>
              <w:t>The Elections Bill and Article 2 of</w:t>
            </w:r>
            <w:r>
              <w:rPr>
                <w:spacing w:val="-20"/>
              </w:rPr>
              <w:t xml:space="preserve"> </w:t>
            </w:r>
            <w:r>
              <w:t>the</w:t>
            </w:r>
            <w:r>
              <w:rPr>
                <w:spacing w:val="6"/>
              </w:rPr>
              <w:t xml:space="preserve"> </w:t>
            </w:r>
            <w:r>
              <w:t>Protocol</w:t>
            </w:r>
            <w:r>
              <w:tab/>
              <w:t>2</w:t>
            </w:r>
          </w:hyperlink>
        </w:p>
        <w:p w14:paraId="263DC95C" w14:textId="77777777" w:rsidR="00257A79" w:rsidRDefault="00B472E1">
          <w:pPr>
            <w:pStyle w:val="TOC2"/>
            <w:tabs>
              <w:tab w:val="right" w:leader="dot" w:pos="9210"/>
            </w:tabs>
            <w:spacing w:before="108"/>
          </w:pPr>
          <w:hyperlink w:anchor="_bookmark3" w:history="1">
            <w:r>
              <w:t>Article 2 of the</w:t>
            </w:r>
            <w:r>
              <w:rPr>
                <w:spacing w:val="-3"/>
              </w:rPr>
              <w:t xml:space="preserve"> </w:t>
            </w:r>
            <w:r>
              <w:t>Protocol</w:t>
            </w:r>
            <w:r>
              <w:tab/>
              <w:t>3</w:t>
            </w:r>
          </w:hyperlink>
        </w:p>
        <w:p w14:paraId="2B62A26B" w14:textId="77777777" w:rsidR="00257A79" w:rsidRDefault="00B472E1">
          <w:pPr>
            <w:pStyle w:val="TOC2"/>
            <w:tabs>
              <w:tab w:val="right" w:leader="dot" w:pos="9210"/>
            </w:tabs>
          </w:pPr>
          <w:hyperlink w:anchor="_bookmark4" w:history="1">
            <w:r>
              <w:t xml:space="preserve">Provisions </w:t>
            </w:r>
            <w:r>
              <w:rPr>
                <w:spacing w:val="-3"/>
              </w:rPr>
              <w:t xml:space="preserve">in </w:t>
            </w:r>
            <w:r>
              <w:t>the</w:t>
            </w:r>
            <w:r>
              <w:rPr>
                <w:spacing w:val="-5"/>
              </w:rPr>
              <w:t xml:space="preserve"> </w:t>
            </w:r>
            <w:r>
              <w:t>Elections</w:t>
            </w:r>
            <w:r>
              <w:rPr>
                <w:spacing w:val="-3"/>
              </w:rPr>
              <w:t xml:space="preserve"> </w:t>
            </w:r>
            <w:r>
              <w:t>Bill</w:t>
            </w:r>
            <w:r>
              <w:tab/>
              <w:t>3</w:t>
            </w:r>
          </w:hyperlink>
        </w:p>
        <w:p w14:paraId="01FDAE1A" w14:textId="77777777" w:rsidR="00257A79" w:rsidRDefault="00B472E1">
          <w:pPr>
            <w:pStyle w:val="TOC2"/>
            <w:tabs>
              <w:tab w:val="right" w:leader="dot" w:pos="9210"/>
            </w:tabs>
            <w:spacing w:before="98"/>
          </w:pPr>
          <w:hyperlink w:anchor="_bookmark5" w:history="1">
            <w:r>
              <w:t>Bill’s provisions and compliance with</w:t>
            </w:r>
            <w:r>
              <w:rPr>
                <w:spacing w:val="-13"/>
              </w:rPr>
              <w:t xml:space="preserve"> </w:t>
            </w:r>
            <w:r>
              <w:t>Article</w:t>
            </w:r>
            <w:r>
              <w:rPr>
                <w:spacing w:val="-4"/>
              </w:rPr>
              <w:t xml:space="preserve"> </w:t>
            </w:r>
            <w:r>
              <w:t>2</w:t>
            </w:r>
            <w:r>
              <w:tab/>
              <w:t>4</w:t>
            </w:r>
          </w:hyperlink>
        </w:p>
        <w:p w14:paraId="7C0CDD01" w14:textId="77777777" w:rsidR="00257A79" w:rsidRDefault="00B472E1">
          <w:pPr>
            <w:pStyle w:val="TOC2"/>
            <w:tabs>
              <w:tab w:val="right" w:leader="dot" w:pos="9210"/>
            </w:tabs>
          </w:pPr>
          <w:hyperlink w:anchor="_bookmark6" w:history="1">
            <w:r>
              <w:t>Engagement</w:t>
            </w:r>
            <w:r>
              <w:rPr>
                <w:spacing w:val="-8"/>
              </w:rPr>
              <w:t xml:space="preserve"> </w:t>
            </w:r>
            <w:r>
              <w:t>with</w:t>
            </w:r>
            <w:r>
              <w:rPr>
                <w:spacing w:val="-1"/>
              </w:rPr>
              <w:t xml:space="preserve"> </w:t>
            </w:r>
            <w:r>
              <w:t>Government</w:t>
            </w:r>
            <w:r>
              <w:tab/>
              <w:t>6</w:t>
            </w:r>
          </w:hyperlink>
        </w:p>
        <w:p w14:paraId="14876D19" w14:textId="77777777" w:rsidR="00257A79" w:rsidRDefault="00B472E1">
          <w:pPr>
            <w:pStyle w:val="TOC1"/>
            <w:numPr>
              <w:ilvl w:val="0"/>
              <w:numId w:val="3"/>
            </w:numPr>
            <w:tabs>
              <w:tab w:val="left" w:pos="622"/>
              <w:tab w:val="right" w:leader="dot" w:pos="9210"/>
            </w:tabs>
            <w:ind w:hanging="442"/>
          </w:pPr>
          <w:hyperlink w:anchor="_bookmark7" w:history="1">
            <w:r>
              <w:t>Conclusion</w:t>
            </w:r>
            <w:r>
              <w:rPr>
                <w:spacing w:val="-6"/>
              </w:rPr>
              <w:t xml:space="preserve"> </w:t>
            </w:r>
            <w:r>
              <w:t>and</w:t>
            </w:r>
            <w:r>
              <w:rPr>
                <w:spacing w:val="-5"/>
              </w:rPr>
              <w:t xml:space="preserve"> </w:t>
            </w:r>
            <w:r>
              <w:t>Recommendations</w:t>
            </w:r>
            <w:r>
              <w:tab/>
              <w:t>8</w:t>
            </w:r>
          </w:hyperlink>
        </w:p>
        <w:p w14:paraId="2A711AB2" w14:textId="77777777" w:rsidR="00257A79" w:rsidRDefault="00B472E1">
          <w:pPr>
            <w:pStyle w:val="TOC2"/>
            <w:tabs>
              <w:tab w:val="right" w:leader="dot" w:pos="9210"/>
            </w:tabs>
            <w:spacing w:before="108"/>
          </w:pPr>
          <w:hyperlink w:anchor="_bookmark8" w:history="1">
            <w:r>
              <w:t>Recommendations</w:t>
            </w:r>
            <w:r>
              <w:tab/>
              <w:t>9</w:t>
            </w:r>
          </w:hyperlink>
        </w:p>
        <w:p w14:paraId="5019E47F" w14:textId="77777777" w:rsidR="00257A79" w:rsidRDefault="00B472E1">
          <w:r>
            <w:fldChar w:fldCharType="end"/>
          </w:r>
        </w:p>
      </w:sdtContent>
    </w:sdt>
    <w:p w14:paraId="0C5FC112" w14:textId="77777777" w:rsidR="00257A79" w:rsidRDefault="00257A79">
      <w:pPr>
        <w:sectPr w:rsidR="00257A79">
          <w:pgSz w:w="11910" w:h="16840"/>
          <w:pgMar w:top="1600" w:right="1320" w:bottom="280" w:left="1260" w:header="720" w:footer="720" w:gutter="0"/>
          <w:cols w:space="720"/>
        </w:sectPr>
      </w:pPr>
    </w:p>
    <w:p w14:paraId="507E765A" w14:textId="76659D06" w:rsidR="00257A79" w:rsidRDefault="00B472E1">
      <w:pPr>
        <w:pStyle w:val="Heading1"/>
        <w:spacing w:before="300"/>
        <w:ind w:left="291" w:firstLine="0"/>
      </w:pPr>
      <w:r>
        <w:rPr>
          <w:noProof/>
        </w:rPr>
        <w:lastRenderedPageBreak/>
        <mc:AlternateContent>
          <mc:Choice Requires="wps">
            <w:drawing>
              <wp:anchor distT="0" distB="0" distL="114300" distR="114300" simplePos="0" relativeHeight="487456256" behindDoc="1" locked="0" layoutInCell="1" allowOverlap="1" wp14:anchorId="15C160AE" wp14:editId="527F3D75">
                <wp:simplePos x="0" y="0"/>
                <wp:positionH relativeFrom="page">
                  <wp:posOffset>915035</wp:posOffset>
                </wp:positionH>
                <wp:positionV relativeFrom="paragraph">
                  <wp:posOffset>184150</wp:posOffset>
                </wp:positionV>
                <wp:extent cx="5732780" cy="6792595"/>
                <wp:effectExtent l="0" t="0" r="0" b="0"/>
                <wp:wrapNone/>
                <wp:docPr id="9"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2780" cy="6792595"/>
                        </a:xfrm>
                        <a:custGeom>
                          <a:avLst/>
                          <a:gdLst>
                            <a:gd name="T0" fmla="+- 0 10468 1441"/>
                            <a:gd name="T1" fmla="*/ T0 w 9028"/>
                            <a:gd name="T2" fmla="+- 0 290 290"/>
                            <a:gd name="T3" fmla="*/ 290 h 10697"/>
                            <a:gd name="T4" fmla="+- 0 10459 1441"/>
                            <a:gd name="T5" fmla="*/ T4 w 9028"/>
                            <a:gd name="T6" fmla="+- 0 290 290"/>
                            <a:gd name="T7" fmla="*/ 290 h 10697"/>
                            <a:gd name="T8" fmla="+- 0 10458 1441"/>
                            <a:gd name="T9" fmla="*/ T8 w 9028"/>
                            <a:gd name="T10" fmla="+- 0 290 290"/>
                            <a:gd name="T11" fmla="*/ 290 h 10697"/>
                            <a:gd name="T12" fmla="+- 0 10458 1441"/>
                            <a:gd name="T13" fmla="*/ T12 w 9028"/>
                            <a:gd name="T14" fmla="+- 0 300 290"/>
                            <a:gd name="T15" fmla="*/ 300 h 10697"/>
                            <a:gd name="T16" fmla="+- 0 10458 1441"/>
                            <a:gd name="T17" fmla="*/ T16 w 9028"/>
                            <a:gd name="T18" fmla="+- 0 10977 290"/>
                            <a:gd name="T19" fmla="*/ 10977 h 10697"/>
                            <a:gd name="T20" fmla="+- 0 1451 1441"/>
                            <a:gd name="T21" fmla="*/ T20 w 9028"/>
                            <a:gd name="T22" fmla="+- 0 10977 290"/>
                            <a:gd name="T23" fmla="*/ 10977 h 10697"/>
                            <a:gd name="T24" fmla="+- 0 1451 1441"/>
                            <a:gd name="T25" fmla="*/ T24 w 9028"/>
                            <a:gd name="T26" fmla="+- 0 300 290"/>
                            <a:gd name="T27" fmla="*/ 300 h 10697"/>
                            <a:gd name="T28" fmla="+- 0 10458 1441"/>
                            <a:gd name="T29" fmla="*/ T28 w 9028"/>
                            <a:gd name="T30" fmla="+- 0 300 290"/>
                            <a:gd name="T31" fmla="*/ 300 h 10697"/>
                            <a:gd name="T32" fmla="+- 0 10458 1441"/>
                            <a:gd name="T33" fmla="*/ T32 w 9028"/>
                            <a:gd name="T34" fmla="+- 0 290 290"/>
                            <a:gd name="T35" fmla="*/ 290 h 10697"/>
                            <a:gd name="T36" fmla="+- 0 1451 1441"/>
                            <a:gd name="T37" fmla="*/ T36 w 9028"/>
                            <a:gd name="T38" fmla="+- 0 290 290"/>
                            <a:gd name="T39" fmla="*/ 290 h 10697"/>
                            <a:gd name="T40" fmla="+- 0 1441 1441"/>
                            <a:gd name="T41" fmla="*/ T40 w 9028"/>
                            <a:gd name="T42" fmla="+- 0 290 290"/>
                            <a:gd name="T43" fmla="*/ 290 h 10697"/>
                            <a:gd name="T44" fmla="+- 0 1441 1441"/>
                            <a:gd name="T45" fmla="*/ T44 w 9028"/>
                            <a:gd name="T46" fmla="+- 0 10987 290"/>
                            <a:gd name="T47" fmla="*/ 10987 h 10697"/>
                            <a:gd name="T48" fmla="+- 0 1451 1441"/>
                            <a:gd name="T49" fmla="*/ T48 w 9028"/>
                            <a:gd name="T50" fmla="+- 0 10987 290"/>
                            <a:gd name="T51" fmla="*/ 10987 h 10697"/>
                            <a:gd name="T52" fmla="+- 0 10458 1441"/>
                            <a:gd name="T53" fmla="*/ T52 w 9028"/>
                            <a:gd name="T54" fmla="+- 0 10987 290"/>
                            <a:gd name="T55" fmla="*/ 10987 h 10697"/>
                            <a:gd name="T56" fmla="+- 0 10459 1441"/>
                            <a:gd name="T57" fmla="*/ T56 w 9028"/>
                            <a:gd name="T58" fmla="+- 0 10987 290"/>
                            <a:gd name="T59" fmla="*/ 10987 h 10697"/>
                            <a:gd name="T60" fmla="+- 0 10468 1441"/>
                            <a:gd name="T61" fmla="*/ T60 w 9028"/>
                            <a:gd name="T62" fmla="+- 0 10987 290"/>
                            <a:gd name="T63" fmla="*/ 10987 h 10697"/>
                            <a:gd name="T64" fmla="+- 0 10468 1441"/>
                            <a:gd name="T65" fmla="*/ T64 w 9028"/>
                            <a:gd name="T66" fmla="+- 0 290 290"/>
                            <a:gd name="T67" fmla="*/ 290 h 106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028" h="10697">
                              <a:moveTo>
                                <a:pt x="9027" y="0"/>
                              </a:moveTo>
                              <a:lnTo>
                                <a:pt x="9018" y="0"/>
                              </a:lnTo>
                              <a:lnTo>
                                <a:pt x="9017" y="0"/>
                              </a:lnTo>
                              <a:lnTo>
                                <a:pt x="9017" y="10"/>
                              </a:lnTo>
                              <a:lnTo>
                                <a:pt x="9017" y="10687"/>
                              </a:lnTo>
                              <a:lnTo>
                                <a:pt x="10" y="10687"/>
                              </a:lnTo>
                              <a:lnTo>
                                <a:pt x="10" y="10"/>
                              </a:lnTo>
                              <a:lnTo>
                                <a:pt x="9017" y="10"/>
                              </a:lnTo>
                              <a:lnTo>
                                <a:pt x="9017" y="0"/>
                              </a:lnTo>
                              <a:lnTo>
                                <a:pt x="10" y="0"/>
                              </a:lnTo>
                              <a:lnTo>
                                <a:pt x="0" y="0"/>
                              </a:lnTo>
                              <a:lnTo>
                                <a:pt x="0" y="10697"/>
                              </a:lnTo>
                              <a:lnTo>
                                <a:pt x="10" y="10697"/>
                              </a:lnTo>
                              <a:lnTo>
                                <a:pt x="9017" y="10697"/>
                              </a:lnTo>
                              <a:lnTo>
                                <a:pt x="9018" y="10697"/>
                              </a:lnTo>
                              <a:lnTo>
                                <a:pt x="9027" y="10697"/>
                              </a:lnTo>
                              <a:lnTo>
                                <a:pt x="90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544EA" id="Freeform 7" o:spid="_x0000_s1026" style="position:absolute;margin-left:72.05pt;margin-top:14.5pt;width:451.4pt;height:534.85pt;z-index:-1586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028,10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" path="m9027,r-9,l9017,r,10l9017,10687r-9007,l10,10r9007,l9017,,10,,,,,10697r10,l9017,10697r1,l9027,10697,9027,xe" fillcolor="black" stroked="f">
                <v:path arrowok="t" o:connecttype="custom" o:connectlocs="5732145,184150;5726430,184150;5725795,184150;5725795,190500;5725795,6970395;6350,6970395;6350,190500;5725795,190500;5725795,184150;6350,184150;0,184150;0,6976745;6350,6976745;5725795,6976745;5726430,6976745;5732145,6976745;5732145,184150" o:connectangles="0,0,0,0,0,0,0,0,0,0,0,0,0,0,0,0,0"/>
                <w10:wrap anchorx="page"/>
              </v:shape>
            </w:pict>
          </mc:Fallback>
        </mc:AlternateContent>
      </w:r>
      <w:bookmarkStart w:id="0" w:name="_bookmark0"/>
      <w:bookmarkEnd w:id="0"/>
      <w:r>
        <w:t>Recommendations</w:t>
      </w:r>
    </w:p>
    <w:p w14:paraId="1E8F37FC" w14:textId="77777777" w:rsidR="00257A79" w:rsidRDefault="00B472E1">
      <w:pPr>
        <w:pStyle w:val="BodyText"/>
        <w:spacing w:before="126"/>
        <w:ind w:left="291" w:right="444"/>
      </w:pPr>
      <w:r>
        <w:t>The Commissions consider that passing the Elections Bill in its current form could potentially lead to a violation of Article 2(1) of the Protocol, in depriving EU citizens who take up residence in Northern Ireland from the b</w:t>
      </w:r>
      <w:r>
        <w:t>eginning of 2021 from voting or standing in Northern Ireland District Council elections.</w:t>
      </w:r>
    </w:p>
    <w:p w14:paraId="7763777D" w14:textId="77777777" w:rsidR="00257A79" w:rsidRDefault="00257A79">
      <w:pPr>
        <w:pStyle w:val="BodyText"/>
        <w:spacing w:before="8"/>
        <w:rPr>
          <w:sz w:val="27"/>
        </w:rPr>
      </w:pPr>
    </w:p>
    <w:p w14:paraId="3DEBF869" w14:textId="77777777" w:rsidR="00257A79" w:rsidRDefault="00B472E1">
      <w:pPr>
        <w:pStyle w:val="Heading3"/>
        <w:numPr>
          <w:ilvl w:val="1"/>
          <w:numId w:val="3"/>
        </w:numPr>
        <w:tabs>
          <w:tab w:val="left" w:pos="1011"/>
          <w:tab w:val="left" w:pos="1012"/>
        </w:tabs>
        <w:spacing w:before="0"/>
        <w:ind w:left="1011" w:right="281"/>
      </w:pPr>
      <w:r>
        <w:t xml:space="preserve">The Commissions recommend that the UK Government sets out, in full, its assessment of the relevant provisions of the Elections </w:t>
      </w:r>
      <w:r>
        <w:rPr>
          <w:spacing w:val="3"/>
        </w:rPr>
        <w:t xml:space="preserve">Bill, </w:t>
      </w:r>
      <w:r>
        <w:t xml:space="preserve">in the context of its conformity </w:t>
      </w:r>
      <w:r>
        <w:t>with its commitments under Article 2(1) of the</w:t>
      </w:r>
      <w:r>
        <w:rPr>
          <w:spacing w:val="-8"/>
        </w:rPr>
        <w:t xml:space="preserve"> </w:t>
      </w:r>
      <w:r>
        <w:t>Protocol.</w:t>
      </w:r>
    </w:p>
    <w:p w14:paraId="20A5B3AE" w14:textId="77777777" w:rsidR="00257A79" w:rsidRDefault="00B472E1">
      <w:pPr>
        <w:pStyle w:val="Heading3"/>
        <w:numPr>
          <w:ilvl w:val="1"/>
          <w:numId w:val="3"/>
        </w:numPr>
        <w:tabs>
          <w:tab w:val="left" w:pos="1011"/>
          <w:tab w:val="left" w:pos="1012"/>
        </w:tabs>
        <w:ind w:left="1011" w:right="431"/>
      </w:pPr>
      <w:r>
        <w:rPr>
          <w:spacing w:val="2"/>
        </w:rPr>
        <w:t xml:space="preserve">In </w:t>
      </w:r>
      <w:r>
        <w:t>the absence of any convincing explanation as to how the provisions the Elections Bill complies with Article 2(1), the Commissions recommend that the Elections Bill should be</w:t>
      </w:r>
      <w:r>
        <w:rPr>
          <w:spacing w:val="-28"/>
        </w:rPr>
        <w:t xml:space="preserve"> </w:t>
      </w:r>
      <w:r>
        <w:t>amended to ensure comp</w:t>
      </w:r>
      <w:r>
        <w:t>atibility with Article 2(1) of the</w:t>
      </w:r>
      <w:r>
        <w:rPr>
          <w:spacing w:val="-31"/>
        </w:rPr>
        <w:t xml:space="preserve"> </w:t>
      </w:r>
      <w:r>
        <w:t>Protocol.</w:t>
      </w:r>
    </w:p>
    <w:p w14:paraId="0FEAE465" w14:textId="77777777" w:rsidR="00257A79" w:rsidRDefault="00B472E1">
      <w:pPr>
        <w:pStyle w:val="Heading3"/>
        <w:numPr>
          <w:ilvl w:val="1"/>
          <w:numId w:val="3"/>
        </w:numPr>
        <w:tabs>
          <w:tab w:val="left" w:pos="1012"/>
        </w:tabs>
        <w:spacing w:line="242" w:lineRule="auto"/>
        <w:ind w:left="1011" w:right="239"/>
        <w:jc w:val="both"/>
      </w:pPr>
      <w:r>
        <w:t>Specifically, the Commissions recommend the following amendments to the Bill in order to avoid a potential breach of the “no-diminution” commitment under Article 2 of the</w:t>
      </w:r>
      <w:r>
        <w:rPr>
          <w:spacing w:val="-25"/>
        </w:rPr>
        <w:t xml:space="preserve"> </w:t>
      </w:r>
      <w:r>
        <w:t>Protocol:</w:t>
      </w:r>
    </w:p>
    <w:p w14:paraId="4148A36D" w14:textId="77777777" w:rsidR="00257A79" w:rsidRDefault="00B472E1">
      <w:pPr>
        <w:pStyle w:val="Heading3"/>
        <w:numPr>
          <w:ilvl w:val="2"/>
          <w:numId w:val="3"/>
        </w:numPr>
        <w:tabs>
          <w:tab w:val="left" w:pos="1603"/>
        </w:tabs>
        <w:spacing w:before="235"/>
        <w:ind w:right="311"/>
      </w:pPr>
      <w:r>
        <w:t>Clause 13 of the Elections Bill, which gives effect to Schedule 8, should b</w:t>
      </w:r>
      <w:r>
        <w:t>e amended to exclude Northern Ireland District Council elections from its application;</w:t>
      </w:r>
      <w:r>
        <w:rPr>
          <w:spacing w:val="-15"/>
        </w:rPr>
        <w:t xml:space="preserve"> </w:t>
      </w:r>
      <w:r>
        <w:t>and</w:t>
      </w:r>
    </w:p>
    <w:p w14:paraId="1AB250EF" w14:textId="77777777" w:rsidR="00257A79" w:rsidRDefault="00B472E1">
      <w:pPr>
        <w:pStyle w:val="Heading3"/>
        <w:numPr>
          <w:ilvl w:val="2"/>
          <w:numId w:val="3"/>
        </w:numPr>
        <w:tabs>
          <w:tab w:val="left" w:pos="1603"/>
        </w:tabs>
        <w:spacing w:before="237"/>
        <w:ind w:right="261"/>
      </w:pPr>
      <w:r>
        <w:t xml:space="preserve">Part 3 of Schedule 8 of the Elections Bill should be amended to remove Paragraphs 7, 8 and </w:t>
      </w:r>
      <w:r>
        <w:rPr>
          <w:spacing w:val="3"/>
        </w:rPr>
        <w:t xml:space="preserve">9, </w:t>
      </w:r>
      <w:r>
        <w:t>thus restoring the status quo ante, and permitting all EU citizens lawf</w:t>
      </w:r>
      <w:r>
        <w:t>ully resident in</w:t>
      </w:r>
      <w:r>
        <w:rPr>
          <w:spacing w:val="-46"/>
        </w:rPr>
        <w:t xml:space="preserve"> </w:t>
      </w:r>
      <w:r>
        <w:t>Northern Ireland to continue to be able to vote/stand for election in District Council elections in Northern</w:t>
      </w:r>
      <w:r>
        <w:rPr>
          <w:spacing w:val="-19"/>
        </w:rPr>
        <w:t xml:space="preserve"> </w:t>
      </w:r>
      <w:r>
        <w:t>Ireland.</w:t>
      </w:r>
    </w:p>
    <w:p w14:paraId="45D7AD7A" w14:textId="77777777" w:rsidR="00257A79" w:rsidRDefault="00257A79">
      <w:pPr>
        <w:sectPr w:rsidR="00257A79">
          <w:footerReference w:type="default" r:id="rId15"/>
          <w:pgSz w:w="11910" w:h="16840"/>
          <w:pgMar w:top="1600" w:right="1320" w:bottom="1200" w:left="1260" w:header="0" w:footer="1011" w:gutter="0"/>
          <w:pgNumType w:start="1"/>
          <w:cols w:space="720"/>
        </w:sectPr>
      </w:pPr>
    </w:p>
    <w:p w14:paraId="7E26F430" w14:textId="77777777" w:rsidR="00257A79" w:rsidRDefault="00B472E1">
      <w:pPr>
        <w:pStyle w:val="Heading1"/>
        <w:numPr>
          <w:ilvl w:val="0"/>
          <w:numId w:val="2"/>
        </w:numPr>
        <w:tabs>
          <w:tab w:val="left" w:pos="891"/>
          <w:tab w:val="left" w:pos="892"/>
        </w:tabs>
        <w:ind w:hanging="712"/>
      </w:pPr>
      <w:bookmarkStart w:id="1" w:name="_bookmark1"/>
      <w:bookmarkEnd w:id="1"/>
      <w:r>
        <w:lastRenderedPageBreak/>
        <w:t>Introduction</w:t>
      </w:r>
    </w:p>
    <w:p w14:paraId="3772D198" w14:textId="77777777" w:rsidR="00257A79" w:rsidRDefault="00B472E1">
      <w:pPr>
        <w:pStyle w:val="ListParagraph"/>
        <w:numPr>
          <w:ilvl w:val="1"/>
          <w:numId w:val="2"/>
        </w:numPr>
        <w:tabs>
          <w:tab w:val="left" w:pos="891"/>
          <w:tab w:val="left" w:pos="892"/>
        </w:tabs>
        <w:spacing w:before="126"/>
        <w:ind w:left="891" w:right="225" w:hanging="721"/>
        <w:rPr>
          <w:sz w:val="28"/>
        </w:rPr>
      </w:pPr>
      <w:r>
        <w:rPr>
          <w:sz w:val="28"/>
        </w:rPr>
        <w:t xml:space="preserve">The Equality Commission </w:t>
      </w:r>
      <w:r>
        <w:rPr>
          <w:spacing w:val="2"/>
          <w:sz w:val="28"/>
        </w:rPr>
        <w:t xml:space="preserve">for </w:t>
      </w:r>
      <w:r>
        <w:rPr>
          <w:sz w:val="28"/>
        </w:rPr>
        <w:t xml:space="preserve">Northern Ireland (ECNI) </w:t>
      </w:r>
      <w:r>
        <w:rPr>
          <w:spacing w:val="-3"/>
          <w:sz w:val="28"/>
        </w:rPr>
        <w:t xml:space="preserve">is an </w:t>
      </w:r>
      <w:r>
        <w:rPr>
          <w:sz w:val="28"/>
        </w:rPr>
        <w:t>independent public body established under the Northern Ireland Act 1998. Its</w:t>
      </w:r>
      <w:r>
        <w:rPr>
          <w:spacing w:val="-36"/>
          <w:sz w:val="28"/>
        </w:rPr>
        <w:t xml:space="preserve"> </w:t>
      </w:r>
      <w:r>
        <w:rPr>
          <w:sz w:val="28"/>
        </w:rPr>
        <w:t xml:space="preserve">powers and duties derive from a number of equality statutes providing protection </w:t>
      </w:r>
      <w:r>
        <w:rPr>
          <w:spacing w:val="-3"/>
          <w:sz w:val="28"/>
        </w:rPr>
        <w:t xml:space="preserve">against </w:t>
      </w:r>
      <w:r>
        <w:rPr>
          <w:sz w:val="28"/>
        </w:rPr>
        <w:t>discrimination on the grounds of age, disability, race, reli</w:t>
      </w:r>
      <w:r>
        <w:rPr>
          <w:sz w:val="28"/>
        </w:rPr>
        <w:t xml:space="preserve">gion and political opinion, sex and sexual orientation. Its remit </w:t>
      </w:r>
      <w:r>
        <w:rPr>
          <w:spacing w:val="-3"/>
          <w:sz w:val="28"/>
        </w:rPr>
        <w:t xml:space="preserve">also </w:t>
      </w:r>
      <w:r>
        <w:rPr>
          <w:sz w:val="28"/>
        </w:rPr>
        <w:t>includes overseeing the statutory duties on public authorities on the promotion of equality of opportunity and good relations under Section 75 of the Northern Ireland Act</w:t>
      </w:r>
      <w:r>
        <w:rPr>
          <w:spacing w:val="-20"/>
          <w:sz w:val="28"/>
        </w:rPr>
        <w:t xml:space="preserve"> </w:t>
      </w:r>
      <w:r>
        <w:rPr>
          <w:sz w:val="28"/>
        </w:rPr>
        <w:t>1998.</w:t>
      </w:r>
    </w:p>
    <w:p w14:paraId="4ADF8D4F" w14:textId="77777777" w:rsidR="00257A79" w:rsidRDefault="00B472E1">
      <w:pPr>
        <w:pStyle w:val="ListParagraph"/>
        <w:numPr>
          <w:ilvl w:val="1"/>
          <w:numId w:val="2"/>
        </w:numPr>
        <w:tabs>
          <w:tab w:val="left" w:pos="891"/>
          <w:tab w:val="left" w:pos="892"/>
        </w:tabs>
        <w:spacing w:before="237" w:line="242" w:lineRule="auto"/>
        <w:ind w:left="891" w:right="374" w:hanging="721"/>
        <w:rPr>
          <w:sz w:val="28"/>
        </w:rPr>
      </w:pPr>
      <w:r>
        <w:rPr>
          <w:sz w:val="28"/>
        </w:rPr>
        <w:t>The Nort</w:t>
      </w:r>
      <w:r>
        <w:rPr>
          <w:sz w:val="28"/>
        </w:rPr>
        <w:t>hern Ireland Human Rights Commission (the NIHRC),</w:t>
      </w:r>
      <w:r>
        <w:rPr>
          <w:spacing w:val="-27"/>
          <w:sz w:val="28"/>
        </w:rPr>
        <w:t xml:space="preserve"> </w:t>
      </w:r>
      <w:r>
        <w:rPr>
          <w:sz w:val="28"/>
        </w:rPr>
        <w:t xml:space="preserve">pursuant to section 69(1) the Northern Ireland Act 1998, reviews the adequacy and effectiveness of </w:t>
      </w:r>
      <w:r>
        <w:rPr>
          <w:spacing w:val="-4"/>
          <w:sz w:val="28"/>
        </w:rPr>
        <w:t xml:space="preserve">law </w:t>
      </w:r>
      <w:r>
        <w:rPr>
          <w:sz w:val="28"/>
        </w:rPr>
        <w:t xml:space="preserve">and practice relating to the protection of human rights </w:t>
      </w:r>
      <w:r>
        <w:rPr>
          <w:spacing w:val="-3"/>
          <w:sz w:val="28"/>
        </w:rPr>
        <w:t xml:space="preserve">in </w:t>
      </w:r>
      <w:r>
        <w:rPr>
          <w:sz w:val="28"/>
        </w:rPr>
        <w:t>Northern Ireland</w:t>
      </w:r>
      <w:r>
        <w:rPr>
          <w:spacing w:val="5"/>
          <w:sz w:val="28"/>
        </w:rPr>
        <w:t xml:space="preserve"> </w:t>
      </w:r>
      <w:r>
        <w:rPr>
          <w:sz w:val="28"/>
        </w:rPr>
        <w:t>(NI).</w:t>
      </w:r>
    </w:p>
    <w:p w14:paraId="7D3CE869" w14:textId="77777777" w:rsidR="00257A79" w:rsidRDefault="00B472E1">
      <w:pPr>
        <w:pStyle w:val="ListParagraph"/>
        <w:numPr>
          <w:ilvl w:val="1"/>
          <w:numId w:val="2"/>
        </w:numPr>
        <w:tabs>
          <w:tab w:val="left" w:pos="891"/>
          <w:tab w:val="left" w:pos="892"/>
        </w:tabs>
        <w:spacing w:before="231" w:line="242" w:lineRule="auto"/>
        <w:ind w:left="891" w:right="159" w:hanging="721"/>
        <w:rPr>
          <w:sz w:val="28"/>
        </w:rPr>
      </w:pPr>
      <w:r>
        <w:rPr>
          <w:sz w:val="28"/>
        </w:rPr>
        <w:t>The EU (Withdrawal Ag</w:t>
      </w:r>
      <w:r>
        <w:rPr>
          <w:sz w:val="28"/>
        </w:rPr>
        <w:t>reement) Act 2020 empowers the Commissions to monitor, advise, report on, promote, and enforce the implementation of Article 2(1) of the Ireland/Northern Ireland Protocol (‘the Protocol’)</w:t>
      </w:r>
      <w:r>
        <w:rPr>
          <w:spacing w:val="-32"/>
          <w:sz w:val="28"/>
        </w:rPr>
        <w:t xml:space="preserve"> </w:t>
      </w:r>
      <w:r>
        <w:rPr>
          <w:sz w:val="28"/>
        </w:rPr>
        <w:t xml:space="preserve">to the </w:t>
      </w:r>
      <w:r>
        <w:rPr>
          <w:spacing w:val="2"/>
          <w:sz w:val="28"/>
        </w:rPr>
        <w:t xml:space="preserve">UK-EU </w:t>
      </w:r>
      <w:r>
        <w:rPr>
          <w:sz w:val="28"/>
        </w:rPr>
        <w:t>Withdrawal</w:t>
      </w:r>
      <w:r>
        <w:rPr>
          <w:spacing w:val="-17"/>
          <w:sz w:val="28"/>
        </w:rPr>
        <w:t xml:space="preserve"> </w:t>
      </w:r>
      <w:r>
        <w:rPr>
          <w:sz w:val="28"/>
        </w:rPr>
        <w:t>Agreement.</w:t>
      </w:r>
    </w:p>
    <w:p w14:paraId="24AD06BF" w14:textId="77777777" w:rsidR="00257A79" w:rsidRDefault="00B472E1">
      <w:pPr>
        <w:pStyle w:val="Heading1"/>
        <w:numPr>
          <w:ilvl w:val="0"/>
          <w:numId w:val="2"/>
        </w:numPr>
        <w:tabs>
          <w:tab w:val="left" w:pos="891"/>
          <w:tab w:val="left" w:pos="892"/>
        </w:tabs>
        <w:spacing w:before="225"/>
        <w:ind w:hanging="712"/>
      </w:pPr>
      <w:bookmarkStart w:id="2" w:name="_bookmark2"/>
      <w:bookmarkEnd w:id="2"/>
      <w:r>
        <w:t xml:space="preserve">The Elections Bill and Article 2 </w:t>
      </w:r>
      <w:r>
        <w:rPr>
          <w:spacing w:val="-3"/>
        </w:rPr>
        <w:t xml:space="preserve">of </w:t>
      </w:r>
      <w:r>
        <w:t>the</w:t>
      </w:r>
      <w:r>
        <w:rPr>
          <w:spacing w:val="1"/>
        </w:rPr>
        <w:t xml:space="preserve"> </w:t>
      </w:r>
      <w:r>
        <w:t>Protocol</w:t>
      </w:r>
    </w:p>
    <w:p w14:paraId="1CE897F1" w14:textId="77777777" w:rsidR="00257A79" w:rsidRDefault="00B472E1">
      <w:pPr>
        <w:pStyle w:val="ListParagraph"/>
        <w:numPr>
          <w:ilvl w:val="1"/>
          <w:numId w:val="2"/>
        </w:numPr>
        <w:tabs>
          <w:tab w:val="left" w:pos="891"/>
          <w:tab w:val="left" w:pos="892"/>
        </w:tabs>
        <w:spacing w:before="127"/>
        <w:ind w:left="891" w:right="122" w:hanging="641"/>
        <w:rPr>
          <w:sz w:val="28"/>
        </w:rPr>
      </w:pPr>
      <w:r>
        <w:rPr>
          <w:sz w:val="28"/>
        </w:rPr>
        <w:t xml:space="preserve">The Commissions have concerns </w:t>
      </w:r>
      <w:r>
        <w:rPr>
          <w:spacing w:val="-3"/>
          <w:sz w:val="28"/>
        </w:rPr>
        <w:t xml:space="preserve">in </w:t>
      </w:r>
      <w:r>
        <w:rPr>
          <w:sz w:val="28"/>
        </w:rPr>
        <w:t xml:space="preserve">relation to the provisions of the Elections Bill that relate to the voting/candidacy rights of EU citizens who come to reside </w:t>
      </w:r>
      <w:r>
        <w:rPr>
          <w:spacing w:val="-3"/>
          <w:sz w:val="28"/>
        </w:rPr>
        <w:t xml:space="preserve">in </w:t>
      </w:r>
      <w:r>
        <w:rPr>
          <w:sz w:val="28"/>
        </w:rPr>
        <w:t xml:space="preserve">Northern Ireland after the end of the Brexit Transition Period, namely 31 December 2020. These concerns relate to their rights </w:t>
      </w:r>
      <w:r>
        <w:rPr>
          <w:sz w:val="28"/>
        </w:rPr>
        <w:t xml:space="preserve">to vote and stand </w:t>
      </w:r>
      <w:r>
        <w:rPr>
          <w:spacing w:val="-3"/>
          <w:sz w:val="28"/>
        </w:rPr>
        <w:t xml:space="preserve">in </w:t>
      </w:r>
      <w:r>
        <w:rPr>
          <w:sz w:val="28"/>
        </w:rPr>
        <w:t xml:space="preserve">local district council elections, </w:t>
      </w:r>
      <w:r>
        <w:rPr>
          <w:spacing w:val="-3"/>
          <w:sz w:val="28"/>
        </w:rPr>
        <w:t xml:space="preserve">in </w:t>
      </w:r>
      <w:r>
        <w:rPr>
          <w:sz w:val="28"/>
        </w:rPr>
        <w:t>the context of the UK Government’s non-diminution of rights obligation under Article 2 (1). The Commissions consider that the changes proposed by the Elections Bill may amount to a breach of the Gov</w:t>
      </w:r>
      <w:r>
        <w:rPr>
          <w:sz w:val="28"/>
        </w:rPr>
        <w:t>ernment’s obligations under Article 2 (1) of the</w:t>
      </w:r>
      <w:r>
        <w:rPr>
          <w:spacing w:val="-1"/>
          <w:sz w:val="28"/>
        </w:rPr>
        <w:t xml:space="preserve"> </w:t>
      </w:r>
      <w:r>
        <w:rPr>
          <w:sz w:val="28"/>
        </w:rPr>
        <w:t>Protocol.</w:t>
      </w:r>
    </w:p>
    <w:p w14:paraId="2219C820" w14:textId="77777777" w:rsidR="00257A79" w:rsidRDefault="00B472E1">
      <w:pPr>
        <w:pStyle w:val="ListParagraph"/>
        <w:numPr>
          <w:ilvl w:val="1"/>
          <w:numId w:val="2"/>
        </w:numPr>
        <w:tabs>
          <w:tab w:val="left" w:pos="891"/>
          <w:tab w:val="left" w:pos="892"/>
        </w:tabs>
        <w:spacing w:before="236"/>
        <w:ind w:left="891" w:right="151" w:hanging="711"/>
        <w:rPr>
          <w:sz w:val="28"/>
        </w:rPr>
      </w:pPr>
      <w:r>
        <w:rPr>
          <w:sz w:val="28"/>
        </w:rPr>
        <w:t xml:space="preserve">Specifically, the Commissions are concerned about the implications of the provisions </w:t>
      </w:r>
      <w:r>
        <w:rPr>
          <w:spacing w:val="-3"/>
          <w:sz w:val="28"/>
        </w:rPr>
        <w:t xml:space="preserve">in </w:t>
      </w:r>
      <w:r>
        <w:rPr>
          <w:sz w:val="28"/>
        </w:rPr>
        <w:t>Part 3 of Schedule 8, to be brought into effect by</w:t>
      </w:r>
      <w:r>
        <w:rPr>
          <w:spacing w:val="-36"/>
          <w:sz w:val="28"/>
        </w:rPr>
        <w:t xml:space="preserve"> </w:t>
      </w:r>
      <w:r>
        <w:rPr>
          <w:sz w:val="28"/>
        </w:rPr>
        <w:t xml:space="preserve">Clause 13 of the Elections Bill, should </w:t>
      </w:r>
      <w:r>
        <w:rPr>
          <w:spacing w:val="-3"/>
          <w:sz w:val="28"/>
        </w:rPr>
        <w:t xml:space="preserve">it </w:t>
      </w:r>
      <w:r>
        <w:rPr>
          <w:sz w:val="28"/>
        </w:rPr>
        <w:t xml:space="preserve">become </w:t>
      </w:r>
      <w:r>
        <w:rPr>
          <w:spacing w:val="-3"/>
          <w:sz w:val="28"/>
        </w:rPr>
        <w:t xml:space="preserve">law, </w:t>
      </w:r>
      <w:r>
        <w:rPr>
          <w:sz w:val="28"/>
        </w:rPr>
        <w:t xml:space="preserve">on </w:t>
      </w:r>
      <w:r>
        <w:rPr>
          <w:sz w:val="28"/>
        </w:rPr>
        <w:t xml:space="preserve">the rights of certain EU citizens who come to reside </w:t>
      </w:r>
      <w:r>
        <w:rPr>
          <w:spacing w:val="-3"/>
          <w:sz w:val="28"/>
        </w:rPr>
        <w:t xml:space="preserve">in </w:t>
      </w:r>
      <w:r>
        <w:rPr>
          <w:sz w:val="28"/>
        </w:rPr>
        <w:t>Northern Ireland after the end of the Brexit Transition</w:t>
      </w:r>
      <w:r>
        <w:rPr>
          <w:spacing w:val="-9"/>
          <w:sz w:val="28"/>
        </w:rPr>
        <w:t xml:space="preserve"> </w:t>
      </w:r>
      <w:r>
        <w:rPr>
          <w:sz w:val="28"/>
        </w:rPr>
        <w:t>Period.</w:t>
      </w:r>
    </w:p>
    <w:p w14:paraId="521F49B8" w14:textId="77777777" w:rsidR="00257A79" w:rsidRDefault="00B472E1">
      <w:pPr>
        <w:pStyle w:val="ListParagraph"/>
        <w:numPr>
          <w:ilvl w:val="1"/>
          <w:numId w:val="2"/>
        </w:numPr>
        <w:tabs>
          <w:tab w:val="left" w:pos="891"/>
          <w:tab w:val="left" w:pos="892"/>
        </w:tabs>
        <w:spacing w:before="242"/>
        <w:ind w:left="891" w:right="377" w:hanging="711"/>
        <w:rPr>
          <w:sz w:val="28"/>
        </w:rPr>
      </w:pPr>
      <w:r>
        <w:rPr>
          <w:sz w:val="28"/>
        </w:rPr>
        <w:t xml:space="preserve">The implications of these provisions </w:t>
      </w:r>
      <w:r>
        <w:rPr>
          <w:spacing w:val="2"/>
          <w:sz w:val="28"/>
        </w:rPr>
        <w:t xml:space="preserve">for </w:t>
      </w:r>
      <w:r>
        <w:rPr>
          <w:sz w:val="28"/>
        </w:rPr>
        <w:t>EU citizens who have arrived</w:t>
      </w:r>
      <w:r>
        <w:rPr>
          <w:spacing w:val="-43"/>
          <w:sz w:val="28"/>
        </w:rPr>
        <w:t xml:space="preserve"> </w:t>
      </w:r>
      <w:r>
        <w:rPr>
          <w:spacing w:val="-3"/>
          <w:sz w:val="28"/>
        </w:rPr>
        <w:t xml:space="preserve">in </w:t>
      </w:r>
      <w:r>
        <w:rPr>
          <w:sz w:val="28"/>
        </w:rPr>
        <w:t xml:space="preserve">Northern Ireland after that date, and who are not Commonwealth or Irish citizens, are that they will not be able to vote and stand </w:t>
      </w:r>
      <w:r>
        <w:rPr>
          <w:spacing w:val="2"/>
          <w:sz w:val="28"/>
        </w:rPr>
        <w:t>for</w:t>
      </w:r>
      <w:r>
        <w:rPr>
          <w:spacing w:val="-42"/>
          <w:sz w:val="28"/>
        </w:rPr>
        <w:t xml:space="preserve"> </w:t>
      </w:r>
      <w:r>
        <w:rPr>
          <w:sz w:val="28"/>
        </w:rPr>
        <w:t>local</w:t>
      </w:r>
    </w:p>
    <w:p w14:paraId="155BE65F" w14:textId="77777777" w:rsidR="00257A79" w:rsidRDefault="00257A79">
      <w:pPr>
        <w:rPr>
          <w:sz w:val="28"/>
        </w:rPr>
        <w:sectPr w:rsidR="00257A79">
          <w:pgSz w:w="11910" w:h="16840"/>
          <w:pgMar w:top="1440" w:right="1320" w:bottom="1200" w:left="1260" w:header="0" w:footer="1011" w:gutter="0"/>
          <w:cols w:space="720"/>
        </w:sectPr>
      </w:pPr>
    </w:p>
    <w:p w14:paraId="01A18BC7" w14:textId="77777777" w:rsidR="00257A79" w:rsidRDefault="00B472E1">
      <w:pPr>
        <w:pStyle w:val="BodyText"/>
        <w:spacing w:before="24"/>
        <w:ind w:left="891"/>
      </w:pPr>
      <w:r>
        <w:lastRenderedPageBreak/>
        <w:t>elections in Northern Ireland without a reciprocal voting and candidacy rights agreement being in p</w:t>
      </w:r>
      <w:r>
        <w:t>lace between the UK Government and the relevant individual EU Member State of that EU citizen.</w:t>
      </w:r>
    </w:p>
    <w:p w14:paraId="2D7C0CCA" w14:textId="77777777" w:rsidR="00257A79" w:rsidRDefault="00B472E1">
      <w:pPr>
        <w:pStyle w:val="Heading2"/>
        <w:spacing w:before="238"/>
        <w:rPr>
          <w:u w:val="none"/>
        </w:rPr>
      </w:pPr>
      <w:bookmarkStart w:id="3" w:name="_bookmark3"/>
      <w:bookmarkEnd w:id="3"/>
      <w:r>
        <w:t>Article 2 of the Protocol</w:t>
      </w:r>
    </w:p>
    <w:p w14:paraId="0B035D68" w14:textId="77777777" w:rsidR="00257A79" w:rsidRDefault="00257A79">
      <w:pPr>
        <w:pStyle w:val="BodyText"/>
        <w:spacing w:before="8"/>
        <w:rPr>
          <w:b/>
          <w:i/>
          <w:sz w:val="16"/>
        </w:rPr>
      </w:pPr>
    </w:p>
    <w:p w14:paraId="1B230A5B" w14:textId="77777777" w:rsidR="00257A79" w:rsidRDefault="00B472E1">
      <w:pPr>
        <w:pStyle w:val="ListParagraph"/>
        <w:numPr>
          <w:ilvl w:val="1"/>
          <w:numId w:val="2"/>
        </w:numPr>
        <w:tabs>
          <w:tab w:val="left" w:pos="891"/>
          <w:tab w:val="left" w:pos="892"/>
        </w:tabs>
        <w:ind w:hanging="712"/>
        <w:rPr>
          <w:sz w:val="28"/>
        </w:rPr>
      </w:pPr>
      <w:r>
        <w:rPr>
          <w:sz w:val="28"/>
        </w:rPr>
        <w:t>Article 2 (1) of the Protocol</w:t>
      </w:r>
      <w:r>
        <w:rPr>
          <w:spacing w:val="-11"/>
          <w:sz w:val="28"/>
        </w:rPr>
        <w:t xml:space="preserve"> </w:t>
      </w:r>
      <w:r>
        <w:rPr>
          <w:sz w:val="28"/>
        </w:rPr>
        <w:t>states:</w:t>
      </w:r>
    </w:p>
    <w:p w14:paraId="2A50FD4B" w14:textId="77777777" w:rsidR="00257A79" w:rsidRDefault="00B472E1">
      <w:pPr>
        <w:pStyle w:val="BodyText"/>
        <w:spacing w:before="238"/>
        <w:ind w:left="891" w:right="226"/>
      </w:pPr>
      <w:r>
        <w:t>“The United Kingdom shall ensure that no diminution of rights, safeguards or equality of opportu</w:t>
      </w:r>
      <w:r>
        <w:t xml:space="preserve">nity, as set out in that part of the 1998 Agreement entitled Rights, Safeguards and Equality of Opportunity results from its withdrawal from the Union, including in the area of protection against discrimination, as enshrined in the provisions of Union law </w:t>
      </w:r>
      <w:r>
        <w:t>listed in Annex 1 to this Protocol, and shall implement this paragraph through dedicated mechanisms.”</w:t>
      </w:r>
    </w:p>
    <w:p w14:paraId="0011F93C" w14:textId="77777777" w:rsidR="00257A79" w:rsidRDefault="00B472E1">
      <w:pPr>
        <w:pStyle w:val="ListParagraph"/>
        <w:numPr>
          <w:ilvl w:val="1"/>
          <w:numId w:val="2"/>
        </w:numPr>
        <w:tabs>
          <w:tab w:val="left" w:pos="891"/>
          <w:tab w:val="left" w:pos="892"/>
        </w:tabs>
        <w:spacing w:before="239" w:line="242" w:lineRule="auto"/>
        <w:ind w:left="891" w:right="179" w:hanging="711"/>
        <w:rPr>
          <w:sz w:val="28"/>
        </w:rPr>
      </w:pPr>
      <w:r>
        <w:rPr>
          <w:sz w:val="28"/>
        </w:rPr>
        <w:t xml:space="preserve">Article 2(1) of the Protocol means that the UK Government must </w:t>
      </w:r>
      <w:r>
        <w:rPr>
          <w:spacing w:val="3"/>
          <w:sz w:val="28"/>
        </w:rPr>
        <w:t xml:space="preserve">ensure </w:t>
      </w:r>
      <w:r>
        <w:rPr>
          <w:sz w:val="28"/>
        </w:rPr>
        <w:t xml:space="preserve">there </w:t>
      </w:r>
      <w:r>
        <w:rPr>
          <w:spacing w:val="-3"/>
          <w:sz w:val="28"/>
        </w:rPr>
        <w:t xml:space="preserve">is </w:t>
      </w:r>
      <w:r>
        <w:rPr>
          <w:sz w:val="28"/>
        </w:rPr>
        <w:t>no diminution of rights, safeguards and equality of opportunity provisions,</w:t>
      </w:r>
      <w:r>
        <w:rPr>
          <w:sz w:val="28"/>
        </w:rPr>
        <w:t xml:space="preserve"> </w:t>
      </w:r>
      <w:r>
        <w:rPr>
          <w:spacing w:val="-3"/>
          <w:sz w:val="28"/>
        </w:rPr>
        <w:t xml:space="preserve">as </w:t>
      </w:r>
      <w:r>
        <w:rPr>
          <w:sz w:val="28"/>
        </w:rPr>
        <w:t xml:space="preserve">set out </w:t>
      </w:r>
      <w:r>
        <w:rPr>
          <w:spacing w:val="-3"/>
          <w:sz w:val="28"/>
        </w:rPr>
        <w:t xml:space="preserve">in </w:t>
      </w:r>
      <w:r>
        <w:rPr>
          <w:sz w:val="28"/>
        </w:rPr>
        <w:t xml:space="preserve">the relevant chapter of the Belfast </w:t>
      </w:r>
      <w:r>
        <w:rPr>
          <w:spacing w:val="2"/>
          <w:sz w:val="28"/>
        </w:rPr>
        <w:t xml:space="preserve">(Good </w:t>
      </w:r>
      <w:r>
        <w:rPr>
          <w:sz w:val="28"/>
        </w:rPr>
        <w:t>Friday) Agreement 1998, resulting from the UK’s withdrawal from the</w:t>
      </w:r>
      <w:r>
        <w:rPr>
          <w:spacing w:val="-26"/>
          <w:sz w:val="28"/>
        </w:rPr>
        <w:t xml:space="preserve"> </w:t>
      </w:r>
      <w:r>
        <w:rPr>
          <w:spacing w:val="4"/>
          <w:sz w:val="28"/>
        </w:rPr>
        <w:t>EU</w:t>
      </w:r>
      <w:r>
        <w:rPr>
          <w:spacing w:val="4"/>
          <w:sz w:val="28"/>
          <w:vertAlign w:val="superscript"/>
        </w:rPr>
        <w:t>1</w:t>
      </w:r>
      <w:r>
        <w:rPr>
          <w:spacing w:val="4"/>
          <w:sz w:val="28"/>
        </w:rPr>
        <w:t>.</w:t>
      </w:r>
    </w:p>
    <w:p w14:paraId="4C93197F" w14:textId="77777777" w:rsidR="00257A79" w:rsidRDefault="00B472E1">
      <w:pPr>
        <w:pStyle w:val="Heading2"/>
        <w:spacing w:before="222"/>
        <w:rPr>
          <w:u w:val="none"/>
        </w:rPr>
      </w:pPr>
      <w:bookmarkStart w:id="4" w:name="_bookmark4"/>
      <w:bookmarkEnd w:id="4"/>
      <w:r>
        <w:t>Provisions in the Elections Bill</w:t>
      </w:r>
    </w:p>
    <w:p w14:paraId="42460327" w14:textId="77777777" w:rsidR="00257A79" w:rsidRDefault="00257A79">
      <w:pPr>
        <w:pStyle w:val="BodyText"/>
        <w:spacing w:before="9"/>
        <w:rPr>
          <w:b/>
          <w:i/>
          <w:sz w:val="16"/>
        </w:rPr>
      </w:pPr>
    </w:p>
    <w:p w14:paraId="12F3CF27" w14:textId="77777777" w:rsidR="00257A79" w:rsidRDefault="00B472E1">
      <w:pPr>
        <w:pStyle w:val="ListParagraph"/>
        <w:numPr>
          <w:ilvl w:val="1"/>
          <w:numId w:val="2"/>
        </w:numPr>
        <w:tabs>
          <w:tab w:val="left" w:pos="891"/>
          <w:tab w:val="left" w:pos="892"/>
        </w:tabs>
        <w:ind w:left="891" w:right="372" w:hanging="711"/>
        <w:rPr>
          <w:sz w:val="28"/>
        </w:rPr>
      </w:pPr>
      <w:r>
        <w:rPr>
          <w:sz w:val="28"/>
        </w:rPr>
        <w:t xml:space="preserve">Clause 13 of the Elections Bill gives effect to Schedule 8, which amends the voting and candidacy rights of EU citizens, including </w:t>
      </w:r>
      <w:r>
        <w:rPr>
          <w:spacing w:val="-3"/>
          <w:sz w:val="28"/>
        </w:rPr>
        <w:t xml:space="preserve">in </w:t>
      </w:r>
      <w:r>
        <w:rPr>
          <w:sz w:val="28"/>
        </w:rPr>
        <w:t xml:space="preserve">Northern Ireland local council and Assembly elections. It does not apply to equivalent elections </w:t>
      </w:r>
      <w:r>
        <w:rPr>
          <w:spacing w:val="-3"/>
          <w:sz w:val="28"/>
        </w:rPr>
        <w:t xml:space="preserve">in </w:t>
      </w:r>
      <w:r>
        <w:rPr>
          <w:sz w:val="28"/>
        </w:rPr>
        <w:t>Scotland or Wales beca</w:t>
      </w:r>
      <w:r>
        <w:rPr>
          <w:sz w:val="28"/>
        </w:rPr>
        <w:t xml:space="preserve">use, unlike </w:t>
      </w:r>
      <w:r>
        <w:rPr>
          <w:spacing w:val="-3"/>
          <w:sz w:val="28"/>
        </w:rPr>
        <w:t xml:space="preserve">in </w:t>
      </w:r>
      <w:r>
        <w:rPr>
          <w:sz w:val="28"/>
        </w:rPr>
        <w:t xml:space="preserve">Northern Ireland, election law regarding these elections </w:t>
      </w:r>
      <w:r>
        <w:rPr>
          <w:spacing w:val="-3"/>
          <w:sz w:val="28"/>
        </w:rPr>
        <w:t xml:space="preserve">is </w:t>
      </w:r>
      <w:r>
        <w:rPr>
          <w:sz w:val="28"/>
        </w:rPr>
        <w:t>a devolved</w:t>
      </w:r>
      <w:r>
        <w:rPr>
          <w:spacing w:val="-24"/>
          <w:sz w:val="28"/>
        </w:rPr>
        <w:t xml:space="preserve"> </w:t>
      </w:r>
      <w:r>
        <w:rPr>
          <w:sz w:val="28"/>
        </w:rPr>
        <w:t>matter.</w:t>
      </w:r>
    </w:p>
    <w:p w14:paraId="2E5ED8CC" w14:textId="77777777" w:rsidR="00257A79" w:rsidRDefault="00B472E1">
      <w:pPr>
        <w:pStyle w:val="ListParagraph"/>
        <w:numPr>
          <w:ilvl w:val="1"/>
          <w:numId w:val="2"/>
        </w:numPr>
        <w:tabs>
          <w:tab w:val="left" w:pos="891"/>
          <w:tab w:val="left" w:pos="892"/>
        </w:tabs>
        <w:spacing w:before="242"/>
        <w:ind w:left="891" w:right="347" w:hanging="711"/>
        <w:rPr>
          <w:sz w:val="28"/>
        </w:rPr>
      </w:pPr>
      <w:r>
        <w:rPr>
          <w:sz w:val="28"/>
        </w:rPr>
        <w:t xml:space="preserve">The changes </w:t>
      </w:r>
      <w:r>
        <w:rPr>
          <w:spacing w:val="-3"/>
          <w:sz w:val="28"/>
        </w:rPr>
        <w:t xml:space="preserve">will, if </w:t>
      </w:r>
      <w:r>
        <w:rPr>
          <w:sz w:val="28"/>
        </w:rPr>
        <w:t xml:space="preserve">the Bill </w:t>
      </w:r>
      <w:r>
        <w:rPr>
          <w:spacing w:val="-3"/>
          <w:sz w:val="28"/>
        </w:rPr>
        <w:t xml:space="preserve">is </w:t>
      </w:r>
      <w:r>
        <w:rPr>
          <w:sz w:val="28"/>
        </w:rPr>
        <w:t xml:space="preserve">passed into </w:t>
      </w:r>
      <w:r>
        <w:rPr>
          <w:spacing w:val="-3"/>
          <w:sz w:val="28"/>
        </w:rPr>
        <w:t xml:space="preserve">law, </w:t>
      </w:r>
      <w:r>
        <w:rPr>
          <w:sz w:val="28"/>
        </w:rPr>
        <w:t xml:space="preserve">be accomplished through the creation of two new types of EU citizenship </w:t>
      </w:r>
      <w:r>
        <w:rPr>
          <w:spacing w:val="2"/>
          <w:sz w:val="28"/>
        </w:rPr>
        <w:t xml:space="preserve">for </w:t>
      </w:r>
      <w:r>
        <w:rPr>
          <w:sz w:val="28"/>
        </w:rPr>
        <w:t xml:space="preserve">the purposes </w:t>
      </w:r>
      <w:r>
        <w:rPr>
          <w:spacing w:val="-4"/>
          <w:sz w:val="28"/>
        </w:rPr>
        <w:t xml:space="preserve">of </w:t>
      </w:r>
      <w:r>
        <w:rPr>
          <w:sz w:val="28"/>
        </w:rPr>
        <w:t>UK elections law: ‘a qualifying EU citizen’ and ‘an EU citizen with retained rights’</w:t>
      </w:r>
      <w:r>
        <w:rPr>
          <w:sz w:val="28"/>
          <w:vertAlign w:val="superscript"/>
        </w:rPr>
        <w:t>2</w:t>
      </w:r>
      <w:r>
        <w:rPr>
          <w:sz w:val="28"/>
        </w:rPr>
        <w:t xml:space="preserve">, </w:t>
      </w:r>
      <w:r>
        <w:rPr>
          <w:spacing w:val="-3"/>
          <w:sz w:val="28"/>
        </w:rPr>
        <w:t xml:space="preserve">in </w:t>
      </w:r>
      <w:r>
        <w:rPr>
          <w:sz w:val="28"/>
        </w:rPr>
        <w:t>addition to a category of EU citizens who do not fall into either of these</w:t>
      </w:r>
      <w:r>
        <w:rPr>
          <w:sz w:val="28"/>
        </w:rPr>
        <w:t xml:space="preserve"> two categories. Only those EU citizens who fall into one or other of these two new categories will be able to </w:t>
      </w:r>
      <w:r>
        <w:rPr>
          <w:spacing w:val="2"/>
          <w:sz w:val="28"/>
        </w:rPr>
        <w:t xml:space="preserve">stand </w:t>
      </w:r>
      <w:r>
        <w:rPr>
          <w:sz w:val="28"/>
        </w:rPr>
        <w:t xml:space="preserve">or vote </w:t>
      </w:r>
      <w:r>
        <w:rPr>
          <w:spacing w:val="-3"/>
          <w:sz w:val="28"/>
        </w:rPr>
        <w:t xml:space="preserve">in </w:t>
      </w:r>
      <w:r>
        <w:rPr>
          <w:sz w:val="28"/>
        </w:rPr>
        <w:t>Northern Ireland District Council and Assembly</w:t>
      </w:r>
      <w:r>
        <w:rPr>
          <w:spacing w:val="-9"/>
          <w:sz w:val="28"/>
        </w:rPr>
        <w:t xml:space="preserve"> </w:t>
      </w:r>
      <w:r>
        <w:rPr>
          <w:sz w:val="28"/>
        </w:rPr>
        <w:t>elections.</w:t>
      </w:r>
    </w:p>
    <w:p w14:paraId="07AFC47B" w14:textId="77777777" w:rsidR="00257A79" w:rsidRDefault="00257A79">
      <w:pPr>
        <w:pStyle w:val="BodyText"/>
        <w:rPr>
          <w:sz w:val="20"/>
        </w:rPr>
      </w:pPr>
    </w:p>
    <w:p w14:paraId="7D116943" w14:textId="77777777" w:rsidR="00257A79" w:rsidRDefault="00257A79">
      <w:pPr>
        <w:pStyle w:val="BodyText"/>
        <w:rPr>
          <w:sz w:val="20"/>
        </w:rPr>
      </w:pPr>
    </w:p>
    <w:p w14:paraId="20003397" w14:textId="77777777" w:rsidR="00257A79" w:rsidRDefault="00257A79">
      <w:pPr>
        <w:pStyle w:val="BodyText"/>
        <w:rPr>
          <w:sz w:val="20"/>
        </w:rPr>
      </w:pPr>
    </w:p>
    <w:p w14:paraId="42C7F242" w14:textId="2D5E4F65" w:rsidR="00257A79" w:rsidRDefault="00B472E1">
      <w:pPr>
        <w:pStyle w:val="BodyText"/>
        <w:spacing w:before="8"/>
        <w:rPr>
          <w:sz w:val="12"/>
        </w:rPr>
      </w:pPr>
      <w:r>
        <w:rPr>
          <w:noProof/>
        </w:rPr>
        <mc:AlternateContent>
          <mc:Choice Requires="wps">
            <w:drawing>
              <wp:anchor distT="0" distB="0" distL="0" distR="0" simplePos="0" relativeHeight="487588352" behindDoc="1" locked="0" layoutInCell="1" allowOverlap="1" wp14:anchorId="36A6B42D" wp14:editId="03B76304">
                <wp:simplePos x="0" y="0"/>
                <wp:positionH relativeFrom="page">
                  <wp:posOffset>915035</wp:posOffset>
                </wp:positionH>
                <wp:positionV relativeFrom="paragraph">
                  <wp:posOffset>123190</wp:posOffset>
                </wp:positionV>
                <wp:extent cx="1830705" cy="6350"/>
                <wp:effectExtent l="0" t="0" r="0" b="0"/>
                <wp:wrapTopAndBottom/>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7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2DE57" id="Rectangle 6" o:spid="_x0000_s1026" style="position:absolute;margin-left:72.05pt;margin-top:9.7pt;width:144.1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" fillcolor="black" stroked="f">
                <w10:wrap type="topAndBottom" anchorx="page"/>
              </v:rect>
            </w:pict>
          </mc:Fallback>
        </mc:AlternateContent>
      </w:r>
    </w:p>
    <w:p w14:paraId="0BA5B5FB" w14:textId="77777777" w:rsidR="00257A79" w:rsidRDefault="00B472E1">
      <w:pPr>
        <w:spacing w:before="84" w:line="235" w:lineRule="auto"/>
        <w:ind w:left="180" w:right="444"/>
        <w:rPr>
          <w:sz w:val="20"/>
        </w:rPr>
      </w:pPr>
      <w:r>
        <w:rPr>
          <w:sz w:val="20"/>
          <w:vertAlign w:val="superscript"/>
        </w:rPr>
        <w:t>1</w:t>
      </w:r>
      <w:r>
        <w:rPr>
          <w:sz w:val="20"/>
        </w:rPr>
        <w:t xml:space="preserve"> </w:t>
      </w:r>
      <w:hyperlink r:id="rId16">
        <w:r>
          <w:rPr>
            <w:color w:val="0462C1"/>
            <w:sz w:val="20"/>
            <w:u w:val="single" w:color="0462C1"/>
          </w:rPr>
          <w:t>Belfast (Good Friday) Agreement</w:t>
        </w:r>
      </w:hyperlink>
      <w:r>
        <w:rPr>
          <w:sz w:val="20"/>
        </w:rPr>
        <w:t>, 10 April 1998, at Rights Safeguards and Equality of Opportunity, Human Rights, paragraph 1</w:t>
      </w:r>
    </w:p>
    <w:p w14:paraId="6F431627" w14:textId="77777777" w:rsidR="00257A79" w:rsidRDefault="00B472E1">
      <w:pPr>
        <w:spacing w:before="12" w:line="235" w:lineRule="auto"/>
        <w:ind w:left="180" w:right="198"/>
        <w:rPr>
          <w:sz w:val="20"/>
        </w:rPr>
      </w:pPr>
      <w:r>
        <w:rPr>
          <w:sz w:val="20"/>
          <w:vertAlign w:val="superscript"/>
        </w:rPr>
        <w:t>2</w:t>
      </w:r>
      <w:r>
        <w:rPr>
          <w:sz w:val="20"/>
        </w:rPr>
        <w:t xml:space="preserve"> A ‘qualifying EU citizen’ is one who is a citizen of an EU state with which the UK has a reciprocal voting treaty with another country, whereas an ‘EU citizen with retained rights’ is one who was resident in the UK, Jersey, Guernsey, or the Isle of Man, p</w:t>
      </w:r>
      <w:r>
        <w:rPr>
          <w:sz w:val="20"/>
        </w:rPr>
        <w:t>rior to the end of the transition period and holds lawful immigration status.</w:t>
      </w:r>
    </w:p>
    <w:p w14:paraId="7BB5CA4E" w14:textId="77777777" w:rsidR="00257A79" w:rsidRDefault="00257A79">
      <w:pPr>
        <w:spacing w:line="235" w:lineRule="auto"/>
        <w:rPr>
          <w:sz w:val="20"/>
        </w:rPr>
        <w:sectPr w:rsidR="00257A79">
          <w:pgSz w:w="11910" w:h="16840"/>
          <w:pgMar w:top="1420" w:right="1320" w:bottom="1200" w:left="1260" w:header="0" w:footer="1011" w:gutter="0"/>
          <w:cols w:space="720"/>
        </w:sectPr>
      </w:pPr>
    </w:p>
    <w:p w14:paraId="081F0129" w14:textId="77777777" w:rsidR="00257A79" w:rsidRDefault="00B472E1">
      <w:pPr>
        <w:pStyle w:val="ListParagraph"/>
        <w:numPr>
          <w:ilvl w:val="1"/>
          <w:numId w:val="2"/>
        </w:numPr>
        <w:tabs>
          <w:tab w:val="left" w:pos="891"/>
          <w:tab w:val="left" w:pos="892"/>
        </w:tabs>
        <w:spacing w:before="24"/>
        <w:ind w:left="891" w:right="229" w:hanging="711"/>
        <w:rPr>
          <w:sz w:val="28"/>
        </w:rPr>
      </w:pPr>
      <w:r>
        <w:rPr>
          <w:sz w:val="28"/>
        </w:rPr>
        <w:lastRenderedPageBreak/>
        <w:t xml:space="preserve">Part 3 of Schedule 8 provides </w:t>
      </w:r>
      <w:r>
        <w:rPr>
          <w:spacing w:val="2"/>
          <w:sz w:val="28"/>
        </w:rPr>
        <w:t xml:space="preserve">for </w:t>
      </w:r>
      <w:r>
        <w:rPr>
          <w:sz w:val="28"/>
        </w:rPr>
        <w:t xml:space="preserve">the specific amendments that apply these eligibility criteria to certain elections </w:t>
      </w:r>
      <w:r>
        <w:rPr>
          <w:spacing w:val="-3"/>
          <w:sz w:val="28"/>
        </w:rPr>
        <w:t xml:space="preserve">in </w:t>
      </w:r>
      <w:r>
        <w:rPr>
          <w:sz w:val="28"/>
        </w:rPr>
        <w:t>Northern Ireland. Paragraph 7 amends the</w:t>
      </w:r>
      <w:r>
        <w:rPr>
          <w:sz w:val="28"/>
        </w:rPr>
        <w:t xml:space="preserve"> Electoral </w:t>
      </w:r>
      <w:r>
        <w:rPr>
          <w:spacing w:val="2"/>
          <w:sz w:val="28"/>
        </w:rPr>
        <w:t xml:space="preserve">Law </w:t>
      </w:r>
      <w:r>
        <w:rPr>
          <w:sz w:val="28"/>
        </w:rPr>
        <w:t>Act (Northern Ireland) 1962; paragraph 8 amends the Local Government Act (Northern Ireland)</w:t>
      </w:r>
      <w:r>
        <w:rPr>
          <w:spacing w:val="-38"/>
          <w:sz w:val="28"/>
        </w:rPr>
        <w:t xml:space="preserve"> </w:t>
      </w:r>
      <w:r>
        <w:rPr>
          <w:sz w:val="28"/>
        </w:rPr>
        <w:t>1972; and paragraph 9 amends the Elected Authorities (Northern Ireland) Act 1989. We understand that the effect of these paragraphs is, taken togethe</w:t>
      </w:r>
      <w:r>
        <w:rPr>
          <w:sz w:val="28"/>
        </w:rPr>
        <w:t xml:space="preserve">r, to restrict the ability to stand and to vote </w:t>
      </w:r>
      <w:r>
        <w:rPr>
          <w:spacing w:val="-3"/>
          <w:sz w:val="28"/>
        </w:rPr>
        <w:t xml:space="preserve">in </w:t>
      </w:r>
      <w:r>
        <w:rPr>
          <w:sz w:val="28"/>
        </w:rPr>
        <w:t xml:space="preserve">future District Council Elections </w:t>
      </w:r>
      <w:r>
        <w:rPr>
          <w:spacing w:val="-3"/>
          <w:sz w:val="28"/>
        </w:rPr>
        <w:t xml:space="preserve">in </w:t>
      </w:r>
      <w:r>
        <w:rPr>
          <w:sz w:val="28"/>
        </w:rPr>
        <w:t xml:space="preserve">Northern Ireland to the two </w:t>
      </w:r>
      <w:r>
        <w:rPr>
          <w:spacing w:val="4"/>
          <w:sz w:val="28"/>
        </w:rPr>
        <w:t xml:space="preserve">new </w:t>
      </w:r>
      <w:r>
        <w:rPr>
          <w:sz w:val="28"/>
        </w:rPr>
        <w:t>categories of EU citizens.</w:t>
      </w:r>
    </w:p>
    <w:p w14:paraId="287C27E3" w14:textId="77777777" w:rsidR="00257A79" w:rsidRDefault="00B472E1">
      <w:pPr>
        <w:pStyle w:val="ListParagraph"/>
        <w:numPr>
          <w:ilvl w:val="1"/>
          <w:numId w:val="2"/>
        </w:numPr>
        <w:tabs>
          <w:tab w:val="left" w:pos="891"/>
          <w:tab w:val="left" w:pos="892"/>
        </w:tabs>
        <w:spacing w:before="246"/>
        <w:ind w:left="891" w:right="691" w:hanging="711"/>
        <w:rPr>
          <w:sz w:val="28"/>
        </w:rPr>
      </w:pPr>
      <w:r>
        <w:rPr>
          <w:sz w:val="28"/>
        </w:rPr>
        <w:t xml:space="preserve">Paragraphs 10 and 11 amend the Northern Ireland Act 1998 and the Northern Ireland Assembly (Elections) Order </w:t>
      </w:r>
      <w:r>
        <w:rPr>
          <w:sz w:val="28"/>
        </w:rPr>
        <w:t xml:space="preserve">2001 respectively to accomplish the same result </w:t>
      </w:r>
      <w:r>
        <w:rPr>
          <w:spacing w:val="-3"/>
          <w:sz w:val="28"/>
        </w:rPr>
        <w:t xml:space="preserve">with </w:t>
      </w:r>
      <w:r>
        <w:rPr>
          <w:sz w:val="28"/>
        </w:rPr>
        <w:t>regard to elections to the Northern Ireland</w:t>
      </w:r>
      <w:r>
        <w:rPr>
          <w:spacing w:val="-2"/>
          <w:sz w:val="28"/>
        </w:rPr>
        <w:t xml:space="preserve"> </w:t>
      </w:r>
      <w:r>
        <w:rPr>
          <w:sz w:val="28"/>
        </w:rPr>
        <w:t>Assembly.</w:t>
      </w:r>
    </w:p>
    <w:p w14:paraId="3E12E676" w14:textId="77777777" w:rsidR="00257A79" w:rsidRDefault="00B472E1">
      <w:pPr>
        <w:pStyle w:val="ListParagraph"/>
        <w:numPr>
          <w:ilvl w:val="1"/>
          <w:numId w:val="2"/>
        </w:numPr>
        <w:tabs>
          <w:tab w:val="left" w:pos="891"/>
          <w:tab w:val="left" w:pos="892"/>
        </w:tabs>
        <w:spacing w:before="234" w:line="242" w:lineRule="auto"/>
        <w:ind w:left="891" w:right="902" w:hanging="711"/>
        <w:rPr>
          <w:sz w:val="28"/>
        </w:rPr>
      </w:pPr>
      <w:r>
        <w:rPr>
          <w:sz w:val="28"/>
        </w:rPr>
        <w:t xml:space="preserve">Paragraphs 12 and 13 provide </w:t>
      </w:r>
      <w:r>
        <w:rPr>
          <w:spacing w:val="2"/>
          <w:sz w:val="28"/>
        </w:rPr>
        <w:t xml:space="preserve">for </w:t>
      </w:r>
      <w:r>
        <w:rPr>
          <w:sz w:val="28"/>
        </w:rPr>
        <w:t>transitional arrangements</w:t>
      </w:r>
      <w:r>
        <w:rPr>
          <w:spacing w:val="-46"/>
          <w:sz w:val="28"/>
        </w:rPr>
        <w:t xml:space="preserve"> </w:t>
      </w:r>
      <w:r>
        <w:rPr>
          <w:sz w:val="28"/>
        </w:rPr>
        <w:t xml:space="preserve">which enable </w:t>
      </w:r>
      <w:r>
        <w:rPr>
          <w:spacing w:val="-3"/>
          <w:sz w:val="28"/>
        </w:rPr>
        <w:t xml:space="preserve">an </w:t>
      </w:r>
      <w:r>
        <w:rPr>
          <w:sz w:val="28"/>
        </w:rPr>
        <w:t>EU citizen elected to these bodies before the new arrangements come into f</w:t>
      </w:r>
      <w:r>
        <w:rPr>
          <w:sz w:val="28"/>
        </w:rPr>
        <w:t>orce to serve their full term of</w:t>
      </w:r>
      <w:r>
        <w:rPr>
          <w:spacing w:val="-19"/>
          <w:sz w:val="28"/>
        </w:rPr>
        <w:t xml:space="preserve"> </w:t>
      </w:r>
      <w:r>
        <w:rPr>
          <w:sz w:val="28"/>
        </w:rPr>
        <w:t>office.</w:t>
      </w:r>
    </w:p>
    <w:p w14:paraId="76202324" w14:textId="77777777" w:rsidR="00257A79" w:rsidRDefault="00B472E1">
      <w:pPr>
        <w:pStyle w:val="Heading2"/>
        <w:spacing w:before="227"/>
        <w:rPr>
          <w:u w:val="none"/>
        </w:rPr>
      </w:pPr>
      <w:bookmarkStart w:id="5" w:name="_bookmark5"/>
      <w:bookmarkEnd w:id="5"/>
      <w:r>
        <w:rPr>
          <w:rFonts w:ascii="Times New Roman" w:hAnsi="Times New Roman"/>
          <w:b w:val="0"/>
          <w:i w:val="0"/>
          <w:spacing w:val="-80"/>
        </w:rPr>
        <w:t xml:space="preserve"> </w:t>
      </w:r>
      <w:r>
        <w:t xml:space="preserve">Bill’s provisions and compliance </w:t>
      </w:r>
      <w:r>
        <w:rPr>
          <w:spacing w:val="-3"/>
        </w:rPr>
        <w:t xml:space="preserve">with </w:t>
      </w:r>
      <w:r>
        <w:t>Article 2</w:t>
      </w:r>
    </w:p>
    <w:p w14:paraId="49F119F5" w14:textId="77777777" w:rsidR="00257A79" w:rsidRDefault="00257A79">
      <w:pPr>
        <w:pStyle w:val="BodyText"/>
        <w:spacing w:before="9"/>
        <w:rPr>
          <w:b/>
          <w:i/>
          <w:sz w:val="16"/>
        </w:rPr>
      </w:pPr>
    </w:p>
    <w:p w14:paraId="417DABD6" w14:textId="77777777" w:rsidR="00257A79" w:rsidRDefault="00B472E1">
      <w:pPr>
        <w:pStyle w:val="ListParagraph"/>
        <w:numPr>
          <w:ilvl w:val="1"/>
          <w:numId w:val="2"/>
        </w:numPr>
        <w:tabs>
          <w:tab w:val="left" w:pos="891"/>
          <w:tab w:val="left" w:pos="892"/>
        </w:tabs>
        <w:spacing w:before="43"/>
        <w:ind w:left="891" w:right="221" w:hanging="711"/>
        <w:rPr>
          <w:sz w:val="28"/>
        </w:rPr>
      </w:pPr>
      <w:r>
        <w:rPr>
          <w:sz w:val="28"/>
        </w:rPr>
        <w:t xml:space="preserve">The UK Government has indicated, </w:t>
      </w:r>
      <w:r>
        <w:rPr>
          <w:spacing w:val="-3"/>
          <w:sz w:val="28"/>
        </w:rPr>
        <w:t xml:space="preserve">as </w:t>
      </w:r>
      <w:r>
        <w:rPr>
          <w:sz w:val="28"/>
        </w:rPr>
        <w:t xml:space="preserve">set out </w:t>
      </w:r>
      <w:r>
        <w:rPr>
          <w:spacing w:val="-3"/>
          <w:sz w:val="28"/>
        </w:rPr>
        <w:t xml:space="preserve">in </w:t>
      </w:r>
      <w:r>
        <w:rPr>
          <w:sz w:val="28"/>
        </w:rPr>
        <w:t xml:space="preserve">its Explainer Document (2020), that </w:t>
      </w:r>
      <w:r>
        <w:rPr>
          <w:spacing w:val="-3"/>
          <w:sz w:val="28"/>
        </w:rPr>
        <w:t xml:space="preserve">in </w:t>
      </w:r>
      <w:r>
        <w:rPr>
          <w:sz w:val="28"/>
        </w:rPr>
        <w:t xml:space="preserve">order to establish a violation of Article 2, the alleged violation must relate to a right contained within the Rights, Safeguards and Equality of Opportunity section of the Belfast </w:t>
      </w:r>
      <w:r>
        <w:rPr>
          <w:spacing w:val="2"/>
          <w:sz w:val="28"/>
        </w:rPr>
        <w:t xml:space="preserve">(Good </w:t>
      </w:r>
      <w:r>
        <w:rPr>
          <w:sz w:val="28"/>
        </w:rPr>
        <w:t>Friday) Agreement 1998</w:t>
      </w:r>
      <w:r>
        <w:rPr>
          <w:sz w:val="28"/>
          <w:vertAlign w:val="superscript"/>
        </w:rPr>
        <w:t>3</w:t>
      </w:r>
      <w:r>
        <w:rPr>
          <w:sz w:val="28"/>
        </w:rPr>
        <w:t xml:space="preserve">. The right must have been enshrined </w:t>
      </w:r>
      <w:r>
        <w:rPr>
          <w:spacing w:val="-3"/>
          <w:sz w:val="28"/>
        </w:rPr>
        <w:t xml:space="preserve">in </w:t>
      </w:r>
      <w:r>
        <w:rPr>
          <w:sz w:val="28"/>
        </w:rPr>
        <w:t>the do</w:t>
      </w:r>
      <w:r>
        <w:rPr>
          <w:sz w:val="28"/>
        </w:rPr>
        <w:t xml:space="preserve">mestic </w:t>
      </w:r>
      <w:r>
        <w:rPr>
          <w:spacing w:val="-3"/>
          <w:sz w:val="28"/>
        </w:rPr>
        <w:t xml:space="preserve">legal </w:t>
      </w:r>
      <w:r>
        <w:rPr>
          <w:sz w:val="28"/>
        </w:rPr>
        <w:t xml:space="preserve">order </w:t>
      </w:r>
      <w:r>
        <w:rPr>
          <w:spacing w:val="-3"/>
          <w:sz w:val="28"/>
        </w:rPr>
        <w:t xml:space="preserve">in </w:t>
      </w:r>
      <w:r>
        <w:rPr>
          <w:sz w:val="28"/>
        </w:rPr>
        <w:t>Northern Ireland before the end of the transition period</w:t>
      </w:r>
      <w:r>
        <w:rPr>
          <w:sz w:val="28"/>
          <w:vertAlign w:val="superscript"/>
        </w:rPr>
        <w:t>4</w:t>
      </w:r>
      <w:r>
        <w:rPr>
          <w:sz w:val="28"/>
        </w:rPr>
        <w:t xml:space="preserve"> and any diminution of one or more rights must have occurred </w:t>
      </w:r>
      <w:r>
        <w:rPr>
          <w:spacing w:val="-3"/>
          <w:sz w:val="28"/>
        </w:rPr>
        <w:t xml:space="preserve">as </w:t>
      </w:r>
      <w:r>
        <w:rPr>
          <w:sz w:val="28"/>
        </w:rPr>
        <w:t>a</w:t>
      </w:r>
      <w:r>
        <w:rPr>
          <w:spacing w:val="-36"/>
          <w:sz w:val="28"/>
        </w:rPr>
        <w:t xml:space="preserve"> </w:t>
      </w:r>
      <w:r>
        <w:rPr>
          <w:sz w:val="28"/>
        </w:rPr>
        <w:t>result of the UK’s withdrawal from the</w:t>
      </w:r>
      <w:r>
        <w:rPr>
          <w:spacing w:val="-15"/>
          <w:sz w:val="28"/>
        </w:rPr>
        <w:t xml:space="preserve"> </w:t>
      </w:r>
      <w:r>
        <w:rPr>
          <w:sz w:val="28"/>
        </w:rPr>
        <w:t>EU</w:t>
      </w:r>
      <w:r>
        <w:rPr>
          <w:sz w:val="28"/>
          <w:vertAlign w:val="superscript"/>
        </w:rPr>
        <w:t>5</w:t>
      </w:r>
      <w:r>
        <w:rPr>
          <w:sz w:val="28"/>
        </w:rPr>
        <w:t>.</w:t>
      </w:r>
    </w:p>
    <w:p w14:paraId="0D3616CC" w14:textId="77777777" w:rsidR="00257A79" w:rsidRDefault="00B472E1">
      <w:pPr>
        <w:pStyle w:val="ListParagraph"/>
        <w:numPr>
          <w:ilvl w:val="1"/>
          <w:numId w:val="2"/>
        </w:numPr>
        <w:tabs>
          <w:tab w:val="left" w:pos="891"/>
          <w:tab w:val="left" w:pos="892"/>
        </w:tabs>
        <w:spacing w:before="238"/>
        <w:ind w:left="891" w:right="401" w:hanging="711"/>
        <w:rPr>
          <w:sz w:val="28"/>
        </w:rPr>
      </w:pPr>
      <w:r>
        <w:rPr>
          <w:sz w:val="28"/>
        </w:rPr>
        <w:t xml:space="preserve">In the context of rights of voting/candidacy rights of EU citizens </w:t>
      </w:r>
      <w:r>
        <w:rPr>
          <w:spacing w:val="-3"/>
          <w:sz w:val="28"/>
        </w:rPr>
        <w:t xml:space="preserve">in </w:t>
      </w:r>
      <w:r>
        <w:rPr>
          <w:sz w:val="28"/>
        </w:rPr>
        <w:t>Northern Ireland, and the UK Government’s obligations under Article</w:t>
      </w:r>
      <w:r>
        <w:rPr>
          <w:spacing w:val="-42"/>
          <w:sz w:val="28"/>
        </w:rPr>
        <w:t xml:space="preserve"> </w:t>
      </w:r>
      <w:r>
        <w:rPr>
          <w:sz w:val="28"/>
        </w:rPr>
        <w:t xml:space="preserve">2 (1), we consider that several provisions of the relevant Belfast </w:t>
      </w:r>
      <w:r>
        <w:rPr>
          <w:spacing w:val="2"/>
          <w:sz w:val="28"/>
        </w:rPr>
        <w:t xml:space="preserve">(Good </w:t>
      </w:r>
      <w:r>
        <w:rPr>
          <w:sz w:val="28"/>
        </w:rPr>
        <w:t>Friday) Agreement rights are engaged.</w:t>
      </w:r>
    </w:p>
    <w:p w14:paraId="6F1552B8" w14:textId="77777777" w:rsidR="00257A79" w:rsidRDefault="00B472E1">
      <w:pPr>
        <w:pStyle w:val="ListParagraph"/>
        <w:numPr>
          <w:ilvl w:val="1"/>
          <w:numId w:val="2"/>
        </w:numPr>
        <w:tabs>
          <w:tab w:val="left" w:pos="891"/>
          <w:tab w:val="left" w:pos="892"/>
        </w:tabs>
        <w:spacing w:before="244" w:line="341" w:lineRule="exact"/>
        <w:ind w:hanging="712"/>
        <w:rPr>
          <w:sz w:val="28"/>
        </w:rPr>
      </w:pPr>
      <w:r>
        <w:rPr>
          <w:sz w:val="28"/>
        </w:rPr>
        <w:t>The fir</w:t>
      </w:r>
      <w:r>
        <w:rPr>
          <w:sz w:val="28"/>
        </w:rPr>
        <w:t>st paragraph of the relevant part of the 1998 Agreement</w:t>
      </w:r>
      <w:r>
        <w:rPr>
          <w:spacing w:val="-42"/>
          <w:sz w:val="28"/>
        </w:rPr>
        <w:t xml:space="preserve"> </w:t>
      </w:r>
      <w:r>
        <w:rPr>
          <w:sz w:val="28"/>
        </w:rPr>
        <w:t>consists</w:t>
      </w:r>
    </w:p>
    <w:p w14:paraId="2013490B" w14:textId="77777777" w:rsidR="00257A79" w:rsidRDefault="00B472E1">
      <w:pPr>
        <w:spacing w:line="341" w:lineRule="exact"/>
        <w:ind w:left="891"/>
        <w:rPr>
          <w:i/>
          <w:sz w:val="28"/>
        </w:rPr>
      </w:pPr>
      <w:r>
        <w:rPr>
          <w:sz w:val="28"/>
        </w:rPr>
        <w:t>of a general provision protecting the ‘</w:t>
      </w:r>
      <w:r>
        <w:rPr>
          <w:i/>
          <w:sz w:val="28"/>
        </w:rPr>
        <w:t xml:space="preserve">civil rights’ </w:t>
      </w:r>
      <w:r>
        <w:rPr>
          <w:sz w:val="28"/>
        </w:rPr>
        <w:t xml:space="preserve">of </w:t>
      </w:r>
      <w:r>
        <w:rPr>
          <w:i/>
          <w:sz w:val="28"/>
        </w:rPr>
        <w:t>‘everyone in the</w:t>
      </w:r>
    </w:p>
    <w:p w14:paraId="1EE5E990" w14:textId="7483C4A1" w:rsidR="00257A79" w:rsidRDefault="00B472E1">
      <w:pPr>
        <w:pStyle w:val="BodyText"/>
        <w:spacing w:before="1"/>
        <w:rPr>
          <w:i/>
          <w:sz w:val="20"/>
        </w:rPr>
      </w:pPr>
      <w:r>
        <w:rPr>
          <w:noProof/>
        </w:rPr>
        <mc:AlternateContent>
          <mc:Choice Requires="wps">
            <w:drawing>
              <wp:anchor distT="0" distB="0" distL="0" distR="0" simplePos="0" relativeHeight="487588864" behindDoc="1" locked="0" layoutInCell="1" allowOverlap="1" wp14:anchorId="345AE855" wp14:editId="23790363">
                <wp:simplePos x="0" y="0"/>
                <wp:positionH relativeFrom="page">
                  <wp:posOffset>915035</wp:posOffset>
                </wp:positionH>
                <wp:positionV relativeFrom="paragraph">
                  <wp:posOffset>180975</wp:posOffset>
                </wp:positionV>
                <wp:extent cx="1830705" cy="6350"/>
                <wp:effectExtent l="0" t="0" r="0" b="0"/>
                <wp:wrapTopAndBottom/>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7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5233F4" id="Rectangle 5" o:spid="_x0000_s1026" style="position:absolute;margin-left:72.05pt;margin-top:14.25pt;width:144.15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" fillcolor="black" stroked="f">
                <w10:wrap type="topAndBottom" anchorx="page"/>
              </v:rect>
            </w:pict>
          </mc:Fallback>
        </mc:AlternateContent>
      </w:r>
    </w:p>
    <w:p w14:paraId="753E067C" w14:textId="77777777" w:rsidR="00257A79" w:rsidRDefault="00B472E1">
      <w:pPr>
        <w:spacing w:before="81" w:line="295" w:lineRule="auto"/>
        <w:ind w:left="180" w:right="444"/>
        <w:rPr>
          <w:sz w:val="20"/>
        </w:rPr>
      </w:pPr>
      <w:r>
        <w:rPr>
          <w:sz w:val="20"/>
          <w:vertAlign w:val="superscript"/>
        </w:rPr>
        <w:t>3</w:t>
      </w:r>
      <w:r>
        <w:rPr>
          <w:sz w:val="20"/>
        </w:rPr>
        <w:t xml:space="preserve"> </w:t>
      </w:r>
      <w:hyperlink r:id="rId17">
        <w:r>
          <w:rPr>
            <w:color w:val="0462C1"/>
            <w:sz w:val="20"/>
            <w:u w:val="single" w:color="0462C1"/>
          </w:rPr>
          <w:t>Belfast (Good Friday) Agreemen</w:t>
        </w:r>
        <w:r>
          <w:rPr>
            <w:color w:val="0462C1"/>
            <w:sz w:val="20"/>
            <w:u w:val="single" w:color="0462C1"/>
          </w:rPr>
          <w:t>t</w:t>
        </w:r>
      </w:hyperlink>
      <w:r>
        <w:rPr>
          <w:sz w:val="20"/>
        </w:rPr>
        <w:t>, 10 April 1998, at Rights Safeguards and Equality of Opportunity, Human Rights, paragraph 1</w:t>
      </w:r>
    </w:p>
    <w:p w14:paraId="678BC6B2" w14:textId="77777777" w:rsidR="00257A79" w:rsidRDefault="00B472E1">
      <w:pPr>
        <w:spacing w:line="234" w:lineRule="exact"/>
        <w:ind w:left="180"/>
        <w:rPr>
          <w:sz w:val="20"/>
        </w:rPr>
      </w:pPr>
      <w:r>
        <w:rPr>
          <w:sz w:val="20"/>
          <w:vertAlign w:val="superscript"/>
        </w:rPr>
        <w:t>4</w:t>
      </w:r>
      <w:r>
        <w:rPr>
          <w:sz w:val="20"/>
        </w:rPr>
        <w:t xml:space="preserve"> UK Government, </w:t>
      </w:r>
      <w:hyperlink r:id="rId18">
        <w:r>
          <w:rPr>
            <w:sz w:val="20"/>
          </w:rPr>
          <w:t>“</w:t>
        </w:r>
        <w:r>
          <w:rPr>
            <w:color w:val="0462C1"/>
            <w:sz w:val="20"/>
            <w:u w:val="single" w:color="0462C1"/>
          </w:rPr>
          <w:t xml:space="preserve">Explainer: UK Government commitment </w:t>
        </w:r>
        <w:r>
          <w:rPr>
            <w:color w:val="0462C1"/>
            <w:sz w:val="20"/>
            <w:u w:val="single" w:color="0462C1"/>
          </w:rPr>
          <w:t>to no diminution of rights, safeguards and equality</w:t>
        </w:r>
      </w:hyperlink>
    </w:p>
    <w:p w14:paraId="78527A0B" w14:textId="77777777" w:rsidR="00257A79" w:rsidRDefault="00B472E1">
      <w:pPr>
        <w:spacing w:before="46"/>
        <w:ind w:left="180"/>
        <w:rPr>
          <w:sz w:val="20"/>
        </w:rPr>
      </w:pPr>
      <w:hyperlink r:id="rId19">
        <w:r>
          <w:rPr>
            <w:color w:val="0462C1"/>
            <w:sz w:val="20"/>
            <w:u w:val="single" w:color="0462C1"/>
          </w:rPr>
          <w:t>of opportunity in Northern Ireland</w:t>
        </w:r>
      </w:hyperlink>
      <w:r>
        <w:rPr>
          <w:sz w:val="20"/>
        </w:rPr>
        <w:t>” 7 August 2020, at para 10</w:t>
      </w:r>
    </w:p>
    <w:p w14:paraId="0F2100F8" w14:textId="77777777" w:rsidR="00257A79" w:rsidRDefault="00B472E1">
      <w:pPr>
        <w:spacing w:before="56"/>
        <w:ind w:left="180"/>
        <w:rPr>
          <w:sz w:val="20"/>
        </w:rPr>
      </w:pPr>
      <w:r>
        <w:rPr>
          <w:sz w:val="20"/>
          <w:vertAlign w:val="superscript"/>
        </w:rPr>
        <w:t>5</w:t>
      </w:r>
      <w:r>
        <w:rPr>
          <w:sz w:val="20"/>
        </w:rPr>
        <w:t xml:space="preserve"> Ibid</w:t>
      </w:r>
    </w:p>
    <w:p w14:paraId="002EDF13" w14:textId="77777777" w:rsidR="00257A79" w:rsidRDefault="00257A79">
      <w:pPr>
        <w:rPr>
          <w:sz w:val="20"/>
        </w:rPr>
        <w:sectPr w:rsidR="00257A79">
          <w:pgSz w:w="11910" w:h="16840"/>
          <w:pgMar w:top="1420" w:right="1320" w:bottom="1200" w:left="1260" w:header="0" w:footer="1011" w:gutter="0"/>
          <w:cols w:space="720"/>
        </w:sectPr>
      </w:pPr>
    </w:p>
    <w:p w14:paraId="21307920" w14:textId="77777777" w:rsidR="00257A79" w:rsidRDefault="00B472E1">
      <w:pPr>
        <w:pStyle w:val="BodyText"/>
        <w:spacing w:before="44"/>
        <w:ind w:left="891"/>
      </w:pPr>
      <w:r>
        <w:rPr>
          <w:i/>
        </w:rPr>
        <w:lastRenderedPageBreak/>
        <w:t>community</w:t>
      </w:r>
      <w:r>
        <w:t>’, which is then followed by a list of specific rights</w:t>
      </w:r>
      <w:r>
        <w:rPr>
          <w:vertAlign w:val="superscript"/>
        </w:rPr>
        <w:t>6</w:t>
      </w:r>
      <w:r>
        <w:t>. We consider that the right to vote/stand for election is encompassed within the term ‘civil rights’.</w:t>
      </w:r>
    </w:p>
    <w:p w14:paraId="5BA39452" w14:textId="77777777" w:rsidR="00257A79" w:rsidRDefault="00B472E1">
      <w:pPr>
        <w:pStyle w:val="ListParagraph"/>
        <w:numPr>
          <w:ilvl w:val="1"/>
          <w:numId w:val="2"/>
        </w:numPr>
        <w:tabs>
          <w:tab w:val="left" w:pos="891"/>
          <w:tab w:val="left" w:pos="892"/>
        </w:tabs>
        <w:spacing w:before="246"/>
        <w:ind w:left="891" w:right="337" w:hanging="711"/>
        <w:rPr>
          <w:sz w:val="28"/>
        </w:rPr>
      </w:pPr>
      <w:r>
        <w:rPr>
          <w:sz w:val="28"/>
        </w:rPr>
        <w:t xml:space="preserve">In addition, the Commissions consider that the following more specific rights are </w:t>
      </w:r>
      <w:r>
        <w:rPr>
          <w:spacing w:val="-3"/>
          <w:sz w:val="28"/>
        </w:rPr>
        <w:t xml:space="preserve">also </w:t>
      </w:r>
      <w:r>
        <w:rPr>
          <w:sz w:val="28"/>
        </w:rPr>
        <w:t>engaged: ‘</w:t>
      </w:r>
      <w:r>
        <w:rPr>
          <w:i/>
          <w:sz w:val="28"/>
        </w:rPr>
        <w:t xml:space="preserve">the right of free political thought’; ‘the right </w:t>
      </w:r>
      <w:r>
        <w:rPr>
          <w:i/>
          <w:spacing w:val="2"/>
          <w:sz w:val="28"/>
        </w:rPr>
        <w:t xml:space="preserve">to </w:t>
      </w:r>
      <w:r>
        <w:rPr>
          <w:i/>
          <w:sz w:val="28"/>
        </w:rPr>
        <w:t>pursue democratically national and political aspirations</w:t>
      </w:r>
      <w:r>
        <w:rPr>
          <w:sz w:val="28"/>
        </w:rPr>
        <w:t>’; ‘</w:t>
      </w:r>
      <w:r>
        <w:rPr>
          <w:i/>
          <w:sz w:val="28"/>
        </w:rPr>
        <w:t>the right to seek constitutional change by peac</w:t>
      </w:r>
      <w:r>
        <w:rPr>
          <w:i/>
          <w:sz w:val="28"/>
        </w:rPr>
        <w:t>eful and legitimate</w:t>
      </w:r>
      <w:r>
        <w:rPr>
          <w:i/>
          <w:spacing w:val="-23"/>
          <w:sz w:val="28"/>
        </w:rPr>
        <w:t xml:space="preserve"> </w:t>
      </w:r>
      <w:r>
        <w:rPr>
          <w:i/>
          <w:sz w:val="28"/>
        </w:rPr>
        <w:t>means</w:t>
      </w:r>
      <w:r>
        <w:rPr>
          <w:sz w:val="28"/>
        </w:rPr>
        <w:t>’.</w:t>
      </w:r>
    </w:p>
    <w:p w14:paraId="2D7DF1E5" w14:textId="77777777" w:rsidR="00257A79" w:rsidRDefault="00B472E1">
      <w:pPr>
        <w:pStyle w:val="ListParagraph"/>
        <w:numPr>
          <w:ilvl w:val="1"/>
          <w:numId w:val="2"/>
        </w:numPr>
        <w:tabs>
          <w:tab w:val="left" w:pos="891"/>
          <w:tab w:val="left" w:pos="892"/>
        </w:tabs>
        <w:spacing w:before="233"/>
        <w:ind w:left="891" w:right="181" w:hanging="711"/>
        <w:rPr>
          <w:sz w:val="28"/>
        </w:rPr>
      </w:pPr>
      <w:r>
        <w:rPr>
          <w:sz w:val="28"/>
        </w:rPr>
        <w:t xml:space="preserve">The rights protected by the relevant section of the Belfast </w:t>
      </w:r>
      <w:r>
        <w:rPr>
          <w:spacing w:val="2"/>
          <w:sz w:val="28"/>
        </w:rPr>
        <w:t xml:space="preserve">(Good </w:t>
      </w:r>
      <w:r>
        <w:rPr>
          <w:sz w:val="28"/>
        </w:rPr>
        <w:t>Friday) Agreement are to apply to ‘</w:t>
      </w:r>
      <w:r>
        <w:rPr>
          <w:i/>
          <w:sz w:val="28"/>
        </w:rPr>
        <w:t xml:space="preserve">everyone </w:t>
      </w:r>
      <w:r>
        <w:rPr>
          <w:i/>
          <w:spacing w:val="-3"/>
          <w:sz w:val="28"/>
        </w:rPr>
        <w:t xml:space="preserve">in the </w:t>
      </w:r>
      <w:r>
        <w:rPr>
          <w:i/>
          <w:sz w:val="28"/>
        </w:rPr>
        <w:t>community</w:t>
      </w:r>
      <w:r>
        <w:rPr>
          <w:sz w:val="28"/>
        </w:rPr>
        <w:t xml:space="preserve">’. We consider, </w:t>
      </w:r>
      <w:r>
        <w:rPr>
          <w:spacing w:val="-3"/>
          <w:sz w:val="28"/>
        </w:rPr>
        <w:t xml:space="preserve">in </w:t>
      </w:r>
      <w:r>
        <w:rPr>
          <w:sz w:val="28"/>
        </w:rPr>
        <w:t>the context of the Bill, that EU citizens (irrespective of whether they are Irish c</w:t>
      </w:r>
      <w:r>
        <w:rPr>
          <w:sz w:val="28"/>
        </w:rPr>
        <w:t xml:space="preserve">itizens or Commonwealth citizens), who are lawfully present </w:t>
      </w:r>
      <w:r>
        <w:rPr>
          <w:spacing w:val="-3"/>
          <w:sz w:val="28"/>
        </w:rPr>
        <w:t xml:space="preserve">in </w:t>
      </w:r>
      <w:r>
        <w:rPr>
          <w:sz w:val="28"/>
        </w:rPr>
        <w:t xml:space="preserve">the UK and who are currently resident </w:t>
      </w:r>
      <w:r>
        <w:rPr>
          <w:spacing w:val="-3"/>
          <w:sz w:val="28"/>
        </w:rPr>
        <w:t xml:space="preserve">in </w:t>
      </w:r>
      <w:r>
        <w:rPr>
          <w:sz w:val="28"/>
        </w:rPr>
        <w:t xml:space="preserve">Northern Ireland but arrived </w:t>
      </w:r>
      <w:r>
        <w:rPr>
          <w:spacing w:val="-3"/>
          <w:sz w:val="28"/>
        </w:rPr>
        <w:t xml:space="preserve">in </w:t>
      </w:r>
      <w:r>
        <w:rPr>
          <w:sz w:val="28"/>
        </w:rPr>
        <w:t>Northern Ireland after the end of the Brexit transition period, should be considered to be ‘</w:t>
      </w:r>
      <w:r>
        <w:rPr>
          <w:i/>
          <w:sz w:val="28"/>
        </w:rPr>
        <w:t xml:space="preserve">in the community’ </w:t>
      </w:r>
      <w:r>
        <w:rPr>
          <w:sz w:val="28"/>
        </w:rPr>
        <w:t>and that A</w:t>
      </w:r>
      <w:r>
        <w:rPr>
          <w:sz w:val="28"/>
        </w:rPr>
        <w:t>rticle 2 of the Protocol applies to protect their voting/candidacy</w:t>
      </w:r>
      <w:r>
        <w:rPr>
          <w:spacing w:val="-4"/>
          <w:sz w:val="28"/>
        </w:rPr>
        <w:t xml:space="preserve"> </w:t>
      </w:r>
      <w:r>
        <w:rPr>
          <w:sz w:val="28"/>
        </w:rPr>
        <w:t>rights.</w:t>
      </w:r>
    </w:p>
    <w:p w14:paraId="53B5AB71" w14:textId="77777777" w:rsidR="00257A79" w:rsidRDefault="00B472E1">
      <w:pPr>
        <w:pStyle w:val="ListParagraph"/>
        <w:numPr>
          <w:ilvl w:val="1"/>
          <w:numId w:val="2"/>
        </w:numPr>
        <w:tabs>
          <w:tab w:val="left" w:pos="892"/>
        </w:tabs>
        <w:spacing w:before="248"/>
        <w:ind w:left="891" w:right="600" w:hanging="711"/>
        <w:jc w:val="both"/>
        <w:rPr>
          <w:sz w:val="28"/>
        </w:rPr>
      </w:pPr>
      <w:r>
        <w:rPr>
          <w:sz w:val="28"/>
        </w:rPr>
        <w:t>The</w:t>
      </w:r>
      <w:r>
        <w:rPr>
          <w:spacing w:val="-7"/>
          <w:sz w:val="28"/>
        </w:rPr>
        <w:t xml:space="preserve"> </w:t>
      </w:r>
      <w:r>
        <w:rPr>
          <w:sz w:val="28"/>
        </w:rPr>
        <w:t>relevant</w:t>
      </w:r>
      <w:r>
        <w:rPr>
          <w:spacing w:val="-11"/>
          <w:sz w:val="28"/>
        </w:rPr>
        <w:t xml:space="preserve"> </w:t>
      </w:r>
      <w:r>
        <w:rPr>
          <w:sz w:val="28"/>
        </w:rPr>
        <w:t>Belfast</w:t>
      </w:r>
      <w:r>
        <w:rPr>
          <w:spacing w:val="-10"/>
          <w:sz w:val="28"/>
        </w:rPr>
        <w:t xml:space="preserve"> </w:t>
      </w:r>
      <w:r>
        <w:rPr>
          <w:spacing w:val="2"/>
          <w:sz w:val="28"/>
        </w:rPr>
        <w:t>(Good</w:t>
      </w:r>
      <w:r>
        <w:rPr>
          <w:spacing w:val="-4"/>
          <w:sz w:val="28"/>
        </w:rPr>
        <w:t xml:space="preserve"> </w:t>
      </w:r>
      <w:r>
        <w:rPr>
          <w:sz w:val="28"/>
        </w:rPr>
        <w:t>Friday)</w:t>
      </w:r>
      <w:r>
        <w:rPr>
          <w:spacing w:val="-3"/>
          <w:sz w:val="28"/>
        </w:rPr>
        <w:t xml:space="preserve"> </w:t>
      </w:r>
      <w:r>
        <w:rPr>
          <w:sz w:val="28"/>
        </w:rPr>
        <w:t>Agreement</w:t>
      </w:r>
      <w:r>
        <w:rPr>
          <w:spacing w:val="-11"/>
          <w:sz w:val="28"/>
        </w:rPr>
        <w:t xml:space="preserve"> </w:t>
      </w:r>
      <w:r>
        <w:rPr>
          <w:sz w:val="28"/>
        </w:rPr>
        <w:t>rights</w:t>
      </w:r>
      <w:r>
        <w:rPr>
          <w:spacing w:val="3"/>
          <w:sz w:val="28"/>
        </w:rPr>
        <w:t xml:space="preserve"> </w:t>
      </w:r>
      <w:r>
        <w:rPr>
          <w:sz w:val="28"/>
        </w:rPr>
        <w:t>identified</w:t>
      </w:r>
      <w:r>
        <w:rPr>
          <w:spacing w:val="-4"/>
          <w:sz w:val="28"/>
        </w:rPr>
        <w:t xml:space="preserve"> </w:t>
      </w:r>
      <w:r>
        <w:rPr>
          <w:sz w:val="28"/>
        </w:rPr>
        <w:t xml:space="preserve">above were given effect </w:t>
      </w:r>
      <w:r>
        <w:rPr>
          <w:spacing w:val="-3"/>
          <w:sz w:val="28"/>
        </w:rPr>
        <w:t xml:space="preserve">in </w:t>
      </w:r>
      <w:r>
        <w:rPr>
          <w:sz w:val="28"/>
        </w:rPr>
        <w:t xml:space="preserve">the legal order </w:t>
      </w:r>
      <w:r>
        <w:rPr>
          <w:spacing w:val="-3"/>
          <w:sz w:val="28"/>
        </w:rPr>
        <w:t xml:space="preserve">in </w:t>
      </w:r>
      <w:r>
        <w:rPr>
          <w:sz w:val="28"/>
        </w:rPr>
        <w:t xml:space="preserve">Northern Ireland </w:t>
      </w:r>
      <w:r>
        <w:rPr>
          <w:spacing w:val="-3"/>
          <w:sz w:val="28"/>
        </w:rPr>
        <w:t xml:space="preserve">as </w:t>
      </w:r>
      <w:r>
        <w:rPr>
          <w:sz w:val="28"/>
        </w:rPr>
        <w:t>regards EU citizens’ voting rights prior to the end of the transition</w:t>
      </w:r>
      <w:r>
        <w:rPr>
          <w:spacing w:val="-16"/>
          <w:sz w:val="28"/>
        </w:rPr>
        <w:t xml:space="preserve"> </w:t>
      </w:r>
      <w:r>
        <w:rPr>
          <w:sz w:val="28"/>
        </w:rPr>
        <w:t>period</w:t>
      </w:r>
      <w:r>
        <w:rPr>
          <w:sz w:val="28"/>
          <w:vertAlign w:val="superscript"/>
        </w:rPr>
        <w:t>7</w:t>
      </w:r>
      <w:r>
        <w:rPr>
          <w:sz w:val="28"/>
        </w:rPr>
        <w:t>.</w:t>
      </w:r>
    </w:p>
    <w:p w14:paraId="7B7EF24D" w14:textId="77777777" w:rsidR="00257A79" w:rsidRDefault="00B472E1">
      <w:pPr>
        <w:pStyle w:val="ListParagraph"/>
        <w:numPr>
          <w:ilvl w:val="1"/>
          <w:numId w:val="2"/>
        </w:numPr>
        <w:tabs>
          <w:tab w:val="left" w:pos="891"/>
          <w:tab w:val="left" w:pos="892"/>
        </w:tabs>
        <w:spacing w:before="235" w:line="242" w:lineRule="auto"/>
        <w:ind w:left="891" w:right="131" w:hanging="711"/>
        <w:rPr>
          <w:sz w:val="28"/>
        </w:rPr>
      </w:pPr>
      <w:r>
        <w:rPr>
          <w:sz w:val="28"/>
        </w:rPr>
        <w:t xml:space="preserve">In addition, the rights of EU citizens to vote </w:t>
      </w:r>
      <w:r>
        <w:rPr>
          <w:spacing w:val="-3"/>
          <w:sz w:val="28"/>
        </w:rPr>
        <w:t xml:space="preserve">in </w:t>
      </w:r>
      <w:r>
        <w:rPr>
          <w:sz w:val="28"/>
        </w:rPr>
        <w:t xml:space="preserve">local district council (but not Assembly) elections </w:t>
      </w:r>
      <w:r>
        <w:rPr>
          <w:spacing w:val="-3"/>
          <w:sz w:val="28"/>
        </w:rPr>
        <w:t xml:space="preserve">in </w:t>
      </w:r>
      <w:r>
        <w:rPr>
          <w:sz w:val="28"/>
        </w:rPr>
        <w:t xml:space="preserve">Northern Ireland were underpinned by EU </w:t>
      </w:r>
      <w:r>
        <w:rPr>
          <w:spacing w:val="-4"/>
          <w:sz w:val="28"/>
        </w:rPr>
        <w:t xml:space="preserve">law </w:t>
      </w:r>
      <w:r>
        <w:rPr>
          <w:sz w:val="28"/>
        </w:rPr>
        <w:t>up to the end of the transit</w:t>
      </w:r>
      <w:r>
        <w:rPr>
          <w:sz w:val="28"/>
        </w:rPr>
        <w:t>ion</w:t>
      </w:r>
      <w:r>
        <w:rPr>
          <w:spacing w:val="-11"/>
          <w:sz w:val="28"/>
        </w:rPr>
        <w:t xml:space="preserve"> </w:t>
      </w:r>
      <w:r>
        <w:rPr>
          <w:sz w:val="28"/>
        </w:rPr>
        <w:t>period</w:t>
      </w:r>
      <w:r>
        <w:rPr>
          <w:sz w:val="28"/>
          <w:vertAlign w:val="superscript"/>
        </w:rPr>
        <w:t>8</w:t>
      </w:r>
      <w:r>
        <w:rPr>
          <w:sz w:val="28"/>
        </w:rPr>
        <w:t>.</w:t>
      </w:r>
    </w:p>
    <w:p w14:paraId="50227586" w14:textId="77777777" w:rsidR="00257A79" w:rsidRDefault="00B472E1">
      <w:pPr>
        <w:pStyle w:val="ListParagraph"/>
        <w:numPr>
          <w:ilvl w:val="1"/>
          <w:numId w:val="2"/>
        </w:numPr>
        <w:tabs>
          <w:tab w:val="left" w:pos="892"/>
        </w:tabs>
        <w:spacing w:before="235"/>
        <w:ind w:left="891" w:right="129" w:hanging="711"/>
        <w:jc w:val="both"/>
        <w:rPr>
          <w:sz w:val="28"/>
        </w:rPr>
      </w:pPr>
      <w:r>
        <w:rPr>
          <w:sz w:val="28"/>
        </w:rPr>
        <w:t xml:space="preserve">As a result of the UK’s exit from the EU this underpinning of EU </w:t>
      </w:r>
      <w:r>
        <w:rPr>
          <w:spacing w:val="-4"/>
          <w:sz w:val="28"/>
        </w:rPr>
        <w:t xml:space="preserve">law </w:t>
      </w:r>
      <w:r>
        <w:rPr>
          <w:sz w:val="28"/>
        </w:rPr>
        <w:t xml:space="preserve">(both under the Treaties and under the relevant Directives) no longer has legal effect </w:t>
      </w:r>
      <w:r>
        <w:rPr>
          <w:spacing w:val="-3"/>
          <w:sz w:val="28"/>
        </w:rPr>
        <w:t xml:space="preserve">in </w:t>
      </w:r>
      <w:r>
        <w:rPr>
          <w:sz w:val="28"/>
        </w:rPr>
        <w:t xml:space="preserve">Northern Ireland, and any </w:t>
      </w:r>
      <w:r>
        <w:rPr>
          <w:spacing w:val="-3"/>
          <w:sz w:val="28"/>
        </w:rPr>
        <w:t xml:space="preserve">legal </w:t>
      </w:r>
      <w:r>
        <w:rPr>
          <w:sz w:val="28"/>
        </w:rPr>
        <w:t xml:space="preserve">status they may have </w:t>
      </w:r>
      <w:r>
        <w:rPr>
          <w:spacing w:val="-3"/>
          <w:sz w:val="28"/>
        </w:rPr>
        <w:t>as</w:t>
      </w:r>
    </w:p>
    <w:p w14:paraId="550371C4" w14:textId="77777777" w:rsidR="00257A79" w:rsidRDefault="00257A79">
      <w:pPr>
        <w:pStyle w:val="BodyText"/>
        <w:rPr>
          <w:sz w:val="20"/>
        </w:rPr>
      </w:pPr>
    </w:p>
    <w:p w14:paraId="00304F1D" w14:textId="2391486D" w:rsidR="00257A79" w:rsidRDefault="00B472E1">
      <w:pPr>
        <w:pStyle w:val="BodyText"/>
        <w:spacing w:before="7"/>
        <w:rPr>
          <w:sz w:val="19"/>
        </w:rPr>
      </w:pPr>
      <w:r>
        <w:rPr>
          <w:noProof/>
        </w:rPr>
        <mc:AlternateContent>
          <mc:Choice Requires="wps">
            <w:drawing>
              <wp:anchor distT="0" distB="0" distL="0" distR="0" simplePos="0" relativeHeight="487589376" behindDoc="1" locked="0" layoutInCell="1" allowOverlap="1" wp14:anchorId="1E8FD162" wp14:editId="5C2571F2">
                <wp:simplePos x="0" y="0"/>
                <wp:positionH relativeFrom="page">
                  <wp:posOffset>915035</wp:posOffset>
                </wp:positionH>
                <wp:positionV relativeFrom="paragraph">
                  <wp:posOffset>176530</wp:posOffset>
                </wp:positionV>
                <wp:extent cx="1830705" cy="6350"/>
                <wp:effectExtent l="0" t="0" r="0" b="0"/>
                <wp:wrapTopAndBottom/>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7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8CB743" id="Rectangle 4" o:spid="_x0000_s1026" style="position:absolute;margin-left:72.05pt;margin-top:13.9pt;width:144.15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" fillcolor="black" stroked="f">
                <w10:wrap type="topAndBottom" anchorx="page"/>
              </v:rect>
            </w:pict>
          </mc:Fallback>
        </mc:AlternateContent>
      </w:r>
    </w:p>
    <w:p w14:paraId="5857B605" w14:textId="77777777" w:rsidR="00257A79" w:rsidRDefault="00B472E1">
      <w:pPr>
        <w:spacing w:before="80" w:line="244" w:lineRule="auto"/>
        <w:ind w:left="180" w:right="453"/>
        <w:rPr>
          <w:sz w:val="20"/>
        </w:rPr>
      </w:pPr>
      <w:r>
        <w:rPr>
          <w:sz w:val="20"/>
          <w:vertAlign w:val="superscript"/>
        </w:rPr>
        <w:t>6</w:t>
      </w:r>
      <w:r>
        <w:rPr>
          <w:sz w:val="20"/>
        </w:rPr>
        <w:t xml:space="preserve"> </w:t>
      </w:r>
      <w:hyperlink r:id="rId20">
        <w:r>
          <w:rPr>
            <w:color w:val="0462C1"/>
            <w:sz w:val="20"/>
            <w:u w:val="single" w:color="0462C1"/>
          </w:rPr>
          <w:t>Belfast (Good Friday) Agreement</w:t>
        </w:r>
      </w:hyperlink>
      <w:r>
        <w:rPr>
          <w:sz w:val="20"/>
        </w:rPr>
        <w:t xml:space="preserve">, 10 April 1998, </w:t>
      </w:r>
      <w:r>
        <w:rPr>
          <w:spacing w:val="-3"/>
          <w:sz w:val="20"/>
        </w:rPr>
        <w:t xml:space="preserve">at </w:t>
      </w:r>
      <w:r>
        <w:rPr>
          <w:sz w:val="20"/>
        </w:rPr>
        <w:t>Rights Safeguards and Equality of Opportunity, Human Rights, paragraph</w:t>
      </w:r>
      <w:r>
        <w:rPr>
          <w:spacing w:val="4"/>
          <w:sz w:val="20"/>
        </w:rPr>
        <w:t xml:space="preserve"> </w:t>
      </w:r>
      <w:r>
        <w:rPr>
          <w:sz w:val="20"/>
        </w:rPr>
        <w:t>1</w:t>
      </w:r>
    </w:p>
    <w:p w14:paraId="37EEB748" w14:textId="77777777" w:rsidR="00257A79" w:rsidRDefault="00B472E1">
      <w:pPr>
        <w:ind w:left="180" w:right="367"/>
        <w:rPr>
          <w:sz w:val="20"/>
        </w:rPr>
      </w:pPr>
      <w:r>
        <w:rPr>
          <w:sz w:val="20"/>
          <w:vertAlign w:val="superscript"/>
        </w:rPr>
        <w:t>7</w:t>
      </w:r>
      <w:r>
        <w:rPr>
          <w:sz w:val="20"/>
        </w:rPr>
        <w:t xml:space="preserve"> In particular, the franchise for voting in district council elections</w:t>
      </w:r>
      <w:r>
        <w:rPr>
          <w:sz w:val="20"/>
        </w:rPr>
        <w:t xml:space="preserve"> in NI, is outlined in the Elected Authorities (Northern Ireland) Act 1989 at section 1. Section 1(1) specifies that a person is entitled to vote at a local election in any district electoral area if they are: registered to vote, a British or Commonwealth </w:t>
      </w:r>
      <w:r>
        <w:rPr>
          <w:sz w:val="20"/>
        </w:rPr>
        <w:t xml:space="preserve">citizen; a citizen of the Republic of Ireland (RoI) or other EU citizen; 18 or older; and there is no legal reason why they cannot vote. The right to stand as a candidate in district council elections in NI is outlined in section 3 of the Local Government </w:t>
      </w:r>
      <w:r>
        <w:rPr>
          <w:sz w:val="20"/>
        </w:rPr>
        <w:t>Act (Northern Ireland) 1972, as amended by SI 1995/1948. Section 3 identifies that a</w:t>
      </w:r>
    </w:p>
    <w:p w14:paraId="5BFA28BC" w14:textId="77777777" w:rsidR="00257A79" w:rsidRDefault="00B472E1">
      <w:pPr>
        <w:spacing w:line="240" w:lineRule="exact"/>
        <w:ind w:left="180"/>
        <w:rPr>
          <w:sz w:val="20"/>
        </w:rPr>
      </w:pPr>
      <w:r>
        <w:rPr>
          <w:sz w:val="20"/>
        </w:rPr>
        <w:t>“relevant citizen of the Union” is entitled to stand for election to local council.</w:t>
      </w:r>
    </w:p>
    <w:p w14:paraId="26F99D80" w14:textId="77777777" w:rsidR="00257A79" w:rsidRDefault="00B472E1">
      <w:pPr>
        <w:ind w:left="180" w:right="138"/>
        <w:rPr>
          <w:sz w:val="20"/>
        </w:rPr>
      </w:pPr>
      <w:r>
        <w:rPr>
          <w:sz w:val="20"/>
          <w:vertAlign w:val="superscript"/>
        </w:rPr>
        <w:t>8</w:t>
      </w:r>
      <w:r>
        <w:rPr>
          <w:sz w:val="20"/>
        </w:rPr>
        <w:t xml:space="preserve"> Article 20 TFEU establishes Union citizenship. Articles 20(2)(b) and 22(1) TFEU, and Article 40 of the EU Charter of Fundamental Rights, provide that citizens of the Union have the right to vote and stand as candidates in municipal elections in their Memb</w:t>
      </w:r>
      <w:r>
        <w:rPr>
          <w:sz w:val="20"/>
        </w:rPr>
        <w:t>er State of residence, under the same conditions as national of that State. Article 22 TFEU provides that the exercise of this right is to be subject to detailed arrangements adopted by the Council, acting unanimously in accordance with a special legislati</w:t>
      </w:r>
      <w:r>
        <w:rPr>
          <w:sz w:val="20"/>
        </w:rPr>
        <w:t>ve procedure and after consulting the European Parliament. Two EU Directives subsequently set out these detailed arrangements (Council Directive 94/80/EC of 19 December 1994 and Council Directive 2013/19/EU of 13 May 2013).</w:t>
      </w:r>
    </w:p>
    <w:p w14:paraId="511BEBE0" w14:textId="77777777" w:rsidR="00257A79" w:rsidRDefault="00257A79">
      <w:pPr>
        <w:rPr>
          <w:sz w:val="20"/>
        </w:rPr>
        <w:sectPr w:rsidR="00257A79">
          <w:pgSz w:w="11910" w:h="16840"/>
          <w:pgMar w:top="1400" w:right="1320" w:bottom="1200" w:left="1260" w:header="0" w:footer="1011" w:gutter="0"/>
          <w:cols w:space="720"/>
        </w:sectPr>
      </w:pPr>
    </w:p>
    <w:p w14:paraId="3734C8F1" w14:textId="77777777" w:rsidR="00257A79" w:rsidRDefault="00B472E1">
      <w:pPr>
        <w:pStyle w:val="BodyText"/>
        <w:spacing w:before="24"/>
        <w:ind w:left="891" w:right="444"/>
      </w:pPr>
      <w:r>
        <w:lastRenderedPageBreak/>
        <w:t>‘retained EU l</w:t>
      </w:r>
      <w:r>
        <w:t>aw’ under the European Union (Withdrawal) Act 2018 would be removed by the Elections Bill.</w:t>
      </w:r>
    </w:p>
    <w:p w14:paraId="7F0D93D9" w14:textId="77777777" w:rsidR="00257A79" w:rsidRDefault="00B472E1">
      <w:pPr>
        <w:pStyle w:val="ListParagraph"/>
        <w:numPr>
          <w:ilvl w:val="1"/>
          <w:numId w:val="2"/>
        </w:numPr>
        <w:tabs>
          <w:tab w:val="left" w:pos="891"/>
          <w:tab w:val="left" w:pos="892"/>
        </w:tabs>
        <w:spacing w:before="237"/>
        <w:ind w:left="891" w:right="347" w:hanging="711"/>
        <w:rPr>
          <w:sz w:val="28"/>
        </w:rPr>
      </w:pPr>
      <w:r>
        <w:rPr>
          <w:sz w:val="28"/>
        </w:rPr>
        <w:t>The ‘</w:t>
      </w:r>
      <w:r>
        <w:rPr>
          <w:i/>
          <w:sz w:val="28"/>
        </w:rPr>
        <w:t>diminution</w:t>
      </w:r>
      <w:r>
        <w:rPr>
          <w:sz w:val="28"/>
        </w:rPr>
        <w:t xml:space="preserve">’ of these rights, resulting from the provisions </w:t>
      </w:r>
      <w:r>
        <w:rPr>
          <w:spacing w:val="-3"/>
          <w:sz w:val="28"/>
        </w:rPr>
        <w:t xml:space="preserve">in </w:t>
      </w:r>
      <w:r>
        <w:rPr>
          <w:sz w:val="28"/>
        </w:rPr>
        <w:t xml:space="preserve">the Elections Bill, could not, legally, have occurred had the UK remained </w:t>
      </w:r>
      <w:r>
        <w:rPr>
          <w:spacing w:val="-3"/>
          <w:sz w:val="28"/>
        </w:rPr>
        <w:t xml:space="preserve">in </w:t>
      </w:r>
      <w:r>
        <w:rPr>
          <w:sz w:val="28"/>
        </w:rPr>
        <w:t xml:space="preserve">the EU because the Treaties and Directives would have remained </w:t>
      </w:r>
      <w:r>
        <w:rPr>
          <w:spacing w:val="-3"/>
          <w:sz w:val="28"/>
        </w:rPr>
        <w:t xml:space="preserve">in </w:t>
      </w:r>
      <w:r>
        <w:rPr>
          <w:sz w:val="28"/>
        </w:rPr>
        <w:t xml:space="preserve">force and any contrary domestic legislation would have been </w:t>
      </w:r>
      <w:r>
        <w:rPr>
          <w:spacing w:val="-3"/>
          <w:sz w:val="28"/>
        </w:rPr>
        <w:t>in</w:t>
      </w:r>
      <w:r>
        <w:rPr>
          <w:spacing w:val="-35"/>
          <w:sz w:val="28"/>
        </w:rPr>
        <w:t xml:space="preserve"> </w:t>
      </w:r>
      <w:r>
        <w:rPr>
          <w:sz w:val="28"/>
        </w:rPr>
        <w:t xml:space="preserve">conflict </w:t>
      </w:r>
      <w:r>
        <w:rPr>
          <w:spacing w:val="-3"/>
          <w:sz w:val="28"/>
        </w:rPr>
        <w:t>with</w:t>
      </w:r>
      <w:r>
        <w:rPr>
          <w:spacing w:val="-1"/>
          <w:sz w:val="28"/>
        </w:rPr>
        <w:t xml:space="preserve"> </w:t>
      </w:r>
      <w:r>
        <w:rPr>
          <w:sz w:val="28"/>
        </w:rPr>
        <w:t>it.</w:t>
      </w:r>
    </w:p>
    <w:p w14:paraId="46EDE4EB" w14:textId="77777777" w:rsidR="00257A79" w:rsidRDefault="00B472E1">
      <w:pPr>
        <w:pStyle w:val="ListParagraph"/>
        <w:numPr>
          <w:ilvl w:val="1"/>
          <w:numId w:val="2"/>
        </w:numPr>
        <w:tabs>
          <w:tab w:val="left" w:pos="891"/>
          <w:tab w:val="left" w:pos="892"/>
        </w:tabs>
        <w:spacing w:before="242" w:line="242" w:lineRule="auto"/>
        <w:ind w:left="891" w:right="221" w:hanging="711"/>
        <w:rPr>
          <w:sz w:val="28"/>
        </w:rPr>
      </w:pPr>
      <w:r>
        <w:rPr>
          <w:sz w:val="28"/>
        </w:rPr>
        <w:t>For these reasons, the Commissio</w:t>
      </w:r>
      <w:r>
        <w:rPr>
          <w:sz w:val="28"/>
        </w:rPr>
        <w:t xml:space="preserve">ns consider that passing the Elections Bill </w:t>
      </w:r>
      <w:r>
        <w:rPr>
          <w:spacing w:val="-3"/>
          <w:sz w:val="28"/>
        </w:rPr>
        <w:t xml:space="preserve">in its </w:t>
      </w:r>
      <w:r>
        <w:rPr>
          <w:sz w:val="28"/>
        </w:rPr>
        <w:t xml:space="preserve">current form would potentially </w:t>
      </w:r>
      <w:r>
        <w:rPr>
          <w:spacing w:val="-3"/>
          <w:sz w:val="28"/>
        </w:rPr>
        <w:t xml:space="preserve">lead </w:t>
      </w:r>
      <w:r>
        <w:rPr>
          <w:sz w:val="28"/>
        </w:rPr>
        <w:t>to a violation of Article 2 of the</w:t>
      </w:r>
      <w:r>
        <w:rPr>
          <w:spacing w:val="-3"/>
          <w:sz w:val="28"/>
        </w:rPr>
        <w:t xml:space="preserve"> </w:t>
      </w:r>
      <w:r>
        <w:rPr>
          <w:sz w:val="28"/>
        </w:rPr>
        <w:t>Protocol.</w:t>
      </w:r>
    </w:p>
    <w:p w14:paraId="2F73D33B" w14:textId="77777777" w:rsidR="00257A79" w:rsidRDefault="00B472E1">
      <w:pPr>
        <w:pStyle w:val="Heading2"/>
        <w:spacing w:before="227"/>
        <w:rPr>
          <w:u w:val="none"/>
        </w:rPr>
      </w:pPr>
      <w:bookmarkStart w:id="6" w:name="_bookmark6"/>
      <w:bookmarkEnd w:id="6"/>
      <w:r>
        <w:t>Engagement with Government</w:t>
      </w:r>
    </w:p>
    <w:p w14:paraId="097B3955" w14:textId="77777777" w:rsidR="00257A79" w:rsidRDefault="00257A79">
      <w:pPr>
        <w:pStyle w:val="BodyText"/>
        <w:spacing w:before="9"/>
        <w:rPr>
          <w:b/>
          <w:i/>
          <w:sz w:val="16"/>
        </w:rPr>
      </w:pPr>
    </w:p>
    <w:p w14:paraId="57531C83" w14:textId="77777777" w:rsidR="00257A79" w:rsidRDefault="00B472E1">
      <w:pPr>
        <w:pStyle w:val="ListParagraph"/>
        <w:numPr>
          <w:ilvl w:val="1"/>
          <w:numId w:val="2"/>
        </w:numPr>
        <w:tabs>
          <w:tab w:val="left" w:pos="891"/>
          <w:tab w:val="left" w:pos="892"/>
        </w:tabs>
        <w:ind w:left="891" w:right="175" w:hanging="711"/>
        <w:rPr>
          <w:sz w:val="28"/>
        </w:rPr>
      </w:pPr>
      <w:r>
        <w:rPr>
          <w:sz w:val="28"/>
        </w:rPr>
        <w:t xml:space="preserve">Prior to the Elections Bill being introduced </w:t>
      </w:r>
      <w:r>
        <w:rPr>
          <w:spacing w:val="-3"/>
          <w:sz w:val="28"/>
        </w:rPr>
        <w:t xml:space="preserve">in </w:t>
      </w:r>
      <w:r>
        <w:rPr>
          <w:sz w:val="28"/>
        </w:rPr>
        <w:t>Parliament the Commissions had written to the Se</w:t>
      </w:r>
      <w:r>
        <w:rPr>
          <w:sz w:val="28"/>
        </w:rPr>
        <w:t xml:space="preserve">cretary of </w:t>
      </w:r>
      <w:r>
        <w:rPr>
          <w:spacing w:val="-3"/>
          <w:sz w:val="28"/>
        </w:rPr>
        <w:t xml:space="preserve">State </w:t>
      </w:r>
      <w:r>
        <w:rPr>
          <w:spacing w:val="2"/>
          <w:sz w:val="28"/>
        </w:rPr>
        <w:t xml:space="preserve">for </w:t>
      </w:r>
      <w:r>
        <w:rPr>
          <w:sz w:val="28"/>
        </w:rPr>
        <w:t>Northern Ireland on 11 June 2021, highlighting our concerns that any changes to</w:t>
      </w:r>
      <w:r>
        <w:rPr>
          <w:spacing w:val="-45"/>
          <w:sz w:val="28"/>
        </w:rPr>
        <w:t xml:space="preserve"> </w:t>
      </w:r>
      <w:r>
        <w:rPr>
          <w:sz w:val="28"/>
        </w:rPr>
        <w:t xml:space="preserve">domestic </w:t>
      </w:r>
      <w:r>
        <w:rPr>
          <w:spacing w:val="-4"/>
          <w:sz w:val="28"/>
        </w:rPr>
        <w:t xml:space="preserve">law </w:t>
      </w:r>
      <w:r>
        <w:rPr>
          <w:sz w:val="28"/>
        </w:rPr>
        <w:t xml:space="preserve">that would result </w:t>
      </w:r>
      <w:r>
        <w:rPr>
          <w:spacing w:val="-3"/>
          <w:sz w:val="28"/>
        </w:rPr>
        <w:t xml:space="preserve">in </w:t>
      </w:r>
      <w:r>
        <w:rPr>
          <w:sz w:val="28"/>
        </w:rPr>
        <w:t xml:space="preserve">the loss of voting and candidacy rights </w:t>
      </w:r>
      <w:r>
        <w:rPr>
          <w:spacing w:val="2"/>
          <w:sz w:val="28"/>
        </w:rPr>
        <w:t xml:space="preserve">for </w:t>
      </w:r>
      <w:r>
        <w:rPr>
          <w:sz w:val="28"/>
        </w:rPr>
        <w:t>EU citizens could engage Article</w:t>
      </w:r>
      <w:r>
        <w:rPr>
          <w:spacing w:val="-1"/>
          <w:sz w:val="28"/>
        </w:rPr>
        <w:t xml:space="preserve"> </w:t>
      </w:r>
      <w:r>
        <w:rPr>
          <w:sz w:val="28"/>
        </w:rPr>
        <w:t>2(1).</w:t>
      </w:r>
    </w:p>
    <w:p w14:paraId="2A79B4FE" w14:textId="77777777" w:rsidR="00257A79" w:rsidRDefault="00B472E1">
      <w:pPr>
        <w:pStyle w:val="ListParagraph"/>
        <w:numPr>
          <w:ilvl w:val="1"/>
          <w:numId w:val="2"/>
        </w:numPr>
        <w:tabs>
          <w:tab w:val="left" w:pos="891"/>
          <w:tab w:val="left" w:pos="892"/>
        </w:tabs>
        <w:spacing w:before="242"/>
        <w:ind w:left="891" w:right="174" w:hanging="711"/>
        <w:rPr>
          <w:sz w:val="28"/>
        </w:rPr>
      </w:pPr>
      <w:r>
        <w:rPr>
          <w:sz w:val="28"/>
        </w:rPr>
        <w:t xml:space="preserve">To date we have not received a formal </w:t>
      </w:r>
      <w:r>
        <w:rPr>
          <w:sz w:val="28"/>
        </w:rPr>
        <w:t>response to our letter, though</w:t>
      </w:r>
      <w:r>
        <w:rPr>
          <w:spacing w:val="-40"/>
          <w:sz w:val="28"/>
        </w:rPr>
        <w:t xml:space="preserve"> </w:t>
      </w:r>
      <w:r>
        <w:rPr>
          <w:sz w:val="28"/>
        </w:rPr>
        <w:t xml:space="preserve">we were alerted by Government officials to the Government’s proposed changes to the rights of EU citizens </w:t>
      </w:r>
      <w:r>
        <w:rPr>
          <w:spacing w:val="-3"/>
          <w:sz w:val="28"/>
        </w:rPr>
        <w:t xml:space="preserve">in </w:t>
      </w:r>
      <w:r>
        <w:rPr>
          <w:sz w:val="28"/>
        </w:rPr>
        <w:t xml:space="preserve">Northern Ireland set out </w:t>
      </w:r>
      <w:r>
        <w:rPr>
          <w:spacing w:val="-3"/>
          <w:sz w:val="28"/>
        </w:rPr>
        <w:t xml:space="preserve">its </w:t>
      </w:r>
      <w:r>
        <w:rPr>
          <w:sz w:val="28"/>
        </w:rPr>
        <w:t xml:space="preserve">Policy Paper “Local Voting Rights </w:t>
      </w:r>
      <w:r>
        <w:rPr>
          <w:spacing w:val="2"/>
          <w:sz w:val="28"/>
        </w:rPr>
        <w:t xml:space="preserve">for </w:t>
      </w:r>
      <w:r>
        <w:rPr>
          <w:sz w:val="28"/>
        </w:rPr>
        <w:t xml:space="preserve">EU Citizens Living </w:t>
      </w:r>
      <w:r>
        <w:rPr>
          <w:spacing w:val="-3"/>
          <w:sz w:val="28"/>
        </w:rPr>
        <w:t xml:space="preserve">in </w:t>
      </w:r>
      <w:r>
        <w:rPr>
          <w:sz w:val="28"/>
        </w:rPr>
        <w:t>the UK” published on 17 Jun</w:t>
      </w:r>
      <w:r>
        <w:rPr>
          <w:sz w:val="28"/>
        </w:rPr>
        <w:t>e</w:t>
      </w:r>
      <w:r>
        <w:rPr>
          <w:spacing w:val="-9"/>
          <w:sz w:val="28"/>
        </w:rPr>
        <w:t xml:space="preserve"> </w:t>
      </w:r>
      <w:r>
        <w:rPr>
          <w:sz w:val="28"/>
        </w:rPr>
        <w:t>2021</w:t>
      </w:r>
      <w:r>
        <w:rPr>
          <w:sz w:val="28"/>
          <w:vertAlign w:val="superscript"/>
        </w:rPr>
        <w:t>9</w:t>
      </w:r>
      <w:r>
        <w:rPr>
          <w:sz w:val="28"/>
        </w:rPr>
        <w:t>.</w:t>
      </w:r>
    </w:p>
    <w:p w14:paraId="1A21413A" w14:textId="77777777" w:rsidR="00257A79" w:rsidRDefault="00B472E1">
      <w:pPr>
        <w:pStyle w:val="ListParagraph"/>
        <w:numPr>
          <w:ilvl w:val="1"/>
          <w:numId w:val="2"/>
        </w:numPr>
        <w:tabs>
          <w:tab w:val="left" w:pos="891"/>
          <w:tab w:val="left" w:pos="892"/>
        </w:tabs>
        <w:spacing w:before="242"/>
        <w:ind w:left="891" w:right="373" w:hanging="711"/>
        <w:rPr>
          <w:sz w:val="28"/>
        </w:rPr>
      </w:pPr>
      <w:r>
        <w:rPr>
          <w:sz w:val="28"/>
        </w:rPr>
        <w:t xml:space="preserve">When the </w:t>
      </w:r>
      <w:r>
        <w:rPr>
          <w:spacing w:val="-4"/>
          <w:sz w:val="28"/>
        </w:rPr>
        <w:t xml:space="preserve">Bill </w:t>
      </w:r>
      <w:r>
        <w:rPr>
          <w:sz w:val="28"/>
        </w:rPr>
        <w:t xml:space="preserve">was published, there was no reference </w:t>
      </w:r>
      <w:r>
        <w:rPr>
          <w:spacing w:val="-3"/>
          <w:sz w:val="28"/>
        </w:rPr>
        <w:t xml:space="preserve">in </w:t>
      </w:r>
      <w:r>
        <w:rPr>
          <w:sz w:val="28"/>
        </w:rPr>
        <w:t xml:space="preserve">the Bill’s Explanatory Notes </w:t>
      </w:r>
      <w:r>
        <w:rPr>
          <w:spacing w:val="-3"/>
          <w:sz w:val="28"/>
        </w:rPr>
        <w:t xml:space="preserve">as </w:t>
      </w:r>
      <w:r>
        <w:rPr>
          <w:sz w:val="28"/>
        </w:rPr>
        <w:t xml:space="preserve">to what consideration the Government </w:t>
      </w:r>
      <w:r>
        <w:rPr>
          <w:spacing w:val="2"/>
          <w:sz w:val="28"/>
        </w:rPr>
        <w:t>had</w:t>
      </w:r>
      <w:r>
        <w:rPr>
          <w:spacing w:val="-25"/>
          <w:sz w:val="28"/>
        </w:rPr>
        <w:t xml:space="preserve"> </w:t>
      </w:r>
      <w:r>
        <w:rPr>
          <w:sz w:val="28"/>
        </w:rPr>
        <w:t>given to ensuring the Bill’s compliance with Article</w:t>
      </w:r>
      <w:r>
        <w:rPr>
          <w:spacing w:val="-21"/>
          <w:sz w:val="28"/>
        </w:rPr>
        <w:t xml:space="preserve"> </w:t>
      </w:r>
      <w:r>
        <w:rPr>
          <w:sz w:val="28"/>
        </w:rPr>
        <w:t>2(1).</w:t>
      </w:r>
    </w:p>
    <w:p w14:paraId="08D01674" w14:textId="77777777" w:rsidR="00257A79" w:rsidRDefault="00B472E1">
      <w:pPr>
        <w:pStyle w:val="ListParagraph"/>
        <w:numPr>
          <w:ilvl w:val="1"/>
          <w:numId w:val="2"/>
        </w:numPr>
        <w:tabs>
          <w:tab w:val="left" w:pos="891"/>
          <w:tab w:val="left" w:pos="892"/>
        </w:tabs>
        <w:spacing w:before="236"/>
        <w:ind w:left="891" w:right="498" w:hanging="711"/>
        <w:rPr>
          <w:sz w:val="28"/>
        </w:rPr>
      </w:pPr>
      <w:r>
        <w:rPr>
          <w:sz w:val="28"/>
        </w:rPr>
        <w:t>In October 2021 the Commissions raised concerns about the</w:t>
      </w:r>
      <w:r>
        <w:rPr>
          <w:spacing w:val="-37"/>
          <w:sz w:val="28"/>
        </w:rPr>
        <w:t xml:space="preserve"> </w:t>
      </w:r>
      <w:r>
        <w:rPr>
          <w:sz w:val="28"/>
        </w:rPr>
        <w:t>Elections Bill with the House of Commons Public Bill</w:t>
      </w:r>
      <w:r>
        <w:rPr>
          <w:spacing w:val="-19"/>
          <w:sz w:val="28"/>
        </w:rPr>
        <w:t xml:space="preserve"> </w:t>
      </w:r>
      <w:r>
        <w:rPr>
          <w:sz w:val="28"/>
        </w:rPr>
        <w:t>Committee</w:t>
      </w:r>
      <w:r>
        <w:rPr>
          <w:sz w:val="28"/>
          <w:vertAlign w:val="superscript"/>
        </w:rPr>
        <w:t>10</w:t>
      </w:r>
      <w:r>
        <w:rPr>
          <w:sz w:val="28"/>
        </w:rPr>
        <w:t>.</w:t>
      </w:r>
    </w:p>
    <w:p w14:paraId="31FA2573" w14:textId="77777777" w:rsidR="00257A79" w:rsidRDefault="00B472E1">
      <w:pPr>
        <w:pStyle w:val="ListParagraph"/>
        <w:numPr>
          <w:ilvl w:val="1"/>
          <w:numId w:val="2"/>
        </w:numPr>
        <w:tabs>
          <w:tab w:val="left" w:pos="891"/>
          <w:tab w:val="left" w:pos="892"/>
        </w:tabs>
        <w:spacing w:before="246"/>
        <w:ind w:left="891" w:right="273" w:hanging="711"/>
        <w:rPr>
          <w:sz w:val="28"/>
        </w:rPr>
      </w:pPr>
      <w:r>
        <w:rPr>
          <w:sz w:val="28"/>
        </w:rPr>
        <w:t xml:space="preserve">On 7 February 2022, the Commissions wrote to the House of Lords </w:t>
      </w:r>
      <w:r>
        <w:rPr>
          <w:spacing w:val="3"/>
          <w:sz w:val="28"/>
        </w:rPr>
        <w:t xml:space="preserve">Sub- </w:t>
      </w:r>
      <w:r>
        <w:rPr>
          <w:sz w:val="28"/>
        </w:rPr>
        <w:t>Committee on the Ireland/Northern Ireland Protocol (‘House of L</w:t>
      </w:r>
      <w:r>
        <w:rPr>
          <w:sz w:val="28"/>
        </w:rPr>
        <w:t>ords Sub-Committee’) raising our concerns about Article 2 compliance</w:t>
      </w:r>
      <w:r>
        <w:rPr>
          <w:sz w:val="28"/>
          <w:vertAlign w:val="superscript"/>
        </w:rPr>
        <w:t>11</w:t>
      </w:r>
      <w:r>
        <w:rPr>
          <w:sz w:val="28"/>
        </w:rPr>
        <w:t>. The Commissions requested that the Committee ask the Government to</w:t>
      </w:r>
      <w:r>
        <w:rPr>
          <w:spacing w:val="-32"/>
          <w:sz w:val="28"/>
        </w:rPr>
        <w:t xml:space="preserve"> </w:t>
      </w:r>
      <w:r>
        <w:rPr>
          <w:sz w:val="28"/>
        </w:rPr>
        <w:t>set</w:t>
      </w:r>
    </w:p>
    <w:p w14:paraId="647B874A" w14:textId="0791F1B2" w:rsidR="00257A79" w:rsidRDefault="00B472E1">
      <w:pPr>
        <w:pStyle w:val="BodyText"/>
        <w:spacing w:before="4"/>
        <w:rPr>
          <w:sz w:val="8"/>
        </w:rPr>
      </w:pPr>
      <w:r>
        <w:rPr>
          <w:noProof/>
        </w:rPr>
        <mc:AlternateContent>
          <mc:Choice Requires="wps">
            <w:drawing>
              <wp:anchor distT="0" distB="0" distL="0" distR="0" simplePos="0" relativeHeight="487589888" behindDoc="1" locked="0" layoutInCell="1" allowOverlap="1" wp14:anchorId="0E60618A" wp14:editId="2D3FE71C">
                <wp:simplePos x="0" y="0"/>
                <wp:positionH relativeFrom="page">
                  <wp:posOffset>915035</wp:posOffset>
                </wp:positionH>
                <wp:positionV relativeFrom="paragraph">
                  <wp:posOffset>89535</wp:posOffset>
                </wp:positionV>
                <wp:extent cx="1830705" cy="6350"/>
                <wp:effectExtent l="0" t="0" r="0" b="0"/>
                <wp:wrapTopAndBottom/>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7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25DA3" id="Rectangle 3" o:spid="_x0000_s1026" style="position:absolute;margin-left:72.05pt;margin-top:7.05pt;width:144.15pt;height:.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" fillcolor="black" stroked="f">
                <w10:wrap type="topAndBottom" anchorx="page"/>
              </v:rect>
            </w:pict>
          </mc:Fallback>
        </mc:AlternateContent>
      </w:r>
    </w:p>
    <w:p w14:paraId="72020BE7" w14:textId="77777777" w:rsidR="00257A79" w:rsidRDefault="00B472E1">
      <w:pPr>
        <w:spacing w:before="81"/>
        <w:ind w:left="180"/>
        <w:rPr>
          <w:sz w:val="20"/>
        </w:rPr>
      </w:pPr>
      <w:r>
        <w:rPr>
          <w:sz w:val="20"/>
          <w:vertAlign w:val="superscript"/>
        </w:rPr>
        <w:t>9</w:t>
      </w:r>
      <w:r>
        <w:rPr>
          <w:sz w:val="20"/>
        </w:rPr>
        <w:t xml:space="preserve"> UK Government Policy paper, </w:t>
      </w:r>
      <w:hyperlink r:id="rId21">
        <w:r>
          <w:rPr>
            <w:color w:val="0462C1"/>
            <w:sz w:val="20"/>
            <w:u w:val="single" w:color="0462C1"/>
          </w:rPr>
          <w:t>Local Voting Rights for EU Citizens Living in the UK</w:t>
        </w:r>
      </w:hyperlink>
      <w:r>
        <w:rPr>
          <w:sz w:val="20"/>
        </w:rPr>
        <w:t>, 17 June 2021</w:t>
      </w:r>
    </w:p>
    <w:p w14:paraId="538F9DF2" w14:textId="77777777" w:rsidR="00257A79" w:rsidRDefault="00B472E1">
      <w:pPr>
        <w:spacing w:before="9" w:line="235" w:lineRule="auto"/>
        <w:ind w:left="180" w:right="301"/>
        <w:rPr>
          <w:sz w:val="20"/>
        </w:rPr>
      </w:pPr>
      <w:r>
        <w:rPr>
          <w:sz w:val="20"/>
          <w:vertAlign w:val="superscript"/>
        </w:rPr>
        <w:t>10</w:t>
      </w:r>
      <w:r>
        <w:rPr>
          <w:sz w:val="20"/>
        </w:rPr>
        <w:t xml:space="preserve"> </w:t>
      </w:r>
      <w:hyperlink r:id="rId22">
        <w:r>
          <w:rPr>
            <w:color w:val="0462C1"/>
            <w:sz w:val="20"/>
            <w:u w:val="single" w:color="0462C1"/>
          </w:rPr>
          <w:t>Letter</w:t>
        </w:r>
        <w:r>
          <w:rPr>
            <w:color w:val="0462C1"/>
            <w:sz w:val="20"/>
          </w:rPr>
          <w:t xml:space="preserve"> </w:t>
        </w:r>
      </w:hyperlink>
      <w:r>
        <w:rPr>
          <w:sz w:val="20"/>
        </w:rPr>
        <w:t>from Equalit</w:t>
      </w:r>
      <w:r>
        <w:rPr>
          <w:sz w:val="20"/>
        </w:rPr>
        <w:t>y Commission for Northern Ireland and the Northern Ireland Human Rights Commission to the House of Commons Public Bill Committee on the Elections Bill, 20 October 2021</w:t>
      </w:r>
    </w:p>
    <w:p w14:paraId="47AB1EA9" w14:textId="77777777" w:rsidR="00257A79" w:rsidRDefault="00B472E1">
      <w:pPr>
        <w:spacing w:before="12" w:line="235" w:lineRule="auto"/>
        <w:ind w:left="180" w:right="690"/>
        <w:rPr>
          <w:sz w:val="20"/>
        </w:rPr>
      </w:pPr>
      <w:r>
        <w:rPr>
          <w:sz w:val="20"/>
          <w:vertAlign w:val="superscript"/>
        </w:rPr>
        <w:t>11</w:t>
      </w:r>
      <w:r>
        <w:rPr>
          <w:sz w:val="20"/>
        </w:rPr>
        <w:t xml:space="preserve"> </w:t>
      </w:r>
      <w:hyperlink r:id="rId23">
        <w:r>
          <w:rPr>
            <w:color w:val="0462C1"/>
            <w:sz w:val="20"/>
            <w:u w:val="single" w:color="0462C1"/>
          </w:rPr>
          <w:t>Letter</w:t>
        </w:r>
        <w:r>
          <w:rPr>
            <w:color w:val="0462C1"/>
            <w:sz w:val="20"/>
          </w:rPr>
          <w:t xml:space="preserve"> </w:t>
        </w:r>
      </w:hyperlink>
      <w:r>
        <w:rPr>
          <w:sz w:val="20"/>
        </w:rPr>
        <w:t>from the Equality Commission for Northern Ireland and the Northern Ireland Human Rights Commission to the European Affairs Sub-Committee on the Protocol on Ireland/Northern Ireland on the Elections Bill, 7 February 2022</w:t>
      </w:r>
    </w:p>
    <w:p w14:paraId="0AC419C2" w14:textId="77777777" w:rsidR="00257A79" w:rsidRDefault="00257A79">
      <w:pPr>
        <w:spacing w:line="235" w:lineRule="auto"/>
        <w:rPr>
          <w:sz w:val="20"/>
        </w:rPr>
        <w:sectPr w:rsidR="00257A79">
          <w:pgSz w:w="11910" w:h="16840"/>
          <w:pgMar w:top="1420" w:right="1320" w:bottom="1200" w:left="1260" w:header="0" w:footer="1011" w:gutter="0"/>
          <w:cols w:space="720"/>
        </w:sectPr>
      </w:pPr>
    </w:p>
    <w:p w14:paraId="201CCB38" w14:textId="77777777" w:rsidR="00257A79" w:rsidRDefault="00B472E1">
      <w:pPr>
        <w:pStyle w:val="BodyText"/>
        <w:spacing w:before="24"/>
        <w:ind w:left="891" w:right="178"/>
      </w:pPr>
      <w:r>
        <w:lastRenderedPageBreak/>
        <w:t xml:space="preserve">out, </w:t>
      </w:r>
      <w:r>
        <w:rPr>
          <w:spacing w:val="-3"/>
        </w:rPr>
        <w:t xml:space="preserve">in </w:t>
      </w:r>
      <w:r>
        <w:t xml:space="preserve">full, its assessment of the conformity of the relevant provisions of the Elections Bill </w:t>
      </w:r>
      <w:r>
        <w:rPr>
          <w:spacing w:val="-3"/>
        </w:rPr>
        <w:t xml:space="preserve">with its </w:t>
      </w:r>
      <w:r>
        <w:t>commitments under Article 2(1) of the Protocol.</w:t>
      </w:r>
    </w:p>
    <w:p w14:paraId="0BACEF79" w14:textId="77777777" w:rsidR="00257A79" w:rsidRDefault="00B472E1">
      <w:pPr>
        <w:pStyle w:val="ListParagraph"/>
        <w:numPr>
          <w:ilvl w:val="1"/>
          <w:numId w:val="2"/>
        </w:numPr>
        <w:tabs>
          <w:tab w:val="left" w:pos="891"/>
          <w:tab w:val="left" w:pos="892"/>
        </w:tabs>
        <w:spacing w:before="246"/>
        <w:ind w:left="891" w:right="190" w:hanging="711"/>
        <w:rPr>
          <w:sz w:val="28"/>
        </w:rPr>
      </w:pPr>
      <w:r>
        <w:rPr>
          <w:sz w:val="28"/>
        </w:rPr>
        <w:t xml:space="preserve">The House of Lords Sub-Committee has consequently, on 24 February 2022, written to the Minister of </w:t>
      </w:r>
      <w:r>
        <w:rPr>
          <w:spacing w:val="-3"/>
          <w:sz w:val="28"/>
        </w:rPr>
        <w:t xml:space="preserve">State at </w:t>
      </w:r>
      <w:r>
        <w:rPr>
          <w:sz w:val="28"/>
        </w:rPr>
        <w:t>the Cabinet Office</w:t>
      </w:r>
      <w:r>
        <w:rPr>
          <w:sz w:val="28"/>
          <w:vertAlign w:val="superscript"/>
        </w:rPr>
        <w:t>12</w:t>
      </w:r>
      <w:r>
        <w:rPr>
          <w:sz w:val="28"/>
        </w:rPr>
        <w:t xml:space="preserve"> highlighting these concerns and inviting the Government to set out </w:t>
      </w:r>
      <w:r>
        <w:rPr>
          <w:spacing w:val="-3"/>
          <w:sz w:val="28"/>
        </w:rPr>
        <w:t xml:space="preserve">in </w:t>
      </w:r>
      <w:r>
        <w:rPr>
          <w:sz w:val="28"/>
        </w:rPr>
        <w:t xml:space="preserve">full </w:t>
      </w:r>
      <w:r>
        <w:rPr>
          <w:spacing w:val="-3"/>
          <w:sz w:val="28"/>
        </w:rPr>
        <w:t xml:space="preserve">its </w:t>
      </w:r>
      <w:r>
        <w:rPr>
          <w:sz w:val="28"/>
        </w:rPr>
        <w:t xml:space="preserve">assessment of Clause </w:t>
      </w:r>
      <w:r>
        <w:rPr>
          <w:spacing w:val="3"/>
          <w:sz w:val="28"/>
        </w:rPr>
        <w:t>13</w:t>
      </w:r>
      <w:r>
        <w:rPr>
          <w:spacing w:val="-46"/>
          <w:sz w:val="28"/>
        </w:rPr>
        <w:t xml:space="preserve"> </w:t>
      </w:r>
      <w:r>
        <w:rPr>
          <w:sz w:val="28"/>
        </w:rPr>
        <w:t xml:space="preserve">and Schedule 8 of the Bill </w:t>
      </w:r>
      <w:r>
        <w:rPr>
          <w:spacing w:val="-3"/>
          <w:sz w:val="28"/>
        </w:rPr>
        <w:t xml:space="preserve">in </w:t>
      </w:r>
      <w:r>
        <w:rPr>
          <w:sz w:val="28"/>
        </w:rPr>
        <w:t xml:space="preserve">the context of their conformity </w:t>
      </w:r>
      <w:r>
        <w:rPr>
          <w:spacing w:val="-3"/>
          <w:sz w:val="28"/>
        </w:rPr>
        <w:t xml:space="preserve">with its </w:t>
      </w:r>
      <w:r>
        <w:rPr>
          <w:sz w:val="28"/>
        </w:rPr>
        <w:t>obligation under Article 2 of the Protocol to ensure</w:t>
      </w:r>
      <w:r>
        <w:rPr>
          <w:sz w:val="28"/>
        </w:rPr>
        <w:t xml:space="preserve"> no diminution of rights. A detailed reply to that letter from the Minister of </w:t>
      </w:r>
      <w:r>
        <w:rPr>
          <w:spacing w:val="-3"/>
          <w:sz w:val="28"/>
        </w:rPr>
        <w:t xml:space="preserve">State </w:t>
      </w:r>
      <w:r>
        <w:rPr>
          <w:spacing w:val="2"/>
          <w:sz w:val="28"/>
        </w:rPr>
        <w:t xml:space="preserve">at </w:t>
      </w:r>
      <w:r>
        <w:rPr>
          <w:sz w:val="28"/>
        </w:rPr>
        <w:t xml:space="preserve">the Cabinet Office to the House of Lords Sub-Committee </w:t>
      </w:r>
      <w:r>
        <w:rPr>
          <w:spacing w:val="-3"/>
          <w:sz w:val="28"/>
        </w:rPr>
        <w:t xml:space="preserve">is </w:t>
      </w:r>
      <w:r>
        <w:rPr>
          <w:sz w:val="28"/>
        </w:rPr>
        <w:t>awaited.</w:t>
      </w:r>
    </w:p>
    <w:p w14:paraId="046BBD6B" w14:textId="77777777" w:rsidR="00257A79" w:rsidRDefault="00B472E1">
      <w:pPr>
        <w:pStyle w:val="ListParagraph"/>
        <w:numPr>
          <w:ilvl w:val="1"/>
          <w:numId w:val="2"/>
        </w:numPr>
        <w:tabs>
          <w:tab w:val="left" w:pos="891"/>
          <w:tab w:val="left" w:pos="892"/>
        </w:tabs>
        <w:spacing w:before="237"/>
        <w:ind w:left="891" w:right="250" w:hanging="711"/>
        <w:rPr>
          <w:sz w:val="28"/>
        </w:rPr>
      </w:pPr>
      <w:r>
        <w:rPr>
          <w:sz w:val="28"/>
        </w:rPr>
        <w:t xml:space="preserve">However, in his recent </w:t>
      </w:r>
      <w:hyperlink r:id="rId24">
        <w:r>
          <w:rPr>
            <w:sz w:val="28"/>
          </w:rPr>
          <w:t>response</w:t>
        </w:r>
      </w:hyperlink>
      <w:r>
        <w:rPr>
          <w:sz w:val="28"/>
          <w:vertAlign w:val="superscript"/>
        </w:rPr>
        <w:t>13</w:t>
      </w:r>
      <w:r>
        <w:rPr>
          <w:sz w:val="28"/>
        </w:rPr>
        <w:t xml:space="preserve"> to a letter from the House of Lords Sub-Committee raising a number of Article 2 related concerns,</w:t>
      </w:r>
      <w:r>
        <w:rPr>
          <w:spacing w:val="-36"/>
          <w:sz w:val="28"/>
        </w:rPr>
        <w:t xml:space="preserve"> </w:t>
      </w:r>
      <w:r>
        <w:rPr>
          <w:sz w:val="28"/>
        </w:rPr>
        <w:t>including voting rights of EU citizens post-Brexit</w:t>
      </w:r>
      <w:r>
        <w:rPr>
          <w:sz w:val="28"/>
          <w:vertAlign w:val="superscript"/>
        </w:rPr>
        <w:t>14</w:t>
      </w:r>
      <w:r>
        <w:rPr>
          <w:sz w:val="28"/>
        </w:rPr>
        <w:t xml:space="preserve">, the Minister of </w:t>
      </w:r>
      <w:r>
        <w:rPr>
          <w:spacing w:val="-3"/>
          <w:sz w:val="28"/>
        </w:rPr>
        <w:t xml:space="preserve">State </w:t>
      </w:r>
      <w:r>
        <w:rPr>
          <w:spacing w:val="2"/>
          <w:sz w:val="28"/>
        </w:rPr>
        <w:t xml:space="preserve">for </w:t>
      </w:r>
      <w:r>
        <w:rPr>
          <w:sz w:val="28"/>
        </w:rPr>
        <w:t>Northern Ireland has set out two broad gr</w:t>
      </w:r>
      <w:r>
        <w:rPr>
          <w:sz w:val="28"/>
        </w:rPr>
        <w:t xml:space="preserve">ounds </w:t>
      </w:r>
      <w:r>
        <w:rPr>
          <w:spacing w:val="2"/>
          <w:sz w:val="28"/>
        </w:rPr>
        <w:t xml:space="preserve">for </w:t>
      </w:r>
      <w:r>
        <w:rPr>
          <w:sz w:val="28"/>
        </w:rPr>
        <w:t xml:space="preserve">why the Government does not consider that Article 2(1) </w:t>
      </w:r>
      <w:r>
        <w:rPr>
          <w:spacing w:val="-3"/>
          <w:sz w:val="28"/>
        </w:rPr>
        <w:t xml:space="preserve">is </w:t>
      </w:r>
      <w:r>
        <w:rPr>
          <w:sz w:val="28"/>
        </w:rPr>
        <w:t>engaged by the provisions of the</w:t>
      </w:r>
      <w:r>
        <w:rPr>
          <w:spacing w:val="-6"/>
          <w:sz w:val="28"/>
        </w:rPr>
        <w:t xml:space="preserve"> </w:t>
      </w:r>
      <w:r>
        <w:rPr>
          <w:spacing w:val="-3"/>
          <w:sz w:val="28"/>
        </w:rPr>
        <w:t>Bill:</w:t>
      </w:r>
    </w:p>
    <w:p w14:paraId="344E57C9" w14:textId="77777777" w:rsidR="00257A79" w:rsidRDefault="00B472E1">
      <w:pPr>
        <w:pStyle w:val="ListParagraph"/>
        <w:numPr>
          <w:ilvl w:val="2"/>
          <w:numId w:val="2"/>
        </w:numPr>
        <w:tabs>
          <w:tab w:val="left" w:pos="1622"/>
          <w:tab w:val="left" w:pos="1623"/>
        </w:tabs>
        <w:spacing w:before="241"/>
        <w:ind w:right="185" w:hanging="721"/>
        <w:rPr>
          <w:sz w:val="28"/>
        </w:rPr>
      </w:pPr>
      <w:r>
        <w:rPr>
          <w:sz w:val="28"/>
        </w:rPr>
        <w:t xml:space="preserve">Article </w:t>
      </w:r>
      <w:r>
        <w:rPr>
          <w:spacing w:val="3"/>
          <w:sz w:val="28"/>
        </w:rPr>
        <w:t xml:space="preserve">22 </w:t>
      </w:r>
      <w:r>
        <w:rPr>
          <w:sz w:val="28"/>
        </w:rPr>
        <w:t>TFEU rights apply only to EU citizens who are resident</w:t>
      </w:r>
      <w:r>
        <w:rPr>
          <w:spacing w:val="-43"/>
          <w:sz w:val="28"/>
        </w:rPr>
        <w:t xml:space="preserve"> </w:t>
      </w:r>
      <w:r>
        <w:rPr>
          <w:spacing w:val="-3"/>
          <w:sz w:val="28"/>
        </w:rPr>
        <w:t xml:space="preserve">in </w:t>
      </w:r>
      <w:r>
        <w:rPr>
          <w:sz w:val="28"/>
        </w:rPr>
        <w:t xml:space="preserve">another Member </w:t>
      </w:r>
      <w:r>
        <w:rPr>
          <w:spacing w:val="-3"/>
          <w:sz w:val="28"/>
        </w:rPr>
        <w:t xml:space="preserve">State. </w:t>
      </w:r>
      <w:r>
        <w:rPr>
          <w:sz w:val="28"/>
        </w:rPr>
        <w:t xml:space="preserve">The UK </w:t>
      </w:r>
      <w:r>
        <w:rPr>
          <w:spacing w:val="-3"/>
          <w:sz w:val="28"/>
        </w:rPr>
        <w:t xml:space="preserve">is </w:t>
      </w:r>
      <w:r>
        <w:rPr>
          <w:sz w:val="28"/>
        </w:rPr>
        <w:t xml:space="preserve">no longer a Member State, and Article </w:t>
      </w:r>
      <w:r>
        <w:rPr>
          <w:spacing w:val="3"/>
          <w:sz w:val="28"/>
        </w:rPr>
        <w:t xml:space="preserve">22 </w:t>
      </w:r>
      <w:r>
        <w:rPr>
          <w:sz w:val="28"/>
        </w:rPr>
        <w:t>TFEU ri</w:t>
      </w:r>
      <w:r>
        <w:rPr>
          <w:sz w:val="28"/>
        </w:rPr>
        <w:t xml:space="preserve">ghts are no longer applicable to EU citizens resident </w:t>
      </w:r>
      <w:r>
        <w:rPr>
          <w:spacing w:val="-3"/>
          <w:sz w:val="28"/>
        </w:rPr>
        <w:t xml:space="preserve">in </w:t>
      </w:r>
      <w:r>
        <w:rPr>
          <w:sz w:val="28"/>
        </w:rPr>
        <w:t>the</w:t>
      </w:r>
      <w:r>
        <w:rPr>
          <w:spacing w:val="-9"/>
          <w:sz w:val="28"/>
        </w:rPr>
        <w:t xml:space="preserve"> </w:t>
      </w:r>
      <w:r>
        <w:rPr>
          <w:sz w:val="28"/>
        </w:rPr>
        <w:t>UK.</w:t>
      </w:r>
    </w:p>
    <w:p w14:paraId="3C8A906A" w14:textId="77777777" w:rsidR="00257A79" w:rsidRDefault="00B472E1">
      <w:pPr>
        <w:pStyle w:val="ListParagraph"/>
        <w:numPr>
          <w:ilvl w:val="2"/>
          <w:numId w:val="2"/>
        </w:numPr>
        <w:tabs>
          <w:tab w:val="left" w:pos="1622"/>
          <w:tab w:val="left" w:pos="1623"/>
        </w:tabs>
        <w:spacing w:before="243"/>
        <w:ind w:right="388" w:hanging="731"/>
        <w:rPr>
          <w:sz w:val="28"/>
        </w:rPr>
      </w:pPr>
      <w:r>
        <w:rPr>
          <w:sz w:val="28"/>
        </w:rPr>
        <w:t xml:space="preserve">As there </w:t>
      </w:r>
      <w:r>
        <w:rPr>
          <w:spacing w:val="-3"/>
          <w:sz w:val="28"/>
        </w:rPr>
        <w:t xml:space="preserve">is </w:t>
      </w:r>
      <w:r>
        <w:rPr>
          <w:sz w:val="28"/>
        </w:rPr>
        <w:t xml:space="preserve">now no requirement under the Protocol </w:t>
      </w:r>
      <w:r>
        <w:rPr>
          <w:spacing w:val="2"/>
          <w:sz w:val="28"/>
        </w:rPr>
        <w:t xml:space="preserve">for </w:t>
      </w:r>
      <w:r>
        <w:rPr>
          <w:sz w:val="28"/>
        </w:rPr>
        <w:t xml:space="preserve">EU Member </w:t>
      </w:r>
      <w:r>
        <w:rPr>
          <w:spacing w:val="-3"/>
          <w:sz w:val="28"/>
        </w:rPr>
        <w:t xml:space="preserve">States </w:t>
      </w:r>
      <w:r>
        <w:rPr>
          <w:sz w:val="28"/>
        </w:rPr>
        <w:t xml:space="preserve">to grant voting rights to new Northern Ireland nationals arriving </w:t>
      </w:r>
      <w:r>
        <w:rPr>
          <w:spacing w:val="-3"/>
          <w:sz w:val="28"/>
        </w:rPr>
        <w:t xml:space="preserve">in </w:t>
      </w:r>
      <w:r>
        <w:rPr>
          <w:sz w:val="28"/>
        </w:rPr>
        <w:t xml:space="preserve">the EU, </w:t>
      </w:r>
      <w:r>
        <w:rPr>
          <w:spacing w:val="2"/>
          <w:sz w:val="28"/>
        </w:rPr>
        <w:t xml:space="preserve">it </w:t>
      </w:r>
      <w:r>
        <w:rPr>
          <w:sz w:val="28"/>
        </w:rPr>
        <w:t>would be ‘</w:t>
      </w:r>
      <w:r>
        <w:rPr>
          <w:i/>
          <w:sz w:val="28"/>
        </w:rPr>
        <w:t xml:space="preserve">irrational’ </w:t>
      </w:r>
      <w:r>
        <w:rPr>
          <w:spacing w:val="-3"/>
          <w:sz w:val="28"/>
        </w:rPr>
        <w:t xml:space="preserve">if </w:t>
      </w:r>
      <w:r>
        <w:rPr>
          <w:sz w:val="28"/>
        </w:rPr>
        <w:t xml:space="preserve">Article 2 of the Protocol required the voting rights of new EU citizen arrivals to be retained </w:t>
      </w:r>
      <w:r>
        <w:rPr>
          <w:spacing w:val="-3"/>
          <w:sz w:val="28"/>
        </w:rPr>
        <w:t xml:space="preserve">in </w:t>
      </w:r>
      <w:r>
        <w:rPr>
          <w:sz w:val="28"/>
        </w:rPr>
        <w:t xml:space="preserve">Northern Ireland where there are no reciprocal arrangements </w:t>
      </w:r>
      <w:r>
        <w:rPr>
          <w:spacing w:val="2"/>
          <w:sz w:val="28"/>
        </w:rPr>
        <w:t xml:space="preserve">for </w:t>
      </w:r>
      <w:r>
        <w:rPr>
          <w:sz w:val="28"/>
        </w:rPr>
        <w:t xml:space="preserve">Northern Ireland nationals arriving </w:t>
      </w:r>
      <w:r>
        <w:rPr>
          <w:spacing w:val="-3"/>
          <w:sz w:val="28"/>
        </w:rPr>
        <w:t xml:space="preserve">in </w:t>
      </w:r>
      <w:r>
        <w:rPr>
          <w:sz w:val="28"/>
        </w:rPr>
        <w:t>the</w:t>
      </w:r>
      <w:r>
        <w:rPr>
          <w:spacing w:val="-26"/>
          <w:sz w:val="28"/>
        </w:rPr>
        <w:t xml:space="preserve"> </w:t>
      </w:r>
      <w:r>
        <w:rPr>
          <w:sz w:val="28"/>
        </w:rPr>
        <w:t>EU.</w:t>
      </w:r>
    </w:p>
    <w:p w14:paraId="2AD2F68B" w14:textId="77777777" w:rsidR="00257A79" w:rsidRDefault="00B472E1">
      <w:pPr>
        <w:pStyle w:val="ListParagraph"/>
        <w:numPr>
          <w:ilvl w:val="1"/>
          <w:numId w:val="2"/>
        </w:numPr>
        <w:tabs>
          <w:tab w:val="left" w:pos="891"/>
          <w:tab w:val="left" w:pos="892"/>
        </w:tabs>
        <w:spacing w:before="241"/>
        <w:ind w:left="891" w:right="265" w:hanging="711"/>
        <w:rPr>
          <w:sz w:val="28"/>
        </w:rPr>
      </w:pPr>
      <w:r>
        <w:rPr>
          <w:sz w:val="28"/>
        </w:rPr>
        <w:t xml:space="preserve">The Commissions do not consider that either of </w:t>
      </w:r>
      <w:r>
        <w:rPr>
          <w:sz w:val="28"/>
        </w:rPr>
        <w:t>these arguments provides a convincing explanation justifying the Government’s</w:t>
      </w:r>
      <w:r>
        <w:rPr>
          <w:spacing w:val="-45"/>
          <w:sz w:val="28"/>
        </w:rPr>
        <w:t xml:space="preserve"> </w:t>
      </w:r>
      <w:r>
        <w:rPr>
          <w:sz w:val="28"/>
        </w:rPr>
        <w:t>assertion that Article 2(1) would not be violated by the provisions of the</w:t>
      </w:r>
      <w:r>
        <w:rPr>
          <w:spacing w:val="-26"/>
          <w:sz w:val="28"/>
        </w:rPr>
        <w:t xml:space="preserve"> </w:t>
      </w:r>
      <w:r>
        <w:rPr>
          <w:sz w:val="28"/>
        </w:rPr>
        <w:t>Bill.</w:t>
      </w:r>
    </w:p>
    <w:p w14:paraId="7A4909A2" w14:textId="77777777" w:rsidR="00257A79" w:rsidRDefault="00257A79">
      <w:pPr>
        <w:pStyle w:val="BodyText"/>
        <w:rPr>
          <w:sz w:val="20"/>
        </w:rPr>
      </w:pPr>
    </w:p>
    <w:p w14:paraId="5F039591" w14:textId="4EAF5B5C" w:rsidR="00257A79" w:rsidRDefault="00B472E1">
      <w:pPr>
        <w:pStyle w:val="BodyText"/>
        <w:spacing w:before="4"/>
        <w:rPr>
          <w:sz w:val="11"/>
        </w:rPr>
      </w:pPr>
      <w:r>
        <w:rPr>
          <w:noProof/>
        </w:rPr>
        <mc:AlternateContent>
          <mc:Choice Requires="wps">
            <w:drawing>
              <wp:anchor distT="0" distB="0" distL="0" distR="0" simplePos="0" relativeHeight="487590400" behindDoc="1" locked="0" layoutInCell="1" allowOverlap="1" wp14:anchorId="228AA2CF" wp14:editId="079A8A11">
                <wp:simplePos x="0" y="0"/>
                <wp:positionH relativeFrom="page">
                  <wp:posOffset>915035</wp:posOffset>
                </wp:positionH>
                <wp:positionV relativeFrom="paragraph">
                  <wp:posOffset>113030</wp:posOffset>
                </wp:positionV>
                <wp:extent cx="1830705" cy="6350"/>
                <wp:effectExtent l="0" t="0" r="0" b="0"/>
                <wp:wrapTopAndBottom/>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07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B9B34D" id="Rectangle 2" o:spid="_x0000_s1026" style="position:absolute;margin-left:72.05pt;margin-top:8.9pt;width:144.15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" fillcolor="black" stroked="f">
                <w10:wrap type="topAndBottom" anchorx="page"/>
              </v:rect>
            </w:pict>
          </mc:Fallback>
        </mc:AlternateContent>
      </w:r>
    </w:p>
    <w:p w14:paraId="278DD67C" w14:textId="77777777" w:rsidR="00257A79" w:rsidRDefault="00B472E1">
      <w:pPr>
        <w:spacing w:before="80" w:line="244" w:lineRule="auto"/>
        <w:ind w:left="180"/>
        <w:rPr>
          <w:sz w:val="20"/>
        </w:rPr>
      </w:pPr>
      <w:r>
        <w:rPr>
          <w:sz w:val="20"/>
          <w:vertAlign w:val="superscript"/>
        </w:rPr>
        <w:t>12</w:t>
      </w:r>
      <w:r>
        <w:rPr>
          <w:sz w:val="20"/>
        </w:rPr>
        <w:t xml:space="preserve"> </w:t>
      </w:r>
      <w:hyperlink r:id="rId25">
        <w:r>
          <w:rPr>
            <w:color w:val="0462C1"/>
            <w:sz w:val="20"/>
            <w:u w:val="single" w:color="0462C1"/>
          </w:rPr>
          <w:t>Letter</w:t>
        </w:r>
        <w:r>
          <w:rPr>
            <w:color w:val="0462C1"/>
            <w:sz w:val="20"/>
          </w:rPr>
          <w:t xml:space="preserve"> </w:t>
        </w:r>
      </w:hyperlink>
      <w:r>
        <w:rPr>
          <w:sz w:val="20"/>
        </w:rPr>
        <w:t>from the European Affairs Sub-Committee on the Protocol on Ireland/Northern Ireland to Lord True CBE, Minister of State on the Elections Bill, 24 February 2022</w:t>
      </w:r>
    </w:p>
    <w:p w14:paraId="076A21BA" w14:textId="77777777" w:rsidR="00257A79" w:rsidRDefault="00B472E1">
      <w:pPr>
        <w:ind w:left="180" w:right="444"/>
        <w:rPr>
          <w:sz w:val="20"/>
        </w:rPr>
      </w:pPr>
      <w:r>
        <w:rPr>
          <w:sz w:val="20"/>
          <w:vertAlign w:val="superscript"/>
        </w:rPr>
        <w:t>13</w:t>
      </w:r>
      <w:r>
        <w:rPr>
          <w:sz w:val="20"/>
        </w:rPr>
        <w:t xml:space="preserve"> </w:t>
      </w:r>
      <w:hyperlink r:id="rId26">
        <w:r>
          <w:rPr>
            <w:color w:val="0462C1"/>
            <w:sz w:val="20"/>
            <w:u w:val="single" w:color="0462C1"/>
          </w:rPr>
          <w:t>Letter</w:t>
        </w:r>
        <w:r>
          <w:rPr>
            <w:color w:val="0462C1"/>
            <w:sz w:val="20"/>
          </w:rPr>
          <w:t xml:space="preserve"> </w:t>
        </w:r>
      </w:hyperlink>
      <w:r>
        <w:rPr>
          <w:sz w:val="20"/>
        </w:rPr>
        <w:t>from Conor Burns MP, Minister of State, NIO, to Lord Jay, Chair of the European Affairs Sub- Committee on the Protocol on Ireland/Northern Ireland on Article 2 of the Protocol on Ireland/Northern Ireland, 24 January 2022</w:t>
      </w:r>
    </w:p>
    <w:p w14:paraId="0D9C8569" w14:textId="77777777" w:rsidR="00257A79" w:rsidRDefault="00B472E1">
      <w:pPr>
        <w:spacing w:before="5" w:line="235" w:lineRule="auto"/>
        <w:ind w:left="180" w:right="276"/>
        <w:jc w:val="both"/>
        <w:rPr>
          <w:sz w:val="20"/>
        </w:rPr>
      </w:pPr>
      <w:r>
        <w:rPr>
          <w:sz w:val="20"/>
          <w:vertAlign w:val="superscript"/>
        </w:rPr>
        <w:t>14</w:t>
      </w:r>
      <w:r>
        <w:rPr>
          <w:sz w:val="20"/>
        </w:rPr>
        <w:t xml:space="preserve"> </w:t>
      </w:r>
      <w:hyperlink r:id="rId27">
        <w:r>
          <w:rPr>
            <w:color w:val="0462C1"/>
            <w:sz w:val="20"/>
            <w:u w:val="single" w:color="0462C1"/>
          </w:rPr>
          <w:t>Letter</w:t>
        </w:r>
        <w:r>
          <w:rPr>
            <w:color w:val="0462C1"/>
            <w:sz w:val="20"/>
          </w:rPr>
          <w:t xml:space="preserve"> </w:t>
        </w:r>
      </w:hyperlink>
      <w:r>
        <w:rPr>
          <w:sz w:val="20"/>
        </w:rPr>
        <w:t>from to Lord Jay, Chair of the European Affairs Sub-Committee on the Protocol on Ireland/Northern Ireland to Conor Burns MP, Minister of State, NIO on Article 2 of t</w:t>
      </w:r>
      <w:r>
        <w:rPr>
          <w:sz w:val="20"/>
        </w:rPr>
        <w:t>he Protocol on Ireland/Northern Ireland, 16 December 2022</w:t>
      </w:r>
    </w:p>
    <w:p w14:paraId="48B6C065" w14:textId="77777777" w:rsidR="00257A79" w:rsidRDefault="00257A79">
      <w:pPr>
        <w:spacing w:line="235" w:lineRule="auto"/>
        <w:jc w:val="both"/>
        <w:rPr>
          <w:sz w:val="20"/>
        </w:rPr>
        <w:sectPr w:rsidR="00257A79">
          <w:pgSz w:w="11910" w:h="16840"/>
          <w:pgMar w:top="1420" w:right="1320" w:bottom="1200" w:left="1260" w:header="0" w:footer="1011" w:gutter="0"/>
          <w:cols w:space="720"/>
        </w:sectPr>
      </w:pPr>
    </w:p>
    <w:p w14:paraId="25FFC5D3" w14:textId="77777777" w:rsidR="00257A79" w:rsidRDefault="00B472E1">
      <w:pPr>
        <w:pStyle w:val="ListParagraph"/>
        <w:numPr>
          <w:ilvl w:val="1"/>
          <w:numId w:val="2"/>
        </w:numPr>
        <w:tabs>
          <w:tab w:val="left" w:pos="891"/>
          <w:tab w:val="left" w:pos="892"/>
        </w:tabs>
        <w:spacing w:before="24"/>
        <w:ind w:left="891" w:right="160" w:hanging="711"/>
        <w:rPr>
          <w:sz w:val="28"/>
        </w:rPr>
      </w:pPr>
      <w:r>
        <w:rPr>
          <w:sz w:val="28"/>
        </w:rPr>
        <w:lastRenderedPageBreak/>
        <w:t xml:space="preserve">The Minister’s first argument does not address the issue raised by the Commissions. We do not suggest that </w:t>
      </w:r>
      <w:r>
        <w:rPr>
          <w:spacing w:val="-3"/>
          <w:sz w:val="28"/>
        </w:rPr>
        <w:t xml:space="preserve">an </w:t>
      </w:r>
      <w:r>
        <w:rPr>
          <w:sz w:val="28"/>
        </w:rPr>
        <w:t xml:space="preserve">EU citizen who would be excluded from voting </w:t>
      </w:r>
      <w:r>
        <w:rPr>
          <w:spacing w:val="-3"/>
          <w:sz w:val="28"/>
        </w:rPr>
        <w:t xml:space="preserve">in </w:t>
      </w:r>
      <w:r>
        <w:rPr>
          <w:sz w:val="28"/>
        </w:rPr>
        <w:t xml:space="preserve">Northern Ireland District Council elections </w:t>
      </w:r>
      <w:r>
        <w:rPr>
          <w:spacing w:val="-3"/>
          <w:sz w:val="28"/>
        </w:rPr>
        <w:t xml:space="preserve">as </w:t>
      </w:r>
      <w:r>
        <w:rPr>
          <w:sz w:val="28"/>
        </w:rPr>
        <w:t xml:space="preserve">a result of the passing of the Bill has any rights </w:t>
      </w:r>
      <w:r>
        <w:rPr>
          <w:spacing w:val="-3"/>
          <w:sz w:val="28"/>
        </w:rPr>
        <w:t xml:space="preserve">in </w:t>
      </w:r>
      <w:r>
        <w:rPr>
          <w:sz w:val="28"/>
        </w:rPr>
        <w:t xml:space="preserve">the United Kingdom currently under Article 22 TFEU, but that </w:t>
      </w:r>
      <w:r>
        <w:rPr>
          <w:spacing w:val="-3"/>
          <w:sz w:val="28"/>
        </w:rPr>
        <w:t xml:space="preserve">is </w:t>
      </w:r>
      <w:r>
        <w:rPr>
          <w:sz w:val="28"/>
        </w:rPr>
        <w:t xml:space="preserve">irrelevant </w:t>
      </w:r>
      <w:r>
        <w:rPr>
          <w:spacing w:val="2"/>
          <w:sz w:val="28"/>
        </w:rPr>
        <w:t xml:space="preserve">for </w:t>
      </w:r>
      <w:r>
        <w:rPr>
          <w:sz w:val="28"/>
        </w:rPr>
        <w:t xml:space="preserve">the purposes of deciding whether Article 2 </w:t>
      </w:r>
      <w:r>
        <w:rPr>
          <w:spacing w:val="-3"/>
          <w:sz w:val="28"/>
        </w:rPr>
        <w:t xml:space="preserve">is </w:t>
      </w:r>
      <w:r>
        <w:rPr>
          <w:sz w:val="28"/>
        </w:rPr>
        <w:t>now</w:t>
      </w:r>
      <w:r>
        <w:rPr>
          <w:spacing w:val="4"/>
          <w:sz w:val="28"/>
        </w:rPr>
        <w:t xml:space="preserve"> </w:t>
      </w:r>
      <w:r>
        <w:rPr>
          <w:sz w:val="28"/>
        </w:rPr>
        <w:t>engaged.</w:t>
      </w:r>
    </w:p>
    <w:p w14:paraId="6054EF0A" w14:textId="77777777" w:rsidR="00257A79" w:rsidRDefault="00B472E1">
      <w:pPr>
        <w:pStyle w:val="ListParagraph"/>
        <w:numPr>
          <w:ilvl w:val="1"/>
          <w:numId w:val="2"/>
        </w:numPr>
        <w:tabs>
          <w:tab w:val="left" w:pos="891"/>
          <w:tab w:val="left" w:pos="892"/>
        </w:tabs>
        <w:spacing w:before="241"/>
        <w:ind w:left="891" w:right="284" w:hanging="711"/>
        <w:rPr>
          <w:sz w:val="28"/>
        </w:rPr>
      </w:pPr>
      <w:r>
        <w:rPr>
          <w:sz w:val="28"/>
        </w:rPr>
        <w:t xml:space="preserve">Second, the Commissions consider that Article 2(1) </w:t>
      </w:r>
      <w:r>
        <w:rPr>
          <w:spacing w:val="-3"/>
          <w:sz w:val="28"/>
        </w:rPr>
        <w:t xml:space="preserve">is </w:t>
      </w:r>
      <w:r>
        <w:rPr>
          <w:sz w:val="28"/>
        </w:rPr>
        <w:t xml:space="preserve">clearly not based on any principle of reciprocity. The obligations to which </w:t>
      </w:r>
      <w:r>
        <w:rPr>
          <w:spacing w:val="-3"/>
          <w:sz w:val="28"/>
        </w:rPr>
        <w:t xml:space="preserve">it </w:t>
      </w:r>
      <w:r>
        <w:rPr>
          <w:sz w:val="28"/>
        </w:rPr>
        <w:t xml:space="preserve">gives rise apply only to the United Kingdom and not to the EU or to Member States. There </w:t>
      </w:r>
      <w:r>
        <w:rPr>
          <w:spacing w:val="-3"/>
          <w:sz w:val="28"/>
        </w:rPr>
        <w:t xml:space="preserve">is </w:t>
      </w:r>
      <w:r>
        <w:rPr>
          <w:sz w:val="28"/>
        </w:rPr>
        <w:t xml:space="preserve">no textual support </w:t>
      </w:r>
      <w:r>
        <w:rPr>
          <w:spacing w:val="-3"/>
          <w:sz w:val="28"/>
        </w:rPr>
        <w:t xml:space="preserve">in </w:t>
      </w:r>
      <w:r>
        <w:rPr>
          <w:sz w:val="28"/>
        </w:rPr>
        <w:t>the Protocol supporting the importation of any requirement of r</w:t>
      </w:r>
      <w:r>
        <w:rPr>
          <w:sz w:val="28"/>
        </w:rPr>
        <w:t xml:space="preserve">eciprocity into the application of Article 2, however much </w:t>
      </w:r>
      <w:r>
        <w:rPr>
          <w:spacing w:val="-3"/>
          <w:sz w:val="28"/>
        </w:rPr>
        <w:t xml:space="preserve">it </w:t>
      </w:r>
      <w:r>
        <w:rPr>
          <w:sz w:val="28"/>
        </w:rPr>
        <w:t xml:space="preserve">may or </w:t>
      </w:r>
      <w:r>
        <w:rPr>
          <w:spacing w:val="-3"/>
          <w:sz w:val="28"/>
        </w:rPr>
        <w:t xml:space="preserve">may </w:t>
      </w:r>
      <w:r>
        <w:rPr>
          <w:sz w:val="28"/>
        </w:rPr>
        <w:t xml:space="preserve">not underpin other parts of the Withdrawal Agreement. When reciprocity </w:t>
      </w:r>
      <w:r>
        <w:rPr>
          <w:spacing w:val="-3"/>
          <w:sz w:val="28"/>
        </w:rPr>
        <w:t xml:space="preserve">is </w:t>
      </w:r>
      <w:r>
        <w:rPr>
          <w:sz w:val="28"/>
        </w:rPr>
        <w:t xml:space="preserve">required </w:t>
      </w:r>
      <w:r>
        <w:rPr>
          <w:spacing w:val="-3"/>
          <w:sz w:val="28"/>
        </w:rPr>
        <w:t xml:space="preserve">in </w:t>
      </w:r>
      <w:r>
        <w:rPr>
          <w:sz w:val="28"/>
        </w:rPr>
        <w:t xml:space="preserve">the Withdrawal Agreement, </w:t>
      </w:r>
      <w:r>
        <w:rPr>
          <w:spacing w:val="2"/>
          <w:sz w:val="28"/>
        </w:rPr>
        <w:t xml:space="preserve">it </w:t>
      </w:r>
      <w:r>
        <w:rPr>
          <w:spacing w:val="-3"/>
          <w:sz w:val="28"/>
        </w:rPr>
        <w:t xml:space="preserve">is </w:t>
      </w:r>
      <w:r>
        <w:rPr>
          <w:sz w:val="28"/>
        </w:rPr>
        <w:t xml:space="preserve">specifically provided </w:t>
      </w:r>
      <w:r>
        <w:rPr>
          <w:spacing w:val="2"/>
          <w:sz w:val="28"/>
        </w:rPr>
        <w:t xml:space="preserve">for </w:t>
      </w:r>
      <w:r>
        <w:rPr>
          <w:spacing w:val="-3"/>
          <w:sz w:val="28"/>
        </w:rPr>
        <w:t xml:space="preserve">in </w:t>
      </w:r>
      <w:r>
        <w:rPr>
          <w:sz w:val="28"/>
        </w:rPr>
        <w:t>the</w:t>
      </w:r>
      <w:r>
        <w:rPr>
          <w:spacing w:val="-14"/>
          <w:sz w:val="28"/>
        </w:rPr>
        <w:t xml:space="preserve"> </w:t>
      </w:r>
      <w:r>
        <w:rPr>
          <w:sz w:val="28"/>
        </w:rPr>
        <w:t>text.</w:t>
      </w:r>
    </w:p>
    <w:p w14:paraId="35634619" w14:textId="77777777" w:rsidR="00257A79" w:rsidRDefault="00B472E1">
      <w:pPr>
        <w:pStyle w:val="ListParagraph"/>
        <w:numPr>
          <w:ilvl w:val="1"/>
          <w:numId w:val="2"/>
        </w:numPr>
        <w:tabs>
          <w:tab w:val="left" w:pos="891"/>
          <w:tab w:val="left" w:pos="892"/>
        </w:tabs>
        <w:spacing w:before="247"/>
        <w:ind w:left="891" w:right="377" w:hanging="711"/>
        <w:rPr>
          <w:sz w:val="28"/>
        </w:rPr>
      </w:pPr>
      <w:r>
        <w:rPr>
          <w:sz w:val="28"/>
        </w:rPr>
        <w:t>The Commissions consider t</w:t>
      </w:r>
      <w:r>
        <w:rPr>
          <w:sz w:val="28"/>
        </w:rPr>
        <w:t xml:space="preserve">hat the Government has not, </w:t>
      </w:r>
      <w:r>
        <w:rPr>
          <w:spacing w:val="-3"/>
          <w:sz w:val="28"/>
        </w:rPr>
        <w:t xml:space="preserve">in </w:t>
      </w:r>
      <w:r>
        <w:rPr>
          <w:sz w:val="28"/>
        </w:rPr>
        <w:t xml:space="preserve">its letter of 24 January 2020 to the House of Lords Sub Committee, set out a complete or adequate assessment of the relevant provisions of the Elections Bill </w:t>
      </w:r>
      <w:r>
        <w:rPr>
          <w:spacing w:val="-3"/>
          <w:sz w:val="28"/>
        </w:rPr>
        <w:t xml:space="preserve">in </w:t>
      </w:r>
      <w:r>
        <w:rPr>
          <w:sz w:val="28"/>
        </w:rPr>
        <w:t xml:space="preserve">the context of their conformity </w:t>
      </w:r>
      <w:r>
        <w:rPr>
          <w:spacing w:val="-3"/>
          <w:sz w:val="28"/>
        </w:rPr>
        <w:t xml:space="preserve">with its </w:t>
      </w:r>
      <w:r>
        <w:rPr>
          <w:sz w:val="28"/>
        </w:rPr>
        <w:t>commitment under Articl</w:t>
      </w:r>
      <w:r>
        <w:rPr>
          <w:sz w:val="28"/>
        </w:rPr>
        <w:t xml:space="preserve">e 2(1) of the Protocol. </w:t>
      </w:r>
      <w:r>
        <w:rPr>
          <w:spacing w:val="4"/>
          <w:sz w:val="28"/>
        </w:rPr>
        <w:t xml:space="preserve">The </w:t>
      </w:r>
      <w:r>
        <w:rPr>
          <w:sz w:val="28"/>
        </w:rPr>
        <w:t>Government has only given</w:t>
      </w:r>
      <w:r>
        <w:rPr>
          <w:spacing w:val="-33"/>
          <w:sz w:val="28"/>
        </w:rPr>
        <w:t xml:space="preserve"> </w:t>
      </w:r>
      <w:r>
        <w:rPr>
          <w:sz w:val="28"/>
        </w:rPr>
        <w:t xml:space="preserve">very brief </w:t>
      </w:r>
      <w:r>
        <w:rPr>
          <w:spacing w:val="-3"/>
          <w:sz w:val="28"/>
        </w:rPr>
        <w:t xml:space="preserve">details </w:t>
      </w:r>
      <w:r>
        <w:rPr>
          <w:sz w:val="28"/>
        </w:rPr>
        <w:t xml:space="preserve">of how </w:t>
      </w:r>
      <w:r>
        <w:rPr>
          <w:spacing w:val="2"/>
          <w:sz w:val="28"/>
        </w:rPr>
        <w:t xml:space="preserve">it </w:t>
      </w:r>
      <w:r>
        <w:rPr>
          <w:sz w:val="28"/>
        </w:rPr>
        <w:t>considers the relevant provisions of the Bill interact with its obligations under Article 2 (1) of the</w:t>
      </w:r>
      <w:r>
        <w:rPr>
          <w:spacing w:val="-20"/>
          <w:sz w:val="28"/>
        </w:rPr>
        <w:t xml:space="preserve"> </w:t>
      </w:r>
      <w:r>
        <w:rPr>
          <w:sz w:val="28"/>
        </w:rPr>
        <w:t>Protocol.</w:t>
      </w:r>
    </w:p>
    <w:p w14:paraId="3C850366" w14:textId="77777777" w:rsidR="00257A79" w:rsidRDefault="00B472E1">
      <w:pPr>
        <w:pStyle w:val="Heading1"/>
        <w:numPr>
          <w:ilvl w:val="0"/>
          <w:numId w:val="2"/>
        </w:numPr>
        <w:tabs>
          <w:tab w:val="left" w:pos="891"/>
          <w:tab w:val="left" w:pos="892"/>
        </w:tabs>
        <w:spacing w:before="235"/>
        <w:ind w:hanging="712"/>
      </w:pPr>
      <w:bookmarkStart w:id="7" w:name="_bookmark7"/>
      <w:bookmarkEnd w:id="7"/>
      <w:r>
        <w:t>Conclusion and</w:t>
      </w:r>
      <w:r>
        <w:rPr>
          <w:spacing w:val="-3"/>
        </w:rPr>
        <w:t xml:space="preserve"> </w:t>
      </w:r>
      <w:r>
        <w:t>Recommendations</w:t>
      </w:r>
    </w:p>
    <w:p w14:paraId="55E0437C" w14:textId="77777777" w:rsidR="00257A79" w:rsidRDefault="00257A79">
      <w:pPr>
        <w:pStyle w:val="BodyText"/>
        <w:spacing w:before="7"/>
        <w:rPr>
          <w:b/>
          <w:sz w:val="31"/>
        </w:rPr>
      </w:pPr>
    </w:p>
    <w:p w14:paraId="1789C750" w14:textId="77777777" w:rsidR="00257A79" w:rsidRDefault="00B472E1">
      <w:pPr>
        <w:pStyle w:val="ListParagraph"/>
        <w:numPr>
          <w:ilvl w:val="1"/>
          <w:numId w:val="2"/>
        </w:numPr>
        <w:tabs>
          <w:tab w:val="left" w:pos="891"/>
          <w:tab w:val="left" w:pos="892"/>
        </w:tabs>
        <w:spacing w:before="1"/>
        <w:ind w:left="891" w:right="225"/>
        <w:rPr>
          <w:sz w:val="28"/>
        </w:rPr>
      </w:pPr>
      <w:r>
        <w:rPr>
          <w:sz w:val="28"/>
        </w:rPr>
        <w:t>In conclusion, the Commissio</w:t>
      </w:r>
      <w:r>
        <w:rPr>
          <w:sz w:val="28"/>
        </w:rPr>
        <w:t xml:space="preserve">ns are of the view that, were the changes proposed by the Elections Bill to pass into </w:t>
      </w:r>
      <w:r>
        <w:rPr>
          <w:spacing w:val="-4"/>
          <w:sz w:val="28"/>
        </w:rPr>
        <w:t xml:space="preserve">law </w:t>
      </w:r>
      <w:r>
        <w:rPr>
          <w:spacing w:val="-3"/>
          <w:sz w:val="28"/>
        </w:rPr>
        <w:t xml:space="preserve">in </w:t>
      </w:r>
      <w:r>
        <w:rPr>
          <w:sz w:val="28"/>
        </w:rPr>
        <w:t xml:space="preserve">its current form, the provisions preventing EU citizens who come to reside </w:t>
      </w:r>
      <w:r>
        <w:rPr>
          <w:spacing w:val="-3"/>
          <w:sz w:val="28"/>
        </w:rPr>
        <w:t xml:space="preserve">in </w:t>
      </w:r>
      <w:r>
        <w:rPr>
          <w:sz w:val="28"/>
        </w:rPr>
        <w:t>the UK after</w:t>
      </w:r>
      <w:r>
        <w:rPr>
          <w:spacing w:val="-30"/>
          <w:sz w:val="28"/>
        </w:rPr>
        <w:t xml:space="preserve"> </w:t>
      </w:r>
      <w:r>
        <w:rPr>
          <w:sz w:val="28"/>
        </w:rPr>
        <w:t xml:space="preserve">the end of the Brexit transition period from standing </w:t>
      </w:r>
      <w:r>
        <w:rPr>
          <w:spacing w:val="2"/>
          <w:sz w:val="28"/>
        </w:rPr>
        <w:t xml:space="preserve">for </w:t>
      </w:r>
      <w:r>
        <w:rPr>
          <w:sz w:val="28"/>
        </w:rPr>
        <w:t>election and v</w:t>
      </w:r>
      <w:r>
        <w:rPr>
          <w:sz w:val="28"/>
        </w:rPr>
        <w:t xml:space="preserve">oting </w:t>
      </w:r>
      <w:r>
        <w:rPr>
          <w:spacing w:val="-3"/>
          <w:sz w:val="28"/>
        </w:rPr>
        <w:t xml:space="preserve">in </w:t>
      </w:r>
      <w:r>
        <w:rPr>
          <w:sz w:val="28"/>
        </w:rPr>
        <w:t xml:space="preserve">Northern Ireland District Council elections </w:t>
      </w:r>
      <w:r>
        <w:rPr>
          <w:spacing w:val="-3"/>
          <w:sz w:val="28"/>
        </w:rPr>
        <w:t xml:space="preserve">in </w:t>
      </w:r>
      <w:r>
        <w:rPr>
          <w:sz w:val="28"/>
        </w:rPr>
        <w:t xml:space="preserve">the future, </w:t>
      </w:r>
      <w:r>
        <w:rPr>
          <w:spacing w:val="-3"/>
          <w:sz w:val="28"/>
        </w:rPr>
        <w:t xml:space="preserve">may </w:t>
      </w:r>
      <w:r>
        <w:rPr>
          <w:sz w:val="28"/>
        </w:rPr>
        <w:t>amount to a breach of the UK’s obligations under Article 2(1) of the</w:t>
      </w:r>
      <w:r>
        <w:rPr>
          <w:spacing w:val="-9"/>
          <w:sz w:val="28"/>
        </w:rPr>
        <w:t xml:space="preserve"> </w:t>
      </w:r>
      <w:r>
        <w:rPr>
          <w:sz w:val="28"/>
        </w:rPr>
        <w:t>Protocol.</w:t>
      </w:r>
    </w:p>
    <w:p w14:paraId="1BB004AF" w14:textId="77777777" w:rsidR="00257A79" w:rsidRDefault="00B472E1">
      <w:pPr>
        <w:pStyle w:val="ListParagraph"/>
        <w:numPr>
          <w:ilvl w:val="1"/>
          <w:numId w:val="2"/>
        </w:numPr>
        <w:tabs>
          <w:tab w:val="left" w:pos="891"/>
          <w:tab w:val="left" w:pos="892"/>
        </w:tabs>
        <w:spacing w:before="250"/>
        <w:ind w:left="891" w:right="184"/>
        <w:rPr>
          <w:sz w:val="28"/>
        </w:rPr>
      </w:pPr>
      <w:r>
        <w:rPr>
          <w:sz w:val="28"/>
        </w:rPr>
        <w:t>The</w:t>
      </w:r>
      <w:r>
        <w:rPr>
          <w:spacing w:val="-5"/>
          <w:sz w:val="28"/>
        </w:rPr>
        <w:t xml:space="preserve"> </w:t>
      </w:r>
      <w:r>
        <w:rPr>
          <w:sz w:val="28"/>
        </w:rPr>
        <w:t>Commissions</w:t>
      </w:r>
      <w:r>
        <w:rPr>
          <w:spacing w:val="-5"/>
          <w:sz w:val="28"/>
        </w:rPr>
        <w:t xml:space="preserve"> </w:t>
      </w:r>
      <w:r>
        <w:rPr>
          <w:sz w:val="28"/>
        </w:rPr>
        <w:t>advise</w:t>
      </w:r>
      <w:r>
        <w:rPr>
          <w:spacing w:val="-5"/>
          <w:sz w:val="28"/>
        </w:rPr>
        <w:t xml:space="preserve"> </w:t>
      </w:r>
      <w:r>
        <w:rPr>
          <w:sz w:val="28"/>
        </w:rPr>
        <w:t>that</w:t>
      </w:r>
      <w:r>
        <w:rPr>
          <w:spacing w:val="-1"/>
          <w:sz w:val="28"/>
        </w:rPr>
        <w:t xml:space="preserve"> </w:t>
      </w:r>
      <w:r>
        <w:rPr>
          <w:sz w:val="28"/>
        </w:rPr>
        <w:t>the</w:t>
      </w:r>
      <w:r>
        <w:rPr>
          <w:spacing w:val="-5"/>
          <w:sz w:val="28"/>
        </w:rPr>
        <w:t xml:space="preserve"> </w:t>
      </w:r>
      <w:r>
        <w:rPr>
          <w:sz w:val="28"/>
        </w:rPr>
        <w:t>UK</w:t>
      </w:r>
      <w:r>
        <w:rPr>
          <w:spacing w:val="-1"/>
          <w:sz w:val="28"/>
        </w:rPr>
        <w:t xml:space="preserve"> </w:t>
      </w:r>
      <w:r>
        <w:rPr>
          <w:sz w:val="28"/>
        </w:rPr>
        <w:t>Government</w:t>
      </w:r>
      <w:r>
        <w:rPr>
          <w:spacing w:val="-10"/>
          <w:sz w:val="28"/>
        </w:rPr>
        <w:t xml:space="preserve"> </w:t>
      </w:r>
      <w:r>
        <w:rPr>
          <w:sz w:val="28"/>
        </w:rPr>
        <w:t>can</w:t>
      </w:r>
      <w:r>
        <w:rPr>
          <w:spacing w:val="-3"/>
          <w:sz w:val="28"/>
        </w:rPr>
        <w:t xml:space="preserve"> </w:t>
      </w:r>
      <w:r>
        <w:rPr>
          <w:sz w:val="28"/>
        </w:rPr>
        <w:t>ensure</w:t>
      </w:r>
      <w:r>
        <w:rPr>
          <w:spacing w:val="-5"/>
          <w:sz w:val="28"/>
        </w:rPr>
        <w:t xml:space="preserve"> </w:t>
      </w:r>
      <w:r>
        <w:rPr>
          <w:sz w:val="28"/>
        </w:rPr>
        <w:t>that</w:t>
      </w:r>
      <w:r>
        <w:rPr>
          <w:spacing w:val="-9"/>
          <w:sz w:val="28"/>
        </w:rPr>
        <w:t xml:space="preserve"> </w:t>
      </w:r>
      <w:r>
        <w:rPr>
          <w:sz w:val="28"/>
        </w:rPr>
        <w:t xml:space="preserve">Article 2(1) </w:t>
      </w:r>
      <w:r>
        <w:rPr>
          <w:spacing w:val="-3"/>
          <w:sz w:val="28"/>
        </w:rPr>
        <w:t xml:space="preserve">is </w:t>
      </w:r>
      <w:r>
        <w:rPr>
          <w:sz w:val="28"/>
        </w:rPr>
        <w:t xml:space="preserve">not breached </w:t>
      </w:r>
      <w:r>
        <w:rPr>
          <w:spacing w:val="-3"/>
          <w:sz w:val="28"/>
        </w:rPr>
        <w:t xml:space="preserve">if it </w:t>
      </w:r>
      <w:r>
        <w:rPr>
          <w:sz w:val="28"/>
        </w:rPr>
        <w:t xml:space="preserve">maintains the position that existed prior to the end of the transition period and allows all EU citizen categories who would have been </w:t>
      </w:r>
      <w:r>
        <w:rPr>
          <w:spacing w:val="-3"/>
          <w:sz w:val="28"/>
        </w:rPr>
        <w:t xml:space="preserve">eligible </w:t>
      </w:r>
      <w:r>
        <w:rPr>
          <w:sz w:val="28"/>
        </w:rPr>
        <w:t xml:space="preserve">to stand or to vote </w:t>
      </w:r>
      <w:r>
        <w:rPr>
          <w:spacing w:val="-3"/>
          <w:sz w:val="28"/>
        </w:rPr>
        <w:t xml:space="preserve">in </w:t>
      </w:r>
      <w:r>
        <w:rPr>
          <w:sz w:val="28"/>
        </w:rPr>
        <w:t>District Council elections to continue to be</w:t>
      </w:r>
      <w:r>
        <w:rPr>
          <w:spacing w:val="-11"/>
          <w:sz w:val="28"/>
        </w:rPr>
        <w:t xml:space="preserve"> </w:t>
      </w:r>
      <w:r>
        <w:rPr>
          <w:sz w:val="28"/>
        </w:rPr>
        <w:t>eligible.</w:t>
      </w:r>
    </w:p>
    <w:p w14:paraId="4AB05F07" w14:textId="77777777" w:rsidR="00257A79" w:rsidRDefault="00257A79">
      <w:pPr>
        <w:rPr>
          <w:sz w:val="28"/>
        </w:rPr>
        <w:sectPr w:rsidR="00257A79">
          <w:pgSz w:w="11910" w:h="16840"/>
          <w:pgMar w:top="1420" w:right="1320" w:bottom="1200" w:left="1260" w:header="0" w:footer="1011" w:gutter="0"/>
          <w:cols w:space="720"/>
        </w:sectPr>
      </w:pPr>
    </w:p>
    <w:p w14:paraId="6B3A64E2" w14:textId="77777777" w:rsidR="00257A79" w:rsidRDefault="00B472E1">
      <w:pPr>
        <w:pStyle w:val="Heading2"/>
        <w:rPr>
          <w:u w:val="none"/>
        </w:rPr>
      </w:pPr>
      <w:bookmarkStart w:id="8" w:name="_bookmark8"/>
      <w:bookmarkEnd w:id="8"/>
      <w:r>
        <w:lastRenderedPageBreak/>
        <w:t>Recommendations</w:t>
      </w:r>
    </w:p>
    <w:p w14:paraId="3A3D2E09" w14:textId="77777777" w:rsidR="00257A79" w:rsidRDefault="00257A79">
      <w:pPr>
        <w:pStyle w:val="BodyText"/>
        <w:spacing w:before="9"/>
        <w:rPr>
          <w:b/>
          <w:i/>
          <w:sz w:val="16"/>
        </w:rPr>
      </w:pPr>
    </w:p>
    <w:p w14:paraId="581BD387" w14:textId="77777777" w:rsidR="00257A79" w:rsidRDefault="00B472E1">
      <w:pPr>
        <w:pStyle w:val="Heading3"/>
        <w:numPr>
          <w:ilvl w:val="1"/>
          <w:numId w:val="2"/>
        </w:numPr>
        <w:tabs>
          <w:tab w:val="left" w:pos="891"/>
          <w:tab w:val="left" w:pos="892"/>
        </w:tabs>
        <w:spacing w:before="44"/>
        <w:ind w:left="891" w:right="179"/>
      </w:pPr>
      <w:r>
        <w:t>The Commissions recommend that the UK Government sets out, in</w:t>
      </w:r>
      <w:r>
        <w:rPr>
          <w:spacing w:val="-36"/>
        </w:rPr>
        <w:t xml:space="preserve"> </w:t>
      </w:r>
      <w:r>
        <w:t>full, its assessment of the relevant provisions of the Elections Bill in the context of its conformity with its commitments under Article 2(1) of the</w:t>
      </w:r>
      <w:r>
        <w:rPr>
          <w:spacing w:val="-5"/>
        </w:rPr>
        <w:t xml:space="preserve"> </w:t>
      </w:r>
      <w:r>
        <w:t>Protocol.</w:t>
      </w:r>
    </w:p>
    <w:p w14:paraId="3E8ECE17" w14:textId="77777777" w:rsidR="00257A79" w:rsidRDefault="00B472E1">
      <w:pPr>
        <w:pStyle w:val="Heading3"/>
        <w:numPr>
          <w:ilvl w:val="1"/>
          <w:numId w:val="2"/>
        </w:numPr>
        <w:tabs>
          <w:tab w:val="left" w:pos="891"/>
          <w:tab w:val="left" w:pos="892"/>
        </w:tabs>
        <w:spacing w:before="243"/>
        <w:ind w:left="891" w:right="314"/>
      </w:pPr>
      <w:r>
        <w:rPr>
          <w:spacing w:val="2"/>
        </w:rPr>
        <w:t xml:space="preserve">In </w:t>
      </w:r>
      <w:r>
        <w:t>the absence of any convincing explanation as to how the</w:t>
      </w:r>
      <w:r>
        <w:rPr>
          <w:spacing w:val="-37"/>
        </w:rPr>
        <w:t xml:space="preserve"> </w:t>
      </w:r>
      <w:r>
        <w:t>provisions the Elections Bill complie</w:t>
      </w:r>
      <w:r>
        <w:t>s with Article 2(1), the Commissions recommend that the Elections Bill should be amended to ensure compatibility with Article 2(1) of the</w:t>
      </w:r>
      <w:r>
        <w:rPr>
          <w:spacing w:val="-24"/>
        </w:rPr>
        <w:t xml:space="preserve"> </w:t>
      </w:r>
      <w:r>
        <w:t>Protocol.</w:t>
      </w:r>
    </w:p>
    <w:p w14:paraId="07851F5A" w14:textId="77777777" w:rsidR="00257A79" w:rsidRDefault="00B472E1">
      <w:pPr>
        <w:pStyle w:val="Heading3"/>
        <w:numPr>
          <w:ilvl w:val="1"/>
          <w:numId w:val="2"/>
        </w:numPr>
        <w:tabs>
          <w:tab w:val="left" w:pos="892"/>
        </w:tabs>
        <w:spacing w:before="244"/>
        <w:ind w:left="891" w:right="351"/>
        <w:jc w:val="both"/>
      </w:pPr>
      <w:r>
        <w:t>Specifically, the Commissions recommend the following amendments to the Bill in order to avoid a potential b</w:t>
      </w:r>
      <w:r>
        <w:t>reach of the “no-diminution” commitment under Article 2 of the</w:t>
      </w:r>
      <w:r>
        <w:rPr>
          <w:spacing w:val="-24"/>
        </w:rPr>
        <w:t xml:space="preserve"> </w:t>
      </w:r>
      <w:r>
        <w:t>Protocol:</w:t>
      </w:r>
    </w:p>
    <w:p w14:paraId="19106EC1" w14:textId="77777777" w:rsidR="00257A79" w:rsidRDefault="00B472E1">
      <w:pPr>
        <w:pStyle w:val="Heading3"/>
        <w:numPr>
          <w:ilvl w:val="0"/>
          <w:numId w:val="1"/>
        </w:numPr>
        <w:tabs>
          <w:tab w:val="left" w:pos="1612"/>
          <w:tab w:val="left" w:pos="1613"/>
        </w:tabs>
        <w:spacing w:before="230" w:line="242" w:lineRule="auto"/>
        <w:ind w:right="292"/>
      </w:pPr>
      <w:r>
        <w:t>Clause 13 of the Elections Bill, which gives effect to Schedule 8, should be amended to exclude Northern Ireland District Council elections from its application;</w:t>
      </w:r>
      <w:r>
        <w:rPr>
          <w:spacing w:val="-11"/>
        </w:rPr>
        <w:t xml:space="preserve"> </w:t>
      </w:r>
      <w:r>
        <w:t>and</w:t>
      </w:r>
    </w:p>
    <w:p w14:paraId="2675984A" w14:textId="77777777" w:rsidR="00257A79" w:rsidRDefault="00B472E1">
      <w:pPr>
        <w:pStyle w:val="Heading3"/>
        <w:numPr>
          <w:ilvl w:val="0"/>
          <w:numId w:val="1"/>
        </w:numPr>
        <w:tabs>
          <w:tab w:val="left" w:pos="1612"/>
          <w:tab w:val="left" w:pos="1613"/>
        </w:tabs>
        <w:spacing w:before="231"/>
        <w:ind w:right="251"/>
      </w:pPr>
      <w:r>
        <w:t>Part 3 of Schedul</w:t>
      </w:r>
      <w:r>
        <w:t xml:space="preserve">e 8 of the Elections Bill should be amended to remove Paragraphs 7, 8 and </w:t>
      </w:r>
      <w:r>
        <w:rPr>
          <w:spacing w:val="3"/>
        </w:rPr>
        <w:t xml:space="preserve">9, </w:t>
      </w:r>
      <w:r>
        <w:t>thus restoring the status quo ante, and permitting all EU citizens lawfully resident in</w:t>
      </w:r>
      <w:r>
        <w:rPr>
          <w:spacing w:val="-46"/>
        </w:rPr>
        <w:t xml:space="preserve"> </w:t>
      </w:r>
      <w:r>
        <w:t>Northern Ireland to continue to be able to vote/stand for election in District Council elec</w:t>
      </w:r>
      <w:r>
        <w:t>tions in Northern</w:t>
      </w:r>
      <w:r>
        <w:rPr>
          <w:spacing w:val="-19"/>
        </w:rPr>
        <w:t xml:space="preserve"> </w:t>
      </w:r>
      <w:r>
        <w:t>Ireland.</w:t>
      </w:r>
    </w:p>
    <w:p w14:paraId="08600EE0" w14:textId="77777777" w:rsidR="00257A79" w:rsidRDefault="00257A79">
      <w:pPr>
        <w:pStyle w:val="BodyText"/>
        <w:rPr>
          <w:b/>
        </w:rPr>
      </w:pPr>
    </w:p>
    <w:p w14:paraId="68275F7F" w14:textId="77777777" w:rsidR="00257A79" w:rsidRDefault="00B472E1">
      <w:pPr>
        <w:pStyle w:val="Heading3"/>
        <w:spacing w:before="250"/>
        <w:ind w:left="180" w:firstLine="0"/>
      </w:pPr>
      <w:r>
        <w:t>04 March 2022</w:t>
      </w:r>
    </w:p>
    <w:p w14:paraId="498766D9" w14:textId="77777777" w:rsidR="00257A79" w:rsidRDefault="00257A79">
      <w:pPr>
        <w:sectPr w:rsidR="00257A79">
          <w:pgSz w:w="11910" w:h="16840"/>
          <w:pgMar w:top="1420" w:right="1320" w:bottom="1200" w:left="1260" w:header="0" w:footer="1011" w:gutter="0"/>
          <w:cols w:space="720"/>
        </w:sectPr>
      </w:pPr>
    </w:p>
    <w:p w14:paraId="6A817942" w14:textId="77777777" w:rsidR="00257A79" w:rsidRDefault="00257A79">
      <w:pPr>
        <w:pStyle w:val="BodyText"/>
        <w:rPr>
          <w:b/>
          <w:sz w:val="20"/>
        </w:rPr>
      </w:pPr>
    </w:p>
    <w:p w14:paraId="0415BE6F" w14:textId="77777777" w:rsidR="00257A79" w:rsidRDefault="00257A79">
      <w:pPr>
        <w:pStyle w:val="BodyText"/>
        <w:rPr>
          <w:b/>
          <w:sz w:val="20"/>
        </w:rPr>
      </w:pPr>
    </w:p>
    <w:p w14:paraId="5137598D" w14:textId="77777777" w:rsidR="00257A79" w:rsidRDefault="00257A79">
      <w:pPr>
        <w:pStyle w:val="BodyText"/>
        <w:rPr>
          <w:b/>
          <w:sz w:val="20"/>
        </w:rPr>
      </w:pPr>
    </w:p>
    <w:p w14:paraId="53735D06" w14:textId="77777777" w:rsidR="00257A79" w:rsidRDefault="00257A79">
      <w:pPr>
        <w:pStyle w:val="BodyText"/>
        <w:rPr>
          <w:b/>
          <w:sz w:val="20"/>
        </w:rPr>
      </w:pPr>
    </w:p>
    <w:p w14:paraId="0BC4911D" w14:textId="77777777" w:rsidR="00257A79" w:rsidRDefault="00257A79">
      <w:pPr>
        <w:pStyle w:val="BodyText"/>
        <w:rPr>
          <w:b/>
          <w:sz w:val="20"/>
        </w:rPr>
      </w:pPr>
    </w:p>
    <w:p w14:paraId="0EFFC886" w14:textId="77777777" w:rsidR="00257A79" w:rsidRDefault="00257A79">
      <w:pPr>
        <w:pStyle w:val="BodyText"/>
        <w:rPr>
          <w:b/>
          <w:sz w:val="20"/>
        </w:rPr>
      </w:pPr>
    </w:p>
    <w:p w14:paraId="05BC7EFF" w14:textId="77777777" w:rsidR="00257A79" w:rsidRDefault="00257A79">
      <w:pPr>
        <w:pStyle w:val="BodyText"/>
        <w:rPr>
          <w:b/>
          <w:sz w:val="20"/>
        </w:rPr>
      </w:pPr>
    </w:p>
    <w:p w14:paraId="2B60A699" w14:textId="77777777" w:rsidR="00257A79" w:rsidRDefault="00257A79">
      <w:pPr>
        <w:pStyle w:val="BodyText"/>
        <w:rPr>
          <w:b/>
          <w:sz w:val="20"/>
        </w:rPr>
      </w:pPr>
    </w:p>
    <w:p w14:paraId="35E40AA2" w14:textId="77777777" w:rsidR="00257A79" w:rsidRDefault="00257A79">
      <w:pPr>
        <w:pStyle w:val="BodyText"/>
        <w:rPr>
          <w:b/>
          <w:sz w:val="20"/>
        </w:rPr>
      </w:pPr>
    </w:p>
    <w:p w14:paraId="0878B488" w14:textId="77777777" w:rsidR="00257A79" w:rsidRDefault="00257A79">
      <w:pPr>
        <w:pStyle w:val="BodyText"/>
        <w:rPr>
          <w:b/>
          <w:sz w:val="20"/>
        </w:rPr>
      </w:pPr>
    </w:p>
    <w:p w14:paraId="19B28A6B" w14:textId="77777777" w:rsidR="00257A79" w:rsidRDefault="00257A79">
      <w:pPr>
        <w:pStyle w:val="BodyText"/>
        <w:rPr>
          <w:b/>
          <w:sz w:val="20"/>
        </w:rPr>
      </w:pPr>
    </w:p>
    <w:p w14:paraId="7174E982" w14:textId="77777777" w:rsidR="00257A79" w:rsidRDefault="00257A79">
      <w:pPr>
        <w:pStyle w:val="BodyText"/>
        <w:spacing w:before="5"/>
        <w:rPr>
          <w:b/>
          <w:sz w:val="19"/>
        </w:rPr>
      </w:pPr>
    </w:p>
    <w:p w14:paraId="2D2F1ABC" w14:textId="77777777" w:rsidR="00257A79" w:rsidRDefault="00B472E1">
      <w:pPr>
        <w:spacing w:before="11"/>
        <w:ind w:left="2851" w:right="2779"/>
        <w:jc w:val="center"/>
        <w:rPr>
          <w:b/>
          <w:sz w:val="44"/>
        </w:rPr>
      </w:pPr>
      <w:r>
        <w:rPr>
          <w:b/>
          <w:sz w:val="44"/>
        </w:rPr>
        <w:t>Contact Us</w:t>
      </w:r>
    </w:p>
    <w:p w14:paraId="0321778A" w14:textId="77777777" w:rsidR="00257A79" w:rsidRDefault="00257A79">
      <w:pPr>
        <w:pStyle w:val="BodyText"/>
        <w:spacing w:before="3"/>
        <w:rPr>
          <w:b/>
          <w:sz w:val="34"/>
        </w:rPr>
      </w:pPr>
    </w:p>
    <w:p w14:paraId="35F3A96C" w14:textId="77777777" w:rsidR="00257A79" w:rsidRDefault="00B472E1">
      <w:pPr>
        <w:spacing w:line="276" w:lineRule="auto"/>
        <w:ind w:left="2851" w:right="2787"/>
        <w:jc w:val="center"/>
        <w:rPr>
          <w:sz w:val="32"/>
        </w:rPr>
      </w:pPr>
      <w:r>
        <w:rPr>
          <w:b/>
          <w:sz w:val="32"/>
        </w:rPr>
        <w:t xml:space="preserve">For queries, please contact: </w:t>
      </w:r>
      <w:hyperlink r:id="rId28">
        <w:r>
          <w:rPr>
            <w:color w:val="0462C1"/>
            <w:sz w:val="32"/>
            <w:u w:val="single" w:color="0462C1"/>
          </w:rPr>
          <w:t>RMallon@equalityni.org</w:t>
        </w:r>
      </w:hyperlink>
      <w:r>
        <w:rPr>
          <w:color w:val="0462C1"/>
          <w:sz w:val="32"/>
        </w:rPr>
        <w:t xml:space="preserve"> </w:t>
      </w:r>
      <w:hyperlink r:id="rId29">
        <w:r>
          <w:rPr>
            <w:color w:val="0462C1"/>
            <w:sz w:val="32"/>
            <w:u w:val="single" w:color="0462C1"/>
          </w:rPr>
          <w:t>Eilis.Haughey@nihrc.org</w:t>
        </w:r>
      </w:hyperlink>
    </w:p>
    <w:sectPr w:rsidR="00257A79">
      <w:pgSz w:w="11910" w:h="16840"/>
      <w:pgMar w:top="1600" w:right="1320" w:bottom="1200" w:left="126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1FE2F" w14:textId="77777777" w:rsidR="00000000" w:rsidRDefault="00B472E1">
      <w:r>
        <w:separator/>
      </w:r>
    </w:p>
  </w:endnote>
  <w:endnote w:type="continuationSeparator" w:id="0">
    <w:p w14:paraId="2BAF27E6" w14:textId="77777777" w:rsidR="00000000" w:rsidRDefault="00B4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3BD0" w14:textId="77777777" w:rsidR="00B472E1" w:rsidRDefault="00B47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5049" w14:textId="77777777" w:rsidR="00B472E1" w:rsidRDefault="00B472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119C" w14:textId="77777777" w:rsidR="00B472E1" w:rsidRDefault="00B472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2179" w14:textId="567281D0" w:rsidR="00257A79" w:rsidRDefault="00B472E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255F57A" wp14:editId="45C94BEC">
              <wp:simplePos x="0" y="0"/>
              <wp:positionH relativeFrom="page">
                <wp:posOffset>6463030</wp:posOffset>
              </wp:positionH>
              <wp:positionV relativeFrom="page">
                <wp:posOffset>9911715</wp:posOffset>
              </wp:positionV>
              <wp:extent cx="229870"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702DE" w14:textId="77777777" w:rsidR="00257A79" w:rsidRDefault="00B472E1">
                          <w:pPr>
                            <w:spacing w:line="264" w:lineRule="exact"/>
                            <w:ind w:left="60"/>
                            <w:rPr>
                              <w:sz w:val="24"/>
                            </w:rPr>
                          </w:pPr>
                          <w:r>
                            <w:fldChar w:fldCharType="begin"/>
                          </w:r>
                          <w:r>
                            <w:rPr>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5F57A" id="_x0000_t202" coordsize="21600,21600" o:spt="202" path="m,l,21600r21600,l21600,xe">
              <v:stroke joinstyle="miter"/>
              <v:path gradientshapeok="t" o:connecttype="rect"/>
            </v:shapetype>
            <v:shape id="Text Box 1" o:spid="_x0000_s1026" type="#_x0000_t202" style="position:absolute;margin-left:508.9pt;margin-top:780.45pt;width:18.1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" filled="f" stroked="f">
              <v:textbox inset="0,0,0,0">
                <w:txbxContent>
                  <w:p w14:paraId="36B702DE" w14:textId="77777777" w:rsidR="00257A79" w:rsidRDefault="00B472E1">
                    <w:pPr>
                      <w:spacing w:line="264" w:lineRule="exact"/>
                      <w:ind w:left="60"/>
                      <w:rPr>
                        <w:sz w:val="24"/>
                      </w:rPr>
                    </w:pPr>
                    <w:r>
                      <w:fldChar w:fldCharType="begin"/>
                    </w:r>
                    <w:r>
                      <w:rPr>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4911A" w14:textId="77777777" w:rsidR="00000000" w:rsidRDefault="00B472E1">
      <w:r>
        <w:separator/>
      </w:r>
    </w:p>
  </w:footnote>
  <w:footnote w:type="continuationSeparator" w:id="0">
    <w:p w14:paraId="1211C001" w14:textId="77777777" w:rsidR="00000000" w:rsidRDefault="00B47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68AF5" w14:textId="77777777" w:rsidR="00B472E1" w:rsidRDefault="00B47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F05C4" w14:textId="77777777" w:rsidR="00B472E1" w:rsidRDefault="00B472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355E4" w14:textId="77777777" w:rsidR="00B472E1" w:rsidRDefault="00B472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0590F"/>
    <w:multiLevelType w:val="hybridMultilevel"/>
    <w:tmpl w:val="D7DEFC7E"/>
    <w:lvl w:ilvl="0" w:tplc="2E328BCC">
      <w:numFmt w:val="bullet"/>
      <w:lvlText w:val=""/>
      <w:lvlJc w:val="left"/>
      <w:pPr>
        <w:ind w:left="1612" w:hanging="361"/>
      </w:pPr>
      <w:rPr>
        <w:rFonts w:ascii="Symbol" w:eastAsia="Symbol" w:hAnsi="Symbol" w:cs="Symbol" w:hint="default"/>
        <w:w w:val="100"/>
        <w:sz w:val="28"/>
        <w:szCs w:val="28"/>
        <w:lang w:val="en-US" w:eastAsia="en-US" w:bidi="ar-SA"/>
      </w:rPr>
    </w:lvl>
    <w:lvl w:ilvl="1" w:tplc="9C7E21A8">
      <w:numFmt w:val="bullet"/>
      <w:lvlText w:val="•"/>
      <w:lvlJc w:val="left"/>
      <w:pPr>
        <w:ind w:left="2391" w:hanging="361"/>
      </w:pPr>
      <w:rPr>
        <w:rFonts w:hint="default"/>
        <w:lang w:val="en-US" w:eastAsia="en-US" w:bidi="ar-SA"/>
      </w:rPr>
    </w:lvl>
    <w:lvl w:ilvl="2" w:tplc="93047954">
      <w:numFmt w:val="bullet"/>
      <w:lvlText w:val="•"/>
      <w:lvlJc w:val="left"/>
      <w:pPr>
        <w:ind w:left="3162" w:hanging="361"/>
      </w:pPr>
      <w:rPr>
        <w:rFonts w:hint="default"/>
        <w:lang w:val="en-US" w:eastAsia="en-US" w:bidi="ar-SA"/>
      </w:rPr>
    </w:lvl>
    <w:lvl w:ilvl="3" w:tplc="EDF8EECE">
      <w:numFmt w:val="bullet"/>
      <w:lvlText w:val="•"/>
      <w:lvlJc w:val="left"/>
      <w:pPr>
        <w:ind w:left="3933" w:hanging="361"/>
      </w:pPr>
      <w:rPr>
        <w:rFonts w:hint="default"/>
        <w:lang w:val="en-US" w:eastAsia="en-US" w:bidi="ar-SA"/>
      </w:rPr>
    </w:lvl>
    <w:lvl w:ilvl="4" w:tplc="E09A0DFA">
      <w:numFmt w:val="bullet"/>
      <w:lvlText w:val="•"/>
      <w:lvlJc w:val="left"/>
      <w:pPr>
        <w:ind w:left="4704" w:hanging="361"/>
      </w:pPr>
      <w:rPr>
        <w:rFonts w:hint="default"/>
        <w:lang w:val="en-US" w:eastAsia="en-US" w:bidi="ar-SA"/>
      </w:rPr>
    </w:lvl>
    <w:lvl w:ilvl="5" w:tplc="6BCAA91E">
      <w:numFmt w:val="bullet"/>
      <w:lvlText w:val="•"/>
      <w:lvlJc w:val="left"/>
      <w:pPr>
        <w:ind w:left="5475" w:hanging="361"/>
      </w:pPr>
      <w:rPr>
        <w:rFonts w:hint="default"/>
        <w:lang w:val="en-US" w:eastAsia="en-US" w:bidi="ar-SA"/>
      </w:rPr>
    </w:lvl>
    <w:lvl w:ilvl="6" w:tplc="5CDA8DD2">
      <w:numFmt w:val="bullet"/>
      <w:lvlText w:val="•"/>
      <w:lvlJc w:val="left"/>
      <w:pPr>
        <w:ind w:left="6246" w:hanging="361"/>
      </w:pPr>
      <w:rPr>
        <w:rFonts w:hint="default"/>
        <w:lang w:val="en-US" w:eastAsia="en-US" w:bidi="ar-SA"/>
      </w:rPr>
    </w:lvl>
    <w:lvl w:ilvl="7" w:tplc="2640DAE6">
      <w:numFmt w:val="bullet"/>
      <w:lvlText w:val="•"/>
      <w:lvlJc w:val="left"/>
      <w:pPr>
        <w:ind w:left="7017" w:hanging="361"/>
      </w:pPr>
      <w:rPr>
        <w:rFonts w:hint="default"/>
        <w:lang w:val="en-US" w:eastAsia="en-US" w:bidi="ar-SA"/>
      </w:rPr>
    </w:lvl>
    <w:lvl w:ilvl="8" w:tplc="587AC4FA">
      <w:numFmt w:val="bullet"/>
      <w:lvlText w:val="•"/>
      <w:lvlJc w:val="left"/>
      <w:pPr>
        <w:ind w:left="7788" w:hanging="361"/>
      </w:pPr>
      <w:rPr>
        <w:rFonts w:hint="default"/>
        <w:lang w:val="en-US" w:eastAsia="en-US" w:bidi="ar-SA"/>
      </w:rPr>
    </w:lvl>
  </w:abstractNum>
  <w:abstractNum w:abstractNumId="1" w15:restartNumberingAfterBreak="0">
    <w:nsid w:val="09B22669"/>
    <w:multiLevelType w:val="hybridMultilevel"/>
    <w:tmpl w:val="9C526914"/>
    <w:lvl w:ilvl="0" w:tplc="7EB0B636">
      <w:start w:val="1"/>
      <w:numFmt w:val="decimal"/>
      <w:lvlText w:val="%1."/>
      <w:lvlJc w:val="left"/>
      <w:pPr>
        <w:ind w:left="621" w:hanging="441"/>
        <w:jc w:val="left"/>
      </w:pPr>
      <w:rPr>
        <w:rFonts w:ascii="Carlito" w:eastAsia="Carlito" w:hAnsi="Carlito" w:cs="Carlito" w:hint="default"/>
        <w:b/>
        <w:bCs/>
        <w:spacing w:val="-22"/>
        <w:w w:val="100"/>
        <w:sz w:val="32"/>
        <w:szCs w:val="32"/>
        <w:lang w:val="en-US" w:eastAsia="en-US" w:bidi="ar-SA"/>
      </w:rPr>
    </w:lvl>
    <w:lvl w:ilvl="1" w:tplc="B3382334">
      <w:numFmt w:val="bullet"/>
      <w:lvlText w:val=""/>
      <w:lvlJc w:val="left"/>
      <w:pPr>
        <w:ind w:left="1012" w:hanging="361"/>
      </w:pPr>
      <w:rPr>
        <w:rFonts w:ascii="Symbol" w:eastAsia="Symbol" w:hAnsi="Symbol" w:cs="Symbol" w:hint="default"/>
        <w:w w:val="100"/>
        <w:sz w:val="28"/>
        <w:szCs w:val="28"/>
        <w:lang w:val="en-US" w:eastAsia="en-US" w:bidi="ar-SA"/>
      </w:rPr>
    </w:lvl>
    <w:lvl w:ilvl="2" w:tplc="E8AEF7D2">
      <w:numFmt w:val="bullet"/>
      <w:lvlText w:val="o"/>
      <w:lvlJc w:val="left"/>
      <w:pPr>
        <w:ind w:left="1602" w:hanging="361"/>
      </w:pPr>
      <w:rPr>
        <w:rFonts w:ascii="Courier New" w:eastAsia="Courier New" w:hAnsi="Courier New" w:cs="Courier New" w:hint="default"/>
        <w:w w:val="100"/>
        <w:sz w:val="28"/>
        <w:szCs w:val="28"/>
        <w:lang w:val="en-US" w:eastAsia="en-US" w:bidi="ar-SA"/>
      </w:rPr>
    </w:lvl>
    <w:lvl w:ilvl="3" w:tplc="FB7420DA">
      <w:numFmt w:val="bullet"/>
      <w:lvlText w:val="•"/>
      <w:lvlJc w:val="left"/>
      <w:pPr>
        <w:ind w:left="2566" w:hanging="361"/>
      </w:pPr>
      <w:rPr>
        <w:rFonts w:hint="default"/>
        <w:lang w:val="en-US" w:eastAsia="en-US" w:bidi="ar-SA"/>
      </w:rPr>
    </w:lvl>
    <w:lvl w:ilvl="4" w:tplc="C57CA22E">
      <w:numFmt w:val="bullet"/>
      <w:lvlText w:val="•"/>
      <w:lvlJc w:val="left"/>
      <w:pPr>
        <w:ind w:left="3532" w:hanging="361"/>
      </w:pPr>
      <w:rPr>
        <w:rFonts w:hint="default"/>
        <w:lang w:val="en-US" w:eastAsia="en-US" w:bidi="ar-SA"/>
      </w:rPr>
    </w:lvl>
    <w:lvl w:ilvl="5" w:tplc="45624B58">
      <w:numFmt w:val="bullet"/>
      <w:lvlText w:val="•"/>
      <w:lvlJc w:val="left"/>
      <w:pPr>
        <w:ind w:left="4498" w:hanging="361"/>
      </w:pPr>
      <w:rPr>
        <w:rFonts w:hint="default"/>
        <w:lang w:val="en-US" w:eastAsia="en-US" w:bidi="ar-SA"/>
      </w:rPr>
    </w:lvl>
    <w:lvl w:ilvl="6" w:tplc="E0108070">
      <w:numFmt w:val="bullet"/>
      <w:lvlText w:val="•"/>
      <w:lvlJc w:val="left"/>
      <w:pPr>
        <w:ind w:left="5465" w:hanging="361"/>
      </w:pPr>
      <w:rPr>
        <w:rFonts w:hint="default"/>
        <w:lang w:val="en-US" w:eastAsia="en-US" w:bidi="ar-SA"/>
      </w:rPr>
    </w:lvl>
    <w:lvl w:ilvl="7" w:tplc="AFF6F8D4">
      <w:numFmt w:val="bullet"/>
      <w:lvlText w:val="•"/>
      <w:lvlJc w:val="left"/>
      <w:pPr>
        <w:ind w:left="6431" w:hanging="361"/>
      </w:pPr>
      <w:rPr>
        <w:rFonts w:hint="default"/>
        <w:lang w:val="en-US" w:eastAsia="en-US" w:bidi="ar-SA"/>
      </w:rPr>
    </w:lvl>
    <w:lvl w:ilvl="8" w:tplc="A0B257F2">
      <w:numFmt w:val="bullet"/>
      <w:lvlText w:val="•"/>
      <w:lvlJc w:val="left"/>
      <w:pPr>
        <w:ind w:left="7397" w:hanging="361"/>
      </w:pPr>
      <w:rPr>
        <w:rFonts w:hint="default"/>
        <w:lang w:val="en-US" w:eastAsia="en-US" w:bidi="ar-SA"/>
      </w:rPr>
    </w:lvl>
  </w:abstractNum>
  <w:abstractNum w:abstractNumId="2" w15:restartNumberingAfterBreak="0">
    <w:nsid w:val="103D1ABA"/>
    <w:multiLevelType w:val="multilevel"/>
    <w:tmpl w:val="C1161E1A"/>
    <w:lvl w:ilvl="0">
      <w:start w:val="1"/>
      <w:numFmt w:val="decimal"/>
      <w:lvlText w:val="%1."/>
      <w:lvlJc w:val="left"/>
      <w:pPr>
        <w:ind w:left="892" w:hanging="711"/>
        <w:jc w:val="left"/>
      </w:pPr>
      <w:rPr>
        <w:rFonts w:ascii="Carlito" w:eastAsia="Carlito" w:hAnsi="Carlito" w:cs="Carlito" w:hint="default"/>
        <w:b/>
        <w:bCs/>
        <w:spacing w:val="-6"/>
        <w:w w:val="100"/>
        <w:sz w:val="40"/>
        <w:szCs w:val="40"/>
        <w:lang w:val="en-US" w:eastAsia="en-US" w:bidi="ar-SA"/>
      </w:rPr>
    </w:lvl>
    <w:lvl w:ilvl="1">
      <w:start w:val="1"/>
      <w:numFmt w:val="decimal"/>
      <w:lvlText w:val="%1.%2"/>
      <w:lvlJc w:val="left"/>
      <w:pPr>
        <w:ind w:left="892" w:hanging="791"/>
        <w:jc w:val="left"/>
      </w:pPr>
      <w:rPr>
        <w:rFonts w:hint="default"/>
        <w:spacing w:val="-10"/>
        <w:w w:val="100"/>
        <w:lang w:val="en-US" w:eastAsia="en-US" w:bidi="ar-SA"/>
      </w:rPr>
    </w:lvl>
    <w:lvl w:ilvl="2">
      <w:start w:val="1"/>
      <w:numFmt w:val="decimal"/>
      <w:lvlText w:val="%3."/>
      <w:lvlJc w:val="left"/>
      <w:pPr>
        <w:ind w:left="1622" w:hanging="791"/>
        <w:jc w:val="left"/>
      </w:pPr>
      <w:rPr>
        <w:rFonts w:ascii="Carlito" w:eastAsia="Carlito" w:hAnsi="Carlito" w:cs="Carlito" w:hint="default"/>
        <w:spacing w:val="-8"/>
        <w:w w:val="100"/>
        <w:sz w:val="28"/>
        <w:szCs w:val="28"/>
        <w:lang w:val="en-US" w:eastAsia="en-US" w:bidi="ar-SA"/>
      </w:rPr>
    </w:lvl>
    <w:lvl w:ilvl="3">
      <w:numFmt w:val="bullet"/>
      <w:lvlText w:val="•"/>
      <w:lvlJc w:val="left"/>
      <w:pPr>
        <w:ind w:left="3333" w:hanging="791"/>
      </w:pPr>
      <w:rPr>
        <w:rFonts w:hint="default"/>
        <w:lang w:val="en-US" w:eastAsia="en-US" w:bidi="ar-SA"/>
      </w:rPr>
    </w:lvl>
    <w:lvl w:ilvl="4">
      <w:numFmt w:val="bullet"/>
      <w:lvlText w:val="•"/>
      <w:lvlJc w:val="left"/>
      <w:pPr>
        <w:ind w:left="4190" w:hanging="791"/>
      </w:pPr>
      <w:rPr>
        <w:rFonts w:hint="default"/>
        <w:lang w:val="en-US" w:eastAsia="en-US" w:bidi="ar-SA"/>
      </w:rPr>
    </w:lvl>
    <w:lvl w:ilvl="5">
      <w:numFmt w:val="bullet"/>
      <w:lvlText w:val="•"/>
      <w:lvlJc w:val="left"/>
      <w:pPr>
        <w:ind w:left="5046" w:hanging="791"/>
      </w:pPr>
      <w:rPr>
        <w:rFonts w:hint="default"/>
        <w:lang w:val="en-US" w:eastAsia="en-US" w:bidi="ar-SA"/>
      </w:rPr>
    </w:lvl>
    <w:lvl w:ilvl="6">
      <w:numFmt w:val="bullet"/>
      <w:lvlText w:val="•"/>
      <w:lvlJc w:val="left"/>
      <w:pPr>
        <w:ind w:left="5903" w:hanging="791"/>
      </w:pPr>
      <w:rPr>
        <w:rFonts w:hint="default"/>
        <w:lang w:val="en-US" w:eastAsia="en-US" w:bidi="ar-SA"/>
      </w:rPr>
    </w:lvl>
    <w:lvl w:ilvl="7">
      <w:numFmt w:val="bullet"/>
      <w:lvlText w:val="•"/>
      <w:lvlJc w:val="left"/>
      <w:pPr>
        <w:ind w:left="6760" w:hanging="791"/>
      </w:pPr>
      <w:rPr>
        <w:rFonts w:hint="default"/>
        <w:lang w:val="en-US" w:eastAsia="en-US" w:bidi="ar-SA"/>
      </w:rPr>
    </w:lvl>
    <w:lvl w:ilvl="8">
      <w:numFmt w:val="bullet"/>
      <w:lvlText w:val="•"/>
      <w:lvlJc w:val="left"/>
      <w:pPr>
        <w:ind w:left="7616" w:hanging="791"/>
      </w:pPr>
      <w:rPr>
        <w:rFonts w:hint="default"/>
        <w:lang w:val="en-US"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79"/>
    <w:rsid w:val="00257A79"/>
    <w:rsid w:val="00B47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243E691"/>
  <w15:docId w15:val="{18185AE3-6194-4B85-95AD-E787D0CA6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892" w:hanging="712"/>
      <w:outlineLvl w:val="0"/>
    </w:pPr>
    <w:rPr>
      <w:b/>
      <w:bCs/>
      <w:sz w:val="40"/>
      <w:szCs w:val="40"/>
    </w:rPr>
  </w:style>
  <w:style w:type="paragraph" w:styleId="Heading2">
    <w:name w:val="heading 2"/>
    <w:basedOn w:val="Normal"/>
    <w:uiPriority w:val="9"/>
    <w:unhideWhenUsed/>
    <w:qFormat/>
    <w:pPr>
      <w:spacing w:before="16"/>
      <w:ind w:left="891"/>
      <w:outlineLvl w:val="1"/>
    </w:pPr>
    <w:rPr>
      <w:b/>
      <w:bCs/>
      <w:i/>
      <w:sz w:val="32"/>
      <w:szCs w:val="32"/>
      <w:u w:val="single" w:color="000000"/>
    </w:rPr>
  </w:style>
  <w:style w:type="paragraph" w:styleId="Heading3">
    <w:name w:val="heading 3"/>
    <w:basedOn w:val="Normal"/>
    <w:uiPriority w:val="9"/>
    <w:unhideWhenUsed/>
    <w:qFormat/>
    <w:pPr>
      <w:spacing w:before="239"/>
      <w:ind w:left="891" w:hanging="36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00"/>
      <w:ind w:left="621" w:hanging="442"/>
    </w:pPr>
    <w:rPr>
      <w:b/>
      <w:bCs/>
      <w:sz w:val="32"/>
      <w:szCs w:val="32"/>
    </w:rPr>
  </w:style>
  <w:style w:type="paragraph" w:styleId="TOC2">
    <w:name w:val="toc 2"/>
    <w:basedOn w:val="Normal"/>
    <w:uiPriority w:val="1"/>
    <w:qFormat/>
    <w:pPr>
      <w:spacing w:before="99"/>
      <w:ind w:left="401"/>
    </w:pPr>
    <w:rPr>
      <w:sz w:val="28"/>
      <w:szCs w:val="28"/>
    </w:rPr>
  </w:style>
  <w:style w:type="paragraph" w:styleId="BodyText">
    <w:name w:val="Body Text"/>
    <w:basedOn w:val="Normal"/>
    <w:uiPriority w:val="1"/>
    <w:qFormat/>
    <w:rPr>
      <w:sz w:val="28"/>
      <w:szCs w:val="28"/>
    </w:rPr>
  </w:style>
  <w:style w:type="paragraph" w:styleId="Title">
    <w:name w:val="Title"/>
    <w:basedOn w:val="Normal"/>
    <w:uiPriority w:val="10"/>
    <w:qFormat/>
    <w:pPr>
      <w:ind w:left="210" w:right="142" w:hanging="4"/>
      <w:jc w:val="center"/>
    </w:pPr>
    <w:rPr>
      <w:b/>
      <w:bCs/>
      <w:sz w:val="56"/>
      <w:szCs w:val="56"/>
    </w:rPr>
  </w:style>
  <w:style w:type="paragraph" w:styleId="ListParagraph">
    <w:name w:val="List Paragraph"/>
    <w:basedOn w:val="Normal"/>
    <w:uiPriority w:val="1"/>
    <w:qFormat/>
    <w:pPr>
      <w:spacing w:before="44"/>
      <w:ind w:left="891" w:hanging="71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472E1"/>
    <w:pPr>
      <w:tabs>
        <w:tab w:val="center" w:pos="4513"/>
        <w:tab w:val="right" w:pos="9026"/>
      </w:tabs>
    </w:pPr>
  </w:style>
  <w:style w:type="character" w:customStyle="1" w:styleId="HeaderChar">
    <w:name w:val="Header Char"/>
    <w:basedOn w:val="DefaultParagraphFont"/>
    <w:link w:val="Header"/>
    <w:uiPriority w:val="99"/>
    <w:rsid w:val="00B472E1"/>
    <w:rPr>
      <w:rFonts w:ascii="Carlito" w:eastAsia="Carlito" w:hAnsi="Carlito" w:cs="Carlito"/>
    </w:rPr>
  </w:style>
  <w:style w:type="paragraph" w:styleId="Footer">
    <w:name w:val="footer"/>
    <w:basedOn w:val="Normal"/>
    <w:link w:val="FooterChar"/>
    <w:uiPriority w:val="99"/>
    <w:unhideWhenUsed/>
    <w:rsid w:val="00B472E1"/>
    <w:pPr>
      <w:tabs>
        <w:tab w:val="center" w:pos="4513"/>
        <w:tab w:val="right" w:pos="9026"/>
      </w:tabs>
    </w:pPr>
  </w:style>
  <w:style w:type="character" w:customStyle="1" w:styleId="FooterChar">
    <w:name w:val="Footer Char"/>
    <w:basedOn w:val="DefaultParagraphFont"/>
    <w:link w:val="Footer"/>
    <w:uiPriority w:val="99"/>
    <w:rsid w:val="00B472E1"/>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s://www.gov.uk/government/publications/protocol-on-irelandnorthern-ireland-article-2" TargetMode="External"/><Relationship Id="rId26" Type="http://schemas.openxmlformats.org/officeDocument/2006/relationships/hyperlink" Target="https://committees.parliament.uk/publications/8777/documents/88918/default/" TargetMode="External"/><Relationship Id="rId3" Type="http://schemas.openxmlformats.org/officeDocument/2006/relationships/settings" Target="settings.xml"/><Relationship Id="rId21" Type="http://schemas.openxmlformats.org/officeDocument/2006/relationships/hyperlink" Target="https://www.gov.uk/government/publications/local-voting-rights-for-eu-citizens-living-in-the-uk/local-voting-rights-for-eu-citizens-living-in-the-uk" TargetMode="Externa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s://www.gov.uk/government/publications/the-belfast-agreement" TargetMode="External"/><Relationship Id="rId25" Type="http://schemas.openxmlformats.org/officeDocument/2006/relationships/hyperlink" Target="https://committees.parliament.uk/publications/8996/documents/152635/default/" TargetMode="External"/><Relationship Id="rId2" Type="http://schemas.openxmlformats.org/officeDocument/2006/relationships/styles" Target="styles.xml"/><Relationship Id="rId16" Type="http://schemas.openxmlformats.org/officeDocument/2006/relationships/hyperlink" Target="https://www.gov.uk/government/publications/the-belfast-agreement" TargetMode="External"/><Relationship Id="rId20" Type="http://schemas.openxmlformats.org/officeDocument/2006/relationships/hyperlink" Target="https://www.gov.uk/government/publications/the-belfast-agreement" TargetMode="External"/><Relationship Id="rId29" Type="http://schemas.openxmlformats.org/officeDocument/2006/relationships/hyperlink" Target="mailto:&#195;&#8240;ilis.Haughey@nihrc.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committees.parliament.uk/publications/8777/documents/88918/default/?utm_source=EU%2BMatters&amp;utm_campaign=4984d653ce-EMAIL_CAMPAIGN_BREXIT_BRIEF_21-10-20_COPY_01&amp;utm_medium=email&amp;utm_term=0_e23b97fbd4-4984d653ce-544538379&amp;mc_cid=4984d653ce&amp;mc_eid=4a08b63f97"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committees.parliament.uk/publications/8981/documents/152584/default/" TargetMode="External"/><Relationship Id="rId28" Type="http://schemas.openxmlformats.org/officeDocument/2006/relationships/hyperlink" Target="mailto:RMallon@equalityni.org" TargetMode="External"/><Relationship Id="rId10" Type="http://schemas.openxmlformats.org/officeDocument/2006/relationships/header" Target="header2.xml"/><Relationship Id="rId19" Type="http://schemas.openxmlformats.org/officeDocument/2006/relationships/hyperlink" Target="https://www.gov.uk/government/publications/protocol-on-irelandnorthern-ireland-article-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bills.parliament.uk/publications/43146/documents/815" TargetMode="External"/><Relationship Id="rId27" Type="http://schemas.openxmlformats.org/officeDocument/2006/relationships/hyperlink" Target="https://committees.parliament.uk/publications/8299/documents/84467/defaul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3276</Words>
  <Characters>18675</Characters>
  <Application>Microsoft Office Word</Application>
  <DocSecurity>0</DocSecurity>
  <Lines>155</Lines>
  <Paragraphs>43</Paragraphs>
  <ScaleCrop>false</ScaleCrop>
  <Company/>
  <LinksUpToDate>false</LinksUpToDate>
  <CharactersWithSpaces>21908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Glenda Doherty</dc:creator>
  <cp:lastModifiedBy>Conor Boyle</cp:lastModifiedBy>
  <cp:revision>2</cp:revision>
  <dcterms:created xsi:type="dcterms:W3CDTF">2022-03-10T17:09:00Z</dcterms:created>
  <dcterms:modified xsi:type="dcterms:W3CDTF">2022-03-10T17:09:00Z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2022-03-04T00:00:00Z</vt:filetime>
  </property>
  <property fmtid="{D5CDD505-2E9C-101B-9397-08002B2CF9AE}" pid="3" name="Creator">
    <vt:lpwstr>Microsoft® Word for Microsoft 365</vt:lpwstr>
  </property>
  <property fmtid="{D5CDD505-2E9C-101B-9397-08002B2CF9AE}" pid="4" name="LastSaved">
    <vt:filetime>2022-03-10T00:00:00Z</vt:filetime>
  </property>
</Properties>
</file>